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B9B204">
      <w:pPr>
        <w:spacing w:line="360" w:lineRule="auto"/>
        <w:jc w:val="left"/>
        <w:rPr>
          <w:rFonts w:hint="eastAsia" w:eastAsia="仿宋_GB2312"/>
          <w:bCs/>
          <w:color w:val="000000"/>
          <w:sz w:val="28"/>
          <w:szCs w:val="28"/>
          <w:highlight w:val="none"/>
          <w:u w:val="single"/>
          <w:lang w:val="en-US" w:eastAsia="zh-CN"/>
        </w:rPr>
      </w:pPr>
      <w:bookmarkStart w:id="0" w:name="_Hlk126831517"/>
      <w:r>
        <w:rPr>
          <w:rFonts w:hint="eastAsia" w:eastAsia="仿宋_GB2312"/>
          <w:bCs/>
          <w:color w:val="000000"/>
          <w:sz w:val="28"/>
          <w:szCs w:val="28"/>
          <w:highlight w:val="none"/>
        </w:rPr>
        <w:t>合同编号：</w:t>
      </w:r>
      <w:permStart w:id="0" w:edGrp="everyone"/>
      <w:r>
        <w:rPr>
          <w:rFonts w:hint="eastAsia" w:eastAsia="仿宋_GB2312"/>
          <w:bCs/>
          <w:color w:val="000000"/>
          <w:sz w:val="28"/>
          <w:szCs w:val="28"/>
          <w:highlight w:val="none"/>
          <w:u w:val="single"/>
        </w:rPr>
        <w:t xml:space="preserve"> </w:t>
      </w:r>
      <w:r>
        <w:rPr>
          <w:rFonts w:hint="eastAsia" w:ascii="宋体" w:hAnsi="宋体"/>
          <w:highlight w:val="none"/>
          <w:u w:val="single"/>
          <w:lang w:val="en-US" w:eastAsia="zh-CN"/>
        </w:rPr>
        <w:t>SZGS</w:t>
      </w:r>
      <w:r>
        <w:rPr>
          <w:rFonts w:ascii="宋体" w:hAnsi="宋体" w:eastAsia="宋体"/>
          <w:highlight w:val="none"/>
          <w:u w:val="single"/>
        </w:rPr>
        <w:t>-FG-</w:t>
      </w:r>
      <w:r>
        <w:rPr>
          <w:rFonts w:hint="eastAsia" w:ascii="宋体" w:hAnsi="宋体"/>
          <w:highlight w:val="none"/>
          <w:u w:val="single"/>
          <w:lang w:val="en-US" w:eastAsia="zh-CN"/>
        </w:rPr>
        <w:t>邯港-</w:t>
      </w:r>
      <w:r>
        <w:rPr>
          <w:rFonts w:hint="eastAsia" w:ascii="宋体" w:hAnsi="宋体" w:eastAsia="宋体"/>
          <w:highlight w:val="none"/>
          <w:u w:val="single"/>
        </w:rPr>
        <w:t>001</w:t>
      </w:r>
      <w:r>
        <w:rPr>
          <w:rFonts w:hint="eastAsia" w:eastAsia="仿宋_GB2312"/>
          <w:bCs/>
          <w:color w:val="000000"/>
          <w:sz w:val="28"/>
          <w:szCs w:val="28"/>
          <w:highlight w:val="none"/>
          <w:u w:val="single"/>
        </w:rPr>
        <w:t xml:space="preserve">    </w:t>
      </w:r>
      <w:r>
        <w:rPr>
          <w:rFonts w:hint="eastAsia" w:eastAsia="仿宋_GB2312"/>
          <w:bCs/>
          <w:color w:val="000000"/>
          <w:sz w:val="28"/>
          <w:szCs w:val="28"/>
          <w:highlight w:val="none"/>
          <w:u w:val="single"/>
          <w:lang w:val="en-US" w:eastAsia="zh-CN"/>
        </w:rPr>
        <w:t xml:space="preserve"> </w:t>
      </w:r>
    </w:p>
    <w:permEnd w:id="0"/>
    <w:p w14:paraId="0FB06944">
      <w:pPr>
        <w:wordWrap w:val="0"/>
        <w:spacing w:line="640" w:lineRule="exact"/>
        <w:jc w:val="both"/>
        <w:rPr>
          <w:rFonts w:ascii="仿宋_GB2312" w:hAnsi="仿宋" w:eastAsia="仿宋_GB2312" w:cs="仿宋"/>
          <w:color w:val="000000" w:themeColor="text1"/>
          <w:sz w:val="24"/>
          <w:szCs w:val="24"/>
          <w:highlight w:val="none"/>
          <w14:textFill>
            <w14:solidFill>
              <w14:schemeClr w14:val="tx1"/>
            </w14:solidFill>
          </w14:textFill>
        </w:rPr>
      </w:pPr>
      <w:r>
        <w:rPr>
          <w:rFonts w:hint="eastAsia" w:eastAsia="仿宋_GB2312"/>
          <w:bCs/>
          <w:color w:val="000000"/>
          <w:sz w:val="28"/>
          <w:szCs w:val="28"/>
          <w:highlight w:val="none"/>
        </w:rPr>
        <w:t>框架协议：</w:t>
      </w:r>
      <w:permStart w:id="1" w:edGrp="everyone"/>
      <w:r>
        <w:rPr>
          <w:rFonts w:hint="eastAsia" w:eastAsia="仿宋_GB2312"/>
          <w:bCs/>
          <w:color w:val="000000"/>
          <w:sz w:val="28"/>
          <w:szCs w:val="28"/>
          <w:highlight w:val="none"/>
          <w:u w:val="single"/>
        </w:rPr>
        <w:t xml:space="preserve">                    </w:t>
      </w:r>
    </w:p>
    <w:permEnd w:id="1"/>
    <w:p w14:paraId="4B54F906">
      <w:pPr>
        <w:spacing w:line="360" w:lineRule="auto"/>
        <w:jc w:val="left"/>
        <w:rPr>
          <w:rFonts w:hint="eastAsia" w:ascii="仿宋_GB2312" w:hAnsi="仿宋_GB2312" w:eastAsia="仿宋_GB2312" w:cs="仿宋_GB2312"/>
          <w:sz w:val="28"/>
          <w:szCs w:val="28"/>
          <w:highlight w:val="none"/>
        </w:rPr>
      </w:pPr>
      <w:r>
        <w:rPr>
          <w:highlight w:val="none"/>
        </w:rPr>
        <w:pict>
          <v:shape id="_x0000_s1026" o:spid="_x0000_s1026" o:spt="136" type="#_x0000_t136" style="position:absolute;left:0pt;margin-left:100pt;margin-top:100pt;height:100pt;width:200pt;z-index:251662336;mso-width-relative:page;mso-height-relative:page;" coordsize="21600,21600">
            <v:path/>
            <v:fill opacity="32768f" focussize="0,0"/>
            <v:stroke/>
            <v:imagedata o:title=""/>
            <o:lock v:ext="edit"/>
            <v:textpath on="t" fitshape="t" fitpath="t" trim="t" xscale="f" string="" style="font-size:36pt;v-text-align:center;"/>
          </v:shape>
        </w:pict>
      </w:r>
    </w:p>
    <w:p w14:paraId="26E4199C">
      <w:pPr>
        <w:pStyle w:val="2"/>
        <w:rPr>
          <w:rFonts w:hint="eastAsia"/>
          <w:highlight w:val="none"/>
        </w:rPr>
      </w:pPr>
    </w:p>
    <w:p w14:paraId="5BD6533F">
      <w:pPr>
        <w:pStyle w:val="2"/>
        <w:rPr>
          <w:rFonts w:hint="eastAsia"/>
          <w:highlight w:val="none"/>
        </w:rPr>
      </w:pPr>
    </w:p>
    <w:p w14:paraId="5AF84390">
      <w:pPr>
        <w:pStyle w:val="2"/>
        <w:rPr>
          <w:rFonts w:hint="eastAsia"/>
          <w:highlight w:val="none"/>
        </w:rPr>
      </w:pPr>
    </w:p>
    <w:p w14:paraId="730DCF9E">
      <w:pPr>
        <w:spacing w:line="360" w:lineRule="auto"/>
        <w:jc w:val="center"/>
        <w:rPr>
          <w:rFonts w:hint="eastAsia" w:ascii="华文中宋" w:hAnsi="华文中宋" w:eastAsia="华文中宋" w:cs="华文中宋"/>
          <w:b/>
          <w:sz w:val="52"/>
          <w:szCs w:val="52"/>
          <w:highlight w:val="none"/>
        </w:rPr>
      </w:pPr>
      <w:r>
        <w:rPr>
          <w:rFonts w:hint="eastAsia" w:ascii="华文中宋" w:hAnsi="华文中宋" w:eastAsia="华文中宋" w:cs="华文中宋"/>
          <w:b/>
          <w:sz w:val="52"/>
          <w:szCs w:val="52"/>
          <w:highlight w:val="none"/>
        </w:rPr>
        <w:t>【</w:t>
      </w:r>
      <w:permStart w:id="2" w:edGrp="everyone"/>
      <w:r>
        <w:rPr>
          <w:rFonts w:hint="eastAsia" w:ascii="华文中宋" w:hAnsi="华文中宋" w:eastAsia="华文中宋" w:cs="华文中宋"/>
          <w:b/>
          <w:sz w:val="52"/>
          <w:szCs w:val="52"/>
          <w:highlight w:val="none"/>
          <w:lang w:val="en-US" w:eastAsia="zh-CN"/>
        </w:rPr>
        <w:t>机械设备</w:t>
      </w:r>
      <w:permEnd w:id="2"/>
      <w:r>
        <w:rPr>
          <w:rFonts w:hint="eastAsia" w:ascii="华文中宋" w:hAnsi="华文中宋" w:eastAsia="华文中宋" w:cs="华文中宋"/>
          <w:b/>
          <w:sz w:val="52"/>
          <w:szCs w:val="52"/>
          <w:highlight w:val="none"/>
        </w:rPr>
        <w:t>】</w:t>
      </w:r>
      <w:r>
        <w:rPr>
          <w:rFonts w:hint="eastAsia" w:ascii="华文中宋" w:hAnsi="华文中宋" w:eastAsia="华文中宋" w:cs="华文中宋"/>
          <w:b/>
          <w:sz w:val="52"/>
          <w:szCs w:val="52"/>
          <w:highlight w:val="none"/>
          <w:lang w:val="en-US" w:eastAsia="zh-CN"/>
        </w:rPr>
        <w:t>租赁</w:t>
      </w:r>
      <w:r>
        <w:rPr>
          <w:rFonts w:hint="eastAsia" w:ascii="华文中宋" w:hAnsi="华文中宋" w:eastAsia="华文中宋" w:cs="华文中宋"/>
          <w:b/>
          <w:sz w:val="52"/>
          <w:szCs w:val="52"/>
          <w:highlight w:val="none"/>
        </w:rPr>
        <w:t>合同</w:t>
      </w:r>
    </w:p>
    <w:p w14:paraId="5845FACE">
      <w:pPr>
        <w:spacing w:line="360" w:lineRule="auto"/>
        <w:jc w:val="center"/>
        <w:rPr>
          <w:rFonts w:hint="eastAsia" w:ascii="宋体" w:hAnsi="宋体" w:cs="宋体"/>
          <w:b/>
          <w:sz w:val="28"/>
          <w:szCs w:val="28"/>
          <w:highlight w:val="none"/>
        </w:rPr>
      </w:pPr>
      <w:r>
        <w:rPr>
          <w:highlight w:val="none"/>
        </w:rPr>
        <w:drawing>
          <wp:anchor distT="0" distB="0" distL="114300" distR="114300" simplePos="0" relativeHeight="251661312" behindDoc="1" locked="0" layoutInCell="1" allowOverlap="1">
            <wp:simplePos x="0" y="0"/>
            <wp:positionH relativeFrom="column">
              <wp:posOffset>1829435</wp:posOffset>
            </wp:positionH>
            <wp:positionV relativeFrom="paragraph">
              <wp:posOffset>245745</wp:posOffset>
            </wp:positionV>
            <wp:extent cx="1685925" cy="2352675"/>
            <wp:effectExtent l="0" t="0" r="9525" b="9525"/>
            <wp:wrapNone/>
            <wp:docPr id="1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descr="说明: 图片1"/>
                    <pic:cNvPicPr>
                      <a:picLocks noChangeAspect="1"/>
                    </pic:cNvPicPr>
                  </pic:nvPicPr>
                  <pic:blipFill>
                    <a:blip r:embed="rId19">
                      <a:clrChange>
                        <a:clrFrom>
                          <a:srgbClr val="FEFEFC"/>
                        </a:clrFrom>
                        <a:clrTo>
                          <a:srgbClr val="FEFEFC">
                            <a:alpha val="0"/>
                          </a:srgbClr>
                        </a:clrTo>
                      </a:clrChange>
                    </a:blip>
                    <a:stretch>
                      <a:fillRect/>
                    </a:stretch>
                  </pic:blipFill>
                  <pic:spPr>
                    <a:xfrm>
                      <a:off x="0" y="0"/>
                      <a:ext cx="1685925" cy="2352675"/>
                    </a:xfrm>
                    <a:prstGeom prst="rect">
                      <a:avLst/>
                    </a:prstGeom>
                    <a:noFill/>
                    <a:ln>
                      <a:noFill/>
                    </a:ln>
                  </pic:spPr>
                </pic:pic>
              </a:graphicData>
            </a:graphic>
          </wp:anchor>
        </w:drawing>
      </w:r>
    </w:p>
    <w:p w14:paraId="612A13CF">
      <w:pPr>
        <w:spacing w:line="360" w:lineRule="auto"/>
        <w:jc w:val="center"/>
        <w:rPr>
          <w:rFonts w:hint="eastAsia" w:ascii="宋体" w:hAnsi="宋体" w:cs="宋体"/>
          <w:b/>
          <w:sz w:val="28"/>
          <w:szCs w:val="28"/>
          <w:highlight w:val="none"/>
        </w:rPr>
      </w:pPr>
    </w:p>
    <w:p w14:paraId="4A141F6F">
      <w:pPr>
        <w:spacing w:line="360" w:lineRule="auto"/>
        <w:jc w:val="center"/>
        <w:rPr>
          <w:rFonts w:hint="eastAsia" w:ascii="宋体" w:hAnsi="宋体" w:cs="宋体"/>
          <w:b/>
          <w:sz w:val="28"/>
          <w:szCs w:val="28"/>
          <w:highlight w:val="none"/>
        </w:rPr>
      </w:pPr>
    </w:p>
    <w:p w14:paraId="7EDB4B8B">
      <w:pPr>
        <w:spacing w:line="360" w:lineRule="auto"/>
        <w:jc w:val="center"/>
        <w:rPr>
          <w:rFonts w:hint="eastAsia" w:ascii="宋体" w:hAnsi="宋体" w:cs="宋体"/>
          <w:b/>
          <w:sz w:val="28"/>
          <w:szCs w:val="28"/>
          <w:highlight w:val="none"/>
        </w:rPr>
      </w:pPr>
    </w:p>
    <w:p w14:paraId="7AE97616">
      <w:pPr>
        <w:spacing w:line="360" w:lineRule="auto"/>
        <w:jc w:val="center"/>
        <w:rPr>
          <w:rFonts w:hint="eastAsia" w:ascii="宋体" w:hAnsi="宋体" w:cs="宋体"/>
          <w:b/>
          <w:sz w:val="28"/>
          <w:szCs w:val="28"/>
          <w:highlight w:val="none"/>
        </w:rPr>
      </w:pPr>
    </w:p>
    <w:p w14:paraId="7515499D">
      <w:pPr>
        <w:spacing w:line="360" w:lineRule="auto"/>
        <w:rPr>
          <w:rFonts w:hint="eastAsia" w:ascii="宋体" w:hAnsi="宋体" w:cs="宋体"/>
          <w:b/>
          <w:sz w:val="28"/>
          <w:szCs w:val="28"/>
          <w:highlight w:val="none"/>
        </w:rPr>
      </w:pPr>
    </w:p>
    <w:p w14:paraId="18473FEB">
      <w:pPr>
        <w:pStyle w:val="6"/>
        <w:spacing w:after="120"/>
        <w:ind w:firstLine="560"/>
        <w:rPr>
          <w:rFonts w:hint="eastAsia" w:ascii="宋体" w:hAnsi="宋体" w:cs="宋体"/>
          <w:b/>
          <w:sz w:val="28"/>
          <w:szCs w:val="28"/>
          <w:highlight w:val="none"/>
        </w:rPr>
      </w:pPr>
    </w:p>
    <w:p w14:paraId="4F562129">
      <w:pPr>
        <w:spacing w:line="360" w:lineRule="auto"/>
        <w:rPr>
          <w:rFonts w:hint="eastAsia" w:ascii="仿宋_GB2312" w:hAnsi="仿宋_GB2312" w:eastAsia="仿宋_GB2312" w:cs="仿宋_GB2312"/>
          <w:b/>
          <w:bCs/>
          <w:sz w:val="28"/>
          <w:szCs w:val="28"/>
          <w:highlight w:val="none"/>
        </w:rPr>
      </w:pPr>
    </w:p>
    <w:p w14:paraId="028F23F6">
      <w:pPr>
        <w:spacing w:line="360" w:lineRule="auto"/>
        <w:ind w:firstLine="562" w:firstLineChars="200"/>
        <w:rPr>
          <w:rFonts w:hint="eastAsia" w:ascii="仿宋_GB2312" w:hAnsi="仿宋_GB2312" w:eastAsia="仿宋_GB2312" w:cs="仿宋_GB2312"/>
          <w:sz w:val="28"/>
          <w:szCs w:val="28"/>
          <w:highlight w:val="none"/>
        </w:rPr>
      </w:pPr>
      <w:permStart w:id="3" w:edGrp="everyone"/>
      <w:r>
        <w:rPr>
          <w:rFonts w:hint="eastAsia" w:ascii="仿宋_GB2312" w:hAnsi="仿宋_GB2312" w:eastAsia="仿宋_GB2312" w:cs="仿宋_GB2312"/>
          <w:b/>
          <w:bCs/>
          <w:sz w:val="28"/>
          <w:szCs w:val="28"/>
          <w:highlight w:val="none"/>
        </w:rPr>
        <w:t>项目名称：</w:t>
      </w:r>
      <w:r>
        <w:rPr>
          <w:rFonts w:hint="eastAsia" w:ascii="仿宋_GB2312" w:hAnsi="仿宋_GB2312" w:eastAsia="仿宋_GB2312" w:cs="仿宋_GB2312"/>
          <w:b/>
          <w:color w:val="000000"/>
          <w:sz w:val="28"/>
          <w:szCs w:val="28"/>
          <w:highlight w:val="none"/>
        </w:rPr>
        <w:t>【邯港高速公路衡水沧州界至国道G205段绿化工程】</w:t>
      </w:r>
    </w:p>
    <w:p w14:paraId="25987E81">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甲    方：</w:t>
      </w:r>
      <w:r>
        <w:rPr>
          <w:rFonts w:hint="eastAsia" w:ascii="仿宋_GB2312" w:hAnsi="仿宋_GB2312" w:eastAsia="仿宋_GB2312" w:cs="仿宋_GB2312"/>
          <w:b/>
          <w:color w:val="000000"/>
          <w:sz w:val="28"/>
          <w:szCs w:val="28"/>
          <w:highlight w:val="none"/>
        </w:rPr>
        <w:t>【</w:t>
      </w:r>
      <w:r>
        <w:rPr>
          <w:rFonts w:hint="eastAsia" w:ascii="仿宋_GB2312" w:hAnsi="仿宋_GB2312" w:eastAsia="仿宋_GB2312" w:cs="仿宋_GB2312"/>
          <w:b/>
          <w:color w:val="000000"/>
          <w:sz w:val="28"/>
          <w:szCs w:val="28"/>
          <w:highlight w:val="none"/>
          <w:lang w:val="en-US" w:eastAsia="zh-CN"/>
        </w:rPr>
        <w:t>中建路桥集团河北基础市政工程有限公司</w:t>
      </w:r>
      <w:r>
        <w:rPr>
          <w:rFonts w:hint="eastAsia" w:ascii="仿宋_GB2312" w:hAnsi="仿宋_GB2312" w:eastAsia="仿宋_GB2312" w:cs="仿宋_GB2312"/>
          <w:b/>
          <w:color w:val="000000"/>
          <w:sz w:val="28"/>
          <w:szCs w:val="28"/>
          <w:highlight w:val="none"/>
        </w:rPr>
        <w:t>】</w:t>
      </w:r>
    </w:p>
    <w:p w14:paraId="6E129BA1">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乙    方：</w:t>
      </w:r>
      <w:r>
        <w:rPr>
          <w:rFonts w:hint="eastAsia" w:ascii="仿宋_GB2312" w:hAnsi="仿宋_GB2312" w:eastAsia="仿宋_GB2312" w:cs="仿宋_GB2312"/>
          <w:b/>
          <w:color w:val="000000"/>
          <w:sz w:val="28"/>
          <w:szCs w:val="28"/>
          <w:highlight w:val="none"/>
        </w:rPr>
        <w:t>【                                  】</w:t>
      </w:r>
    </w:p>
    <w:p w14:paraId="05FC37E5">
      <w:pPr>
        <w:spacing w:line="360" w:lineRule="auto"/>
        <w:ind w:firstLine="562"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签订时间：</w:t>
      </w:r>
      <w:r>
        <w:rPr>
          <w:rFonts w:hint="eastAsia" w:ascii="仿宋_GB2312" w:hAnsi="仿宋_GB2312" w:eastAsia="仿宋_GB2312" w:cs="仿宋_GB2312"/>
          <w:b/>
          <w:color w:val="000000"/>
          <w:sz w:val="28"/>
          <w:szCs w:val="28"/>
          <w:highlight w:val="none"/>
        </w:rPr>
        <w:t>【                                  】</w:t>
      </w:r>
    </w:p>
    <w:p w14:paraId="453A952B">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签订地点：</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石家庄市桥西区</w:t>
      </w:r>
      <w:r>
        <w:rPr>
          <w:rFonts w:hint="eastAsia" w:ascii="仿宋_GB2312" w:hAnsi="仿宋_GB2312" w:eastAsia="仿宋_GB2312" w:cs="仿宋_GB2312"/>
          <w:b/>
          <w:color w:val="000000"/>
          <w:sz w:val="28"/>
          <w:szCs w:val="28"/>
          <w:highlight w:val="none"/>
        </w:rPr>
        <w:t xml:space="preserve">        】</w:t>
      </w:r>
      <w:permEnd w:id="3"/>
    </w:p>
    <w:bookmarkEnd w:id="0"/>
    <w:p w14:paraId="26CB2539">
      <w:pPr>
        <w:spacing w:line="480" w:lineRule="auto"/>
        <w:ind w:firstLine="1280" w:firstLineChars="400"/>
        <w:jc w:val="left"/>
        <w:textAlignment w:val="baseline"/>
        <w:rPr>
          <w:rFonts w:ascii="仿宋_GB2312" w:hAnsi="仿宋" w:eastAsia="仿宋_GB2312" w:cs="仿宋"/>
          <w:bCs/>
          <w:color w:val="000000" w:themeColor="text1"/>
          <w:sz w:val="32"/>
          <w:szCs w:val="24"/>
          <w:highlight w:val="none"/>
          <w:u w:val="single"/>
          <w14:textFill>
            <w14:solidFill>
              <w14:schemeClr w14:val="tx1"/>
            </w14:solidFill>
          </w14:textFill>
        </w:rPr>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docGrid w:type="lines" w:linePitch="312" w:charSpace="0"/>
        </w:sectPr>
      </w:pPr>
    </w:p>
    <w:sdt>
      <w:sdtPr>
        <w:rPr>
          <w:rFonts w:hint="eastAsia" w:ascii="Calibri" w:hAnsi="Calibri" w:eastAsia="宋体"/>
          <w:szCs w:val="22"/>
          <w:highlight w:val="none"/>
        </w:rPr>
        <w:id w:val="147472385"/>
        <w15:color w:val="DBDBDB"/>
        <w:docPartObj>
          <w:docPartGallery w:val="Table of Contents"/>
          <w:docPartUnique/>
        </w:docPartObj>
      </w:sdtPr>
      <w:sdtEndPr>
        <w:rPr>
          <w:rFonts w:hint="eastAsia" w:ascii="仿宋" w:hAnsi="仿宋" w:eastAsia="仿宋" w:cs="仿宋"/>
          <w:b/>
          <w:bCs/>
          <w:color w:val="000000" w:themeColor="text1"/>
          <w:sz w:val="24"/>
          <w:szCs w:val="24"/>
          <w:highlight w:val="none"/>
          <w14:textFill>
            <w14:solidFill>
              <w14:schemeClr w14:val="tx1"/>
            </w14:solidFill>
          </w14:textFill>
        </w:rPr>
      </w:sdtEndPr>
      <w:sdtContent>
        <w:p w14:paraId="54ECBDA7">
          <w:pPr>
            <w:pStyle w:val="6"/>
            <w:rPr>
              <w:highlight w:val="none"/>
            </w:rPr>
          </w:pPr>
        </w:p>
        <w:p w14:paraId="42FE202E">
          <w:pPr>
            <w:jc w:val="center"/>
            <w:rPr>
              <w:rFonts w:ascii="黑体" w:hAnsi="黑体" w:eastAsia="黑体" w:cs="黑体"/>
              <w:b/>
              <w:bCs/>
              <w:color w:val="000000" w:themeColor="text1"/>
              <w:sz w:val="36"/>
              <w:szCs w:val="36"/>
              <w:highlight w:val="none"/>
              <w14:textFill>
                <w14:solidFill>
                  <w14:schemeClr w14:val="tx1"/>
                </w14:solidFill>
              </w14:textFill>
            </w:rPr>
          </w:pPr>
          <w:permStart w:id="4" w:edGrp="everyone"/>
          <w:r>
            <w:rPr>
              <w:rFonts w:hint="eastAsia" w:ascii="黑体" w:hAnsi="黑体" w:eastAsia="黑体" w:cs="黑体"/>
              <w:b/>
              <w:bCs/>
              <w:color w:val="000000" w:themeColor="text1"/>
              <w:sz w:val="36"/>
              <w:szCs w:val="36"/>
              <w:highlight w:val="none"/>
              <w14:textFill>
                <w14:solidFill>
                  <w14:schemeClr w14:val="tx1"/>
                </w14:solidFill>
              </w14:textFill>
            </w:rPr>
            <w:t>目  录</w:t>
          </w:r>
        </w:p>
        <w:p w14:paraId="1C6E89FE">
          <w:pPr>
            <w:pStyle w:val="6"/>
            <w:rPr>
              <w:highlight w:val="none"/>
            </w:rPr>
          </w:pPr>
        </w:p>
        <w:p w14:paraId="6A3E0AA0">
          <w:pPr>
            <w:pStyle w:val="10"/>
            <w:tabs>
              <w:tab w:val="right" w:leader="dot" w:pos="8306"/>
            </w:tabs>
            <w:spacing w:line="360" w:lineRule="auto"/>
          </w:pPr>
          <w:r>
            <w:rPr>
              <w:rFonts w:hint="eastAsia" w:ascii="仿宋_GB2312" w:hAnsi="仿宋_GB2312" w:eastAsia="仿宋_GB2312" w:cs="仿宋_GB2312"/>
              <w:color w:val="000000" w:themeColor="text1"/>
              <w:sz w:val="22"/>
              <w:highlight w:val="none"/>
              <w14:textFill>
                <w14:solidFill>
                  <w14:schemeClr w14:val="tx1"/>
                </w14:solidFill>
              </w14:textFill>
            </w:rPr>
            <w:fldChar w:fldCharType="begin"/>
          </w:r>
          <w:r>
            <w:rPr>
              <w:rFonts w:hint="eastAsia" w:ascii="仿宋_GB2312" w:hAnsi="仿宋_GB2312" w:eastAsia="仿宋_GB2312" w:cs="仿宋_GB2312"/>
              <w:color w:val="000000" w:themeColor="text1"/>
              <w:sz w:val="22"/>
              <w:highlight w:val="none"/>
              <w14:textFill>
                <w14:solidFill>
                  <w14:schemeClr w14:val="tx1"/>
                </w14:solidFill>
              </w14:textFill>
            </w:rPr>
            <w:instrText xml:space="preserve">TOC \o "1-3" \h \u </w:instrText>
          </w:r>
          <w:r>
            <w:rPr>
              <w:rFonts w:hint="eastAsia" w:ascii="仿宋_GB2312" w:hAnsi="仿宋_GB2312" w:eastAsia="仿宋_GB2312" w:cs="仿宋_GB2312"/>
              <w:color w:val="000000" w:themeColor="text1"/>
              <w:sz w:val="22"/>
              <w:highlight w:val="none"/>
              <w14:textFill>
                <w14:solidFill>
                  <w14:schemeClr w14:val="tx1"/>
                </w14:solidFill>
              </w14:textFill>
            </w:rPr>
            <w:fldChar w:fldCharType="separate"/>
          </w:r>
          <w:r>
            <w:rPr>
              <w:rFonts w:hint="eastAsia" w:ascii="黑体" w:hAnsi="黑体" w:eastAsia="黑体" w:cs="黑体"/>
              <w:color w:val="000000" w:themeColor="text1"/>
              <w:sz w:val="30"/>
              <w:szCs w:val="30"/>
              <w:highlight w:val="none"/>
              <w14:textFill>
                <w14:solidFill>
                  <w14:schemeClr w14:val="tx1"/>
                </w14:solidFill>
              </w14:textFill>
            </w:rPr>
            <w:fldChar w:fldCharType="begin"/>
          </w:r>
          <w:r>
            <w:rPr>
              <w:rFonts w:hint="eastAsia" w:ascii="黑体" w:hAnsi="黑体" w:eastAsia="黑体" w:cs="黑体"/>
              <w:sz w:val="30"/>
              <w:szCs w:val="30"/>
              <w:highlight w:val="none"/>
            </w:rPr>
            <w:instrText xml:space="preserve"> HYPERLINK \l _Toc13847 </w:instrText>
          </w:r>
          <w:r>
            <w:rPr>
              <w:rFonts w:hint="eastAsia" w:ascii="黑体" w:hAnsi="黑体" w:eastAsia="黑体" w:cs="黑体"/>
              <w:sz w:val="30"/>
              <w:szCs w:val="30"/>
              <w:highlight w:val="none"/>
            </w:rPr>
            <w:fldChar w:fldCharType="separate"/>
          </w:r>
          <w:r>
            <w:rPr>
              <w:rFonts w:hint="eastAsia" w:ascii="黑体" w:hAnsi="黑体" w:eastAsia="黑体" w:cs="黑体"/>
              <w:bCs/>
              <w:sz w:val="30"/>
              <w:szCs w:val="30"/>
              <w:highlight w:val="none"/>
            </w:rPr>
            <w:t>第一部分 专用条款</w:t>
          </w:r>
          <w:r>
            <w:rPr>
              <w:rFonts w:hint="eastAsia"/>
            </w:rPr>
            <w:tab/>
          </w:r>
          <w:r>
            <w:rPr>
              <w:rFonts w:hint="eastAsia"/>
            </w:rPr>
            <w:fldChar w:fldCharType="begin"/>
          </w:r>
          <w:r>
            <w:rPr>
              <w:rFonts w:hint="eastAsia"/>
            </w:rPr>
            <w:instrText xml:space="preserve"> PAGEREF _Toc13847 \h </w:instrText>
          </w:r>
          <w:r>
            <w:rPr>
              <w:rFonts w:hint="eastAsia"/>
            </w:rPr>
            <w:fldChar w:fldCharType="separate"/>
          </w:r>
          <w:r>
            <w:rPr>
              <w:rFonts w:hint="eastAsia"/>
            </w:rPr>
            <w:t>1</w:t>
          </w:r>
          <w:r>
            <w:rPr>
              <w:rFonts w:hint="eastAsia"/>
            </w:rPr>
            <w:fldChar w:fldCharType="end"/>
          </w:r>
          <w:r>
            <w:rPr>
              <w:rFonts w:hint="eastAsia" w:ascii="黑体" w:hAnsi="黑体" w:eastAsia="黑体" w:cs="黑体"/>
              <w:color w:val="000000" w:themeColor="text1"/>
              <w:sz w:val="30"/>
              <w:szCs w:val="30"/>
              <w:highlight w:val="none"/>
              <w14:textFill>
                <w14:solidFill>
                  <w14:schemeClr w14:val="tx1"/>
                </w14:solidFill>
              </w14:textFill>
            </w:rPr>
            <w:fldChar w:fldCharType="end"/>
          </w:r>
        </w:p>
        <w:p w14:paraId="5B6FDA9D">
          <w:pPr>
            <w:pStyle w:val="10"/>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_Toc31619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 xml:space="preserve">一、 </w:t>
          </w:r>
          <w:r>
            <w:rPr>
              <w:rFonts w:hint="eastAsia" w:ascii="仿宋_GB2312" w:hAnsi="仿宋_GB2312" w:eastAsia="仿宋_GB2312" w:cs="仿宋_GB2312"/>
              <w:bCs/>
              <w:sz w:val="28"/>
              <w:szCs w:val="28"/>
              <w:highlight w:val="none"/>
            </w:rPr>
            <w:t>工程概况</w:t>
          </w:r>
          <w:r>
            <w:tab/>
          </w:r>
          <w:r>
            <w:fldChar w:fldCharType="begin"/>
          </w:r>
          <w:r>
            <w:instrText xml:space="preserve"> PAGEREF _Toc31619 \h </w:instrText>
          </w:r>
          <w:r>
            <w:fldChar w:fldCharType="separate"/>
          </w:r>
          <w:r>
            <w:t>1</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28AF8225">
          <w:pPr>
            <w:pStyle w:val="10"/>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_Toc23338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 xml:space="preserve">二、 </w:t>
          </w:r>
          <w:sdt>
            <w:sdtPr>
              <w:rPr>
                <w:rFonts w:hint="eastAsia" w:ascii="仿宋_GB2312" w:hAnsi="仿宋_GB2312" w:eastAsia="仿宋_GB2312" w:cs="仿宋_GB2312"/>
                <w:bCs/>
                <w:sz w:val="28"/>
                <w:szCs w:val="28"/>
              </w:rPr>
              <w:id w:val="-1582213205"/>
              <w:placeholder>
                <w:docPart w:val="{9b785203-ae91-4eff-8569-9e8ec6e9eebb}"/>
              </w:placeholder>
            </w:sdtPr>
            <w:sdtEndPr>
              <w:rPr>
                <w:rFonts w:hint="eastAsia" w:ascii="仿宋_GB2312" w:hAnsi="仿宋_GB2312" w:eastAsia="仿宋_GB2312" w:cs="仿宋_GB2312"/>
                <w:bCs/>
                <w:sz w:val="28"/>
                <w:szCs w:val="28"/>
                <w:highlight w:val="none"/>
              </w:rPr>
            </w:sdtEndPr>
            <w:sdtContent>
              <w:r>
                <w:rPr>
                  <w:rFonts w:hint="eastAsia" w:ascii="仿宋_GB2312" w:hAnsi="仿宋_GB2312" w:eastAsia="仿宋_GB2312" w:cs="仿宋_GB2312"/>
                  <w:bCs/>
                  <w:sz w:val="28"/>
                  <w:szCs w:val="28"/>
                </w:rPr>
                <w:t>租赁机械</w:t>
              </w:r>
              <w:r>
                <w:rPr>
                  <w:rFonts w:hint="eastAsia" w:ascii="仿宋_GB2312" w:hAnsi="仿宋_GB2312" w:eastAsia="仿宋_GB2312" w:cs="仿宋_GB2312"/>
                  <w:bCs/>
                  <w:sz w:val="28"/>
                  <w:szCs w:val="28"/>
                  <w:lang w:val="en-US" w:eastAsia="zh-CN"/>
                </w:rPr>
                <w:t>设备信息</w:t>
              </w:r>
            </w:sdtContent>
          </w:sdt>
          <w:r>
            <w:tab/>
          </w:r>
          <w:r>
            <w:fldChar w:fldCharType="begin"/>
          </w:r>
          <w:r>
            <w:instrText xml:space="preserve"> PAGEREF _Toc23338 \h </w:instrText>
          </w:r>
          <w:r>
            <w:fldChar w:fldCharType="separate"/>
          </w:r>
          <w:r>
            <w:t>1</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51F2118D">
          <w:pPr>
            <w:pStyle w:val="10"/>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_Toc30367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 xml:space="preserve">三、 </w:t>
          </w:r>
          <w:sdt>
            <w:sdtPr>
              <w:rPr>
                <w:rFonts w:hint="eastAsia" w:ascii="仿宋_GB2312" w:hAnsi="仿宋_GB2312" w:eastAsia="仿宋_GB2312" w:cs="仿宋_GB2312"/>
                <w:bCs/>
                <w:sz w:val="28"/>
                <w:szCs w:val="28"/>
                <w:highlight w:val="none"/>
              </w:rPr>
              <w:id w:val="147479022"/>
              <w:placeholder>
                <w:docPart w:val="{418d76ac-2bdd-49d7-be10-21020f8c5e93}"/>
              </w:placeholder>
            </w:sdtPr>
            <w:sdtEndPr>
              <w:rPr>
                <w:rFonts w:hint="eastAsia" w:ascii="仿宋_GB2312" w:hAnsi="仿宋_GB2312" w:eastAsia="仿宋_GB2312" w:cs="仿宋_GB2312"/>
                <w:bCs/>
                <w:sz w:val="28"/>
                <w:szCs w:val="28"/>
                <w:highlight w:val="none"/>
              </w:rPr>
            </w:sdtEndPr>
            <w:sdtContent>
              <w:r>
                <w:rPr>
                  <w:rFonts w:hint="eastAsia" w:ascii="仿宋_GB2312" w:hAnsi="仿宋_GB2312" w:eastAsia="仿宋_GB2312" w:cs="仿宋_GB2312"/>
                  <w:bCs/>
                  <w:sz w:val="28"/>
                  <w:szCs w:val="28"/>
                </w:rPr>
                <w:t>租赁</w:t>
              </w:r>
              <w:r>
                <w:rPr>
                  <w:rFonts w:hint="eastAsia" w:ascii="仿宋_GB2312" w:hAnsi="仿宋_GB2312" w:eastAsia="仿宋_GB2312" w:cs="仿宋_GB2312"/>
                  <w:bCs/>
                  <w:sz w:val="28"/>
                  <w:szCs w:val="28"/>
                  <w:lang w:val="en-US" w:eastAsia="zh-CN"/>
                </w:rPr>
                <w:t>方式</w:t>
              </w:r>
              <w:r>
                <w:rPr>
                  <w:rFonts w:hint="eastAsia" w:ascii="仿宋_GB2312" w:hAnsi="仿宋_GB2312" w:eastAsia="仿宋_GB2312" w:cs="仿宋_GB2312"/>
                  <w:bCs/>
                  <w:sz w:val="28"/>
                  <w:szCs w:val="28"/>
                </w:rPr>
                <w:t>、价款、计价方式</w:t>
              </w:r>
            </w:sdtContent>
          </w:sdt>
          <w:r>
            <w:tab/>
          </w:r>
          <w:r>
            <w:fldChar w:fldCharType="begin"/>
          </w:r>
          <w:r>
            <w:instrText xml:space="preserve"> PAGEREF _Toc30367 \h </w:instrText>
          </w:r>
          <w:r>
            <w:fldChar w:fldCharType="separate"/>
          </w:r>
          <w:r>
            <w:t>1</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1E70F57F">
          <w:pPr>
            <w:pStyle w:val="10"/>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_Toc22132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四、 租赁机械设备交付的时间、地点及验收方法</w:t>
          </w:r>
          <w:r>
            <w:tab/>
          </w:r>
          <w:r>
            <w:fldChar w:fldCharType="begin"/>
          </w:r>
          <w:r>
            <w:instrText xml:space="preserve"> PAGEREF _Toc22132 \h </w:instrText>
          </w:r>
          <w:r>
            <w:fldChar w:fldCharType="separate"/>
          </w:r>
          <w:r>
            <w:t>4</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7F27228B">
          <w:pPr>
            <w:pStyle w:val="10"/>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_Toc15371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 xml:space="preserve">五、 </w:t>
          </w:r>
          <w:r>
            <w:rPr>
              <w:rFonts w:hint="eastAsia" w:ascii="仿宋_GB2312" w:hAnsi="仿宋_GB2312" w:eastAsia="仿宋_GB2312" w:cs="仿宋_GB2312"/>
              <w:bCs/>
              <w:sz w:val="28"/>
              <w:szCs w:val="28"/>
              <w:highlight w:val="none"/>
            </w:rPr>
            <w:t>价款支付方式</w:t>
          </w:r>
          <w:r>
            <w:tab/>
          </w:r>
          <w:r>
            <w:fldChar w:fldCharType="begin"/>
          </w:r>
          <w:r>
            <w:instrText xml:space="preserve"> PAGEREF _Toc15371 \h </w:instrText>
          </w:r>
          <w:r>
            <w:fldChar w:fldCharType="separate"/>
          </w:r>
          <w:r>
            <w:t>4</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73A48057">
          <w:pPr>
            <w:pStyle w:val="10"/>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_Toc26865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 xml:space="preserve">六、 </w:t>
          </w:r>
          <w:r>
            <w:rPr>
              <w:rFonts w:hint="eastAsia" w:ascii="仿宋_GB2312" w:hAnsi="仿宋_GB2312" w:eastAsia="仿宋_GB2312" w:cs="仿宋_GB2312"/>
              <w:bCs/>
              <w:sz w:val="28"/>
              <w:szCs w:val="28"/>
              <w:highlight w:val="none"/>
            </w:rPr>
            <w:t>通知与送达</w:t>
          </w:r>
          <w:r>
            <w:tab/>
          </w:r>
          <w:r>
            <w:fldChar w:fldCharType="begin"/>
          </w:r>
          <w:r>
            <w:instrText xml:space="preserve"> PAGEREF _Toc26865 \h </w:instrText>
          </w:r>
          <w:r>
            <w:fldChar w:fldCharType="separate"/>
          </w:r>
          <w:r>
            <w:t>8</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10F70D13">
          <w:pPr>
            <w:pStyle w:val="10"/>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_Toc17002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 xml:space="preserve">七、 </w:t>
          </w:r>
          <w:r>
            <w:rPr>
              <w:rFonts w:hint="eastAsia" w:ascii="仿宋_GB2312" w:hAnsi="仿宋_GB2312" w:eastAsia="仿宋_GB2312" w:cs="仿宋_GB2312"/>
              <w:bCs/>
              <w:sz w:val="28"/>
              <w:szCs w:val="28"/>
              <w:highlight w:val="none"/>
            </w:rPr>
            <w:t>合同生效</w:t>
          </w:r>
          <w:r>
            <w:tab/>
          </w:r>
          <w:r>
            <w:fldChar w:fldCharType="begin"/>
          </w:r>
          <w:r>
            <w:instrText xml:space="preserve"> PAGEREF _Toc17002 \h </w:instrText>
          </w:r>
          <w:r>
            <w:fldChar w:fldCharType="separate"/>
          </w:r>
          <w:r>
            <w:t>8</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2CC581FD">
          <w:pPr>
            <w:pStyle w:val="10"/>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_Toc27121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kern w:val="0"/>
              <w:sz w:val="28"/>
              <w:szCs w:val="28"/>
              <w:highlight w:val="none"/>
            </w:rPr>
            <w:t>附件一：</w:t>
          </w:r>
          <w:r>
            <w:tab/>
          </w:r>
          <w:r>
            <w:fldChar w:fldCharType="begin"/>
          </w:r>
          <w:r>
            <w:instrText xml:space="preserve"> PAGEREF _Toc27121 \h </w:instrText>
          </w:r>
          <w:r>
            <w:fldChar w:fldCharType="separate"/>
          </w:r>
          <w:r>
            <w:t>10</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7B61E2EF">
          <w:pPr>
            <w:pStyle w:val="10"/>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_Toc6713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sz w:val="28"/>
              <w:szCs w:val="28"/>
              <w:highlight w:val="none"/>
            </w:rPr>
            <w:t>附件二：</w:t>
          </w:r>
          <w:r>
            <w:tab/>
          </w:r>
          <w:r>
            <w:fldChar w:fldCharType="begin"/>
          </w:r>
          <w:r>
            <w:instrText xml:space="preserve"> PAGEREF _Toc6713 \h </w:instrText>
          </w:r>
          <w:r>
            <w:fldChar w:fldCharType="separate"/>
          </w:r>
          <w:r>
            <w:t>11</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7069419D">
          <w:pPr>
            <w:pStyle w:val="10"/>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_Toc3258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sz w:val="28"/>
              <w:szCs w:val="28"/>
              <w:highlight w:val="none"/>
            </w:rPr>
            <w:t>附件三：</w:t>
          </w:r>
          <w:r>
            <w:tab/>
          </w:r>
          <w:r>
            <w:fldChar w:fldCharType="begin"/>
          </w:r>
          <w:r>
            <w:instrText xml:space="preserve"> PAGEREF _Toc3258 \h </w:instrText>
          </w:r>
          <w:r>
            <w:fldChar w:fldCharType="separate"/>
          </w:r>
          <w:r>
            <w:t>14</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3A6A0EE3">
          <w:pPr>
            <w:pStyle w:val="10"/>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_Toc860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sz w:val="28"/>
              <w:szCs w:val="28"/>
              <w:highlight w:val="none"/>
            </w:rPr>
            <w:t>附件四：</w:t>
          </w:r>
          <w:r>
            <w:tab/>
          </w:r>
          <w:r>
            <w:fldChar w:fldCharType="begin"/>
          </w:r>
          <w:r>
            <w:instrText xml:space="preserve"> PAGEREF _Toc860 \h </w:instrText>
          </w:r>
          <w:r>
            <w:fldChar w:fldCharType="separate"/>
          </w:r>
          <w:r>
            <w:t>19</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2507E3FB">
          <w:pPr>
            <w:pStyle w:val="11"/>
            <w:tabs>
              <w:tab w:val="right" w:leader="dot" w:pos="8306"/>
            </w:tabs>
            <w:spacing w:line="360" w:lineRule="auto"/>
            <w:ind w:left="0" w:leftChars="0" w:firstLine="0" w:firstLineChars="0"/>
          </w:pPr>
          <w:r>
            <w:rPr>
              <w:rFonts w:hint="eastAsia" w:ascii="黑体" w:hAnsi="黑体" w:eastAsia="黑体" w:cs="黑体"/>
              <w:color w:val="000000" w:themeColor="text1"/>
              <w:kern w:val="2"/>
              <w:sz w:val="30"/>
              <w:szCs w:val="30"/>
              <w:highlight w:val="none"/>
              <w:lang w:val="en-US" w:eastAsia="zh-CN" w:bidi="ar-SA"/>
              <w14:textFill>
                <w14:solidFill>
                  <w14:schemeClr w14:val="tx1"/>
                </w14:solidFill>
              </w14:textFill>
            </w:rPr>
            <w:fldChar w:fldCharType="begin"/>
          </w:r>
          <w:r>
            <w:rPr>
              <w:rFonts w:hint="eastAsia" w:ascii="黑体" w:hAnsi="黑体" w:eastAsia="黑体" w:cs="黑体"/>
              <w:color w:val="000000" w:themeColor="text1"/>
              <w:kern w:val="2"/>
              <w:sz w:val="30"/>
              <w:szCs w:val="30"/>
              <w:highlight w:val="none"/>
              <w:lang w:val="en-US" w:eastAsia="zh-CN" w:bidi="ar-SA"/>
              <w14:textFill>
                <w14:solidFill>
                  <w14:schemeClr w14:val="tx1"/>
                </w14:solidFill>
              </w14:textFill>
            </w:rPr>
            <w:instrText xml:space="preserve"> HYPERLINK \l _Toc27761 </w:instrText>
          </w:r>
          <w:r>
            <w:rPr>
              <w:rFonts w:hint="eastAsia" w:ascii="黑体" w:hAnsi="黑体" w:eastAsia="黑体" w:cs="黑体"/>
              <w:color w:val="000000" w:themeColor="text1"/>
              <w:kern w:val="2"/>
              <w:sz w:val="30"/>
              <w:szCs w:val="30"/>
              <w:highlight w:val="none"/>
              <w:lang w:val="en-US" w:eastAsia="zh-CN" w:bidi="ar-SA"/>
              <w14:textFill>
                <w14:solidFill>
                  <w14:schemeClr w14:val="tx1"/>
                </w14:solidFill>
              </w14:textFill>
            </w:rPr>
            <w:fldChar w:fldCharType="separate"/>
          </w:r>
          <w:r>
            <w:rPr>
              <w:rFonts w:hint="eastAsia" w:ascii="黑体" w:hAnsi="黑体" w:eastAsia="黑体" w:cs="黑体"/>
              <w:color w:val="000000" w:themeColor="text1"/>
              <w:kern w:val="2"/>
              <w:sz w:val="30"/>
              <w:szCs w:val="30"/>
              <w:highlight w:val="none"/>
              <w:lang w:val="en-US" w:eastAsia="zh-CN" w:bidi="ar-SA"/>
              <w14:textFill>
                <w14:solidFill>
                  <w14:schemeClr w14:val="tx1"/>
                </w14:solidFill>
              </w14:textFill>
            </w:rPr>
            <w:t>第二部分 通用条款</w:t>
          </w:r>
          <w:r>
            <w:rPr>
              <w:rFonts w:hint="eastAsia" w:ascii="Calibri" w:hAnsi="Calibri" w:eastAsia="宋体" w:cs="Times New Roman"/>
              <w:kern w:val="2"/>
              <w:sz w:val="21"/>
              <w:szCs w:val="22"/>
              <w:lang w:val="en-US" w:eastAsia="zh-CN" w:bidi="ar-SA"/>
            </w:rPr>
            <w:tab/>
          </w:r>
          <w:r>
            <w:rPr>
              <w:rFonts w:hint="eastAsia" w:ascii="Calibri" w:hAnsi="Calibri" w:eastAsia="宋体" w:cs="Times New Roman"/>
              <w:kern w:val="2"/>
              <w:sz w:val="21"/>
              <w:szCs w:val="22"/>
              <w:lang w:val="en-US" w:eastAsia="zh-CN" w:bidi="ar-SA"/>
            </w:rPr>
            <w:fldChar w:fldCharType="begin"/>
          </w:r>
          <w:r>
            <w:rPr>
              <w:rFonts w:hint="eastAsia" w:ascii="Calibri" w:hAnsi="Calibri" w:eastAsia="宋体" w:cs="Times New Roman"/>
              <w:kern w:val="2"/>
              <w:sz w:val="21"/>
              <w:szCs w:val="22"/>
              <w:lang w:val="en-US" w:eastAsia="zh-CN" w:bidi="ar-SA"/>
            </w:rPr>
            <w:instrText xml:space="preserve"> PAGEREF _Toc27761 \h </w:instrText>
          </w:r>
          <w:r>
            <w:rPr>
              <w:rFonts w:hint="eastAsia" w:ascii="Calibri" w:hAnsi="Calibri" w:eastAsia="宋体" w:cs="Times New Roman"/>
              <w:kern w:val="2"/>
              <w:sz w:val="21"/>
              <w:szCs w:val="22"/>
              <w:lang w:val="en-US" w:eastAsia="zh-CN" w:bidi="ar-SA"/>
            </w:rPr>
            <w:fldChar w:fldCharType="separate"/>
          </w:r>
          <w:r>
            <w:rPr>
              <w:rFonts w:hint="eastAsia" w:ascii="Calibri" w:hAnsi="Calibri" w:eastAsia="宋体" w:cs="Times New Roman"/>
              <w:kern w:val="2"/>
              <w:sz w:val="21"/>
              <w:szCs w:val="22"/>
              <w:lang w:val="en-US" w:eastAsia="zh-CN" w:bidi="ar-SA"/>
            </w:rPr>
            <w:t>22</w:t>
          </w:r>
          <w:r>
            <w:rPr>
              <w:rFonts w:hint="eastAsia" w:ascii="Calibri" w:hAnsi="Calibri" w:eastAsia="宋体" w:cs="Times New Roman"/>
              <w:kern w:val="2"/>
              <w:sz w:val="21"/>
              <w:szCs w:val="22"/>
              <w:lang w:val="en-US" w:eastAsia="zh-CN" w:bidi="ar-SA"/>
            </w:rPr>
            <w:fldChar w:fldCharType="end"/>
          </w:r>
          <w:r>
            <w:rPr>
              <w:rFonts w:hint="eastAsia" w:ascii="黑体" w:hAnsi="黑体" w:eastAsia="黑体" w:cs="黑体"/>
              <w:color w:val="000000" w:themeColor="text1"/>
              <w:kern w:val="2"/>
              <w:sz w:val="30"/>
              <w:szCs w:val="30"/>
              <w:highlight w:val="none"/>
              <w:lang w:val="en-US" w:eastAsia="zh-CN" w:bidi="ar-SA"/>
              <w14:textFill>
                <w14:solidFill>
                  <w14:schemeClr w14:val="tx1"/>
                </w14:solidFill>
              </w14:textFill>
            </w:rPr>
            <w:fldChar w:fldCharType="end"/>
          </w:r>
        </w:p>
        <w:p w14:paraId="6F01722F">
          <w:pPr>
            <w:pStyle w:val="10"/>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_Toc25585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 xml:space="preserve">一、 </w:t>
          </w:r>
          <w:r>
            <w:rPr>
              <w:rFonts w:hint="eastAsia" w:ascii="仿宋_GB2312" w:hAnsi="仿宋_GB2312" w:eastAsia="仿宋_GB2312" w:cs="仿宋_GB2312"/>
              <w:bCs/>
              <w:sz w:val="28"/>
              <w:szCs w:val="28"/>
              <w:highlight w:val="none"/>
            </w:rPr>
            <w:t>甲方权利及义务</w:t>
          </w:r>
          <w:r>
            <w:tab/>
          </w:r>
          <w:r>
            <w:fldChar w:fldCharType="begin"/>
          </w:r>
          <w:r>
            <w:instrText xml:space="preserve"> PAGEREF _Toc25585 \h </w:instrText>
          </w:r>
          <w:r>
            <w:fldChar w:fldCharType="separate"/>
          </w:r>
          <w:r>
            <w:t>22</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603BAA90">
          <w:pPr>
            <w:pStyle w:val="10"/>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_Toc22562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 xml:space="preserve">二、 </w:t>
          </w:r>
          <w:r>
            <w:rPr>
              <w:rFonts w:hint="eastAsia" w:ascii="仿宋_GB2312" w:hAnsi="仿宋_GB2312" w:eastAsia="仿宋_GB2312" w:cs="仿宋_GB2312"/>
              <w:bCs/>
              <w:sz w:val="28"/>
              <w:szCs w:val="28"/>
              <w:highlight w:val="none"/>
            </w:rPr>
            <w:t>乙方权利及义务</w:t>
          </w:r>
          <w:r>
            <w:tab/>
          </w:r>
          <w:r>
            <w:fldChar w:fldCharType="begin"/>
          </w:r>
          <w:r>
            <w:instrText xml:space="preserve"> PAGEREF _Toc22562 \h </w:instrText>
          </w:r>
          <w:r>
            <w:fldChar w:fldCharType="separate"/>
          </w:r>
          <w:r>
            <w:t>22</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5507002C">
          <w:pPr>
            <w:pStyle w:val="10"/>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_Toc21169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 xml:space="preserve">三、 </w:t>
          </w:r>
          <w:r>
            <w:rPr>
              <w:rFonts w:hint="eastAsia" w:ascii="仿宋_GB2312" w:hAnsi="仿宋_GB2312" w:eastAsia="仿宋_GB2312" w:cs="仿宋_GB2312"/>
              <w:bCs/>
              <w:sz w:val="28"/>
              <w:szCs w:val="28"/>
              <w:highlight w:val="none"/>
            </w:rPr>
            <w:t>违约责任</w:t>
          </w:r>
          <w:r>
            <w:tab/>
          </w:r>
          <w:r>
            <w:fldChar w:fldCharType="begin"/>
          </w:r>
          <w:r>
            <w:instrText xml:space="preserve"> PAGEREF _Toc21169 \h </w:instrText>
          </w:r>
          <w:r>
            <w:fldChar w:fldCharType="separate"/>
          </w:r>
          <w:r>
            <w:t>26</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2A8C3AE1">
          <w:pPr>
            <w:pStyle w:val="10"/>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_Toc26643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 xml:space="preserve">四、 </w:t>
          </w:r>
          <w:r>
            <w:rPr>
              <w:rFonts w:hint="eastAsia" w:ascii="仿宋_GB2312" w:hAnsi="仿宋_GB2312" w:eastAsia="仿宋_GB2312" w:cs="仿宋_GB2312"/>
              <w:bCs/>
              <w:sz w:val="28"/>
              <w:szCs w:val="28"/>
              <w:highlight w:val="none"/>
            </w:rPr>
            <w:t>合同变更</w:t>
          </w:r>
          <w:r>
            <w:tab/>
          </w:r>
          <w:r>
            <w:fldChar w:fldCharType="begin"/>
          </w:r>
          <w:r>
            <w:instrText xml:space="preserve"> PAGEREF _Toc26643 \h </w:instrText>
          </w:r>
          <w:r>
            <w:fldChar w:fldCharType="separate"/>
          </w:r>
          <w:r>
            <w:t>28</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33211B3C">
          <w:pPr>
            <w:pStyle w:val="10"/>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_Toc14699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 xml:space="preserve">五、 </w:t>
          </w:r>
          <w:r>
            <w:rPr>
              <w:rFonts w:hint="eastAsia" w:ascii="仿宋_GB2312" w:hAnsi="仿宋_GB2312" w:eastAsia="仿宋_GB2312" w:cs="仿宋_GB2312"/>
              <w:bCs/>
              <w:sz w:val="28"/>
              <w:szCs w:val="28"/>
              <w:highlight w:val="none"/>
            </w:rPr>
            <w:t>合同解除</w:t>
          </w:r>
          <w:r>
            <w:tab/>
          </w:r>
          <w:r>
            <w:fldChar w:fldCharType="begin"/>
          </w:r>
          <w:r>
            <w:instrText xml:space="preserve"> PAGEREF _Toc14699 \h </w:instrText>
          </w:r>
          <w:r>
            <w:fldChar w:fldCharType="separate"/>
          </w:r>
          <w:r>
            <w:t>28</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7FE04AD6">
          <w:pPr>
            <w:pStyle w:val="10"/>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_Toc28377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 xml:space="preserve">六、 </w:t>
          </w:r>
          <w:r>
            <w:rPr>
              <w:rFonts w:hint="eastAsia" w:ascii="仿宋_GB2312" w:hAnsi="仿宋_GB2312" w:eastAsia="仿宋_GB2312" w:cs="仿宋_GB2312"/>
              <w:bCs/>
              <w:sz w:val="28"/>
              <w:szCs w:val="28"/>
              <w:highlight w:val="none"/>
            </w:rPr>
            <w:t>不可抗力</w:t>
          </w:r>
          <w:r>
            <w:tab/>
          </w:r>
          <w:r>
            <w:fldChar w:fldCharType="begin"/>
          </w:r>
          <w:r>
            <w:instrText xml:space="preserve"> PAGEREF _Toc28377 \h </w:instrText>
          </w:r>
          <w:r>
            <w:fldChar w:fldCharType="separate"/>
          </w:r>
          <w:r>
            <w:t>29</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718D6E15">
          <w:pPr>
            <w:pStyle w:val="10"/>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_Toc30820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 xml:space="preserve">七、 </w:t>
          </w:r>
          <w:r>
            <w:rPr>
              <w:rFonts w:hint="eastAsia" w:ascii="仿宋_GB2312" w:hAnsi="仿宋_GB2312" w:eastAsia="仿宋_GB2312" w:cs="仿宋_GB2312"/>
              <w:bCs/>
              <w:sz w:val="28"/>
              <w:szCs w:val="28"/>
              <w:highlight w:val="none"/>
            </w:rPr>
            <w:t>争议解决</w:t>
          </w:r>
          <w:r>
            <w:tab/>
          </w:r>
          <w:r>
            <w:fldChar w:fldCharType="begin"/>
          </w:r>
          <w:r>
            <w:instrText xml:space="preserve"> PAGEREF _Toc30820 \h </w:instrText>
          </w:r>
          <w:r>
            <w:fldChar w:fldCharType="separate"/>
          </w:r>
          <w:r>
            <w:t>30</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20DCDDA3">
          <w:pPr>
            <w:pStyle w:val="10"/>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_Toc11188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 xml:space="preserve">八、 </w:t>
          </w:r>
          <w:r>
            <w:rPr>
              <w:rFonts w:hint="eastAsia" w:ascii="仿宋_GB2312" w:hAnsi="仿宋_GB2312" w:eastAsia="仿宋_GB2312" w:cs="仿宋_GB2312"/>
              <w:bCs/>
              <w:sz w:val="28"/>
              <w:szCs w:val="28"/>
              <w:highlight w:val="none"/>
            </w:rPr>
            <w:t>保密义务</w:t>
          </w:r>
          <w:r>
            <w:tab/>
          </w:r>
          <w:r>
            <w:fldChar w:fldCharType="begin"/>
          </w:r>
          <w:r>
            <w:instrText xml:space="preserve"> PAGEREF _Toc11188 \h </w:instrText>
          </w:r>
          <w:r>
            <w:fldChar w:fldCharType="separate"/>
          </w:r>
          <w:r>
            <w:t>30</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6F7344CD">
          <w:pPr>
            <w:pStyle w:val="10"/>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_Toc31132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 xml:space="preserve">九、 </w:t>
          </w:r>
          <w:r>
            <w:rPr>
              <w:rFonts w:hint="eastAsia" w:ascii="仿宋_GB2312" w:hAnsi="仿宋_GB2312" w:eastAsia="仿宋_GB2312" w:cs="仿宋_GB2312"/>
              <w:bCs/>
              <w:sz w:val="28"/>
              <w:szCs w:val="28"/>
              <w:highlight w:val="none"/>
            </w:rPr>
            <w:t>其它条款</w:t>
          </w:r>
          <w:r>
            <w:tab/>
          </w:r>
          <w:r>
            <w:fldChar w:fldCharType="begin"/>
          </w:r>
          <w:r>
            <w:instrText xml:space="preserve"> PAGEREF _Toc31132 \h </w:instrText>
          </w:r>
          <w:r>
            <w:fldChar w:fldCharType="separate"/>
          </w:r>
          <w:r>
            <w:t>31</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797C2B77">
          <w:pPr>
            <w:pStyle w:val="10"/>
            <w:tabs>
              <w:tab w:val="right" w:leader="dot" w:pos="8306"/>
            </w:tabs>
            <w:spacing w:line="360" w:lineRule="auto"/>
            <w:ind w:firstLine="42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fldChar w:fldCharType="end"/>
          </w:r>
          <w:permEnd w:id="4"/>
        </w:p>
      </w:sdtContent>
    </w:sdt>
    <w:p w14:paraId="615F68E6">
      <w:pPr>
        <w:ind w:firstLine="420" w:firstLineChars="200"/>
        <w:rPr>
          <w:color w:val="000000" w:themeColor="text1"/>
          <w:highlight w:val="none"/>
          <w14:textFill>
            <w14:solidFill>
              <w14:schemeClr w14:val="tx1"/>
            </w14:solidFill>
          </w14:textFill>
        </w:rPr>
      </w:pPr>
    </w:p>
    <w:p w14:paraId="3C704A03">
      <w:pPr>
        <w:tabs>
          <w:tab w:val="left" w:pos="5688"/>
        </w:tabs>
        <w:jc w:val="left"/>
        <w:rPr>
          <w:color w:val="000000" w:themeColor="text1"/>
          <w:highlight w:val="none"/>
          <w14:textFill>
            <w14:solidFill>
              <w14:schemeClr w14:val="tx1"/>
            </w14:solidFill>
          </w14:textFill>
        </w:rPr>
        <w:sectPr>
          <w:headerReference r:id="rId8" w:type="first"/>
          <w:footerReference r:id="rId10" w:type="first"/>
          <w:headerReference r:id="rId7" w:type="default"/>
          <w:footerReference r:id="rId9" w:type="default"/>
          <w:pgSz w:w="11906" w:h="16838"/>
          <w:pgMar w:top="1440" w:right="1800" w:bottom="1440" w:left="1800" w:header="850" w:footer="975" w:gutter="0"/>
          <w:pgNumType w:start="1"/>
          <w:cols w:space="0" w:num="1"/>
          <w:titlePg/>
          <w:docGrid w:linePitch="312" w:charSpace="0"/>
        </w:sectPr>
      </w:pPr>
    </w:p>
    <w:p w14:paraId="35E72334">
      <w:pPr>
        <w:pStyle w:val="15"/>
        <w:jc w:val="center"/>
        <w:outlineLvl w:val="0"/>
        <w:rPr>
          <w:rFonts w:ascii="仿宋" w:hAnsi="仿宋" w:eastAsia="仿宋" w:cs="仿宋"/>
          <w:b/>
          <w:bCs/>
          <w:color w:val="000000" w:themeColor="text1"/>
          <w:sz w:val="32"/>
          <w:szCs w:val="32"/>
          <w:highlight w:val="none"/>
          <w14:textFill>
            <w14:solidFill>
              <w14:schemeClr w14:val="tx1"/>
            </w14:solidFill>
          </w14:textFill>
        </w:rPr>
      </w:pPr>
      <w:bookmarkStart w:id="1" w:name="_Toc22574"/>
      <w:bookmarkStart w:id="2" w:name="_Toc13847"/>
      <w:r>
        <w:rPr>
          <w:rFonts w:hint="eastAsia" w:ascii="黑体" w:hAnsi="黑体" w:eastAsia="黑体" w:cs="黑体"/>
          <w:b/>
          <w:bCs/>
          <w:color w:val="000000" w:themeColor="text1"/>
          <w:sz w:val="32"/>
          <w:szCs w:val="32"/>
          <w:highlight w:val="none"/>
          <w14:textFill>
            <w14:solidFill>
              <w14:schemeClr w14:val="tx1"/>
            </w14:solidFill>
          </w14:textFill>
        </w:rPr>
        <w:t>第一部分</w:t>
      </w:r>
      <w:bookmarkEnd w:id="1"/>
      <w:r>
        <w:rPr>
          <w:rFonts w:hint="eastAsia" w:ascii="黑体" w:hAnsi="黑体" w:eastAsia="黑体" w:cs="黑体"/>
          <w:b/>
          <w:bCs/>
          <w:color w:val="000000" w:themeColor="text1"/>
          <w:sz w:val="32"/>
          <w:szCs w:val="32"/>
          <w:highlight w:val="none"/>
          <w14:textFill>
            <w14:solidFill>
              <w14:schemeClr w14:val="tx1"/>
            </w14:solidFill>
          </w14:textFill>
        </w:rPr>
        <w:t xml:space="preserve"> 专用条款</w:t>
      </w:r>
      <w:bookmarkEnd w:id="2"/>
    </w:p>
    <w:p w14:paraId="7852A55A">
      <w:pPr>
        <w:pStyle w:val="15"/>
        <w:spacing w:before="240" w:beforeLines="100" w:line="400" w:lineRule="atLeast"/>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甲方（</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承租方</w:t>
      </w:r>
      <w:r>
        <w:rPr>
          <w:rFonts w:hint="eastAsia" w:ascii="仿宋_GB2312" w:hAnsi="仿宋_GB2312" w:eastAsia="仿宋_GB2312" w:cs="仿宋_GB2312"/>
          <w:color w:val="000000" w:themeColor="text1"/>
          <w:highlight w:val="none"/>
          <w14:textFill>
            <w14:solidFill>
              <w14:schemeClr w14:val="tx1"/>
            </w14:solidFill>
          </w14:textFill>
        </w:rPr>
        <w:t xml:space="preserve">）： </w:t>
      </w:r>
      <w:permStart w:id="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中建</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highlight w:val="none"/>
          <w:u w:val="single"/>
          <w14:textFill>
            <w14:solidFill>
              <w14:schemeClr w14:val="tx1"/>
            </w14:solidFill>
          </w14:textFill>
        </w:rPr>
        <w:t>集团</w:t>
      </w:r>
      <w:r>
        <w:rPr>
          <w:rFonts w:hint="eastAsia" w:ascii="仿宋_GB2312" w:hAnsi="仿宋_GB2312" w:eastAsia="仿宋_GB2312" w:cs="仿宋_GB2312"/>
          <w:color w:val="000000" w:themeColor="text1"/>
          <w:highlight w:val="none"/>
          <w:u w:val="single"/>
          <w:lang w:eastAsia="zh-CN"/>
          <w14:textFill>
            <w14:solidFill>
              <w14:schemeClr w14:val="tx1"/>
            </w14:solidFill>
          </w14:textFill>
        </w:rPr>
        <w:t>河北基础市政工程</w:t>
      </w:r>
      <w:r>
        <w:rPr>
          <w:rFonts w:hint="eastAsia" w:ascii="仿宋_GB2312" w:hAnsi="仿宋_GB2312" w:eastAsia="仿宋_GB2312" w:cs="仿宋_GB2312"/>
          <w:color w:val="000000" w:themeColor="text1"/>
          <w:highlight w:val="none"/>
          <w:u w:val="single"/>
          <w14:textFill>
            <w14:solidFill>
              <w14:schemeClr w14:val="tx1"/>
            </w14:solidFill>
          </w14:textFill>
        </w:rPr>
        <w:t>有限公司</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
    </w:p>
    <w:p w14:paraId="2DF843CA">
      <w:pPr>
        <w:pStyle w:val="15"/>
        <w:spacing w:line="400" w:lineRule="atLeast"/>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出租方</w:t>
      </w:r>
      <w:r>
        <w:rPr>
          <w:rFonts w:hint="eastAsia" w:ascii="仿宋_GB2312" w:hAnsi="仿宋_GB2312" w:eastAsia="仿宋_GB2312" w:cs="仿宋_GB2312"/>
          <w:color w:val="000000" w:themeColor="text1"/>
          <w:highlight w:val="none"/>
          <w14:textFill>
            <w14:solidFill>
              <w14:schemeClr w14:val="tx1"/>
            </w14:solidFill>
          </w14:textFill>
        </w:rPr>
        <w:t>）：</w:t>
      </w:r>
      <w:permStart w:id="6" w:edGrp="everyone"/>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6"/>
    </w:p>
    <w:p w14:paraId="21831F43">
      <w:pPr>
        <w:pStyle w:val="15"/>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根据《中华人民共和国民法典》及有关法律规定，遵循平等、自愿、公平和诚实信用的原则，在对本合同进行充分理解的基础上，双方经友好协商一致，订立本合同并共同遵守。</w:t>
      </w:r>
    </w:p>
    <w:p w14:paraId="654E3E50">
      <w:pPr>
        <w:pStyle w:val="15"/>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3" w:name="_Toc31619"/>
      <w:r>
        <w:rPr>
          <w:rFonts w:hint="eastAsia" w:ascii="仿宋_GB2312" w:hAnsi="仿宋_GB2312" w:eastAsia="仿宋_GB2312" w:cs="仿宋_GB2312"/>
          <w:b/>
          <w:bCs/>
          <w:color w:val="000000" w:themeColor="text1"/>
          <w:highlight w:val="none"/>
          <w14:textFill>
            <w14:solidFill>
              <w14:schemeClr w14:val="tx1"/>
            </w14:solidFill>
          </w14:textFill>
        </w:rPr>
        <w:t>工程概况</w:t>
      </w:r>
      <w:bookmarkEnd w:id="3"/>
    </w:p>
    <w:p w14:paraId="537D8E34">
      <w:pPr>
        <w:pStyle w:val="15"/>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1、工程名称：</w:t>
      </w:r>
      <w:permStart w:id="7" w:edGrp="everyone"/>
      <w:r>
        <w:rPr>
          <w:rFonts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邯港高速公路衡水沧州界至国道G205段绿化工程</w:t>
      </w:r>
      <w:permEnd w:id="7"/>
      <w:r>
        <w:rPr>
          <w:rFonts w:hint="eastAsia" w:ascii="仿宋_GB2312" w:hAnsi="仿宋_GB2312" w:eastAsia="仿宋_GB2312" w:cs="仿宋_GB2312"/>
          <w:color w:val="000000" w:themeColor="text1"/>
          <w:highlight w:val="none"/>
          <w14:textFill>
            <w14:solidFill>
              <w14:schemeClr w14:val="tx1"/>
            </w14:solidFill>
          </w14:textFill>
        </w:rPr>
        <w:t>；</w:t>
      </w:r>
    </w:p>
    <w:p w14:paraId="667E1CD3">
      <w:pPr>
        <w:pStyle w:val="15"/>
        <w:spacing w:line="400" w:lineRule="atLeast"/>
        <w:ind w:firstLine="482"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2、工程地点：</w:t>
      </w:r>
      <w:permStart w:id="8" w:edGrp="everyone"/>
      <w:r>
        <w:rPr>
          <w:rFonts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eastAsia="zh-CN"/>
          <w14:textFill>
            <w14:solidFill>
              <w14:schemeClr w14:val="tx1"/>
            </w14:solidFill>
          </w14:textFill>
        </w:rPr>
        <w:t>沧州市盐山县</w:t>
      </w:r>
      <w:r>
        <w:rPr>
          <w:rFonts w:ascii="仿宋_GB2312" w:hAnsi="仿宋_GB2312" w:eastAsia="仿宋_GB2312" w:cs="仿宋_GB2312"/>
          <w:color w:val="000000" w:themeColor="text1"/>
          <w:highlight w:val="none"/>
          <w:u w:val="single"/>
          <w14:textFill>
            <w14:solidFill>
              <w14:schemeClr w14:val="tx1"/>
            </w14:solidFill>
          </w14:textFill>
        </w:rPr>
        <w:t xml:space="preserve">                   </w:t>
      </w:r>
      <w:permEnd w:id="8"/>
      <w:r>
        <w:rPr>
          <w:rFonts w:hint="eastAsia" w:ascii="仿宋_GB2312" w:hAnsi="仿宋_GB2312" w:eastAsia="仿宋_GB2312" w:cs="仿宋_GB2312"/>
          <w:color w:val="000000" w:themeColor="text1"/>
          <w:highlight w:val="none"/>
          <w14:textFill>
            <w14:solidFill>
              <w14:schemeClr w14:val="tx1"/>
            </w14:solidFill>
          </w14:textFill>
        </w:rPr>
        <w:t>；</w:t>
      </w:r>
    </w:p>
    <w:p w14:paraId="37A6E2D3">
      <w:pPr>
        <w:spacing w:line="400" w:lineRule="exact"/>
        <w:ind w:firstLine="482" w:firstLineChars="200"/>
        <w:jc w:val="left"/>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3、工作内容：</w:t>
      </w:r>
      <w:permStart w:id="9" w:edGrp="everyone"/>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主线K133+126-K139+926主线及盐山东互通、盐山东收费站、盐山东养护工区绿化工程</w:t>
      </w:r>
      <w:r>
        <w:rPr>
          <w:rFonts w:hint="eastAsia" w:ascii="仿宋_GB2312" w:hAnsi="仿宋_GB2312" w:eastAsia="仿宋_GB2312" w:cs="仿宋_GB2312"/>
          <w:b/>
          <w:bCs/>
          <w:color w:val="000000" w:themeColor="text1"/>
          <w:kern w:val="0"/>
          <w:sz w:val="24"/>
          <w:szCs w:val="24"/>
          <w:highlight w:val="none"/>
          <w:u w:val="single"/>
          <w:lang w:val="en-US" w:eastAsia="zh-CN" w:bidi="ar-SA"/>
          <w14:textFill>
            <w14:solidFill>
              <w14:schemeClr w14:val="tx1"/>
            </w14:solidFill>
          </w14:textFill>
        </w:rPr>
        <w:t xml:space="preserve"> </w:t>
      </w:r>
      <w:permEnd w:id="9"/>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w:t>
      </w:r>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 xml:space="preserve"> </w:t>
      </w:r>
    </w:p>
    <w:p w14:paraId="518F5277">
      <w:pPr>
        <w:pStyle w:val="15"/>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4" w:name="_Toc23338"/>
      <w:sdt>
        <w:sdtPr>
          <w:rPr>
            <w:rFonts w:hint="eastAsia" w:ascii="仿宋_GB2312" w:hAnsi="仿宋_GB2312" w:eastAsia="仿宋_GB2312" w:cs="仿宋_GB2312"/>
            <w:b/>
            <w:bCs/>
            <w:color w:val="000000" w:themeColor="text1"/>
            <w:highlight w:val="none"/>
            <w14:textFill>
              <w14:solidFill>
                <w14:schemeClr w14:val="tx1"/>
              </w14:solidFill>
            </w14:textFill>
          </w:rPr>
          <w:id w:val="147477487"/>
          <w:placeholder>
            <w:docPart w:val="{34b5fcfb-a985-4886-97ac-ba4cb2558ec0}"/>
          </w:placeholder>
        </w:sdtPr>
        <w:sdtEndPr>
          <w:rPr>
            <w:rFonts w:hint="eastAsia" w:ascii="仿宋_GB2312" w:hAnsi="仿宋_GB2312" w:eastAsia="仿宋_GB2312" w:cs="仿宋_GB2312"/>
            <w:b/>
            <w:bCs/>
            <w:color w:val="000000" w:themeColor="text1"/>
            <w:highlight w:val="none"/>
            <w14:textFill>
              <w14:solidFill>
                <w14:schemeClr w14:val="tx1"/>
              </w14:solidFill>
            </w14:textFill>
          </w:rPr>
        </w:sdtEndPr>
        <w:sdtContent>
          <w:r>
            <w:rPr>
              <w:rFonts w:hint="eastAsia" w:ascii="仿宋_GB2312" w:hAnsi="仿宋_GB2312" w:eastAsia="仿宋_GB2312" w:cs="仿宋_GB2312"/>
              <w:b/>
              <w:bCs/>
              <w:color w:val="000000" w:themeColor="text1"/>
              <w:highlight w:val="none"/>
              <w14:textFill>
                <w14:solidFill>
                  <w14:schemeClr w14:val="tx1"/>
                </w14:solidFill>
              </w14:textFill>
            </w:rPr>
            <w:t>租赁机械</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设备信息</w:t>
          </w:r>
        </w:sdtContent>
      </w:sdt>
      <w:bookmarkEnd w:id="4"/>
    </w:p>
    <w:tbl>
      <w:tblPr>
        <w:tblStyle w:val="12"/>
        <w:tblW w:w="9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868"/>
        <w:gridCol w:w="963"/>
        <w:gridCol w:w="612"/>
        <w:gridCol w:w="600"/>
        <w:gridCol w:w="1372"/>
        <w:gridCol w:w="750"/>
        <w:gridCol w:w="641"/>
        <w:gridCol w:w="803"/>
        <w:gridCol w:w="939"/>
      </w:tblGrid>
      <w:tr w14:paraId="12EE6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02" w:type="dxa"/>
            <w:vAlign w:val="center"/>
          </w:tcPr>
          <w:p w14:paraId="6C35780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ermStart w:id="10" w:edGrp="everyone"/>
            <w:r>
              <w:rPr>
                <w:rFonts w:hint="eastAsia" w:ascii="仿宋_GB2312" w:hAnsi="仿宋_GB2312" w:eastAsia="仿宋_GB2312" w:cs="仿宋_GB2312"/>
                <w:color w:val="000000" w:themeColor="text1"/>
                <w:sz w:val="18"/>
                <w:szCs w:val="18"/>
                <w:highlight w:val="none"/>
                <w14:textFill>
                  <w14:solidFill>
                    <w14:schemeClr w14:val="tx1"/>
                  </w14:solidFill>
                </w14:textFill>
              </w:rPr>
              <w:t>序号</w:t>
            </w:r>
          </w:p>
        </w:tc>
        <w:tc>
          <w:tcPr>
            <w:tcW w:w="1868" w:type="dxa"/>
            <w:vAlign w:val="center"/>
          </w:tcPr>
          <w:p w14:paraId="37B5617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名称</w:t>
            </w:r>
          </w:p>
        </w:tc>
        <w:tc>
          <w:tcPr>
            <w:tcW w:w="963" w:type="dxa"/>
            <w:vAlign w:val="center"/>
          </w:tcPr>
          <w:p w14:paraId="6115A90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规格型号</w:t>
            </w:r>
          </w:p>
        </w:tc>
        <w:tc>
          <w:tcPr>
            <w:tcW w:w="612" w:type="dxa"/>
            <w:vAlign w:val="center"/>
          </w:tcPr>
          <w:p w14:paraId="58999AB8">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单位</w:t>
            </w:r>
          </w:p>
        </w:tc>
        <w:tc>
          <w:tcPr>
            <w:tcW w:w="600" w:type="dxa"/>
            <w:vAlign w:val="center"/>
          </w:tcPr>
          <w:p w14:paraId="47C37637">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数量</w:t>
            </w:r>
          </w:p>
        </w:tc>
        <w:tc>
          <w:tcPr>
            <w:tcW w:w="1372" w:type="dxa"/>
            <w:vAlign w:val="center"/>
          </w:tcPr>
          <w:p w14:paraId="38406CF8">
            <w:pPr>
              <w:spacing w:line="480" w:lineRule="exac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生产厂家</w:t>
            </w:r>
          </w:p>
        </w:tc>
        <w:tc>
          <w:tcPr>
            <w:tcW w:w="750" w:type="dxa"/>
            <w:vAlign w:val="center"/>
          </w:tcPr>
          <w:p w14:paraId="5069DFB7">
            <w:pPr>
              <w:spacing w:line="480" w:lineRule="exac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出厂日期</w:t>
            </w:r>
          </w:p>
        </w:tc>
        <w:tc>
          <w:tcPr>
            <w:tcW w:w="641" w:type="dxa"/>
            <w:vAlign w:val="center"/>
          </w:tcPr>
          <w:p w14:paraId="2EB8D952">
            <w:pPr>
              <w:spacing w:line="480" w:lineRule="exac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技术状况</w:t>
            </w:r>
          </w:p>
        </w:tc>
        <w:tc>
          <w:tcPr>
            <w:tcW w:w="803" w:type="dxa"/>
            <w:vAlign w:val="center"/>
          </w:tcPr>
          <w:p w14:paraId="7DB761FD">
            <w:pPr>
              <w:spacing w:line="480" w:lineRule="exac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操作手人数</w:t>
            </w:r>
          </w:p>
        </w:tc>
        <w:tc>
          <w:tcPr>
            <w:tcW w:w="939" w:type="dxa"/>
            <w:vAlign w:val="center"/>
          </w:tcPr>
          <w:p w14:paraId="329E717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备注</w:t>
            </w:r>
          </w:p>
        </w:tc>
      </w:tr>
      <w:tr w14:paraId="69719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02" w:type="dxa"/>
            <w:vAlign w:val="center"/>
          </w:tcPr>
          <w:p w14:paraId="5887A999">
            <w:pPr>
              <w:pStyle w:val="16"/>
              <w:keepNext w:val="0"/>
              <w:keepLines w:val="0"/>
              <w:pageBreakBefore w:val="0"/>
              <w:widowControl/>
              <w:kinsoku w:val="0"/>
              <w:wordWrap/>
              <w:overflowPunct/>
              <w:topLinePunct w:val="0"/>
              <w:autoSpaceDE w:val="0"/>
              <w:autoSpaceDN w:val="0"/>
              <w:bidi w:val="0"/>
              <w:adjustRightInd w:val="0"/>
              <w:snapToGrid w:val="0"/>
              <w:spacing w:before="0" w:after="0" w:line="240" w:lineRule="auto"/>
              <w:ind w:right="0" w:rightChars="0"/>
              <w:jc w:val="center"/>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w:t>
            </w:r>
          </w:p>
        </w:tc>
        <w:tc>
          <w:tcPr>
            <w:tcW w:w="1868" w:type="dxa"/>
            <w:shd w:val="clear" w:color="auto" w:fill="auto"/>
            <w:vAlign w:val="center"/>
          </w:tcPr>
          <w:p w14:paraId="6E2068E2">
            <w:pPr>
              <w:pStyle w:val="16"/>
              <w:keepNext w:val="0"/>
              <w:keepLines w:val="0"/>
              <w:pageBreakBefore w:val="0"/>
              <w:widowControl/>
              <w:kinsoku w:val="0"/>
              <w:wordWrap/>
              <w:overflowPunct/>
              <w:topLinePunct w:val="0"/>
              <w:autoSpaceDE w:val="0"/>
              <w:autoSpaceDN w:val="0"/>
              <w:bidi w:val="0"/>
              <w:adjustRightInd w:val="0"/>
              <w:snapToGrid w:val="0"/>
              <w:spacing w:before="0" w:after="0" w:line="240" w:lineRule="auto"/>
              <w:ind w:right="0" w:rightChars="0"/>
              <w:jc w:val="center"/>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105KW以内履带式推土机</w:t>
            </w:r>
          </w:p>
        </w:tc>
        <w:tc>
          <w:tcPr>
            <w:tcW w:w="963" w:type="dxa"/>
            <w:shd w:val="clear" w:color="auto" w:fill="auto"/>
            <w:vAlign w:val="center"/>
          </w:tcPr>
          <w:p w14:paraId="0CEEA825">
            <w:pPr>
              <w:pStyle w:val="16"/>
              <w:keepNext w:val="0"/>
              <w:keepLines w:val="0"/>
              <w:pageBreakBefore w:val="0"/>
              <w:widowControl/>
              <w:kinsoku w:val="0"/>
              <w:wordWrap/>
              <w:overflowPunct/>
              <w:topLinePunct w:val="0"/>
              <w:autoSpaceDE w:val="0"/>
              <w:autoSpaceDN w:val="0"/>
              <w:bidi w:val="0"/>
              <w:adjustRightInd w:val="0"/>
              <w:snapToGrid w:val="0"/>
              <w:spacing w:before="0" w:after="0" w:line="240" w:lineRule="auto"/>
              <w:ind w:right="0" w:rightChars="0"/>
              <w:jc w:val="center"/>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DK4</w:t>
            </w:r>
          </w:p>
        </w:tc>
        <w:tc>
          <w:tcPr>
            <w:tcW w:w="612" w:type="dxa"/>
            <w:shd w:val="clear" w:color="auto" w:fill="auto"/>
            <w:vAlign w:val="center"/>
          </w:tcPr>
          <w:p w14:paraId="13A3DFD4">
            <w:pPr>
              <w:pStyle w:val="16"/>
              <w:keepNext w:val="0"/>
              <w:keepLines w:val="0"/>
              <w:pageBreakBefore w:val="0"/>
              <w:widowControl/>
              <w:kinsoku w:val="0"/>
              <w:wordWrap/>
              <w:overflowPunct/>
              <w:topLinePunct w:val="0"/>
              <w:autoSpaceDE w:val="0"/>
              <w:autoSpaceDN w:val="0"/>
              <w:bidi w:val="0"/>
              <w:adjustRightInd w:val="0"/>
              <w:snapToGrid w:val="0"/>
              <w:spacing w:before="0" w:after="0" w:line="240" w:lineRule="auto"/>
              <w:ind w:right="0" w:rightChars="0"/>
              <w:jc w:val="center"/>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台</w:t>
            </w:r>
          </w:p>
        </w:tc>
        <w:tc>
          <w:tcPr>
            <w:tcW w:w="600" w:type="dxa"/>
            <w:shd w:val="clear" w:color="auto" w:fill="auto"/>
            <w:vAlign w:val="center"/>
          </w:tcPr>
          <w:p w14:paraId="77BE4CFE">
            <w:pPr>
              <w:pStyle w:val="16"/>
              <w:keepNext w:val="0"/>
              <w:keepLines w:val="0"/>
              <w:pageBreakBefore w:val="0"/>
              <w:widowControl/>
              <w:kinsoku w:val="0"/>
              <w:wordWrap/>
              <w:overflowPunct/>
              <w:topLinePunct w:val="0"/>
              <w:autoSpaceDE w:val="0"/>
              <w:autoSpaceDN w:val="0"/>
              <w:bidi w:val="0"/>
              <w:adjustRightInd w:val="0"/>
              <w:snapToGrid w:val="0"/>
              <w:spacing w:before="0" w:after="0" w:line="240" w:lineRule="auto"/>
              <w:ind w:right="0" w:rightChars="0"/>
              <w:jc w:val="center"/>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8</w:t>
            </w:r>
          </w:p>
        </w:tc>
        <w:tc>
          <w:tcPr>
            <w:tcW w:w="1372" w:type="dxa"/>
            <w:vAlign w:val="center"/>
          </w:tcPr>
          <w:p w14:paraId="7CC87F3B">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50" w:type="dxa"/>
            <w:vAlign w:val="center"/>
          </w:tcPr>
          <w:p w14:paraId="1D3FF8A1">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1" w:type="dxa"/>
            <w:vAlign w:val="center"/>
          </w:tcPr>
          <w:p w14:paraId="207C0421">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803" w:type="dxa"/>
            <w:vAlign w:val="center"/>
          </w:tcPr>
          <w:p w14:paraId="7E09473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939" w:type="dxa"/>
            <w:vAlign w:val="center"/>
          </w:tcPr>
          <w:p w14:paraId="7090963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76C5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02" w:type="dxa"/>
            <w:vAlign w:val="center"/>
          </w:tcPr>
          <w:p w14:paraId="757B4794">
            <w:pPr>
              <w:pStyle w:val="16"/>
              <w:keepNext w:val="0"/>
              <w:keepLines w:val="0"/>
              <w:pageBreakBefore w:val="0"/>
              <w:widowControl/>
              <w:kinsoku w:val="0"/>
              <w:wordWrap/>
              <w:overflowPunct/>
              <w:topLinePunct w:val="0"/>
              <w:autoSpaceDE w:val="0"/>
              <w:autoSpaceDN w:val="0"/>
              <w:bidi w:val="0"/>
              <w:adjustRightInd w:val="0"/>
              <w:snapToGrid w:val="0"/>
              <w:spacing w:before="0" w:after="0" w:line="240" w:lineRule="auto"/>
              <w:ind w:right="0" w:rightChars="0"/>
              <w:jc w:val="center"/>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1868" w:type="dxa"/>
            <w:shd w:val="clear" w:color="auto" w:fill="auto"/>
            <w:vAlign w:val="center"/>
          </w:tcPr>
          <w:p w14:paraId="5D8E4FAE">
            <w:pPr>
              <w:pStyle w:val="16"/>
              <w:keepNext w:val="0"/>
              <w:keepLines w:val="0"/>
              <w:pageBreakBefore w:val="0"/>
              <w:widowControl/>
              <w:kinsoku w:val="0"/>
              <w:wordWrap/>
              <w:overflowPunct/>
              <w:topLinePunct w:val="0"/>
              <w:autoSpaceDE w:val="0"/>
              <w:autoSpaceDN w:val="0"/>
              <w:bidi w:val="0"/>
              <w:adjustRightInd w:val="0"/>
              <w:snapToGrid w:val="0"/>
              <w:spacing w:before="0" w:after="0" w:line="240" w:lineRule="auto"/>
              <w:ind w:right="0" w:rightChars="0"/>
              <w:jc w:val="center"/>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8～10t光轮压路机</w:t>
            </w:r>
          </w:p>
        </w:tc>
        <w:tc>
          <w:tcPr>
            <w:tcW w:w="963" w:type="dxa"/>
            <w:shd w:val="clear" w:color="auto" w:fill="auto"/>
            <w:vAlign w:val="center"/>
          </w:tcPr>
          <w:p w14:paraId="01CD2B53">
            <w:pPr>
              <w:pStyle w:val="16"/>
              <w:keepNext w:val="0"/>
              <w:keepLines w:val="0"/>
              <w:pageBreakBefore w:val="0"/>
              <w:widowControl/>
              <w:kinsoku w:val="0"/>
              <w:wordWrap/>
              <w:overflowPunct/>
              <w:topLinePunct w:val="0"/>
              <w:autoSpaceDE w:val="0"/>
              <w:autoSpaceDN w:val="0"/>
              <w:bidi w:val="0"/>
              <w:adjustRightInd w:val="0"/>
              <w:snapToGrid w:val="0"/>
              <w:spacing w:before="0" w:after="0" w:line="240" w:lineRule="auto"/>
              <w:ind w:right="0" w:rightChars="0"/>
              <w:jc w:val="center"/>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STR100C- 8C</w:t>
            </w:r>
          </w:p>
        </w:tc>
        <w:tc>
          <w:tcPr>
            <w:tcW w:w="612" w:type="dxa"/>
            <w:shd w:val="clear" w:color="auto" w:fill="auto"/>
            <w:vAlign w:val="center"/>
          </w:tcPr>
          <w:p w14:paraId="20CB38DC">
            <w:pPr>
              <w:pStyle w:val="16"/>
              <w:keepNext w:val="0"/>
              <w:keepLines w:val="0"/>
              <w:pageBreakBefore w:val="0"/>
              <w:widowControl/>
              <w:kinsoku w:val="0"/>
              <w:wordWrap/>
              <w:overflowPunct/>
              <w:topLinePunct w:val="0"/>
              <w:autoSpaceDE w:val="0"/>
              <w:autoSpaceDN w:val="0"/>
              <w:bidi w:val="0"/>
              <w:adjustRightInd w:val="0"/>
              <w:snapToGrid w:val="0"/>
              <w:spacing w:before="0" w:after="0" w:line="240" w:lineRule="auto"/>
              <w:ind w:right="0" w:rightChars="0"/>
              <w:jc w:val="center"/>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台</w:t>
            </w:r>
          </w:p>
        </w:tc>
        <w:tc>
          <w:tcPr>
            <w:tcW w:w="600" w:type="dxa"/>
            <w:shd w:val="clear" w:color="auto" w:fill="auto"/>
            <w:vAlign w:val="center"/>
          </w:tcPr>
          <w:p w14:paraId="2BAD716B">
            <w:pPr>
              <w:pStyle w:val="16"/>
              <w:keepNext w:val="0"/>
              <w:keepLines w:val="0"/>
              <w:pageBreakBefore w:val="0"/>
              <w:widowControl/>
              <w:kinsoku w:val="0"/>
              <w:wordWrap/>
              <w:overflowPunct/>
              <w:topLinePunct w:val="0"/>
              <w:autoSpaceDE w:val="0"/>
              <w:autoSpaceDN w:val="0"/>
              <w:bidi w:val="0"/>
              <w:adjustRightInd w:val="0"/>
              <w:snapToGrid w:val="0"/>
              <w:spacing w:before="0" w:after="0" w:line="240" w:lineRule="auto"/>
              <w:ind w:right="0" w:rightChars="0"/>
              <w:jc w:val="center"/>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4</w:t>
            </w:r>
          </w:p>
        </w:tc>
        <w:tc>
          <w:tcPr>
            <w:tcW w:w="1372" w:type="dxa"/>
            <w:vAlign w:val="center"/>
          </w:tcPr>
          <w:p w14:paraId="41AA12C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50" w:type="dxa"/>
            <w:vAlign w:val="center"/>
          </w:tcPr>
          <w:p w14:paraId="6DB32DE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1" w:type="dxa"/>
            <w:vAlign w:val="center"/>
          </w:tcPr>
          <w:p w14:paraId="4B01081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803" w:type="dxa"/>
            <w:vAlign w:val="center"/>
          </w:tcPr>
          <w:p w14:paraId="048FE291">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939" w:type="dxa"/>
            <w:vAlign w:val="center"/>
          </w:tcPr>
          <w:p w14:paraId="4E2A3F9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D0B6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02" w:type="dxa"/>
            <w:vAlign w:val="center"/>
          </w:tcPr>
          <w:p w14:paraId="594CB618">
            <w:pPr>
              <w:pStyle w:val="16"/>
              <w:keepNext w:val="0"/>
              <w:keepLines w:val="0"/>
              <w:pageBreakBefore w:val="0"/>
              <w:widowControl/>
              <w:kinsoku w:val="0"/>
              <w:wordWrap/>
              <w:overflowPunct/>
              <w:topLinePunct w:val="0"/>
              <w:autoSpaceDE w:val="0"/>
              <w:autoSpaceDN w:val="0"/>
              <w:bidi w:val="0"/>
              <w:adjustRightInd w:val="0"/>
              <w:snapToGrid w:val="0"/>
              <w:spacing w:before="0" w:after="0" w:line="240" w:lineRule="auto"/>
              <w:ind w:right="0" w:rightChars="0"/>
              <w:jc w:val="center"/>
              <w:textAlignment w:val="baseline"/>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w:t>
            </w:r>
          </w:p>
        </w:tc>
        <w:tc>
          <w:tcPr>
            <w:tcW w:w="1868" w:type="dxa"/>
            <w:shd w:val="clear" w:color="auto" w:fill="auto"/>
            <w:vAlign w:val="center"/>
          </w:tcPr>
          <w:p w14:paraId="17BCF4E6">
            <w:pPr>
              <w:pStyle w:val="16"/>
              <w:keepNext w:val="0"/>
              <w:keepLines w:val="0"/>
              <w:pageBreakBefore w:val="0"/>
              <w:widowControl/>
              <w:kinsoku w:val="0"/>
              <w:wordWrap/>
              <w:overflowPunct/>
              <w:topLinePunct w:val="0"/>
              <w:autoSpaceDE w:val="0"/>
              <w:autoSpaceDN w:val="0"/>
              <w:bidi w:val="0"/>
              <w:adjustRightInd w:val="0"/>
              <w:snapToGrid w:val="0"/>
              <w:spacing w:before="0" w:after="0" w:line="240" w:lineRule="auto"/>
              <w:ind w:right="0" w:rightChars="0"/>
              <w:jc w:val="center"/>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斗容量3.0m3</w:t>
            </w:r>
          </w:p>
          <w:p w14:paraId="14F39D23">
            <w:pPr>
              <w:pStyle w:val="16"/>
              <w:keepNext w:val="0"/>
              <w:keepLines w:val="0"/>
              <w:pageBreakBefore w:val="0"/>
              <w:widowControl/>
              <w:kinsoku w:val="0"/>
              <w:wordWrap/>
              <w:overflowPunct/>
              <w:topLinePunct w:val="0"/>
              <w:autoSpaceDE w:val="0"/>
              <w:autoSpaceDN w:val="0"/>
              <w:bidi w:val="0"/>
              <w:adjustRightInd w:val="0"/>
              <w:snapToGrid w:val="0"/>
              <w:spacing w:before="0" w:after="0" w:line="240" w:lineRule="auto"/>
              <w:ind w:right="0" w:rightChars="0"/>
              <w:jc w:val="center"/>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轮胎式装载机</w:t>
            </w:r>
          </w:p>
          <w:p w14:paraId="1C561668">
            <w:pPr>
              <w:pStyle w:val="16"/>
              <w:keepNext w:val="0"/>
              <w:keepLines w:val="0"/>
              <w:pageBreakBefore w:val="0"/>
              <w:widowControl/>
              <w:kinsoku w:val="0"/>
              <w:wordWrap/>
              <w:overflowPunct/>
              <w:topLinePunct w:val="0"/>
              <w:autoSpaceDE w:val="0"/>
              <w:autoSpaceDN w:val="0"/>
              <w:bidi w:val="0"/>
              <w:adjustRightInd w:val="0"/>
              <w:snapToGrid w:val="0"/>
              <w:spacing w:before="0" w:after="0" w:line="240" w:lineRule="auto"/>
              <w:ind w:right="0" w:rightChars="0"/>
              <w:jc w:val="center"/>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（ZL50）</w:t>
            </w:r>
          </w:p>
        </w:tc>
        <w:tc>
          <w:tcPr>
            <w:tcW w:w="963" w:type="dxa"/>
            <w:shd w:val="clear" w:color="auto" w:fill="auto"/>
            <w:vAlign w:val="center"/>
          </w:tcPr>
          <w:p w14:paraId="1094910B">
            <w:pPr>
              <w:pStyle w:val="16"/>
              <w:keepNext w:val="0"/>
              <w:keepLines w:val="0"/>
              <w:pageBreakBefore w:val="0"/>
              <w:widowControl/>
              <w:kinsoku w:val="0"/>
              <w:wordWrap/>
              <w:overflowPunct/>
              <w:topLinePunct w:val="0"/>
              <w:autoSpaceDE w:val="0"/>
              <w:autoSpaceDN w:val="0"/>
              <w:bidi w:val="0"/>
              <w:adjustRightInd w:val="0"/>
              <w:snapToGrid w:val="0"/>
              <w:spacing w:before="0" w:after="0" w:line="240" w:lineRule="auto"/>
              <w:ind w:right="0" w:rightChars="0"/>
              <w:jc w:val="center"/>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XG955N</w:t>
            </w:r>
          </w:p>
        </w:tc>
        <w:tc>
          <w:tcPr>
            <w:tcW w:w="612" w:type="dxa"/>
            <w:shd w:val="clear" w:color="auto" w:fill="auto"/>
            <w:vAlign w:val="center"/>
          </w:tcPr>
          <w:p w14:paraId="4ADB4620">
            <w:pPr>
              <w:pStyle w:val="16"/>
              <w:keepNext w:val="0"/>
              <w:keepLines w:val="0"/>
              <w:pageBreakBefore w:val="0"/>
              <w:widowControl/>
              <w:kinsoku w:val="0"/>
              <w:wordWrap/>
              <w:overflowPunct/>
              <w:topLinePunct w:val="0"/>
              <w:autoSpaceDE w:val="0"/>
              <w:autoSpaceDN w:val="0"/>
              <w:bidi w:val="0"/>
              <w:adjustRightInd w:val="0"/>
              <w:snapToGrid w:val="0"/>
              <w:spacing w:before="0" w:after="0" w:line="240" w:lineRule="auto"/>
              <w:ind w:right="0" w:rightChars="0"/>
              <w:jc w:val="center"/>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台</w:t>
            </w:r>
          </w:p>
        </w:tc>
        <w:tc>
          <w:tcPr>
            <w:tcW w:w="600" w:type="dxa"/>
            <w:shd w:val="clear" w:color="auto" w:fill="auto"/>
            <w:vAlign w:val="center"/>
          </w:tcPr>
          <w:p w14:paraId="182E1A91">
            <w:pPr>
              <w:pStyle w:val="16"/>
              <w:keepNext w:val="0"/>
              <w:keepLines w:val="0"/>
              <w:pageBreakBefore w:val="0"/>
              <w:widowControl/>
              <w:kinsoku w:val="0"/>
              <w:wordWrap/>
              <w:overflowPunct/>
              <w:topLinePunct w:val="0"/>
              <w:autoSpaceDE w:val="0"/>
              <w:autoSpaceDN w:val="0"/>
              <w:bidi w:val="0"/>
              <w:adjustRightInd w:val="0"/>
              <w:snapToGrid w:val="0"/>
              <w:spacing w:before="0" w:after="0" w:line="240" w:lineRule="auto"/>
              <w:ind w:right="0" w:rightChars="0"/>
              <w:jc w:val="center"/>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8</w:t>
            </w:r>
          </w:p>
        </w:tc>
        <w:tc>
          <w:tcPr>
            <w:tcW w:w="1372" w:type="dxa"/>
            <w:vAlign w:val="center"/>
          </w:tcPr>
          <w:p w14:paraId="24930F0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50" w:type="dxa"/>
            <w:vAlign w:val="center"/>
          </w:tcPr>
          <w:p w14:paraId="5104697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1" w:type="dxa"/>
            <w:vAlign w:val="center"/>
          </w:tcPr>
          <w:p w14:paraId="3DF4E0B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803" w:type="dxa"/>
            <w:vAlign w:val="center"/>
          </w:tcPr>
          <w:p w14:paraId="627A58E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939" w:type="dxa"/>
            <w:vAlign w:val="center"/>
          </w:tcPr>
          <w:p w14:paraId="4375232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88B0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02" w:type="dxa"/>
            <w:vAlign w:val="center"/>
          </w:tcPr>
          <w:p w14:paraId="1B1CC189">
            <w:pPr>
              <w:pStyle w:val="16"/>
              <w:keepNext w:val="0"/>
              <w:keepLines w:val="0"/>
              <w:pageBreakBefore w:val="0"/>
              <w:widowControl/>
              <w:kinsoku w:val="0"/>
              <w:wordWrap/>
              <w:overflowPunct/>
              <w:topLinePunct w:val="0"/>
              <w:autoSpaceDE w:val="0"/>
              <w:autoSpaceDN w:val="0"/>
              <w:bidi w:val="0"/>
              <w:adjustRightInd w:val="0"/>
              <w:snapToGrid w:val="0"/>
              <w:spacing w:before="0" w:after="0" w:line="240" w:lineRule="auto"/>
              <w:ind w:right="0" w:rightChars="0"/>
              <w:jc w:val="center"/>
              <w:textAlignment w:val="baseline"/>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4</w:t>
            </w:r>
          </w:p>
        </w:tc>
        <w:tc>
          <w:tcPr>
            <w:tcW w:w="1868" w:type="dxa"/>
            <w:shd w:val="clear" w:color="auto" w:fill="auto"/>
            <w:vAlign w:val="center"/>
          </w:tcPr>
          <w:p w14:paraId="73419A97">
            <w:pPr>
              <w:pStyle w:val="16"/>
              <w:keepNext w:val="0"/>
              <w:keepLines w:val="0"/>
              <w:pageBreakBefore w:val="0"/>
              <w:widowControl/>
              <w:kinsoku w:val="0"/>
              <w:wordWrap/>
              <w:overflowPunct/>
              <w:topLinePunct w:val="0"/>
              <w:autoSpaceDE w:val="0"/>
              <w:autoSpaceDN w:val="0"/>
              <w:bidi w:val="0"/>
              <w:adjustRightInd w:val="0"/>
              <w:snapToGrid w:val="0"/>
              <w:spacing w:before="0" w:after="0" w:line="240" w:lineRule="auto"/>
              <w:ind w:right="0" w:rightChars="0"/>
              <w:jc w:val="center"/>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装载质量20t以</w:t>
            </w:r>
          </w:p>
          <w:p w14:paraId="7E074A54">
            <w:pPr>
              <w:pStyle w:val="16"/>
              <w:keepNext w:val="0"/>
              <w:keepLines w:val="0"/>
              <w:pageBreakBefore w:val="0"/>
              <w:widowControl/>
              <w:kinsoku w:val="0"/>
              <w:wordWrap/>
              <w:overflowPunct/>
              <w:topLinePunct w:val="0"/>
              <w:autoSpaceDE w:val="0"/>
              <w:autoSpaceDN w:val="0"/>
              <w:bidi w:val="0"/>
              <w:adjustRightInd w:val="0"/>
              <w:snapToGrid w:val="0"/>
              <w:spacing w:before="0" w:after="0" w:line="240" w:lineRule="auto"/>
              <w:ind w:right="0" w:rightChars="0"/>
              <w:jc w:val="center"/>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内自卸汽车</w:t>
            </w:r>
          </w:p>
          <w:p w14:paraId="491E025C">
            <w:pPr>
              <w:pStyle w:val="16"/>
              <w:keepNext w:val="0"/>
              <w:keepLines w:val="0"/>
              <w:pageBreakBefore w:val="0"/>
              <w:widowControl/>
              <w:kinsoku w:val="0"/>
              <w:wordWrap/>
              <w:overflowPunct/>
              <w:topLinePunct w:val="0"/>
              <w:autoSpaceDE w:val="0"/>
              <w:autoSpaceDN w:val="0"/>
              <w:bidi w:val="0"/>
              <w:adjustRightInd w:val="0"/>
              <w:snapToGrid w:val="0"/>
              <w:spacing w:before="0" w:after="0" w:line="240" w:lineRule="auto"/>
              <w:ind w:right="0" w:rightChars="0"/>
              <w:jc w:val="center"/>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（BJ374）</w:t>
            </w:r>
          </w:p>
        </w:tc>
        <w:tc>
          <w:tcPr>
            <w:tcW w:w="963" w:type="dxa"/>
            <w:shd w:val="clear" w:color="auto" w:fill="auto"/>
            <w:vAlign w:val="center"/>
          </w:tcPr>
          <w:p w14:paraId="1C987D62">
            <w:pPr>
              <w:pStyle w:val="16"/>
              <w:keepNext w:val="0"/>
              <w:keepLines w:val="0"/>
              <w:pageBreakBefore w:val="0"/>
              <w:widowControl/>
              <w:kinsoku w:val="0"/>
              <w:wordWrap/>
              <w:overflowPunct/>
              <w:topLinePunct w:val="0"/>
              <w:autoSpaceDE w:val="0"/>
              <w:autoSpaceDN w:val="0"/>
              <w:bidi w:val="0"/>
              <w:adjustRightInd w:val="0"/>
              <w:snapToGrid w:val="0"/>
              <w:spacing w:before="0" w:after="0" w:line="240" w:lineRule="auto"/>
              <w:ind w:right="0" w:rightChars="0"/>
              <w:jc w:val="center"/>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6*4</w:t>
            </w:r>
          </w:p>
        </w:tc>
        <w:tc>
          <w:tcPr>
            <w:tcW w:w="612" w:type="dxa"/>
            <w:shd w:val="clear" w:color="auto" w:fill="auto"/>
            <w:vAlign w:val="center"/>
          </w:tcPr>
          <w:p w14:paraId="0376E93B">
            <w:pPr>
              <w:pStyle w:val="16"/>
              <w:keepNext w:val="0"/>
              <w:keepLines w:val="0"/>
              <w:pageBreakBefore w:val="0"/>
              <w:widowControl/>
              <w:kinsoku w:val="0"/>
              <w:wordWrap/>
              <w:overflowPunct/>
              <w:topLinePunct w:val="0"/>
              <w:autoSpaceDE w:val="0"/>
              <w:autoSpaceDN w:val="0"/>
              <w:bidi w:val="0"/>
              <w:adjustRightInd w:val="0"/>
              <w:snapToGrid w:val="0"/>
              <w:spacing w:before="0" w:after="0" w:line="240" w:lineRule="auto"/>
              <w:ind w:right="0" w:rightChars="0"/>
              <w:jc w:val="center"/>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辆</w:t>
            </w:r>
          </w:p>
        </w:tc>
        <w:tc>
          <w:tcPr>
            <w:tcW w:w="600" w:type="dxa"/>
            <w:shd w:val="clear" w:color="auto" w:fill="auto"/>
            <w:vAlign w:val="center"/>
          </w:tcPr>
          <w:p w14:paraId="1D7563D2">
            <w:pPr>
              <w:pStyle w:val="16"/>
              <w:keepNext w:val="0"/>
              <w:keepLines w:val="0"/>
              <w:pageBreakBefore w:val="0"/>
              <w:widowControl/>
              <w:kinsoku w:val="0"/>
              <w:wordWrap/>
              <w:overflowPunct/>
              <w:topLinePunct w:val="0"/>
              <w:autoSpaceDE w:val="0"/>
              <w:autoSpaceDN w:val="0"/>
              <w:bidi w:val="0"/>
              <w:adjustRightInd w:val="0"/>
              <w:snapToGrid w:val="0"/>
              <w:spacing w:before="0" w:after="0" w:line="240" w:lineRule="auto"/>
              <w:ind w:right="0" w:rightChars="0"/>
              <w:jc w:val="center"/>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8</w:t>
            </w:r>
          </w:p>
        </w:tc>
        <w:tc>
          <w:tcPr>
            <w:tcW w:w="1372" w:type="dxa"/>
            <w:vAlign w:val="center"/>
          </w:tcPr>
          <w:p w14:paraId="3BCACB9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50" w:type="dxa"/>
            <w:vAlign w:val="center"/>
          </w:tcPr>
          <w:p w14:paraId="5E51DA2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1" w:type="dxa"/>
            <w:vAlign w:val="center"/>
          </w:tcPr>
          <w:p w14:paraId="35A5908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803" w:type="dxa"/>
            <w:vAlign w:val="center"/>
          </w:tcPr>
          <w:p w14:paraId="265F63E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939" w:type="dxa"/>
            <w:vAlign w:val="center"/>
          </w:tcPr>
          <w:p w14:paraId="0A2D9EF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F5A0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02" w:type="dxa"/>
            <w:vAlign w:val="center"/>
          </w:tcPr>
          <w:p w14:paraId="0FFC86C7">
            <w:pPr>
              <w:pStyle w:val="16"/>
              <w:keepNext w:val="0"/>
              <w:keepLines w:val="0"/>
              <w:pageBreakBefore w:val="0"/>
              <w:widowControl/>
              <w:kinsoku w:val="0"/>
              <w:wordWrap/>
              <w:overflowPunct/>
              <w:topLinePunct w:val="0"/>
              <w:autoSpaceDE w:val="0"/>
              <w:autoSpaceDN w:val="0"/>
              <w:bidi w:val="0"/>
              <w:adjustRightInd w:val="0"/>
              <w:snapToGrid w:val="0"/>
              <w:spacing w:before="0" w:after="0" w:line="240" w:lineRule="auto"/>
              <w:ind w:right="0" w:rightChars="0"/>
              <w:jc w:val="center"/>
              <w:textAlignment w:val="baseline"/>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5</w:t>
            </w:r>
          </w:p>
        </w:tc>
        <w:tc>
          <w:tcPr>
            <w:tcW w:w="1868" w:type="dxa"/>
            <w:shd w:val="clear" w:color="auto" w:fill="auto"/>
            <w:vAlign w:val="center"/>
          </w:tcPr>
          <w:p w14:paraId="41E20688">
            <w:pPr>
              <w:pStyle w:val="16"/>
              <w:keepNext w:val="0"/>
              <w:keepLines w:val="0"/>
              <w:pageBreakBefore w:val="0"/>
              <w:widowControl/>
              <w:kinsoku w:val="0"/>
              <w:wordWrap/>
              <w:overflowPunct/>
              <w:topLinePunct w:val="0"/>
              <w:autoSpaceDE w:val="0"/>
              <w:autoSpaceDN w:val="0"/>
              <w:bidi w:val="0"/>
              <w:adjustRightInd w:val="0"/>
              <w:snapToGrid w:val="0"/>
              <w:spacing w:before="0" w:after="0" w:line="240" w:lineRule="auto"/>
              <w:ind w:right="0" w:rightChars="0"/>
              <w:jc w:val="center"/>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容量20000L</w:t>
            </w:r>
          </w:p>
          <w:p w14:paraId="68206B6D">
            <w:pPr>
              <w:pStyle w:val="16"/>
              <w:keepNext w:val="0"/>
              <w:keepLines w:val="0"/>
              <w:pageBreakBefore w:val="0"/>
              <w:widowControl/>
              <w:kinsoku w:val="0"/>
              <w:wordWrap/>
              <w:overflowPunct/>
              <w:topLinePunct w:val="0"/>
              <w:autoSpaceDE w:val="0"/>
              <w:autoSpaceDN w:val="0"/>
              <w:bidi w:val="0"/>
              <w:adjustRightInd w:val="0"/>
              <w:snapToGrid w:val="0"/>
              <w:spacing w:before="0" w:after="0" w:line="240" w:lineRule="auto"/>
              <w:ind w:right="0" w:rightChars="0"/>
              <w:jc w:val="center"/>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以内洒水汽车</w:t>
            </w:r>
          </w:p>
        </w:tc>
        <w:tc>
          <w:tcPr>
            <w:tcW w:w="963" w:type="dxa"/>
            <w:shd w:val="clear" w:color="auto" w:fill="auto"/>
            <w:vAlign w:val="center"/>
          </w:tcPr>
          <w:p w14:paraId="244BFD4F">
            <w:pPr>
              <w:pStyle w:val="16"/>
              <w:keepNext w:val="0"/>
              <w:keepLines w:val="0"/>
              <w:pageBreakBefore w:val="0"/>
              <w:widowControl/>
              <w:kinsoku w:val="0"/>
              <w:wordWrap/>
              <w:overflowPunct/>
              <w:topLinePunct w:val="0"/>
              <w:autoSpaceDE w:val="0"/>
              <w:autoSpaceDN w:val="0"/>
              <w:bidi w:val="0"/>
              <w:adjustRightInd w:val="0"/>
              <w:snapToGrid w:val="0"/>
              <w:spacing w:before="0" w:after="0" w:line="240" w:lineRule="auto"/>
              <w:ind w:right="0" w:rightChars="0"/>
              <w:jc w:val="center"/>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20T</w:t>
            </w:r>
          </w:p>
        </w:tc>
        <w:tc>
          <w:tcPr>
            <w:tcW w:w="612" w:type="dxa"/>
            <w:shd w:val="clear" w:color="auto" w:fill="auto"/>
            <w:vAlign w:val="center"/>
          </w:tcPr>
          <w:p w14:paraId="7C7D8648">
            <w:pPr>
              <w:pStyle w:val="16"/>
              <w:keepNext w:val="0"/>
              <w:keepLines w:val="0"/>
              <w:pageBreakBefore w:val="0"/>
              <w:widowControl/>
              <w:kinsoku w:val="0"/>
              <w:wordWrap/>
              <w:overflowPunct/>
              <w:topLinePunct w:val="0"/>
              <w:autoSpaceDE w:val="0"/>
              <w:autoSpaceDN w:val="0"/>
              <w:bidi w:val="0"/>
              <w:adjustRightInd w:val="0"/>
              <w:snapToGrid w:val="0"/>
              <w:spacing w:before="0" w:after="0" w:line="240" w:lineRule="auto"/>
              <w:ind w:right="0" w:rightChars="0"/>
              <w:jc w:val="center"/>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辆</w:t>
            </w:r>
          </w:p>
        </w:tc>
        <w:tc>
          <w:tcPr>
            <w:tcW w:w="600" w:type="dxa"/>
            <w:shd w:val="clear" w:color="auto" w:fill="auto"/>
            <w:vAlign w:val="center"/>
          </w:tcPr>
          <w:p w14:paraId="53560F3F">
            <w:pPr>
              <w:pStyle w:val="16"/>
              <w:keepNext w:val="0"/>
              <w:keepLines w:val="0"/>
              <w:pageBreakBefore w:val="0"/>
              <w:widowControl/>
              <w:kinsoku w:val="0"/>
              <w:wordWrap/>
              <w:overflowPunct/>
              <w:topLinePunct w:val="0"/>
              <w:autoSpaceDE w:val="0"/>
              <w:autoSpaceDN w:val="0"/>
              <w:bidi w:val="0"/>
              <w:adjustRightInd w:val="0"/>
              <w:snapToGrid w:val="0"/>
              <w:spacing w:before="0" w:after="0" w:line="240" w:lineRule="auto"/>
              <w:ind w:right="0" w:rightChars="0"/>
              <w:jc w:val="center"/>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372" w:type="dxa"/>
            <w:vAlign w:val="center"/>
          </w:tcPr>
          <w:p w14:paraId="541ECD3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50" w:type="dxa"/>
            <w:vAlign w:val="center"/>
          </w:tcPr>
          <w:p w14:paraId="76FC586B">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1" w:type="dxa"/>
            <w:vAlign w:val="center"/>
          </w:tcPr>
          <w:p w14:paraId="63775698">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803" w:type="dxa"/>
            <w:vAlign w:val="center"/>
          </w:tcPr>
          <w:p w14:paraId="1C7BB0B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939" w:type="dxa"/>
            <w:vAlign w:val="center"/>
          </w:tcPr>
          <w:p w14:paraId="5E228C28">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60BA9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02" w:type="dxa"/>
            <w:vAlign w:val="center"/>
          </w:tcPr>
          <w:p w14:paraId="1B1EF811">
            <w:pPr>
              <w:pStyle w:val="16"/>
              <w:keepNext w:val="0"/>
              <w:keepLines w:val="0"/>
              <w:pageBreakBefore w:val="0"/>
              <w:widowControl/>
              <w:kinsoku w:val="0"/>
              <w:wordWrap/>
              <w:overflowPunct/>
              <w:topLinePunct w:val="0"/>
              <w:autoSpaceDE w:val="0"/>
              <w:autoSpaceDN w:val="0"/>
              <w:bidi w:val="0"/>
              <w:adjustRightInd w:val="0"/>
              <w:snapToGrid w:val="0"/>
              <w:spacing w:before="0" w:after="0" w:line="240" w:lineRule="auto"/>
              <w:ind w:right="0" w:rightChars="0"/>
              <w:jc w:val="center"/>
              <w:textAlignment w:val="baseline"/>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6</w:t>
            </w:r>
          </w:p>
        </w:tc>
        <w:tc>
          <w:tcPr>
            <w:tcW w:w="1868" w:type="dxa"/>
            <w:shd w:val="clear" w:color="auto" w:fill="auto"/>
            <w:vAlign w:val="center"/>
          </w:tcPr>
          <w:p w14:paraId="051CB91E">
            <w:pPr>
              <w:pStyle w:val="16"/>
              <w:keepNext w:val="0"/>
              <w:keepLines w:val="0"/>
              <w:pageBreakBefore w:val="0"/>
              <w:widowControl/>
              <w:kinsoku w:val="0"/>
              <w:wordWrap/>
              <w:overflowPunct/>
              <w:topLinePunct w:val="0"/>
              <w:autoSpaceDE w:val="0"/>
              <w:autoSpaceDN w:val="0"/>
              <w:bidi w:val="0"/>
              <w:adjustRightInd w:val="0"/>
              <w:snapToGrid w:val="0"/>
              <w:spacing w:before="0" w:after="0" w:line="240" w:lineRule="auto"/>
              <w:ind w:right="0" w:rightChars="0"/>
              <w:jc w:val="center"/>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提升质量5t以内汽车式起重机（QY5）</w:t>
            </w:r>
          </w:p>
        </w:tc>
        <w:tc>
          <w:tcPr>
            <w:tcW w:w="963" w:type="dxa"/>
            <w:shd w:val="clear" w:color="auto" w:fill="auto"/>
            <w:vAlign w:val="center"/>
          </w:tcPr>
          <w:p w14:paraId="2BBD4F2D">
            <w:pPr>
              <w:pStyle w:val="16"/>
              <w:keepNext w:val="0"/>
              <w:keepLines w:val="0"/>
              <w:pageBreakBefore w:val="0"/>
              <w:widowControl/>
              <w:kinsoku w:val="0"/>
              <w:wordWrap/>
              <w:overflowPunct/>
              <w:topLinePunct w:val="0"/>
              <w:autoSpaceDE w:val="0"/>
              <w:autoSpaceDN w:val="0"/>
              <w:bidi w:val="0"/>
              <w:adjustRightInd w:val="0"/>
              <w:snapToGrid w:val="0"/>
              <w:spacing w:before="0" w:after="0" w:line="240" w:lineRule="auto"/>
              <w:ind w:right="0" w:rightChars="0"/>
              <w:jc w:val="center"/>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XCT5L6</w:t>
            </w:r>
          </w:p>
        </w:tc>
        <w:tc>
          <w:tcPr>
            <w:tcW w:w="612" w:type="dxa"/>
            <w:shd w:val="clear" w:color="auto" w:fill="auto"/>
            <w:vAlign w:val="center"/>
          </w:tcPr>
          <w:p w14:paraId="10A1EEBE">
            <w:pPr>
              <w:pStyle w:val="16"/>
              <w:keepNext w:val="0"/>
              <w:keepLines w:val="0"/>
              <w:pageBreakBefore w:val="0"/>
              <w:widowControl/>
              <w:kinsoku w:val="0"/>
              <w:wordWrap/>
              <w:overflowPunct/>
              <w:topLinePunct w:val="0"/>
              <w:autoSpaceDE w:val="0"/>
              <w:autoSpaceDN w:val="0"/>
              <w:bidi w:val="0"/>
              <w:adjustRightInd w:val="0"/>
              <w:snapToGrid w:val="0"/>
              <w:spacing w:before="0" w:after="0" w:line="240" w:lineRule="auto"/>
              <w:ind w:right="0" w:rightChars="0"/>
              <w:jc w:val="center"/>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台</w:t>
            </w:r>
          </w:p>
        </w:tc>
        <w:tc>
          <w:tcPr>
            <w:tcW w:w="600" w:type="dxa"/>
            <w:shd w:val="clear" w:color="auto" w:fill="auto"/>
            <w:vAlign w:val="center"/>
          </w:tcPr>
          <w:p w14:paraId="1BA191C5">
            <w:pPr>
              <w:pStyle w:val="16"/>
              <w:keepNext w:val="0"/>
              <w:keepLines w:val="0"/>
              <w:pageBreakBefore w:val="0"/>
              <w:widowControl/>
              <w:kinsoku w:val="0"/>
              <w:wordWrap/>
              <w:overflowPunct/>
              <w:topLinePunct w:val="0"/>
              <w:autoSpaceDE w:val="0"/>
              <w:autoSpaceDN w:val="0"/>
              <w:bidi w:val="0"/>
              <w:adjustRightInd w:val="0"/>
              <w:snapToGrid w:val="0"/>
              <w:spacing w:before="0" w:after="0" w:line="240" w:lineRule="auto"/>
              <w:ind w:right="0" w:rightChars="0"/>
              <w:jc w:val="center"/>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8</w:t>
            </w:r>
          </w:p>
        </w:tc>
        <w:tc>
          <w:tcPr>
            <w:tcW w:w="1372" w:type="dxa"/>
            <w:vAlign w:val="center"/>
          </w:tcPr>
          <w:p w14:paraId="7626108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50" w:type="dxa"/>
            <w:vAlign w:val="center"/>
          </w:tcPr>
          <w:p w14:paraId="06A4D4F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1" w:type="dxa"/>
            <w:vAlign w:val="center"/>
          </w:tcPr>
          <w:p w14:paraId="2B60AD7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803" w:type="dxa"/>
            <w:vAlign w:val="center"/>
          </w:tcPr>
          <w:p w14:paraId="775DA058">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939" w:type="dxa"/>
            <w:vAlign w:val="center"/>
          </w:tcPr>
          <w:p w14:paraId="14D0806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176EC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02" w:type="dxa"/>
            <w:vAlign w:val="center"/>
          </w:tcPr>
          <w:p w14:paraId="1012BF06">
            <w:pPr>
              <w:pStyle w:val="16"/>
              <w:keepNext w:val="0"/>
              <w:keepLines w:val="0"/>
              <w:pageBreakBefore w:val="0"/>
              <w:widowControl/>
              <w:kinsoku w:val="0"/>
              <w:wordWrap/>
              <w:overflowPunct/>
              <w:topLinePunct w:val="0"/>
              <w:autoSpaceDE w:val="0"/>
              <w:autoSpaceDN w:val="0"/>
              <w:bidi w:val="0"/>
              <w:adjustRightInd w:val="0"/>
              <w:snapToGrid w:val="0"/>
              <w:spacing w:before="0" w:after="0" w:line="240" w:lineRule="auto"/>
              <w:ind w:right="0" w:rightChars="0"/>
              <w:jc w:val="center"/>
              <w:textAlignment w:val="baseline"/>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7</w:t>
            </w:r>
          </w:p>
        </w:tc>
        <w:tc>
          <w:tcPr>
            <w:tcW w:w="1868" w:type="dxa"/>
            <w:shd w:val="clear" w:color="auto" w:fill="auto"/>
            <w:vAlign w:val="center"/>
          </w:tcPr>
          <w:p w14:paraId="77B45C25">
            <w:pPr>
              <w:pStyle w:val="16"/>
              <w:keepNext w:val="0"/>
              <w:keepLines w:val="0"/>
              <w:pageBreakBefore w:val="0"/>
              <w:widowControl/>
              <w:kinsoku w:val="0"/>
              <w:wordWrap/>
              <w:overflowPunct/>
              <w:topLinePunct w:val="0"/>
              <w:autoSpaceDE w:val="0"/>
              <w:autoSpaceDN w:val="0"/>
              <w:bidi w:val="0"/>
              <w:adjustRightInd w:val="0"/>
              <w:snapToGrid w:val="0"/>
              <w:spacing w:before="0" w:after="0" w:line="240" w:lineRule="auto"/>
              <w:ind w:right="0" w:rightChars="0"/>
              <w:jc w:val="center"/>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面包车</w:t>
            </w:r>
          </w:p>
        </w:tc>
        <w:tc>
          <w:tcPr>
            <w:tcW w:w="963" w:type="dxa"/>
            <w:shd w:val="clear" w:color="auto" w:fill="auto"/>
            <w:vAlign w:val="center"/>
          </w:tcPr>
          <w:p w14:paraId="4317770A">
            <w:pPr>
              <w:pStyle w:val="16"/>
              <w:keepNext w:val="0"/>
              <w:keepLines w:val="0"/>
              <w:pageBreakBefore w:val="0"/>
              <w:widowControl/>
              <w:kinsoku w:val="0"/>
              <w:wordWrap/>
              <w:overflowPunct/>
              <w:topLinePunct w:val="0"/>
              <w:autoSpaceDE w:val="0"/>
              <w:autoSpaceDN w:val="0"/>
              <w:bidi w:val="0"/>
              <w:adjustRightInd w:val="0"/>
              <w:snapToGrid w:val="0"/>
              <w:spacing w:before="0" w:after="0" w:line="240" w:lineRule="auto"/>
              <w:ind w:right="0" w:rightChars="0"/>
              <w:jc w:val="center"/>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五菱宏光</w:t>
            </w:r>
          </w:p>
        </w:tc>
        <w:tc>
          <w:tcPr>
            <w:tcW w:w="612" w:type="dxa"/>
            <w:shd w:val="clear" w:color="auto" w:fill="auto"/>
            <w:vAlign w:val="center"/>
          </w:tcPr>
          <w:p w14:paraId="5A0CD15C">
            <w:pPr>
              <w:pStyle w:val="16"/>
              <w:keepNext w:val="0"/>
              <w:keepLines w:val="0"/>
              <w:pageBreakBefore w:val="0"/>
              <w:widowControl/>
              <w:kinsoku w:val="0"/>
              <w:wordWrap/>
              <w:overflowPunct/>
              <w:topLinePunct w:val="0"/>
              <w:autoSpaceDE w:val="0"/>
              <w:autoSpaceDN w:val="0"/>
              <w:bidi w:val="0"/>
              <w:adjustRightInd w:val="0"/>
              <w:snapToGrid w:val="0"/>
              <w:spacing w:before="0" w:after="0" w:line="240" w:lineRule="auto"/>
              <w:ind w:right="0" w:rightChars="0"/>
              <w:jc w:val="center"/>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辆</w:t>
            </w:r>
          </w:p>
        </w:tc>
        <w:tc>
          <w:tcPr>
            <w:tcW w:w="600" w:type="dxa"/>
            <w:shd w:val="clear" w:color="auto" w:fill="auto"/>
            <w:vAlign w:val="center"/>
          </w:tcPr>
          <w:p w14:paraId="2CB547D1">
            <w:pPr>
              <w:pStyle w:val="16"/>
              <w:keepNext w:val="0"/>
              <w:keepLines w:val="0"/>
              <w:pageBreakBefore w:val="0"/>
              <w:widowControl/>
              <w:kinsoku w:val="0"/>
              <w:wordWrap/>
              <w:overflowPunct/>
              <w:topLinePunct w:val="0"/>
              <w:autoSpaceDE w:val="0"/>
              <w:autoSpaceDN w:val="0"/>
              <w:bidi w:val="0"/>
              <w:adjustRightInd w:val="0"/>
              <w:snapToGrid w:val="0"/>
              <w:spacing w:before="0" w:after="0" w:line="240" w:lineRule="auto"/>
              <w:ind w:right="0" w:rightChars="0"/>
              <w:jc w:val="center"/>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372" w:type="dxa"/>
            <w:vAlign w:val="center"/>
          </w:tcPr>
          <w:p w14:paraId="7B17AEEB">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50" w:type="dxa"/>
            <w:vAlign w:val="center"/>
          </w:tcPr>
          <w:p w14:paraId="5ED3758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1" w:type="dxa"/>
            <w:vAlign w:val="center"/>
          </w:tcPr>
          <w:p w14:paraId="0554981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803" w:type="dxa"/>
            <w:vAlign w:val="center"/>
          </w:tcPr>
          <w:p w14:paraId="3B62212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939" w:type="dxa"/>
            <w:vAlign w:val="center"/>
          </w:tcPr>
          <w:p w14:paraId="2A5F1DE7">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9721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02" w:type="dxa"/>
            <w:vAlign w:val="center"/>
          </w:tcPr>
          <w:p w14:paraId="1FC7EA6A">
            <w:pPr>
              <w:pStyle w:val="16"/>
              <w:keepNext w:val="0"/>
              <w:keepLines w:val="0"/>
              <w:pageBreakBefore w:val="0"/>
              <w:widowControl/>
              <w:kinsoku w:val="0"/>
              <w:wordWrap/>
              <w:overflowPunct/>
              <w:topLinePunct w:val="0"/>
              <w:autoSpaceDE w:val="0"/>
              <w:autoSpaceDN w:val="0"/>
              <w:bidi w:val="0"/>
              <w:adjustRightInd w:val="0"/>
              <w:snapToGrid w:val="0"/>
              <w:spacing w:before="0" w:after="0" w:line="240" w:lineRule="auto"/>
              <w:ind w:right="0" w:rightChars="0"/>
              <w:jc w:val="center"/>
              <w:textAlignment w:val="baseline"/>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8</w:t>
            </w:r>
          </w:p>
        </w:tc>
        <w:tc>
          <w:tcPr>
            <w:tcW w:w="1868" w:type="dxa"/>
            <w:shd w:val="clear" w:color="auto" w:fill="auto"/>
            <w:vAlign w:val="center"/>
          </w:tcPr>
          <w:p w14:paraId="7C35FE73">
            <w:pPr>
              <w:pStyle w:val="16"/>
              <w:keepNext w:val="0"/>
              <w:keepLines w:val="0"/>
              <w:pageBreakBefore w:val="0"/>
              <w:widowControl/>
              <w:kinsoku w:val="0"/>
              <w:wordWrap/>
              <w:overflowPunct/>
              <w:topLinePunct w:val="0"/>
              <w:autoSpaceDE w:val="0"/>
              <w:autoSpaceDN w:val="0"/>
              <w:bidi w:val="0"/>
              <w:adjustRightInd w:val="0"/>
              <w:snapToGrid w:val="0"/>
              <w:spacing w:before="0" w:after="0" w:line="240" w:lineRule="auto"/>
              <w:ind w:right="0" w:rightChars="0"/>
              <w:jc w:val="center"/>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挖掘机</w:t>
            </w:r>
          </w:p>
        </w:tc>
        <w:tc>
          <w:tcPr>
            <w:tcW w:w="963" w:type="dxa"/>
            <w:shd w:val="clear" w:color="auto" w:fill="auto"/>
            <w:vAlign w:val="center"/>
          </w:tcPr>
          <w:p w14:paraId="4B788FF4">
            <w:pPr>
              <w:pStyle w:val="16"/>
              <w:keepNext w:val="0"/>
              <w:keepLines w:val="0"/>
              <w:pageBreakBefore w:val="0"/>
              <w:widowControl/>
              <w:kinsoku w:val="0"/>
              <w:wordWrap/>
              <w:overflowPunct/>
              <w:topLinePunct w:val="0"/>
              <w:autoSpaceDE w:val="0"/>
              <w:autoSpaceDN w:val="0"/>
              <w:bidi w:val="0"/>
              <w:adjustRightInd w:val="0"/>
              <w:snapToGrid w:val="0"/>
              <w:spacing w:before="0" w:after="0" w:line="240" w:lineRule="auto"/>
              <w:ind w:right="0" w:rightChars="0"/>
              <w:jc w:val="center"/>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XG809F</w:t>
            </w:r>
          </w:p>
        </w:tc>
        <w:tc>
          <w:tcPr>
            <w:tcW w:w="612" w:type="dxa"/>
            <w:shd w:val="clear" w:color="auto" w:fill="auto"/>
            <w:vAlign w:val="center"/>
          </w:tcPr>
          <w:p w14:paraId="06C25C16">
            <w:pPr>
              <w:pStyle w:val="16"/>
              <w:keepNext w:val="0"/>
              <w:keepLines w:val="0"/>
              <w:pageBreakBefore w:val="0"/>
              <w:widowControl/>
              <w:kinsoku w:val="0"/>
              <w:wordWrap/>
              <w:overflowPunct/>
              <w:topLinePunct w:val="0"/>
              <w:autoSpaceDE w:val="0"/>
              <w:autoSpaceDN w:val="0"/>
              <w:bidi w:val="0"/>
              <w:adjustRightInd w:val="0"/>
              <w:snapToGrid w:val="0"/>
              <w:spacing w:before="0" w:after="0" w:line="240" w:lineRule="auto"/>
              <w:ind w:right="0" w:rightChars="0"/>
              <w:jc w:val="center"/>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台</w:t>
            </w:r>
          </w:p>
        </w:tc>
        <w:tc>
          <w:tcPr>
            <w:tcW w:w="600" w:type="dxa"/>
            <w:shd w:val="clear" w:color="auto" w:fill="auto"/>
            <w:vAlign w:val="center"/>
          </w:tcPr>
          <w:p w14:paraId="5E66EA11">
            <w:pPr>
              <w:pStyle w:val="16"/>
              <w:keepNext w:val="0"/>
              <w:keepLines w:val="0"/>
              <w:pageBreakBefore w:val="0"/>
              <w:widowControl/>
              <w:kinsoku w:val="0"/>
              <w:wordWrap/>
              <w:overflowPunct/>
              <w:topLinePunct w:val="0"/>
              <w:autoSpaceDE w:val="0"/>
              <w:autoSpaceDN w:val="0"/>
              <w:bidi w:val="0"/>
              <w:adjustRightInd w:val="0"/>
              <w:snapToGrid w:val="0"/>
              <w:spacing w:before="0" w:after="0" w:line="240" w:lineRule="auto"/>
              <w:ind w:right="0" w:rightChars="0"/>
              <w:jc w:val="center"/>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8</w:t>
            </w:r>
          </w:p>
        </w:tc>
        <w:tc>
          <w:tcPr>
            <w:tcW w:w="1372" w:type="dxa"/>
            <w:vAlign w:val="center"/>
          </w:tcPr>
          <w:p w14:paraId="38D26CA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50" w:type="dxa"/>
            <w:vAlign w:val="center"/>
          </w:tcPr>
          <w:p w14:paraId="5D342DB7">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1" w:type="dxa"/>
            <w:vAlign w:val="center"/>
          </w:tcPr>
          <w:p w14:paraId="741EBFB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803" w:type="dxa"/>
            <w:vAlign w:val="center"/>
          </w:tcPr>
          <w:p w14:paraId="0D54172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939" w:type="dxa"/>
            <w:vAlign w:val="center"/>
          </w:tcPr>
          <w:p w14:paraId="4B7AF2BB">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5307F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02" w:type="dxa"/>
            <w:vAlign w:val="center"/>
          </w:tcPr>
          <w:p w14:paraId="4317BE03">
            <w:pPr>
              <w:pStyle w:val="16"/>
              <w:keepNext w:val="0"/>
              <w:keepLines w:val="0"/>
              <w:pageBreakBefore w:val="0"/>
              <w:widowControl/>
              <w:kinsoku w:val="0"/>
              <w:wordWrap/>
              <w:overflowPunct/>
              <w:topLinePunct w:val="0"/>
              <w:autoSpaceDE w:val="0"/>
              <w:autoSpaceDN w:val="0"/>
              <w:bidi w:val="0"/>
              <w:adjustRightInd w:val="0"/>
              <w:snapToGrid w:val="0"/>
              <w:spacing w:before="0" w:after="0" w:line="240" w:lineRule="auto"/>
              <w:ind w:right="0" w:rightChars="0"/>
              <w:jc w:val="center"/>
              <w:textAlignment w:val="baseline"/>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9</w:t>
            </w:r>
          </w:p>
        </w:tc>
        <w:tc>
          <w:tcPr>
            <w:tcW w:w="1868" w:type="dxa"/>
            <w:shd w:val="clear" w:color="auto" w:fill="auto"/>
            <w:vAlign w:val="center"/>
          </w:tcPr>
          <w:p w14:paraId="5D26B6EE">
            <w:pPr>
              <w:pStyle w:val="16"/>
              <w:keepNext w:val="0"/>
              <w:keepLines w:val="0"/>
              <w:pageBreakBefore w:val="0"/>
              <w:widowControl/>
              <w:kinsoku w:val="0"/>
              <w:wordWrap/>
              <w:overflowPunct/>
              <w:topLinePunct w:val="0"/>
              <w:autoSpaceDE w:val="0"/>
              <w:autoSpaceDN w:val="0"/>
              <w:bidi w:val="0"/>
              <w:adjustRightInd w:val="0"/>
              <w:snapToGrid w:val="0"/>
              <w:spacing w:before="0" w:after="0" w:line="240" w:lineRule="auto"/>
              <w:ind w:right="0" w:rightChars="0"/>
              <w:jc w:val="center"/>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越野车</w:t>
            </w:r>
          </w:p>
        </w:tc>
        <w:tc>
          <w:tcPr>
            <w:tcW w:w="963" w:type="dxa"/>
            <w:shd w:val="clear" w:color="auto" w:fill="auto"/>
            <w:vAlign w:val="center"/>
          </w:tcPr>
          <w:p w14:paraId="4FE060DA">
            <w:pPr>
              <w:pStyle w:val="16"/>
              <w:keepNext w:val="0"/>
              <w:keepLines w:val="0"/>
              <w:pageBreakBefore w:val="0"/>
              <w:widowControl/>
              <w:kinsoku w:val="0"/>
              <w:wordWrap/>
              <w:overflowPunct/>
              <w:topLinePunct w:val="0"/>
              <w:autoSpaceDE w:val="0"/>
              <w:autoSpaceDN w:val="0"/>
              <w:bidi w:val="0"/>
              <w:adjustRightInd w:val="0"/>
              <w:snapToGrid w:val="0"/>
              <w:spacing w:before="0" w:after="0" w:line="240" w:lineRule="auto"/>
              <w:ind w:right="0" w:rightChars="0"/>
              <w:jc w:val="center"/>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长城</w:t>
            </w:r>
          </w:p>
        </w:tc>
        <w:tc>
          <w:tcPr>
            <w:tcW w:w="612" w:type="dxa"/>
            <w:shd w:val="clear" w:color="auto" w:fill="auto"/>
            <w:vAlign w:val="center"/>
          </w:tcPr>
          <w:p w14:paraId="2CB6C48B">
            <w:pPr>
              <w:pStyle w:val="16"/>
              <w:keepNext w:val="0"/>
              <w:keepLines w:val="0"/>
              <w:pageBreakBefore w:val="0"/>
              <w:widowControl/>
              <w:kinsoku w:val="0"/>
              <w:wordWrap/>
              <w:overflowPunct/>
              <w:topLinePunct w:val="0"/>
              <w:autoSpaceDE w:val="0"/>
              <w:autoSpaceDN w:val="0"/>
              <w:bidi w:val="0"/>
              <w:adjustRightInd w:val="0"/>
              <w:snapToGrid w:val="0"/>
              <w:spacing w:before="0" w:after="0" w:line="240" w:lineRule="auto"/>
              <w:ind w:right="0" w:rightChars="0"/>
              <w:jc w:val="center"/>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辆</w:t>
            </w:r>
          </w:p>
        </w:tc>
        <w:tc>
          <w:tcPr>
            <w:tcW w:w="600" w:type="dxa"/>
            <w:shd w:val="clear" w:color="auto" w:fill="auto"/>
            <w:vAlign w:val="center"/>
          </w:tcPr>
          <w:p w14:paraId="1A391AE3">
            <w:pPr>
              <w:pStyle w:val="16"/>
              <w:keepNext w:val="0"/>
              <w:keepLines w:val="0"/>
              <w:pageBreakBefore w:val="0"/>
              <w:widowControl/>
              <w:kinsoku w:val="0"/>
              <w:wordWrap/>
              <w:overflowPunct/>
              <w:topLinePunct w:val="0"/>
              <w:autoSpaceDE w:val="0"/>
              <w:autoSpaceDN w:val="0"/>
              <w:bidi w:val="0"/>
              <w:adjustRightInd w:val="0"/>
              <w:snapToGrid w:val="0"/>
              <w:spacing w:before="0" w:after="0" w:line="240" w:lineRule="auto"/>
              <w:ind w:right="0" w:rightChars="0"/>
              <w:jc w:val="center"/>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1372" w:type="dxa"/>
            <w:vAlign w:val="center"/>
          </w:tcPr>
          <w:p w14:paraId="393F34B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50" w:type="dxa"/>
            <w:vAlign w:val="center"/>
          </w:tcPr>
          <w:p w14:paraId="33D98A87">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1" w:type="dxa"/>
            <w:vAlign w:val="center"/>
          </w:tcPr>
          <w:p w14:paraId="4C0B6B4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803" w:type="dxa"/>
            <w:vAlign w:val="center"/>
          </w:tcPr>
          <w:p w14:paraId="25D0DC0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939" w:type="dxa"/>
            <w:vAlign w:val="center"/>
          </w:tcPr>
          <w:p w14:paraId="1DDFE01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5A09F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02" w:type="dxa"/>
            <w:vAlign w:val="center"/>
          </w:tcPr>
          <w:p w14:paraId="4A9B7EFB">
            <w:pPr>
              <w:pStyle w:val="16"/>
              <w:keepNext w:val="0"/>
              <w:keepLines w:val="0"/>
              <w:pageBreakBefore w:val="0"/>
              <w:widowControl/>
              <w:kinsoku w:val="0"/>
              <w:wordWrap/>
              <w:overflowPunct/>
              <w:topLinePunct w:val="0"/>
              <w:autoSpaceDE w:val="0"/>
              <w:autoSpaceDN w:val="0"/>
              <w:bidi w:val="0"/>
              <w:adjustRightInd w:val="0"/>
              <w:snapToGrid w:val="0"/>
              <w:spacing w:before="0" w:after="0" w:line="240" w:lineRule="auto"/>
              <w:ind w:right="0" w:rightChars="0"/>
              <w:jc w:val="center"/>
              <w:textAlignment w:val="baseline"/>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10</w:t>
            </w:r>
          </w:p>
        </w:tc>
        <w:tc>
          <w:tcPr>
            <w:tcW w:w="1868" w:type="dxa"/>
            <w:shd w:val="clear" w:color="auto" w:fill="auto"/>
            <w:vAlign w:val="center"/>
          </w:tcPr>
          <w:p w14:paraId="3D2B466D">
            <w:pPr>
              <w:pStyle w:val="16"/>
              <w:keepNext w:val="0"/>
              <w:keepLines w:val="0"/>
              <w:pageBreakBefore w:val="0"/>
              <w:widowControl/>
              <w:kinsoku w:val="0"/>
              <w:wordWrap/>
              <w:overflowPunct/>
              <w:topLinePunct w:val="0"/>
              <w:autoSpaceDE w:val="0"/>
              <w:autoSpaceDN w:val="0"/>
              <w:bidi w:val="0"/>
              <w:adjustRightInd w:val="0"/>
              <w:snapToGrid w:val="0"/>
              <w:spacing w:before="0" w:after="0" w:line="240" w:lineRule="auto"/>
              <w:ind w:right="0" w:rightChars="0"/>
              <w:jc w:val="center"/>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皮卡</w:t>
            </w:r>
          </w:p>
        </w:tc>
        <w:tc>
          <w:tcPr>
            <w:tcW w:w="963" w:type="dxa"/>
            <w:shd w:val="clear" w:color="auto" w:fill="auto"/>
            <w:vAlign w:val="center"/>
          </w:tcPr>
          <w:p w14:paraId="6B31147A">
            <w:pPr>
              <w:pStyle w:val="16"/>
              <w:keepNext w:val="0"/>
              <w:keepLines w:val="0"/>
              <w:pageBreakBefore w:val="0"/>
              <w:widowControl/>
              <w:kinsoku w:val="0"/>
              <w:wordWrap/>
              <w:overflowPunct/>
              <w:topLinePunct w:val="0"/>
              <w:autoSpaceDE w:val="0"/>
              <w:autoSpaceDN w:val="0"/>
              <w:bidi w:val="0"/>
              <w:adjustRightInd w:val="0"/>
              <w:snapToGrid w:val="0"/>
              <w:spacing w:before="0" w:after="0" w:line="240" w:lineRule="auto"/>
              <w:ind w:right="0" w:rightChars="0"/>
              <w:jc w:val="center"/>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长城炮</w:t>
            </w:r>
          </w:p>
        </w:tc>
        <w:tc>
          <w:tcPr>
            <w:tcW w:w="612" w:type="dxa"/>
            <w:shd w:val="clear" w:color="auto" w:fill="auto"/>
            <w:vAlign w:val="center"/>
          </w:tcPr>
          <w:p w14:paraId="1FC767BC">
            <w:pPr>
              <w:pStyle w:val="16"/>
              <w:keepNext w:val="0"/>
              <w:keepLines w:val="0"/>
              <w:pageBreakBefore w:val="0"/>
              <w:widowControl/>
              <w:kinsoku w:val="0"/>
              <w:wordWrap/>
              <w:overflowPunct/>
              <w:topLinePunct w:val="0"/>
              <w:autoSpaceDE w:val="0"/>
              <w:autoSpaceDN w:val="0"/>
              <w:bidi w:val="0"/>
              <w:adjustRightInd w:val="0"/>
              <w:snapToGrid w:val="0"/>
              <w:spacing w:before="0" w:after="0" w:line="240" w:lineRule="auto"/>
              <w:ind w:right="0" w:rightChars="0"/>
              <w:jc w:val="center"/>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辆</w:t>
            </w:r>
          </w:p>
        </w:tc>
        <w:tc>
          <w:tcPr>
            <w:tcW w:w="600" w:type="dxa"/>
            <w:shd w:val="clear" w:color="auto" w:fill="auto"/>
            <w:vAlign w:val="center"/>
          </w:tcPr>
          <w:p w14:paraId="3613E615">
            <w:pPr>
              <w:pStyle w:val="16"/>
              <w:keepNext w:val="0"/>
              <w:keepLines w:val="0"/>
              <w:pageBreakBefore w:val="0"/>
              <w:widowControl/>
              <w:kinsoku w:val="0"/>
              <w:wordWrap/>
              <w:overflowPunct/>
              <w:topLinePunct w:val="0"/>
              <w:autoSpaceDE w:val="0"/>
              <w:autoSpaceDN w:val="0"/>
              <w:bidi w:val="0"/>
              <w:adjustRightInd w:val="0"/>
              <w:snapToGrid w:val="0"/>
              <w:spacing w:before="0" w:after="0" w:line="240" w:lineRule="auto"/>
              <w:ind w:right="0" w:rightChars="0"/>
              <w:jc w:val="center"/>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8</w:t>
            </w:r>
          </w:p>
        </w:tc>
        <w:tc>
          <w:tcPr>
            <w:tcW w:w="1372" w:type="dxa"/>
            <w:vAlign w:val="center"/>
          </w:tcPr>
          <w:p w14:paraId="374355A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50" w:type="dxa"/>
            <w:vAlign w:val="center"/>
          </w:tcPr>
          <w:p w14:paraId="2E80EF7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1" w:type="dxa"/>
            <w:vAlign w:val="center"/>
          </w:tcPr>
          <w:p w14:paraId="5504B55B">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803" w:type="dxa"/>
            <w:vAlign w:val="center"/>
          </w:tcPr>
          <w:p w14:paraId="52AB870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939" w:type="dxa"/>
            <w:vAlign w:val="center"/>
          </w:tcPr>
          <w:p w14:paraId="7B57B4C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580A3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02" w:type="dxa"/>
            <w:vAlign w:val="center"/>
          </w:tcPr>
          <w:p w14:paraId="36FCB7CE">
            <w:pPr>
              <w:pStyle w:val="16"/>
              <w:keepNext w:val="0"/>
              <w:keepLines w:val="0"/>
              <w:pageBreakBefore w:val="0"/>
              <w:widowControl/>
              <w:kinsoku w:val="0"/>
              <w:wordWrap/>
              <w:overflowPunct/>
              <w:topLinePunct w:val="0"/>
              <w:autoSpaceDE w:val="0"/>
              <w:autoSpaceDN w:val="0"/>
              <w:bidi w:val="0"/>
              <w:adjustRightInd w:val="0"/>
              <w:snapToGrid w:val="0"/>
              <w:spacing w:before="0" w:after="0" w:line="240" w:lineRule="auto"/>
              <w:ind w:right="0" w:rightChars="0"/>
              <w:jc w:val="center"/>
              <w:textAlignment w:val="baseline"/>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11</w:t>
            </w:r>
          </w:p>
        </w:tc>
        <w:tc>
          <w:tcPr>
            <w:tcW w:w="1868" w:type="dxa"/>
            <w:shd w:val="clear" w:color="auto" w:fill="auto"/>
            <w:vAlign w:val="center"/>
          </w:tcPr>
          <w:p w14:paraId="751B8D0A">
            <w:pPr>
              <w:pStyle w:val="16"/>
              <w:keepNext w:val="0"/>
              <w:keepLines w:val="0"/>
              <w:pageBreakBefore w:val="0"/>
              <w:widowControl/>
              <w:kinsoku w:val="0"/>
              <w:wordWrap/>
              <w:overflowPunct/>
              <w:topLinePunct w:val="0"/>
              <w:autoSpaceDE w:val="0"/>
              <w:autoSpaceDN w:val="0"/>
              <w:bidi w:val="0"/>
              <w:adjustRightInd w:val="0"/>
              <w:snapToGrid w:val="0"/>
              <w:spacing w:before="0" w:after="0" w:line="240" w:lineRule="auto"/>
              <w:ind w:right="0" w:rightChars="0"/>
              <w:jc w:val="center"/>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打草机</w:t>
            </w:r>
          </w:p>
        </w:tc>
        <w:tc>
          <w:tcPr>
            <w:tcW w:w="963" w:type="dxa"/>
            <w:shd w:val="clear" w:color="auto" w:fill="auto"/>
            <w:vAlign w:val="center"/>
          </w:tcPr>
          <w:p w14:paraId="1698F086">
            <w:pPr>
              <w:pStyle w:val="16"/>
              <w:keepNext w:val="0"/>
              <w:keepLines w:val="0"/>
              <w:pageBreakBefore w:val="0"/>
              <w:widowControl/>
              <w:kinsoku w:val="0"/>
              <w:wordWrap/>
              <w:overflowPunct/>
              <w:topLinePunct w:val="0"/>
              <w:autoSpaceDE w:val="0"/>
              <w:autoSpaceDN w:val="0"/>
              <w:bidi w:val="0"/>
              <w:adjustRightInd w:val="0"/>
              <w:snapToGrid w:val="0"/>
              <w:spacing w:before="0" w:after="0" w:line="240" w:lineRule="auto"/>
              <w:ind w:right="0" w:rightChars="0"/>
              <w:jc w:val="center"/>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四冲程</w:t>
            </w:r>
          </w:p>
        </w:tc>
        <w:tc>
          <w:tcPr>
            <w:tcW w:w="612" w:type="dxa"/>
            <w:shd w:val="clear" w:color="auto" w:fill="auto"/>
            <w:vAlign w:val="center"/>
          </w:tcPr>
          <w:p w14:paraId="6CDBC294">
            <w:pPr>
              <w:pStyle w:val="16"/>
              <w:keepNext w:val="0"/>
              <w:keepLines w:val="0"/>
              <w:pageBreakBefore w:val="0"/>
              <w:widowControl/>
              <w:kinsoku w:val="0"/>
              <w:wordWrap/>
              <w:overflowPunct/>
              <w:topLinePunct w:val="0"/>
              <w:autoSpaceDE w:val="0"/>
              <w:autoSpaceDN w:val="0"/>
              <w:bidi w:val="0"/>
              <w:adjustRightInd w:val="0"/>
              <w:snapToGrid w:val="0"/>
              <w:spacing w:before="0" w:after="0" w:line="240" w:lineRule="auto"/>
              <w:ind w:right="0" w:rightChars="0"/>
              <w:jc w:val="center"/>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台</w:t>
            </w:r>
          </w:p>
        </w:tc>
        <w:tc>
          <w:tcPr>
            <w:tcW w:w="600" w:type="dxa"/>
            <w:shd w:val="clear" w:color="auto" w:fill="auto"/>
            <w:vAlign w:val="center"/>
          </w:tcPr>
          <w:p w14:paraId="13AB2881">
            <w:pPr>
              <w:pStyle w:val="16"/>
              <w:keepNext w:val="0"/>
              <w:keepLines w:val="0"/>
              <w:pageBreakBefore w:val="0"/>
              <w:widowControl/>
              <w:kinsoku w:val="0"/>
              <w:wordWrap/>
              <w:overflowPunct/>
              <w:topLinePunct w:val="0"/>
              <w:autoSpaceDE w:val="0"/>
              <w:autoSpaceDN w:val="0"/>
              <w:bidi w:val="0"/>
              <w:adjustRightInd w:val="0"/>
              <w:snapToGrid w:val="0"/>
              <w:spacing w:before="0" w:after="0" w:line="240" w:lineRule="auto"/>
              <w:ind w:right="0" w:rightChars="0"/>
              <w:jc w:val="center"/>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240</w:t>
            </w:r>
          </w:p>
        </w:tc>
        <w:tc>
          <w:tcPr>
            <w:tcW w:w="1372" w:type="dxa"/>
            <w:vAlign w:val="center"/>
          </w:tcPr>
          <w:p w14:paraId="27BF0DD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50" w:type="dxa"/>
            <w:vAlign w:val="center"/>
          </w:tcPr>
          <w:p w14:paraId="43D879E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1" w:type="dxa"/>
            <w:vAlign w:val="center"/>
          </w:tcPr>
          <w:p w14:paraId="0F27582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803" w:type="dxa"/>
            <w:vAlign w:val="center"/>
          </w:tcPr>
          <w:p w14:paraId="3ACE007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939" w:type="dxa"/>
            <w:vAlign w:val="center"/>
          </w:tcPr>
          <w:p w14:paraId="7C19EA47">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6DD0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02" w:type="dxa"/>
            <w:vAlign w:val="center"/>
          </w:tcPr>
          <w:p w14:paraId="115C1429">
            <w:pPr>
              <w:pStyle w:val="16"/>
              <w:keepNext w:val="0"/>
              <w:keepLines w:val="0"/>
              <w:pageBreakBefore w:val="0"/>
              <w:widowControl/>
              <w:kinsoku w:val="0"/>
              <w:wordWrap/>
              <w:overflowPunct/>
              <w:topLinePunct w:val="0"/>
              <w:autoSpaceDE w:val="0"/>
              <w:autoSpaceDN w:val="0"/>
              <w:bidi w:val="0"/>
              <w:adjustRightInd w:val="0"/>
              <w:snapToGrid w:val="0"/>
              <w:spacing w:before="0" w:after="0" w:line="240" w:lineRule="auto"/>
              <w:ind w:right="0" w:rightChars="0"/>
              <w:jc w:val="center"/>
              <w:textAlignment w:val="baseline"/>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12</w:t>
            </w:r>
          </w:p>
        </w:tc>
        <w:tc>
          <w:tcPr>
            <w:tcW w:w="1868" w:type="dxa"/>
            <w:shd w:val="clear" w:color="auto" w:fill="auto"/>
            <w:vAlign w:val="center"/>
          </w:tcPr>
          <w:p w14:paraId="652BE884">
            <w:pPr>
              <w:pStyle w:val="16"/>
              <w:keepNext w:val="0"/>
              <w:keepLines w:val="0"/>
              <w:pageBreakBefore w:val="0"/>
              <w:widowControl/>
              <w:kinsoku w:val="0"/>
              <w:wordWrap/>
              <w:overflowPunct/>
              <w:topLinePunct w:val="0"/>
              <w:autoSpaceDE w:val="0"/>
              <w:autoSpaceDN w:val="0"/>
              <w:bidi w:val="0"/>
              <w:adjustRightInd w:val="0"/>
              <w:snapToGrid w:val="0"/>
              <w:spacing w:before="0" w:after="0" w:line="240" w:lineRule="auto"/>
              <w:ind w:right="0" w:rightChars="0"/>
              <w:jc w:val="center"/>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打药机</w:t>
            </w:r>
          </w:p>
        </w:tc>
        <w:tc>
          <w:tcPr>
            <w:tcW w:w="963" w:type="dxa"/>
            <w:shd w:val="clear" w:color="auto" w:fill="auto"/>
            <w:vAlign w:val="center"/>
          </w:tcPr>
          <w:p w14:paraId="6C7949BE">
            <w:pPr>
              <w:pStyle w:val="16"/>
              <w:keepNext w:val="0"/>
              <w:keepLines w:val="0"/>
              <w:pageBreakBefore w:val="0"/>
              <w:widowControl/>
              <w:kinsoku w:val="0"/>
              <w:wordWrap/>
              <w:overflowPunct/>
              <w:topLinePunct w:val="0"/>
              <w:autoSpaceDE w:val="0"/>
              <w:autoSpaceDN w:val="0"/>
              <w:bidi w:val="0"/>
              <w:adjustRightInd w:val="0"/>
              <w:snapToGrid w:val="0"/>
              <w:spacing w:before="0" w:after="0" w:line="240" w:lineRule="auto"/>
              <w:ind w:right="0" w:rightChars="0"/>
              <w:jc w:val="center"/>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HF-MW 180</w:t>
            </w:r>
          </w:p>
        </w:tc>
        <w:tc>
          <w:tcPr>
            <w:tcW w:w="612" w:type="dxa"/>
            <w:shd w:val="clear" w:color="auto" w:fill="auto"/>
            <w:vAlign w:val="center"/>
          </w:tcPr>
          <w:p w14:paraId="55A4BE8C">
            <w:pPr>
              <w:pStyle w:val="16"/>
              <w:keepNext w:val="0"/>
              <w:keepLines w:val="0"/>
              <w:pageBreakBefore w:val="0"/>
              <w:widowControl/>
              <w:kinsoku w:val="0"/>
              <w:wordWrap/>
              <w:overflowPunct/>
              <w:topLinePunct w:val="0"/>
              <w:autoSpaceDE w:val="0"/>
              <w:autoSpaceDN w:val="0"/>
              <w:bidi w:val="0"/>
              <w:adjustRightInd w:val="0"/>
              <w:snapToGrid w:val="0"/>
              <w:spacing w:before="0" w:after="0" w:line="240" w:lineRule="auto"/>
              <w:ind w:right="0" w:rightChars="0"/>
              <w:jc w:val="center"/>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台</w:t>
            </w:r>
          </w:p>
        </w:tc>
        <w:tc>
          <w:tcPr>
            <w:tcW w:w="600" w:type="dxa"/>
            <w:shd w:val="clear" w:color="auto" w:fill="auto"/>
            <w:vAlign w:val="center"/>
          </w:tcPr>
          <w:p w14:paraId="661C9EE8">
            <w:pPr>
              <w:pStyle w:val="16"/>
              <w:keepNext w:val="0"/>
              <w:keepLines w:val="0"/>
              <w:pageBreakBefore w:val="0"/>
              <w:widowControl/>
              <w:kinsoku w:val="0"/>
              <w:wordWrap/>
              <w:overflowPunct/>
              <w:topLinePunct w:val="0"/>
              <w:autoSpaceDE w:val="0"/>
              <w:autoSpaceDN w:val="0"/>
              <w:bidi w:val="0"/>
              <w:adjustRightInd w:val="0"/>
              <w:snapToGrid w:val="0"/>
              <w:spacing w:before="0" w:after="0" w:line="240" w:lineRule="auto"/>
              <w:ind w:right="0" w:rightChars="0"/>
              <w:jc w:val="center"/>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8</w:t>
            </w:r>
          </w:p>
        </w:tc>
        <w:tc>
          <w:tcPr>
            <w:tcW w:w="1372" w:type="dxa"/>
            <w:vAlign w:val="center"/>
          </w:tcPr>
          <w:p w14:paraId="23495CE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50" w:type="dxa"/>
            <w:vAlign w:val="center"/>
          </w:tcPr>
          <w:p w14:paraId="4C7FF62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1" w:type="dxa"/>
            <w:vAlign w:val="center"/>
          </w:tcPr>
          <w:p w14:paraId="0C0F30BB">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803" w:type="dxa"/>
            <w:vAlign w:val="center"/>
          </w:tcPr>
          <w:p w14:paraId="67D637B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939" w:type="dxa"/>
            <w:vAlign w:val="center"/>
          </w:tcPr>
          <w:p w14:paraId="4FAF7F30">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8237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02" w:type="dxa"/>
            <w:vAlign w:val="center"/>
          </w:tcPr>
          <w:p w14:paraId="1E74CADC">
            <w:pPr>
              <w:pStyle w:val="16"/>
              <w:keepNext w:val="0"/>
              <w:keepLines w:val="0"/>
              <w:pageBreakBefore w:val="0"/>
              <w:widowControl/>
              <w:kinsoku w:val="0"/>
              <w:wordWrap/>
              <w:overflowPunct/>
              <w:topLinePunct w:val="0"/>
              <w:autoSpaceDE w:val="0"/>
              <w:autoSpaceDN w:val="0"/>
              <w:bidi w:val="0"/>
              <w:adjustRightInd w:val="0"/>
              <w:snapToGrid w:val="0"/>
              <w:spacing w:before="0" w:after="0" w:line="240" w:lineRule="auto"/>
              <w:ind w:right="0" w:rightChars="0"/>
              <w:jc w:val="center"/>
              <w:textAlignment w:val="baseline"/>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13</w:t>
            </w:r>
          </w:p>
        </w:tc>
        <w:tc>
          <w:tcPr>
            <w:tcW w:w="1868" w:type="dxa"/>
            <w:shd w:val="clear" w:color="auto" w:fill="auto"/>
            <w:vAlign w:val="center"/>
          </w:tcPr>
          <w:p w14:paraId="15347627">
            <w:pPr>
              <w:pStyle w:val="16"/>
              <w:keepNext w:val="0"/>
              <w:keepLines w:val="0"/>
              <w:pageBreakBefore w:val="0"/>
              <w:widowControl/>
              <w:kinsoku w:val="0"/>
              <w:wordWrap/>
              <w:overflowPunct/>
              <w:topLinePunct w:val="0"/>
              <w:autoSpaceDE w:val="0"/>
              <w:autoSpaceDN w:val="0"/>
              <w:bidi w:val="0"/>
              <w:adjustRightInd w:val="0"/>
              <w:snapToGrid w:val="0"/>
              <w:spacing w:before="0" w:after="0" w:line="240" w:lineRule="auto"/>
              <w:ind w:right="0" w:rightChars="0"/>
              <w:jc w:val="center"/>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发电机</w:t>
            </w:r>
          </w:p>
        </w:tc>
        <w:tc>
          <w:tcPr>
            <w:tcW w:w="963" w:type="dxa"/>
            <w:shd w:val="clear" w:color="auto" w:fill="auto"/>
            <w:vAlign w:val="center"/>
          </w:tcPr>
          <w:p w14:paraId="7A3F9C01">
            <w:pPr>
              <w:pStyle w:val="16"/>
              <w:keepNext w:val="0"/>
              <w:keepLines w:val="0"/>
              <w:pageBreakBefore w:val="0"/>
              <w:widowControl/>
              <w:kinsoku w:val="0"/>
              <w:wordWrap/>
              <w:overflowPunct/>
              <w:topLinePunct w:val="0"/>
              <w:autoSpaceDE w:val="0"/>
              <w:autoSpaceDN w:val="0"/>
              <w:bidi w:val="0"/>
              <w:adjustRightInd w:val="0"/>
              <w:snapToGrid w:val="0"/>
              <w:spacing w:before="0" w:after="0" w:line="240" w:lineRule="auto"/>
              <w:ind w:right="0" w:rightChars="0"/>
              <w:jc w:val="center"/>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6kw</w:t>
            </w:r>
          </w:p>
        </w:tc>
        <w:tc>
          <w:tcPr>
            <w:tcW w:w="612" w:type="dxa"/>
            <w:shd w:val="clear" w:color="auto" w:fill="auto"/>
            <w:vAlign w:val="center"/>
          </w:tcPr>
          <w:p w14:paraId="7B242EA3">
            <w:pPr>
              <w:pStyle w:val="16"/>
              <w:keepNext w:val="0"/>
              <w:keepLines w:val="0"/>
              <w:pageBreakBefore w:val="0"/>
              <w:widowControl/>
              <w:kinsoku w:val="0"/>
              <w:wordWrap/>
              <w:overflowPunct/>
              <w:topLinePunct w:val="0"/>
              <w:autoSpaceDE w:val="0"/>
              <w:autoSpaceDN w:val="0"/>
              <w:bidi w:val="0"/>
              <w:adjustRightInd w:val="0"/>
              <w:snapToGrid w:val="0"/>
              <w:spacing w:before="0" w:after="0" w:line="240" w:lineRule="auto"/>
              <w:ind w:right="0" w:rightChars="0"/>
              <w:jc w:val="center"/>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台</w:t>
            </w:r>
          </w:p>
        </w:tc>
        <w:tc>
          <w:tcPr>
            <w:tcW w:w="600" w:type="dxa"/>
            <w:shd w:val="clear" w:color="auto" w:fill="auto"/>
            <w:vAlign w:val="center"/>
          </w:tcPr>
          <w:p w14:paraId="40672F55">
            <w:pPr>
              <w:pStyle w:val="16"/>
              <w:keepNext w:val="0"/>
              <w:keepLines w:val="0"/>
              <w:pageBreakBefore w:val="0"/>
              <w:widowControl/>
              <w:kinsoku w:val="0"/>
              <w:wordWrap/>
              <w:overflowPunct/>
              <w:topLinePunct w:val="0"/>
              <w:autoSpaceDE w:val="0"/>
              <w:autoSpaceDN w:val="0"/>
              <w:bidi w:val="0"/>
              <w:adjustRightInd w:val="0"/>
              <w:snapToGrid w:val="0"/>
              <w:spacing w:before="0" w:after="0" w:line="240" w:lineRule="auto"/>
              <w:ind w:right="0" w:rightChars="0"/>
              <w:jc w:val="center"/>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8</w:t>
            </w:r>
          </w:p>
        </w:tc>
        <w:tc>
          <w:tcPr>
            <w:tcW w:w="1372" w:type="dxa"/>
            <w:vAlign w:val="center"/>
          </w:tcPr>
          <w:p w14:paraId="456AC7E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50" w:type="dxa"/>
            <w:vAlign w:val="center"/>
          </w:tcPr>
          <w:p w14:paraId="1A10A8D8">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1" w:type="dxa"/>
            <w:vAlign w:val="center"/>
          </w:tcPr>
          <w:p w14:paraId="386BA9C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803" w:type="dxa"/>
            <w:vAlign w:val="center"/>
          </w:tcPr>
          <w:p w14:paraId="5DC9CD8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939" w:type="dxa"/>
            <w:vAlign w:val="center"/>
          </w:tcPr>
          <w:p w14:paraId="1530EC27">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permEnd w:id="10"/>
    </w:tbl>
    <w:sdt>
      <w:sdtPr>
        <w:rPr>
          <w:rFonts w:hint="eastAsia" w:ascii="仿宋_GB2312" w:hAnsi="仿宋_GB2312" w:eastAsia="仿宋_GB2312" w:cs="仿宋_GB2312"/>
          <w:b/>
          <w:bCs/>
          <w:color w:val="000000" w:themeColor="text1"/>
          <w:highlight w:val="none"/>
          <w14:textFill>
            <w14:solidFill>
              <w14:schemeClr w14:val="tx1"/>
            </w14:solidFill>
          </w14:textFill>
        </w:rPr>
        <w:id w:val="147480782"/>
        <w:placeholder>
          <w:docPart w:val="{2a8edc03-82ed-4100-807b-6f268d6c2fc2}"/>
        </w:placeholder>
      </w:sdtPr>
      <w:sdtEndPr>
        <w:rPr>
          <w:rFonts w:hint="eastAsia" w:ascii="仿宋_GB2312" w:hAnsi="仿宋_GB2312" w:eastAsia="仿宋_GB2312" w:cs="仿宋_GB2312"/>
          <w:b/>
          <w:bCs/>
          <w:color w:val="000000" w:themeColor="text1"/>
          <w:highlight w:val="none"/>
          <w14:textFill>
            <w14:solidFill>
              <w14:schemeClr w14:val="tx1"/>
            </w14:solidFill>
          </w14:textFill>
        </w:rPr>
      </w:sdtEndPr>
      <w:sdtContent>
        <w:p w14:paraId="45018B36">
          <w:pPr>
            <w:pStyle w:val="15"/>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5" w:name="_Toc30367"/>
          <w:r>
            <w:rPr>
              <w:rFonts w:hint="eastAsia" w:ascii="仿宋_GB2312" w:hAnsi="仿宋_GB2312" w:eastAsia="仿宋_GB2312" w:cs="仿宋_GB2312"/>
              <w:b/>
              <w:bCs/>
              <w:color w:val="000000" w:themeColor="text1"/>
              <w:highlight w:val="none"/>
              <w14:textFill>
                <w14:solidFill>
                  <w14:schemeClr w14:val="tx1"/>
                </w14:solidFill>
              </w14:textFill>
            </w:rPr>
            <w:t>租赁</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w:t>
          </w:r>
          <w:r>
            <w:rPr>
              <w:rFonts w:hint="eastAsia" w:ascii="仿宋_GB2312" w:hAnsi="仿宋_GB2312" w:eastAsia="仿宋_GB2312" w:cs="仿宋_GB2312"/>
              <w:b/>
              <w:bCs/>
              <w:color w:val="000000" w:themeColor="text1"/>
              <w:highlight w:val="none"/>
              <w14:textFill>
                <w14:solidFill>
                  <w14:schemeClr w14:val="tx1"/>
                </w14:solidFill>
              </w14:textFill>
            </w:rPr>
            <w:t>、价款、计价方式</w:t>
          </w:r>
          <w:bookmarkEnd w:id="5"/>
        </w:p>
      </w:sdtContent>
    </w:sdt>
    <w:p w14:paraId="2C923EE3">
      <w:pPr>
        <w:pStyle w:val="15"/>
        <w:numPr>
          <w:ilvl w:val="0"/>
          <w:numId w:val="0"/>
        </w:numPr>
        <w:spacing w:line="400" w:lineRule="atLeast"/>
        <w:ind w:firstLine="482" w:firstLineChars="200"/>
        <w:rPr>
          <w:rFonts w:hint="eastAsia" w:ascii="仿宋_GB2312" w:hAnsi="仿宋_GB2312" w:eastAsia="仿宋_GB2312" w:cs="仿宋_GB2312"/>
          <w:b/>
          <w:bCs/>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3.1   租赁方式</w:t>
      </w: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14:textFill>
            <w14:solidFill>
              <w14:schemeClr w14:val="tx1"/>
            </w14:solidFill>
          </w14:textFill>
        </w:rPr>
        <w:t>本合同</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租赁方式</w:t>
      </w:r>
      <w:r>
        <w:rPr>
          <w:rFonts w:hint="eastAsia" w:ascii="仿宋_GB2312" w:hAnsi="仿宋_GB2312" w:eastAsia="仿宋_GB2312" w:cs="仿宋_GB2312"/>
          <w:color w:val="000000" w:themeColor="text1"/>
          <w:highlight w:val="none"/>
          <w14:textFill>
            <w14:solidFill>
              <w14:schemeClr w14:val="tx1"/>
            </w14:solidFill>
          </w14:textFill>
        </w:rPr>
        <w:t>适用</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以下</w:t>
      </w:r>
      <w:r>
        <w:rPr>
          <w:rFonts w:hint="eastAsia" w:ascii="仿宋_GB2312" w:hAnsi="仿宋_GB2312" w:eastAsia="仿宋_GB2312" w:cs="仿宋_GB2312"/>
          <w:color w:val="000000" w:themeColor="text1"/>
          <w:highlight w:val="none"/>
          <w14:textFill>
            <w14:solidFill>
              <w14:schemeClr w14:val="tx1"/>
            </w14:solidFill>
          </w14:textFill>
        </w:rPr>
        <w:t>第</w:t>
      </w:r>
      <w:permStart w:id="11"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3.1.1</w:t>
      </w:r>
      <w:permEnd w:id="11"/>
      <w:r>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t>条</w:t>
      </w:r>
    </w:p>
    <w:p w14:paraId="1AD12433">
      <w:pPr>
        <w:pStyle w:val="15"/>
        <w:numPr>
          <w:ilvl w:val="255"/>
          <w:numId w:val="0"/>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highlight w:val="none"/>
          <w14:textFill>
            <w14:solidFill>
              <w14:schemeClr w14:val="tx1"/>
            </w14:solidFill>
          </w14:textFill>
        </w:rPr>
        <w:t>1.1</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 xml:space="preserve"> 方式一：</w:t>
      </w:r>
      <w:r>
        <w:rPr>
          <w:rFonts w:hint="eastAsia" w:ascii="仿宋_GB2312" w:hAnsi="仿宋_GB2312" w:eastAsia="仿宋_GB2312" w:cs="仿宋_GB2312"/>
          <w:b/>
          <w:bCs/>
          <w:color w:val="000000" w:themeColor="text1"/>
          <w:highlight w:val="none"/>
          <w14:textFill>
            <w14:solidFill>
              <w14:schemeClr w14:val="tx1"/>
            </w14:solidFill>
          </w14:textFill>
        </w:rPr>
        <w:t>为</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按时间租赁</w:t>
      </w:r>
    </w:p>
    <w:tbl>
      <w:tblPr>
        <w:tblStyle w:val="12"/>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777"/>
        <w:gridCol w:w="691"/>
        <w:gridCol w:w="616"/>
        <w:gridCol w:w="691"/>
        <w:gridCol w:w="616"/>
        <w:gridCol w:w="721"/>
        <w:gridCol w:w="736"/>
        <w:gridCol w:w="781"/>
        <w:gridCol w:w="1067"/>
        <w:gridCol w:w="1006"/>
        <w:gridCol w:w="1171"/>
      </w:tblGrid>
      <w:tr w14:paraId="0BBB7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280" w:type="dxa"/>
            <w:gridSpan w:val="12"/>
            <w:vAlign w:val="center"/>
          </w:tcPr>
          <w:p w14:paraId="58DBD980">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ermStart w:id="12" w:edGrp="everyone"/>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3.1.1按时间租赁清单</w:t>
            </w:r>
          </w:p>
        </w:tc>
      </w:tr>
      <w:tr w14:paraId="505E8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407" w:type="dxa"/>
            <w:vAlign w:val="center"/>
          </w:tcPr>
          <w:p w14:paraId="0B757F15">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序号</w:t>
            </w:r>
          </w:p>
        </w:tc>
        <w:tc>
          <w:tcPr>
            <w:tcW w:w="777" w:type="dxa"/>
            <w:vAlign w:val="center"/>
          </w:tcPr>
          <w:p w14:paraId="315F7C55">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设备</w:t>
            </w:r>
          </w:p>
          <w:p w14:paraId="39BAA965">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名称</w:t>
            </w:r>
          </w:p>
        </w:tc>
        <w:tc>
          <w:tcPr>
            <w:tcW w:w="691" w:type="dxa"/>
            <w:vAlign w:val="center"/>
          </w:tcPr>
          <w:p w14:paraId="07A0F991">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规格型号</w:t>
            </w:r>
          </w:p>
        </w:tc>
        <w:tc>
          <w:tcPr>
            <w:tcW w:w="616" w:type="dxa"/>
            <w:vAlign w:val="center"/>
          </w:tcPr>
          <w:p w14:paraId="3038E895">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设备</w:t>
            </w:r>
            <w:r>
              <w:rPr>
                <w:rFonts w:hint="eastAsia" w:ascii="仿宋_GB2312" w:hAnsi="仿宋_GB2312" w:eastAsia="仿宋_GB2312" w:cs="仿宋_GB2312"/>
                <w:color w:val="000000" w:themeColor="text1"/>
                <w:sz w:val="18"/>
                <w:szCs w:val="18"/>
                <w:highlight w:val="none"/>
                <w14:textFill>
                  <w14:solidFill>
                    <w14:schemeClr w14:val="tx1"/>
                  </w14:solidFill>
                </w14:textFill>
              </w:rPr>
              <w:t>数量</w:t>
            </w:r>
          </w:p>
        </w:tc>
        <w:tc>
          <w:tcPr>
            <w:tcW w:w="691" w:type="dxa"/>
            <w:vAlign w:val="center"/>
          </w:tcPr>
          <w:p w14:paraId="24FF91D4">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税前单价</w:t>
            </w:r>
          </w:p>
          <w:p w14:paraId="01EC45FB">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c>
          <w:tcPr>
            <w:tcW w:w="616" w:type="dxa"/>
            <w:vAlign w:val="center"/>
          </w:tcPr>
          <w:p w14:paraId="3999812E">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税率</w:t>
            </w:r>
          </w:p>
          <w:p w14:paraId="73062EB0">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w:t>
            </w:r>
          </w:p>
        </w:tc>
        <w:tc>
          <w:tcPr>
            <w:tcW w:w="721" w:type="dxa"/>
            <w:vAlign w:val="center"/>
          </w:tcPr>
          <w:p w14:paraId="5A075AF9">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含税单价</w:t>
            </w:r>
          </w:p>
          <w:p w14:paraId="42C8AD4D">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highlight w:val="none"/>
                <w14:textFill>
                  <w14:solidFill>
                    <w14:schemeClr w14:val="tx1"/>
                  </w14:solidFill>
                </w14:textFill>
              </w:rPr>
              <w:t>（元）</w:t>
            </w:r>
          </w:p>
        </w:tc>
        <w:tc>
          <w:tcPr>
            <w:tcW w:w="736" w:type="dxa"/>
            <w:vAlign w:val="center"/>
          </w:tcPr>
          <w:p w14:paraId="6A50BD8E">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租期单位</w:t>
            </w:r>
          </w:p>
        </w:tc>
        <w:tc>
          <w:tcPr>
            <w:tcW w:w="781" w:type="dxa"/>
            <w:vAlign w:val="center"/>
          </w:tcPr>
          <w:p w14:paraId="72F10511">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租期</w:t>
            </w:r>
            <w:r>
              <w:rPr>
                <w:rFonts w:hint="eastAsia" w:ascii="仿宋_GB2312" w:hAnsi="仿宋_GB2312" w:eastAsia="仿宋_GB2312" w:cs="仿宋_GB2312"/>
                <w:color w:val="000000" w:themeColor="text1"/>
                <w:sz w:val="15"/>
                <w:szCs w:val="15"/>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5"/>
                <w:szCs w:val="15"/>
                <w:highlight w:val="none"/>
                <w:lang w:val="en-US" w:eastAsia="zh-CN"/>
                <w14:textFill>
                  <w14:solidFill>
                    <w14:schemeClr w14:val="tx1"/>
                  </w14:solidFill>
                </w14:textFill>
              </w:rPr>
              <w:t>暂估</w:t>
            </w:r>
            <w:r>
              <w:rPr>
                <w:rFonts w:hint="eastAsia" w:ascii="仿宋_GB2312" w:hAnsi="仿宋_GB2312" w:eastAsia="仿宋_GB2312" w:cs="仿宋_GB2312"/>
                <w:color w:val="000000" w:themeColor="text1"/>
                <w:sz w:val="15"/>
                <w:szCs w:val="15"/>
                <w:highlight w:val="none"/>
                <w:lang w:eastAsia="zh-CN"/>
                <w14:textFill>
                  <w14:solidFill>
                    <w14:schemeClr w14:val="tx1"/>
                  </w14:solidFill>
                </w14:textFill>
              </w:rPr>
              <w:t>）</w:t>
            </w:r>
          </w:p>
        </w:tc>
        <w:tc>
          <w:tcPr>
            <w:tcW w:w="1067" w:type="dxa"/>
            <w:vAlign w:val="center"/>
          </w:tcPr>
          <w:p w14:paraId="752641D5">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进退场</w:t>
            </w:r>
            <w:r>
              <w:rPr>
                <w:rFonts w:hint="eastAsia" w:ascii="仿宋_GB2312" w:hAnsi="仿宋_GB2312" w:eastAsia="仿宋_GB2312" w:cs="仿宋_GB2312"/>
                <w:color w:val="000000" w:themeColor="text1"/>
                <w:sz w:val="18"/>
                <w:szCs w:val="18"/>
                <w:highlight w:val="none"/>
                <w14:textFill>
                  <w14:solidFill>
                    <w14:schemeClr w14:val="tx1"/>
                  </w14:solidFill>
                </w14:textFill>
              </w:rPr>
              <w:t>费</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安拆费</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含税</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p>
        </w:tc>
        <w:tc>
          <w:tcPr>
            <w:tcW w:w="1006" w:type="dxa"/>
            <w:vAlign w:val="center"/>
          </w:tcPr>
          <w:p w14:paraId="575CDC1B">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含税合价</w:t>
            </w:r>
          </w:p>
          <w:p w14:paraId="321887C3">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c>
          <w:tcPr>
            <w:tcW w:w="1171" w:type="dxa"/>
            <w:vAlign w:val="center"/>
          </w:tcPr>
          <w:p w14:paraId="3F894A5A">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备注</w:t>
            </w:r>
          </w:p>
        </w:tc>
      </w:tr>
      <w:tr w14:paraId="05D24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07" w:type="dxa"/>
            <w:vAlign w:val="center"/>
          </w:tcPr>
          <w:p w14:paraId="3B3096B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1</w:t>
            </w:r>
          </w:p>
        </w:tc>
        <w:tc>
          <w:tcPr>
            <w:tcW w:w="777" w:type="dxa"/>
            <w:shd w:val="clear" w:color="auto" w:fill="auto"/>
            <w:vAlign w:val="center"/>
          </w:tcPr>
          <w:p w14:paraId="0AB14DE1">
            <w:pPr>
              <w:pStyle w:val="16"/>
              <w:keepNext w:val="0"/>
              <w:keepLines w:val="0"/>
              <w:pageBreakBefore w:val="0"/>
              <w:widowControl/>
              <w:kinsoku w:val="0"/>
              <w:wordWrap/>
              <w:overflowPunct/>
              <w:topLinePunct w:val="0"/>
              <w:autoSpaceDE w:val="0"/>
              <w:autoSpaceDN w:val="0"/>
              <w:bidi w:val="0"/>
              <w:adjustRightInd w:val="0"/>
              <w:snapToGrid w:val="0"/>
              <w:spacing w:before="0" w:after="0" w:line="240" w:lineRule="auto"/>
              <w:ind w:right="0" w:rightChars="0"/>
              <w:jc w:val="center"/>
              <w:textAlignment w:val="baseline"/>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推土机</w:t>
            </w:r>
          </w:p>
        </w:tc>
        <w:tc>
          <w:tcPr>
            <w:tcW w:w="691" w:type="dxa"/>
            <w:shd w:val="clear" w:color="auto" w:fill="auto"/>
            <w:vAlign w:val="center"/>
          </w:tcPr>
          <w:p w14:paraId="2814E6B7">
            <w:pPr>
              <w:pStyle w:val="16"/>
              <w:keepNext w:val="0"/>
              <w:keepLines w:val="0"/>
              <w:pageBreakBefore w:val="0"/>
              <w:widowControl/>
              <w:kinsoku w:val="0"/>
              <w:wordWrap/>
              <w:overflowPunct/>
              <w:topLinePunct w:val="0"/>
              <w:autoSpaceDE w:val="0"/>
              <w:autoSpaceDN w:val="0"/>
              <w:bidi w:val="0"/>
              <w:adjustRightInd w:val="0"/>
              <w:snapToGrid w:val="0"/>
              <w:spacing w:before="0" w:after="0" w:line="189" w:lineRule="auto"/>
              <w:jc w:val="center"/>
              <w:textAlignment w:val="baseline"/>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DK</w:t>
            </w:r>
            <w:r>
              <w:rPr>
                <w:rFonts w:hint="eastAsia" w:ascii="仿宋_GB2312" w:hAnsi="仿宋_GB2312" w:eastAsia="仿宋_GB2312" w:cs="仿宋_GB2312"/>
                <w:spacing w:val="12"/>
                <w:sz w:val="18"/>
                <w:szCs w:val="18"/>
              </w:rPr>
              <w:t>4</w:t>
            </w:r>
          </w:p>
        </w:tc>
        <w:tc>
          <w:tcPr>
            <w:tcW w:w="616" w:type="dxa"/>
            <w:shd w:val="clear" w:color="auto" w:fill="auto"/>
            <w:vAlign w:val="center"/>
          </w:tcPr>
          <w:p w14:paraId="4B3D594C">
            <w:pPr>
              <w:spacing w:line="500" w:lineRule="exact"/>
              <w:jc w:val="center"/>
              <w:rPr>
                <w:rFonts w:hint="eastAsia" w:ascii="仿宋_GB2312" w:hAnsi="仿宋" w:eastAsia="仿宋_GB2312" w:cstheme="minorBidi"/>
                <w:bCs/>
                <w:color w:val="000000" w:themeColor="text1"/>
                <w:kern w:val="2"/>
                <w:sz w:val="18"/>
                <w:szCs w:val="18"/>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18"/>
                <w:szCs w:val="18"/>
                <w:highlight w:val="none"/>
                <w:lang w:val="en-US" w:eastAsia="zh-CN"/>
                <w14:textFill>
                  <w14:solidFill>
                    <w14:schemeClr w14:val="tx1"/>
                  </w14:solidFill>
                </w14:textFill>
              </w:rPr>
              <w:t>8</w:t>
            </w:r>
          </w:p>
        </w:tc>
        <w:tc>
          <w:tcPr>
            <w:tcW w:w="691" w:type="dxa"/>
            <w:vAlign w:val="center"/>
          </w:tcPr>
          <w:p w14:paraId="76881CF1">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25DDBDF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07A87B3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68E03ABB">
            <w:pPr>
              <w:spacing w:line="480" w:lineRule="exact"/>
              <w:jc w:val="cente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台班</w:t>
            </w:r>
          </w:p>
        </w:tc>
        <w:tc>
          <w:tcPr>
            <w:tcW w:w="781" w:type="dxa"/>
            <w:shd w:val="clear" w:color="auto" w:fill="auto"/>
            <w:vAlign w:val="center"/>
          </w:tcPr>
          <w:p w14:paraId="7DD45B23">
            <w:pPr>
              <w:spacing w:line="500" w:lineRule="exact"/>
              <w:jc w:val="center"/>
              <w:rPr>
                <w:rFonts w:hint="default" w:ascii="仿宋_GB2312" w:hAnsi="仿宋" w:eastAsia="仿宋_GB2312" w:cstheme="minorBidi"/>
                <w:bCs/>
                <w:color w:val="000000" w:themeColor="text1"/>
                <w:kern w:val="2"/>
                <w:sz w:val="18"/>
                <w:szCs w:val="18"/>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18"/>
                <w:szCs w:val="18"/>
                <w:highlight w:val="none"/>
                <w:lang w:val="en-US" w:eastAsia="zh-CN"/>
                <w14:textFill>
                  <w14:solidFill>
                    <w14:schemeClr w14:val="tx1"/>
                  </w14:solidFill>
                </w14:textFill>
              </w:rPr>
              <w:t>160</w:t>
            </w:r>
          </w:p>
        </w:tc>
        <w:tc>
          <w:tcPr>
            <w:tcW w:w="1067" w:type="dxa"/>
            <w:vAlign w:val="center"/>
          </w:tcPr>
          <w:p w14:paraId="672D52F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081E824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29CE4871">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5A219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5598636A">
            <w:pPr>
              <w:spacing w:line="48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w:t>
            </w:r>
          </w:p>
        </w:tc>
        <w:tc>
          <w:tcPr>
            <w:tcW w:w="777" w:type="dxa"/>
            <w:shd w:val="clear" w:color="auto" w:fill="auto"/>
            <w:vAlign w:val="center"/>
          </w:tcPr>
          <w:p w14:paraId="2C878788">
            <w:pPr>
              <w:pStyle w:val="16"/>
              <w:keepNext w:val="0"/>
              <w:keepLines w:val="0"/>
              <w:pageBreakBefore w:val="0"/>
              <w:widowControl/>
              <w:kinsoku w:val="0"/>
              <w:wordWrap/>
              <w:overflowPunct/>
              <w:topLinePunct w:val="0"/>
              <w:autoSpaceDE w:val="0"/>
              <w:autoSpaceDN w:val="0"/>
              <w:bidi w:val="0"/>
              <w:adjustRightInd w:val="0"/>
              <w:snapToGrid w:val="0"/>
              <w:spacing w:before="0" w:after="0" w:line="240" w:lineRule="auto"/>
              <w:ind w:right="0" w:rightChars="0"/>
              <w:jc w:val="center"/>
              <w:textAlignment w:val="baseline"/>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光轮压路机</w:t>
            </w:r>
          </w:p>
        </w:tc>
        <w:tc>
          <w:tcPr>
            <w:tcW w:w="691" w:type="dxa"/>
            <w:shd w:val="clear" w:color="auto" w:fill="auto"/>
            <w:vAlign w:val="center"/>
          </w:tcPr>
          <w:p w14:paraId="524E3DA3">
            <w:pPr>
              <w:pStyle w:val="16"/>
              <w:keepNext w:val="0"/>
              <w:keepLines w:val="0"/>
              <w:pageBreakBefore w:val="0"/>
              <w:widowControl/>
              <w:kinsoku w:val="0"/>
              <w:wordWrap/>
              <w:overflowPunct/>
              <w:topLinePunct w:val="0"/>
              <w:autoSpaceDE w:val="0"/>
              <w:autoSpaceDN w:val="0"/>
              <w:bidi w:val="0"/>
              <w:adjustRightInd w:val="0"/>
              <w:snapToGrid w:val="0"/>
              <w:spacing w:before="0" w:after="0" w:line="250" w:lineRule="auto"/>
              <w:ind w:right="48" w:rightChars="0"/>
              <w:jc w:val="center"/>
              <w:textAlignment w:val="baseline"/>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STR</w:t>
            </w:r>
            <w:r>
              <w:rPr>
                <w:rFonts w:hint="eastAsia" w:ascii="仿宋_GB2312" w:hAnsi="仿宋_GB2312" w:eastAsia="仿宋_GB2312" w:cs="仿宋_GB2312"/>
                <w:spacing w:val="6"/>
                <w:sz w:val="18"/>
                <w:szCs w:val="18"/>
              </w:rPr>
              <w:t>100</w:t>
            </w:r>
            <w:r>
              <w:rPr>
                <w:rFonts w:hint="eastAsia" w:ascii="仿宋_GB2312" w:hAnsi="仿宋_GB2312" w:eastAsia="仿宋_GB2312" w:cs="仿宋_GB2312"/>
                <w:spacing w:val="6"/>
                <w:sz w:val="18"/>
                <w:szCs w:val="18"/>
                <w:lang w:val="en-US" w:eastAsia="zh-CN"/>
              </w:rPr>
              <w:t>C</w:t>
            </w:r>
            <w:r>
              <w:rPr>
                <w:rFonts w:hint="eastAsia" w:ascii="仿宋_GB2312" w:hAnsi="仿宋_GB2312" w:eastAsia="仿宋_GB2312" w:cs="仿宋_GB2312"/>
                <w:spacing w:val="6"/>
                <w:sz w:val="18"/>
                <w:szCs w:val="18"/>
              </w:rPr>
              <w:t>-</w:t>
            </w:r>
            <w:r>
              <w:rPr>
                <w:rFonts w:hint="eastAsia" w:ascii="仿宋_GB2312" w:hAnsi="仿宋_GB2312" w:eastAsia="仿宋_GB2312" w:cs="仿宋_GB2312"/>
                <w:sz w:val="18"/>
                <w:szCs w:val="18"/>
              </w:rPr>
              <w:t xml:space="preserve"> 8C</w:t>
            </w:r>
          </w:p>
        </w:tc>
        <w:tc>
          <w:tcPr>
            <w:tcW w:w="616" w:type="dxa"/>
            <w:shd w:val="clear" w:color="auto" w:fill="auto"/>
            <w:vAlign w:val="center"/>
          </w:tcPr>
          <w:p w14:paraId="0CE50143">
            <w:pPr>
              <w:spacing w:line="500" w:lineRule="exact"/>
              <w:jc w:val="center"/>
              <w:rPr>
                <w:rFonts w:hint="eastAsia" w:ascii="仿宋_GB2312" w:hAnsi="仿宋" w:eastAsia="仿宋_GB2312" w:cstheme="minorBidi"/>
                <w:bCs/>
                <w:color w:val="000000" w:themeColor="text1"/>
                <w:kern w:val="2"/>
                <w:sz w:val="18"/>
                <w:szCs w:val="18"/>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18"/>
                <w:szCs w:val="18"/>
                <w:highlight w:val="none"/>
                <w:lang w:val="en-US" w:eastAsia="zh-CN"/>
                <w14:textFill>
                  <w14:solidFill>
                    <w14:schemeClr w14:val="tx1"/>
                  </w14:solidFill>
                </w14:textFill>
              </w:rPr>
              <w:t>4</w:t>
            </w:r>
          </w:p>
        </w:tc>
        <w:tc>
          <w:tcPr>
            <w:tcW w:w="691" w:type="dxa"/>
            <w:vAlign w:val="center"/>
          </w:tcPr>
          <w:p w14:paraId="7E8CDB3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71528D6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545F9F1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42D0A0D1">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台班</w:t>
            </w:r>
          </w:p>
        </w:tc>
        <w:tc>
          <w:tcPr>
            <w:tcW w:w="781" w:type="dxa"/>
            <w:shd w:val="clear" w:color="auto" w:fill="auto"/>
            <w:vAlign w:val="center"/>
          </w:tcPr>
          <w:p w14:paraId="1639B939">
            <w:pPr>
              <w:spacing w:line="500" w:lineRule="exact"/>
              <w:jc w:val="center"/>
              <w:rPr>
                <w:rFonts w:hint="default" w:ascii="仿宋_GB2312" w:hAnsi="仿宋" w:eastAsia="仿宋_GB2312" w:cstheme="minorBidi"/>
                <w:bCs/>
                <w:color w:val="000000" w:themeColor="text1"/>
                <w:kern w:val="2"/>
                <w:sz w:val="18"/>
                <w:szCs w:val="18"/>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18"/>
                <w:szCs w:val="18"/>
                <w:highlight w:val="none"/>
                <w:lang w:val="en-US" w:eastAsia="zh-CN"/>
                <w14:textFill>
                  <w14:solidFill>
                    <w14:schemeClr w14:val="tx1"/>
                  </w14:solidFill>
                </w14:textFill>
              </w:rPr>
              <w:t>60</w:t>
            </w:r>
          </w:p>
        </w:tc>
        <w:tc>
          <w:tcPr>
            <w:tcW w:w="1067" w:type="dxa"/>
            <w:vAlign w:val="center"/>
          </w:tcPr>
          <w:p w14:paraId="37A19B7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49603218">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5AC9464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60A7B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0318A110">
            <w:pPr>
              <w:spacing w:line="480" w:lineRule="exac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3</w:t>
            </w:r>
          </w:p>
        </w:tc>
        <w:tc>
          <w:tcPr>
            <w:tcW w:w="777" w:type="dxa"/>
            <w:shd w:val="clear" w:color="auto" w:fill="auto"/>
            <w:vAlign w:val="center"/>
          </w:tcPr>
          <w:p w14:paraId="2736B335">
            <w:pPr>
              <w:pStyle w:val="16"/>
              <w:keepNext w:val="0"/>
              <w:keepLines w:val="0"/>
              <w:pageBreakBefore w:val="0"/>
              <w:widowControl/>
              <w:kinsoku w:val="0"/>
              <w:wordWrap/>
              <w:overflowPunct/>
              <w:topLinePunct w:val="0"/>
              <w:autoSpaceDE w:val="0"/>
              <w:autoSpaceDN w:val="0"/>
              <w:bidi w:val="0"/>
              <w:adjustRightInd w:val="0"/>
              <w:snapToGrid w:val="0"/>
              <w:spacing w:before="0" w:after="0" w:line="240" w:lineRule="auto"/>
              <w:ind w:left="0" w:right="0"/>
              <w:jc w:val="center"/>
              <w:textAlignment w:val="baseline"/>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pacing w:val="4"/>
                <w:sz w:val="18"/>
                <w:szCs w:val="18"/>
              </w:rPr>
              <w:t>轮</w:t>
            </w:r>
            <w:r>
              <w:rPr>
                <w:rFonts w:hint="eastAsia" w:ascii="仿宋_GB2312" w:hAnsi="仿宋_GB2312" w:eastAsia="仿宋_GB2312" w:cs="仿宋_GB2312"/>
                <w:spacing w:val="8"/>
                <w:sz w:val="18"/>
                <w:szCs w:val="18"/>
              </w:rPr>
              <w:t>胎式装载机</w:t>
            </w:r>
          </w:p>
        </w:tc>
        <w:tc>
          <w:tcPr>
            <w:tcW w:w="691" w:type="dxa"/>
            <w:shd w:val="clear" w:color="auto" w:fill="auto"/>
            <w:vAlign w:val="center"/>
          </w:tcPr>
          <w:p w14:paraId="38E88750">
            <w:pPr>
              <w:pStyle w:val="16"/>
              <w:keepNext w:val="0"/>
              <w:keepLines w:val="0"/>
              <w:pageBreakBefore w:val="0"/>
              <w:widowControl/>
              <w:kinsoku w:val="0"/>
              <w:wordWrap/>
              <w:overflowPunct/>
              <w:topLinePunct w:val="0"/>
              <w:autoSpaceDE w:val="0"/>
              <w:autoSpaceDN w:val="0"/>
              <w:bidi w:val="0"/>
              <w:adjustRightInd w:val="0"/>
              <w:snapToGrid w:val="0"/>
              <w:spacing w:before="0" w:after="0" w:line="189" w:lineRule="auto"/>
              <w:jc w:val="center"/>
              <w:textAlignment w:val="baseline"/>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XG</w:t>
            </w:r>
            <w:r>
              <w:rPr>
                <w:rFonts w:hint="eastAsia" w:ascii="仿宋_GB2312" w:hAnsi="仿宋_GB2312" w:eastAsia="仿宋_GB2312" w:cs="仿宋_GB2312"/>
                <w:spacing w:val="6"/>
                <w:sz w:val="18"/>
                <w:szCs w:val="18"/>
              </w:rPr>
              <w:t>955N</w:t>
            </w:r>
          </w:p>
        </w:tc>
        <w:tc>
          <w:tcPr>
            <w:tcW w:w="616" w:type="dxa"/>
            <w:shd w:val="clear" w:color="auto" w:fill="auto"/>
            <w:vAlign w:val="center"/>
          </w:tcPr>
          <w:p w14:paraId="37008276">
            <w:pPr>
              <w:spacing w:line="500" w:lineRule="exact"/>
              <w:jc w:val="center"/>
              <w:rPr>
                <w:rFonts w:hint="eastAsia" w:ascii="仿宋_GB2312" w:hAnsi="仿宋" w:eastAsia="仿宋_GB2312" w:cstheme="minorBidi"/>
                <w:bCs/>
                <w:color w:val="000000" w:themeColor="text1"/>
                <w:kern w:val="2"/>
                <w:sz w:val="18"/>
                <w:szCs w:val="18"/>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18"/>
                <w:szCs w:val="18"/>
                <w:highlight w:val="none"/>
                <w:lang w:val="en-US" w:eastAsia="zh-CN"/>
                <w14:textFill>
                  <w14:solidFill>
                    <w14:schemeClr w14:val="tx1"/>
                  </w14:solidFill>
                </w14:textFill>
              </w:rPr>
              <w:t>8</w:t>
            </w:r>
          </w:p>
        </w:tc>
        <w:tc>
          <w:tcPr>
            <w:tcW w:w="691" w:type="dxa"/>
            <w:vAlign w:val="center"/>
          </w:tcPr>
          <w:p w14:paraId="47A29308">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505160F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5822229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38982A3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台班</w:t>
            </w:r>
          </w:p>
        </w:tc>
        <w:tc>
          <w:tcPr>
            <w:tcW w:w="781" w:type="dxa"/>
            <w:shd w:val="clear" w:color="auto" w:fill="auto"/>
            <w:vAlign w:val="center"/>
          </w:tcPr>
          <w:p w14:paraId="2BA20FEB">
            <w:pPr>
              <w:spacing w:line="500" w:lineRule="exact"/>
              <w:jc w:val="center"/>
              <w:rPr>
                <w:rFonts w:hint="default" w:ascii="仿宋_GB2312" w:hAnsi="仿宋" w:eastAsia="仿宋_GB2312" w:cstheme="minorBidi"/>
                <w:bCs/>
                <w:color w:val="000000" w:themeColor="text1"/>
                <w:kern w:val="2"/>
                <w:sz w:val="18"/>
                <w:szCs w:val="18"/>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18"/>
                <w:szCs w:val="18"/>
                <w:highlight w:val="none"/>
                <w:lang w:val="en-US" w:eastAsia="zh-CN"/>
                <w14:textFill>
                  <w14:solidFill>
                    <w14:schemeClr w14:val="tx1"/>
                  </w14:solidFill>
                </w14:textFill>
              </w:rPr>
              <w:t>120</w:t>
            </w:r>
          </w:p>
        </w:tc>
        <w:tc>
          <w:tcPr>
            <w:tcW w:w="1067" w:type="dxa"/>
            <w:vAlign w:val="center"/>
          </w:tcPr>
          <w:p w14:paraId="4DDC9FF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099FACB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2C9C712B">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B521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21B0C57F">
            <w:pPr>
              <w:spacing w:line="480" w:lineRule="exac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4</w:t>
            </w:r>
          </w:p>
        </w:tc>
        <w:tc>
          <w:tcPr>
            <w:tcW w:w="777" w:type="dxa"/>
            <w:shd w:val="clear" w:color="auto" w:fill="auto"/>
            <w:vAlign w:val="center"/>
          </w:tcPr>
          <w:p w14:paraId="60A59726">
            <w:pPr>
              <w:pStyle w:val="16"/>
              <w:keepNext w:val="0"/>
              <w:keepLines w:val="0"/>
              <w:pageBreakBefore w:val="0"/>
              <w:widowControl/>
              <w:kinsoku w:val="0"/>
              <w:wordWrap/>
              <w:overflowPunct/>
              <w:topLinePunct w:val="0"/>
              <w:autoSpaceDE w:val="0"/>
              <w:autoSpaceDN w:val="0"/>
              <w:bidi w:val="0"/>
              <w:adjustRightInd w:val="0"/>
              <w:snapToGrid w:val="0"/>
              <w:spacing w:before="0" w:after="0" w:line="240" w:lineRule="auto"/>
              <w:ind w:left="0" w:right="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3"/>
                <w:sz w:val="18"/>
                <w:szCs w:val="18"/>
              </w:rPr>
              <w:t>自卸汽车</w:t>
            </w:r>
          </w:p>
          <w:p w14:paraId="09F1145D">
            <w:pPr>
              <w:pStyle w:val="16"/>
              <w:keepNext w:val="0"/>
              <w:keepLines w:val="0"/>
              <w:pageBreakBefore w:val="0"/>
              <w:widowControl/>
              <w:kinsoku w:val="0"/>
              <w:wordWrap/>
              <w:overflowPunct/>
              <w:topLinePunct w:val="0"/>
              <w:autoSpaceDE w:val="0"/>
              <w:autoSpaceDN w:val="0"/>
              <w:bidi w:val="0"/>
              <w:adjustRightInd w:val="0"/>
              <w:snapToGrid w:val="0"/>
              <w:spacing w:before="0" w:after="0" w:line="240" w:lineRule="auto"/>
              <w:ind w:left="0" w:leftChars="0" w:right="0" w:rightChars="0"/>
              <w:jc w:val="center"/>
              <w:textAlignment w:val="baseline"/>
              <w:rPr>
                <w:rFonts w:hint="eastAsia" w:ascii="仿宋_GB2312" w:hAnsi="仿宋_GB2312" w:eastAsia="仿宋_GB2312" w:cs="仿宋_GB2312"/>
                <w:kern w:val="2"/>
                <w:sz w:val="18"/>
                <w:szCs w:val="18"/>
                <w:lang w:val="en-US" w:eastAsia="zh-CN" w:bidi="ar-SA"/>
              </w:rPr>
            </w:pPr>
          </w:p>
        </w:tc>
        <w:tc>
          <w:tcPr>
            <w:tcW w:w="691" w:type="dxa"/>
            <w:shd w:val="clear" w:color="auto" w:fill="auto"/>
            <w:vAlign w:val="center"/>
          </w:tcPr>
          <w:p w14:paraId="54ACC749">
            <w:pPr>
              <w:pStyle w:val="16"/>
              <w:keepNext w:val="0"/>
              <w:keepLines w:val="0"/>
              <w:pageBreakBefore w:val="0"/>
              <w:widowControl/>
              <w:kinsoku w:val="0"/>
              <w:wordWrap/>
              <w:overflowPunct/>
              <w:topLinePunct w:val="0"/>
              <w:autoSpaceDE w:val="0"/>
              <w:autoSpaceDN w:val="0"/>
              <w:bidi w:val="0"/>
              <w:adjustRightInd w:val="0"/>
              <w:snapToGrid w:val="0"/>
              <w:spacing w:before="0" w:after="0" w:line="255" w:lineRule="exact"/>
              <w:jc w:val="center"/>
              <w:textAlignment w:val="baseline"/>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pacing w:val="2"/>
                <w:position w:val="1"/>
                <w:sz w:val="18"/>
                <w:szCs w:val="18"/>
              </w:rPr>
              <w:t>6*4</w:t>
            </w:r>
          </w:p>
        </w:tc>
        <w:tc>
          <w:tcPr>
            <w:tcW w:w="616" w:type="dxa"/>
            <w:shd w:val="clear" w:color="auto" w:fill="auto"/>
            <w:vAlign w:val="center"/>
          </w:tcPr>
          <w:p w14:paraId="1EC0833F">
            <w:pPr>
              <w:spacing w:line="500" w:lineRule="exact"/>
              <w:jc w:val="center"/>
              <w:rPr>
                <w:rFonts w:hint="eastAsia" w:ascii="仿宋_GB2312" w:hAnsi="仿宋" w:eastAsia="仿宋_GB2312" w:cstheme="minorBidi"/>
                <w:bCs/>
                <w:color w:val="000000" w:themeColor="text1"/>
                <w:kern w:val="2"/>
                <w:sz w:val="18"/>
                <w:szCs w:val="18"/>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18"/>
                <w:szCs w:val="18"/>
                <w:highlight w:val="none"/>
                <w:lang w:val="en-US" w:eastAsia="zh-CN"/>
                <w14:textFill>
                  <w14:solidFill>
                    <w14:schemeClr w14:val="tx1"/>
                  </w14:solidFill>
                </w14:textFill>
              </w:rPr>
              <w:t>8</w:t>
            </w:r>
          </w:p>
        </w:tc>
        <w:tc>
          <w:tcPr>
            <w:tcW w:w="691" w:type="dxa"/>
            <w:vAlign w:val="center"/>
          </w:tcPr>
          <w:p w14:paraId="0CB1EBD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03DDE3A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64069F2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43BC0B4B">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台班</w:t>
            </w:r>
          </w:p>
        </w:tc>
        <w:tc>
          <w:tcPr>
            <w:tcW w:w="781" w:type="dxa"/>
            <w:shd w:val="clear" w:color="auto" w:fill="auto"/>
            <w:vAlign w:val="center"/>
          </w:tcPr>
          <w:p w14:paraId="1A5FC0AC">
            <w:pPr>
              <w:spacing w:line="500" w:lineRule="exact"/>
              <w:jc w:val="center"/>
              <w:rPr>
                <w:rFonts w:hint="default" w:ascii="仿宋_GB2312" w:hAnsi="仿宋" w:eastAsia="仿宋_GB2312" w:cstheme="minorBidi"/>
                <w:bCs/>
                <w:color w:val="000000" w:themeColor="text1"/>
                <w:kern w:val="2"/>
                <w:sz w:val="18"/>
                <w:szCs w:val="18"/>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18"/>
                <w:szCs w:val="18"/>
                <w:highlight w:val="none"/>
                <w:lang w:val="en-US" w:eastAsia="zh-CN"/>
                <w14:textFill>
                  <w14:solidFill>
                    <w14:schemeClr w14:val="tx1"/>
                  </w14:solidFill>
                </w14:textFill>
              </w:rPr>
              <w:t>450</w:t>
            </w:r>
          </w:p>
        </w:tc>
        <w:tc>
          <w:tcPr>
            <w:tcW w:w="1067" w:type="dxa"/>
            <w:vAlign w:val="center"/>
          </w:tcPr>
          <w:p w14:paraId="6518AA11">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0002B6D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19174BC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59037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69D2683F">
            <w:pPr>
              <w:spacing w:line="480" w:lineRule="exac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5</w:t>
            </w:r>
          </w:p>
        </w:tc>
        <w:tc>
          <w:tcPr>
            <w:tcW w:w="777" w:type="dxa"/>
            <w:shd w:val="clear" w:color="auto" w:fill="auto"/>
            <w:vAlign w:val="center"/>
          </w:tcPr>
          <w:p w14:paraId="770AE882">
            <w:pPr>
              <w:pStyle w:val="16"/>
              <w:keepNext w:val="0"/>
              <w:keepLines w:val="0"/>
              <w:pageBreakBefore w:val="0"/>
              <w:widowControl/>
              <w:kinsoku w:val="0"/>
              <w:wordWrap/>
              <w:overflowPunct/>
              <w:topLinePunct w:val="0"/>
              <w:autoSpaceDE w:val="0"/>
              <w:autoSpaceDN w:val="0"/>
              <w:bidi w:val="0"/>
              <w:adjustRightInd w:val="0"/>
              <w:snapToGrid w:val="0"/>
              <w:spacing w:before="0" w:after="0" w:line="240" w:lineRule="auto"/>
              <w:ind w:left="0" w:leftChars="0" w:right="0" w:rightChars="0" w:hanging="223" w:firstLineChars="0"/>
              <w:jc w:val="center"/>
              <w:textAlignment w:val="baseline"/>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pacing w:val="3"/>
                <w:sz w:val="18"/>
                <w:szCs w:val="18"/>
              </w:rPr>
              <w:t>洒水汽车</w:t>
            </w:r>
          </w:p>
        </w:tc>
        <w:tc>
          <w:tcPr>
            <w:tcW w:w="691" w:type="dxa"/>
            <w:shd w:val="clear" w:color="auto" w:fill="auto"/>
            <w:vAlign w:val="center"/>
          </w:tcPr>
          <w:p w14:paraId="71F6CC1B">
            <w:pPr>
              <w:pStyle w:val="16"/>
              <w:keepNext w:val="0"/>
              <w:keepLines w:val="0"/>
              <w:pageBreakBefore w:val="0"/>
              <w:widowControl/>
              <w:kinsoku w:val="0"/>
              <w:wordWrap/>
              <w:overflowPunct/>
              <w:topLinePunct w:val="0"/>
              <w:autoSpaceDE w:val="0"/>
              <w:autoSpaceDN w:val="0"/>
              <w:bidi w:val="0"/>
              <w:adjustRightInd w:val="0"/>
              <w:snapToGrid w:val="0"/>
              <w:spacing w:before="0" w:after="0" w:line="189" w:lineRule="auto"/>
              <w:jc w:val="center"/>
              <w:textAlignment w:val="baseline"/>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pacing w:val="1"/>
                <w:sz w:val="18"/>
                <w:szCs w:val="18"/>
              </w:rPr>
              <w:t>20T</w:t>
            </w:r>
          </w:p>
        </w:tc>
        <w:tc>
          <w:tcPr>
            <w:tcW w:w="616" w:type="dxa"/>
            <w:shd w:val="clear" w:color="auto" w:fill="auto"/>
            <w:vAlign w:val="center"/>
          </w:tcPr>
          <w:p w14:paraId="0A822D43">
            <w:pPr>
              <w:spacing w:line="500" w:lineRule="exact"/>
              <w:jc w:val="center"/>
              <w:rPr>
                <w:rFonts w:hint="eastAsia" w:ascii="仿宋_GB2312" w:hAnsi="仿宋" w:eastAsia="仿宋_GB2312" w:cstheme="minorBidi"/>
                <w:bCs/>
                <w:color w:val="000000" w:themeColor="text1"/>
                <w:kern w:val="2"/>
                <w:sz w:val="18"/>
                <w:szCs w:val="18"/>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18"/>
                <w:szCs w:val="18"/>
                <w:highlight w:val="none"/>
                <w:lang w:val="en-US" w:eastAsia="zh-CN"/>
                <w14:textFill>
                  <w14:solidFill>
                    <w14:schemeClr w14:val="tx1"/>
                  </w14:solidFill>
                </w14:textFill>
              </w:rPr>
              <w:t>16</w:t>
            </w:r>
          </w:p>
        </w:tc>
        <w:tc>
          <w:tcPr>
            <w:tcW w:w="691" w:type="dxa"/>
            <w:vAlign w:val="center"/>
          </w:tcPr>
          <w:p w14:paraId="7500527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631F206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31C7FC5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22A6780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台班</w:t>
            </w:r>
          </w:p>
        </w:tc>
        <w:tc>
          <w:tcPr>
            <w:tcW w:w="781" w:type="dxa"/>
            <w:shd w:val="clear" w:color="auto" w:fill="auto"/>
            <w:vAlign w:val="center"/>
          </w:tcPr>
          <w:p w14:paraId="4FA96C75">
            <w:pPr>
              <w:spacing w:line="500" w:lineRule="exact"/>
              <w:jc w:val="center"/>
              <w:rPr>
                <w:rFonts w:hint="default" w:ascii="仿宋_GB2312" w:hAnsi="仿宋" w:eastAsia="仿宋_GB2312" w:cstheme="minorBidi"/>
                <w:bCs/>
                <w:color w:val="000000" w:themeColor="text1"/>
                <w:kern w:val="2"/>
                <w:sz w:val="18"/>
                <w:szCs w:val="18"/>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18"/>
                <w:szCs w:val="18"/>
                <w:highlight w:val="none"/>
                <w:lang w:val="en-US" w:eastAsia="zh-CN"/>
                <w14:textFill>
                  <w14:solidFill>
                    <w14:schemeClr w14:val="tx1"/>
                  </w14:solidFill>
                </w14:textFill>
              </w:rPr>
              <w:t>1800</w:t>
            </w:r>
          </w:p>
        </w:tc>
        <w:tc>
          <w:tcPr>
            <w:tcW w:w="1067" w:type="dxa"/>
            <w:vAlign w:val="center"/>
          </w:tcPr>
          <w:p w14:paraId="2E7C6AF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54A7C0C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1214F16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F6BF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5034EF2A">
            <w:pPr>
              <w:spacing w:line="480" w:lineRule="exac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6</w:t>
            </w:r>
          </w:p>
        </w:tc>
        <w:tc>
          <w:tcPr>
            <w:tcW w:w="777" w:type="dxa"/>
            <w:shd w:val="clear" w:color="auto" w:fill="auto"/>
            <w:vAlign w:val="center"/>
          </w:tcPr>
          <w:p w14:paraId="2FFBDBDD">
            <w:pPr>
              <w:pStyle w:val="16"/>
              <w:keepNext w:val="0"/>
              <w:keepLines w:val="0"/>
              <w:pageBreakBefore w:val="0"/>
              <w:widowControl/>
              <w:kinsoku w:val="0"/>
              <w:wordWrap/>
              <w:overflowPunct/>
              <w:topLinePunct w:val="0"/>
              <w:autoSpaceDE w:val="0"/>
              <w:autoSpaceDN w:val="0"/>
              <w:bidi w:val="0"/>
              <w:adjustRightInd w:val="0"/>
              <w:snapToGrid w:val="0"/>
              <w:spacing w:before="0" w:after="0" w:line="240" w:lineRule="auto"/>
              <w:ind w:left="0" w:leftChars="0" w:right="0" w:rightChars="0"/>
              <w:jc w:val="center"/>
              <w:textAlignment w:val="baseline"/>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pacing w:val="5"/>
                <w:sz w:val="18"/>
                <w:szCs w:val="18"/>
              </w:rPr>
              <w:t>汽车式起重机</w:t>
            </w:r>
          </w:p>
        </w:tc>
        <w:tc>
          <w:tcPr>
            <w:tcW w:w="691" w:type="dxa"/>
            <w:shd w:val="clear" w:color="auto" w:fill="auto"/>
            <w:vAlign w:val="center"/>
          </w:tcPr>
          <w:p w14:paraId="134E0A69">
            <w:pPr>
              <w:pStyle w:val="16"/>
              <w:keepNext w:val="0"/>
              <w:keepLines w:val="0"/>
              <w:pageBreakBefore w:val="0"/>
              <w:widowControl/>
              <w:kinsoku w:val="0"/>
              <w:wordWrap/>
              <w:overflowPunct/>
              <w:topLinePunct w:val="0"/>
              <w:autoSpaceDE w:val="0"/>
              <w:autoSpaceDN w:val="0"/>
              <w:bidi w:val="0"/>
              <w:adjustRightInd w:val="0"/>
              <w:snapToGrid w:val="0"/>
              <w:spacing w:before="0" w:after="0" w:line="189" w:lineRule="auto"/>
              <w:jc w:val="center"/>
              <w:textAlignment w:val="baseline"/>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XCT</w:t>
            </w:r>
            <w:r>
              <w:rPr>
                <w:rFonts w:hint="eastAsia" w:ascii="仿宋_GB2312" w:hAnsi="仿宋_GB2312" w:eastAsia="仿宋_GB2312" w:cs="仿宋_GB2312"/>
                <w:spacing w:val="8"/>
                <w:sz w:val="18"/>
                <w:szCs w:val="18"/>
              </w:rPr>
              <w:t>5L6</w:t>
            </w:r>
          </w:p>
        </w:tc>
        <w:tc>
          <w:tcPr>
            <w:tcW w:w="616" w:type="dxa"/>
            <w:shd w:val="clear" w:color="auto" w:fill="auto"/>
            <w:vAlign w:val="center"/>
          </w:tcPr>
          <w:p w14:paraId="437A1768">
            <w:pPr>
              <w:spacing w:line="500" w:lineRule="exact"/>
              <w:jc w:val="center"/>
              <w:rPr>
                <w:rFonts w:hint="eastAsia" w:ascii="仿宋_GB2312" w:hAnsi="仿宋" w:eastAsia="仿宋_GB2312" w:cstheme="minorBidi"/>
                <w:bCs/>
                <w:color w:val="000000" w:themeColor="text1"/>
                <w:kern w:val="2"/>
                <w:sz w:val="18"/>
                <w:szCs w:val="18"/>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18"/>
                <w:szCs w:val="18"/>
                <w:highlight w:val="none"/>
                <w:lang w:val="en-US" w:eastAsia="zh-CN"/>
                <w14:textFill>
                  <w14:solidFill>
                    <w14:schemeClr w14:val="tx1"/>
                  </w14:solidFill>
                </w14:textFill>
              </w:rPr>
              <w:t>8</w:t>
            </w:r>
          </w:p>
        </w:tc>
        <w:tc>
          <w:tcPr>
            <w:tcW w:w="691" w:type="dxa"/>
            <w:vAlign w:val="center"/>
          </w:tcPr>
          <w:p w14:paraId="05ADE6B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3AC01871">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4839956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6FFCE357">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台班</w:t>
            </w:r>
          </w:p>
        </w:tc>
        <w:tc>
          <w:tcPr>
            <w:tcW w:w="781" w:type="dxa"/>
            <w:shd w:val="clear" w:color="auto" w:fill="auto"/>
            <w:vAlign w:val="center"/>
          </w:tcPr>
          <w:p w14:paraId="6782D5D1">
            <w:pPr>
              <w:spacing w:line="500" w:lineRule="exact"/>
              <w:jc w:val="center"/>
              <w:rPr>
                <w:rFonts w:hint="default" w:ascii="仿宋_GB2312" w:hAnsi="仿宋" w:eastAsia="仿宋_GB2312" w:cstheme="minorBidi"/>
                <w:bCs/>
                <w:color w:val="000000" w:themeColor="text1"/>
                <w:kern w:val="2"/>
                <w:sz w:val="18"/>
                <w:szCs w:val="18"/>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18"/>
                <w:szCs w:val="18"/>
                <w:highlight w:val="none"/>
                <w:lang w:val="en-US" w:eastAsia="zh-CN"/>
                <w14:textFill>
                  <w14:solidFill>
                    <w14:schemeClr w14:val="tx1"/>
                  </w14:solidFill>
                </w14:textFill>
              </w:rPr>
              <w:t>800</w:t>
            </w:r>
          </w:p>
        </w:tc>
        <w:tc>
          <w:tcPr>
            <w:tcW w:w="1067" w:type="dxa"/>
            <w:vAlign w:val="center"/>
          </w:tcPr>
          <w:p w14:paraId="106B0FB7">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73652E9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4B76F981">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EE7A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105219B6">
            <w:pPr>
              <w:spacing w:line="480" w:lineRule="exac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7</w:t>
            </w:r>
          </w:p>
        </w:tc>
        <w:tc>
          <w:tcPr>
            <w:tcW w:w="777" w:type="dxa"/>
            <w:shd w:val="clear" w:color="auto" w:fill="auto"/>
            <w:vAlign w:val="center"/>
          </w:tcPr>
          <w:p w14:paraId="33150134">
            <w:pPr>
              <w:pStyle w:val="16"/>
              <w:keepNext w:val="0"/>
              <w:keepLines w:val="0"/>
              <w:pageBreakBefore w:val="0"/>
              <w:widowControl/>
              <w:kinsoku w:val="0"/>
              <w:wordWrap/>
              <w:overflowPunct/>
              <w:topLinePunct w:val="0"/>
              <w:autoSpaceDE w:val="0"/>
              <w:autoSpaceDN w:val="0"/>
              <w:bidi w:val="0"/>
              <w:adjustRightInd w:val="0"/>
              <w:snapToGrid w:val="0"/>
              <w:spacing w:before="0" w:after="0" w:line="240" w:lineRule="auto"/>
              <w:ind w:left="0" w:leftChars="0" w:right="0" w:rightChars="0"/>
              <w:jc w:val="center"/>
              <w:textAlignment w:val="baseline"/>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pacing w:val="7"/>
                <w:sz w:val="18"/>
                <w:szCs w:val="18"/>
              </w:rPr>
              <w:t>面包车</w:t>
            </w:r>
          </w:p>
        </w:tc>
        <w:tc>
          <w:tcPr>
            <w:tcW w:w="691" w:type="dxa"/>
            <w:shd w:val="clear" w:color="auto" w:fill="auto"/>
            <w:vAlign w:val="center"/>
          </w:tcPr>
          <w:p w14:paraId="52AEA53C">
            <w:pPr>
              <w:pStyle w:val="16"/>
              <w:keepNext w:val="0"/>
              <w:keepLines w:val="0"/>
              <w:pageBreakBefore w:val="0"/>
              <w:widowControl/>
              <w:kinsoku w:val="0"/>
              <w:wordWrap/>
              <w:overflowPunct/>
              <w:topLinePunct w:val="0"/>
              <w:autoSpaceDE w:val="0"/>
              <w:autoSpaceDN w:val="0"/>
              <w:bidi w:val="0"/>
              <w:adjustRightInd w:val="0"/>
              <w:snapToGrid w:val="0"/>
              <w:spacing w:before="0" w:after="0" w:line="228" w:lineRule="auto"/>
              <w:jc w:val="center"/>
              <w:textAlignment w:val="baseline"/>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pacing w:val="7"/>
                <w:sz w:val="18"/>
                <w:szCs w:val="18"/>
              </w:rPr>
              <w:t>五菱宏光</w:t>
            </w:r>
          </w:p>
        </w:tc>
        <w:tc>
          <w:tcPr>
            <w:tcW w:w="616" w:type="dxa"/>
            <w:shd w:val="clear" w:color="auto" w:fill="auto"/>
            <w:vAlign w:val="center"/>
          </w:tcPr>
          <w:p w14:paraId="10E3F110">
            <w:pPr>
              <w:spacing w:line="500" w:lineRule="exact"/>
              <w:jc w:val="center"/>
              <w:rPr>
                <w:rFonts w:hint="eastAsia" w:ascii="仿宋_GB2312" w:hAnsi="仿宋" w:eastAsia="仿宋_GB2312" w:cstheme="minorBidi"/>
                <w:bCs/>
                <w:color w:val="000000" w:themeColor="text1"/>
                <w:kern w:val="2"/>
                <w:sz w:val="18"/>
                <w:szCs w:val="18"/>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18"/>
                <w:szCs w:val="18"/>
                <w:highlight w:val="none"/>
                <w:lang w:val="en-US" w:eastAsia="zh-CN"/>
                <w14:textFill>
                  <w14:solidFill>
                    <w14:schemeClr w14:val="tx1"/>
                  </w14:solidFill>
                </w14:textFill>
              </w:rPr>
              <w:t>16</w:t>
            </w:r>
          </w:p>
        </w:tc>
        <w:tc>
          <w:tcPr>
            <w:tcW w:w="691" w:type="dxa"/>
            <w:vAlign w:val="center"/>
          </w:tcPr>
          <w:p w14:paraId="1BC6D25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2806C59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6D8EF837">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620B16A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台班</w:t>
            </w:r>
          </w:p>
        </w:tc>
        <w:tc>
          <w:tcPr>
            <w:tcW w:w="781" w:type="dxa"/>
            <w:shd w:val="clear" w:color="auto" w:fill="auto"/>
            <w:vAlign w:val="center"/>
          </w:tcPr>
          <w:p w14:paraId="065930B0">
            <w:pPr>
              <w:spacing w:line="500" w:lineRule="exact"/>
              <w:jc w:val="center"/>
              <w:rPr>
                <w:rFonts w:hint="default" w:ascii="仿宋_GB2312" w:hAnsi="仿宋" w:eastAsia="仿宋_GB2312" w:cstheme="minorBidi"/>
                <w:bCs/>
                <w:color w:val="000000" w:themeColor="text1"/>
                <w:kern w:val="2"/>
                <w:sz w:val="18"/>
                <w:szCs w:val="18"/>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18"/>
                <w:szCs w:val="18"/>
                <w:highlight w:val="none"/>
                <w:lang w:val="en-US" w:eastAsia="zh-CN"/>
                <w14:textFill>
                  <w14:solidFill>
                    <w14:schemeClr w14:val="tx1"/>
                  </w14:solidFill>
                </w14:textFill>
              </w:rPr>
              <w:t>1800</w:t>
            </w:r>
          </w:p>
        </w:tc>
        <w:tc>
          <w:tcPr>
            <w:tcW w:w="1067" w:type="dxa"/>
            <w:vAlign w:val="center"/>
          </w:tcPr>
          <w:p w14:paraId="3B50A52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05A2DF1B">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2811D328">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7FAF9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2949F2F2">
            <w:pPr>
              <w:spacing w:line="480" w:lineRule="exact"/>
              <w:jc w:val="cente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8</w:t>
            </w:r>
          </w:p>
        </w:tc>
        <w:tc>
          <w:tcPr>
            <w:tcW w:w="777" w:type="dxa"/>
            <w:shd w:val="clear" w:color="auto" w:fill="auto"/>
            <w:vAlign w:val="center"/>
          </w:tcPr>
          <w:p w14:paraId="5B9F5D31">
            <w:pPr>
              <w:pStyle w:val="16"/>
              <w:keepNext w:val="0"/>
              <w:keepLines w:val="0"/>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仿宋_GB2312" w:hAnsi="仿宋_GB2312" w:eastAsia="仿宋_GB2312" w:cs="仿宋_GB2312"/>
                <w:spacing w:val="-2"/>
                <w:kern w:val="2"/>
                <w:sz w:val="18"/>
                <w:szCs w:val="18"/>
                <w:lang w:val="en-US" w:eastAsia="zh-CN" w:bidi="ar-SA"/>
              </w:rPr>
            </w:pPr>
            <w:r>
              <w:rPr>
                <w:rFonts w:hint="eastAsia" w:ascii="仿宋_GB2312" w:hAnsi="仿宋_GB2312" w:eastAsia="仿宋_GB2312" w:cs="仿宋_GB2312"/>
                <w:spacing w:val="-2"/>
                <w:sz w:val="18"/>
                <w:szCs w:val="18"/>
              </w:rPr>
              <w:t>挖掘机</w:t>
            </w:r>
          </w:p>
        </w:tc>
        <w:tc>
          <w:tcPr>
            <w:tcW w:w="691" w:type="dxa"/>
            <w:shd w:val="clear" w:color="auto" w:fill="auto"/>
            <w:vAlign w:val="center"/>
          </w:tcPr>
          <w:p w14:paraId="3CE17F42">
            <w:pPr>
              <w:pStyle w:val="16"/>
              <w:keepNext w:val="0"/>
              <w:keepLines w:val="0"/>
              <w:pageBreakBefore w:val="0"/>
              <w:widowControl/>
              <w:kinsoku w:val="0"/>
              <w:wordWrap/>
              <w:overflowPunct/>
              <w:topLinePunct w:val="0"/>
              <w:autoSpaceDE w:val="0"/>
              <w:autoSpaceDN w:val="0"/>
              <w:bidi w:val="0"/>
              <w:adjustRightInd w:val="0"/>
              <w:snapToGrid w:val="0"/>
              <w:spacing w:before="0" w:after="0" w:line="240" w:lineRule="auto"/>
              <w:ind w:left="0" w:leftChars="0"/>
              <w:jc w:val="center"/>
              <w:textAlignment w:val="baseline"/>
              <w:rPr>
                <w:rFonts w:hint="eastAsia" w:ascii="仿宋_GB2312" w:hAnsi="仿宋_GB2312" w:eastAsia="仿宋_GB2312" w:cs="仿宋_GB2312"/>
                <w:spacing w:val="-2"/>
                <w:kern w:val="2"/>
                <w:sz w:val="18"/>
                <w:szCs w:val="18"/>
                <w:lang w:val="en-US" w:eastAsia="zh-CN" w:bidi="ar-SA"/>
              </w:rPr>
            </w:pPr>
            <w:r>
              <w:rPr>
                <w:rFonts w:hint="eastAsia" w:ascii="仿宋_GB2312" w:hAnsi="仿宋_GB2312" w:eastAsia="仿宋_GB2312" w:cs="仿宋_GB2312"/>
                <w:spacing w:val="-2"/>
                <w:sz w:val="18"/>
                <w:szCs w:val="18"/>
              </w:rPr>
              <w:t>XG809F</w:t>
            </w:r>
          </w:p>
        </w:tc>
        <w:tc>
          <w:tcPr>
            <w:tcW w:w="616" w:type="dxa"/>
            <w:shd w:val="clear" w:color="auto" w:fill="auto"/>
            <w:vAlign w:val="center"/>
          </w:tcPr>
          <w:p w14:paraId="0EA2D64F">
            <w:pPr>
              <w:spacing w:line="500" w:lineRule="exact"/>
              <w:jc w:val="center"/>
              <w:rPr>
                <w:rFonts w:hint="eastAsia" w:ascii="仿宋_GB2312" w:hAnsi="仿宋" w:eastAsia="仿宋_GB2312" w:cstheme="minorBidi"/>
                <w:bCs/>
                <w:color w:val="000000" w:themeColor="text1"/>
                <w:kern w:val="2"/>
                <w:sz w:val="18"/>
                <w:szCs w:val="18"/>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18"/>
                <w:szCs w:val="18"/>
                <w:highlight w:val="none"/>
                <w:lang w:val="en-US" w:eastAsia="zh-CN"/>
                <w14:textFill>
                  <w14:solidFill>
                    <w14:schemeClr w14:val="tx1"/>
                  </w14:solidFill>
                </w14:textFill>
              </w:rPr>
              <w:t>8</w:t>
            </w:r>
          </w:p>
        </w:tc>
        <w:tc>
          <w:tcPr>
            <w:tcW w:w="691" w:type="dxa"/>
            <w:vAlign w:val="center"/>
          </w:tcPr>
          <w:p w14:paraId="7EBE0E1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3DCC2BD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72A28B21">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6EDEC32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台班</w:t>
            </w:r>
          </w:p>
        </w:tc>
        <w:tc>
          <w:tcPr>
            <w:tcW w:w="781" w:type="dxa"/>
            <w:shd w:val="clear" w:color="auto" w:fill="auto"/>
            <w:vAlign w:val="center"/>
          </w:tcPr>
          <w:p w14:paraId="654079FC">
            <w:pPr>
              <w:spacing w:line="500" w:lineRule="exact"/>
              <w:jc w:val="center"/>
              <w:rPr>
                <w:rFonts w:hint="default" w:ascii="仿宋_GB2312" w:hAnsi="仿宋" w:eastAsia="仿宋_GB2312" w:cstheme="minorBidi"/>
                <w:bCs/>
                <w:color w:val="000000" w:themeColor="text1"/>
                <w:kern w:val="2"/>
                <w:sz w:val="18"/>
                <w:szCs w:val="18"/>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18"/>
                <w:szCs w:val="18"/>
                <w:highlight w:val="none"/>
                <w:lang w:val="en-US" w:eastAsia="zh-CN"/>
                <w14:textFill>
                  <w14:solidFill>
                    <w14:schemeClr w14:val="tx1"/>
                  </w14:solidFill>
                </w14:textFill>
              </w:rPr>
              <w:t>750</w:t>
            </w:r>
          </w:p>
        </w:tc>
        <w:tc>
          <w:tcPr>
            <w:tcW w:w="1067" w:type="dxa"/>
            <w:vAlign w:val="center"/>
          </w:tcPr>
          <w:p w14:paraId="5774E12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7DA7B551">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32811BF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558D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00F93575">
            <w:pPr>
              <w:spacing w:line="480" w:lineRule="exac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9</w:t>
            </w:r>
          </w:p>
        </w:tc>
        <w:tc>
          <w:tcPr>
            <w:tcW w:w="777" w:type="dxa"/>
            <w:shd w:val="clear" w:color="auto" w:fill="auto"/>
            <w:vAlign w:val="center"/>
          </w:tcPr>
          <w:p w14:paraId="6D00A5C2">
            <w:pPr>
              <w:pStyle w:val="16"/>
              <w:keepNext w:val="0"/>
              <w:keepLines w:val="0"/>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仿宋_GB2312" w:hAnsi="仿宋_GB2312" w:eastAsia="仿宋_GB2312" w:cs="仿宋_GB2312"/>
                <w:spacing w:val="-2"/>
                <w:kern w:val="2"/>
                <w:sz w:val="18"/>
                <w:szCs w:val="18"/>
                <w:lang w:val="en-US" w:eastAsia="zh-CN" w:bidi="ar-SA"/>
              </w:rPr>
            </w:pPr>
            <w:r>
              <w:rPr>
                <w:rFonts w:hint="eastAsia" w:ascii="仿宋_GB2312" w:hAnsi="仿宋_GB2312" w:eastAsia="仿宋_GB2312" w:cs="仿宋_GB2312"/>
                <w:spacing w:val="-2"/>
                <w:sz w:val="18"/>
                <w:szCs w:val="18"/>
              </w:rPr>
              <w:t>越野车</w:t>
            </w:r>
          </w:p>
        </w:tc>
        <w:tc>
          <w:tcPr>
            <w:tcW w:w="691" w:type="dxa"/>
            <w:shd w:val="clear" w:color="auto" w:fill="auto"/>
            <w:vAlign w:val="center"/>
          </w:tcPr>
          <w:p w14:paraId="26497599">
            <w:pPr>
              <w:pStyle w:val="16"/>
              <w:keepNext w:val="0"/>
              <w:keepLines w:val="0"/>
              <w:pageBreakBefore w:val="0"/>
              <w:widowControl/>
              <w:kinsoku w:val="0"/>
              <w:wordWrap/>
              <w:overflowPunct/>
              <w:topLinePunct w:val="0"/>
              <w:autoSpaceDE w:val="0"/>
              <w:autoSpaceDN w:val="0"/>
              <w:bidi w:val="0"/>
              <w:adjustRightInd w:val="0"/>
              <w:snapToGrid w:val="0"/>
              <w:spacing w:before="0" w:after="0" w:line="240" w:lineRule="auto"/>
              <w:ind w:left="0" w:leftChars="0"/>
              <w:jc w:val="center"/>
              <w:textAlignment w:val="baseline"/>
              <w:rPr>
                <w:rFonts w:hint="eastAsia" w:ascii="仿宋_GB2312" w:hAnsi="仿宋_GB2312" w:eastAsia="仿宋_GB2312" w:cs="仿宋_GB2312"/>
                <w:spacing w:val="-2"/>
                <w:kern w:val="2"/>
                <w:sz w:val="18"/>
                <w:szCs w:val="18"/>
                <w:lang w:val="en-US" w:eastAsia="zh-CN" w:bidi="ar-SA"/>
              </w:rPr>
            </w:pPr>
            <w:r>
              <w:rPr>
                <w:rFonts w:hint="eastAsia" w:ascii="仿宋_GB2312" w:hAnsi="仿宋_GB2312" w:eastAsia="仿宋_GB2312" w:cs="仿宋_GB2312"/>
                <w:spacing w:val="-2"/>
                <w:sz w:val="18"/>
                <w:szCs w:val="18"/>
                <w:lang w:val="en-US" w:eastAsia="zh-CN"/>
              </w:rPr>
              <w:t>长城</w:t>
            </w:r>
          </w:p>
        </w:tc>
        <w:tc>
          <w:tcPr>
            <w:tcW w:w="616" w:type="dxa"/>
            <w:shd w:val="clear" w:color="auto" w:fill="auto"/>
            <w:vAlign w:val="center"/>
          </w:tcPr>
          <w:p w14:paraId="0F004DEE">
            <w:pPr>
              <w:spacing w:line="500" w:lineRule="exact"/>
              <w:jc w:val="center"/>
              <w:rPr>
                <w:rFonts w:hint="eastAsia" w:ascii="仿宋_GB2312" w:hAnsi="仿宋" w:eastAsia="仿宋_GB2312" w:cstheme="minorBidi"/>
                <w:bCs/>
                <w:color w:val="000000" w:themeColor="text1"/>
                <w:kern w:val="2"/>
                <w:sz w:val="18"/>
                <w:szCs w:val="18"/>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18"/>
                <w:szCs w:val="18"/>
                <w:highlight w:val="none"/>
                <w:lang w:val="en-US" w:eastAsia="zh-CN"/>
                <w14:textFill>
                  <w14:solidFill>
                    <w14:schemeClr w14:val="tx1"/>
                  </w14:solidFill>
                </w14:textFill>
              </w:rPr>
              <w:t>2</w:t>
            </w:r>
          </w:p>
        </w:tc>
        <w:tc>
          <w:tcPr>
            <w:tcW w:w="691" w:type="dxa"/>
            <w:vAlign w:val="center"/>
          </w:tcPr>
          <w:p w14:paraId="4D4D32B8">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2C3EC09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65659A2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54ECB8C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台班</w:t>
            </w:r>
          </w:p>
        </w:tc>
        <w:tc>
          <w:tcPr>
            <w:tcW w:w="781" w:type="dxa"/>
            <w:shd w:val="clear" w:color="auto" w:fill="auto"/>
            <w:vAlign w:val="center"/>
          </w:tcPr>
          <w:p w14:paraId="0538D429">
            <w:pPr>
              <w:spacing w:line="500" w:lineRule="exact"/>
              <w:jc w:val="center"/>
              <w:rPr>
                <w:rFonts w:hint="default" w:ascii="仿宋_GB2312" w:hAnsi="仿宋" w:eastAsia="仿宋_GB2312" w:cstheme="minorBidi"/>
                <w:bCs/>
                <w:color w:val="000000" w:themeColor="text1"/>
                <w:kern w:val="2"/>
                <w:sz w:val="18"/>
                <w:szCs w:val="18"/>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18"/>
                <w:szCs w:val="18"/>
                <w:highlight w:val="none"/>
                <w:lang w:val="en-US" w:eastAsia="zh-CN"/>
                <w14:textFill>
                  <w14:solidFill>
                    <w14:schemeClr w14:val="tx1"/>
                  </w14:solidFill>
                </w14:textFill>
              </w:rPr>
              <w:t>365</w:t>
            </w:r>
          </w:p>
        </w:tc>
        <w:tc>
          <w:tcPr>
            <w:tcW w:w="1067" w:type="dxa"/>
            <w:vAlign w:val="center"/>
          </w:tcPr>
          <w:p w14:paraId="7F147FC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1D97CFF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61100F20">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75077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2C5794C7">
            <w:pPr>
              <w:spacing w:line="480" w:lineRule="exac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10</w:t>
            </w:r>
          </w:p>
        </w:tc>
        <w:tc>
          <w:tcPr>
            <w:tcW w:w="777" w:type="dxa"/>
            <w:shd w:val="clear" w:color="auto" w:fill="auto"/>
            <w:vAlign w:val="center"/>
          </w:tcPr>
          <w:p w14:paraId="40F56752">
            <w:pPr>
              <w:pStyle w:val="16"/>
              <w:keepNext w:val="0"/>
              <w:keepLines w:val="0"/>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仿宋_GB2312" w:hAnsi="仿宋_GB2312" w:eastAsia="仿宋_GB2312" w:cs="仿宋_GB2312"/>
                <w:spacing w:val="-2"/>
                <w:kern w:val="2"/>
                <w:sz w:val="18"/>
                <w:szCs w:val="18"/>
                <w:lang w:val="en-US" w:eastAsia="zh-CN" w:bidi="ar-SA"/>
              </w:rPr>
            </w:pPr>
            <w:r>
              <w:rPr>
                <w:rFonts w:hint="eastAsia" w:ascii="仿宋_GB2312" w:hAnsi="仿宋_GB2312" w:eastAsia="仿宋_GB2312" w:cs="仿宋_GB2312"/>
                <w:spacing w:val="-2"/>
                <w:sz w:val="18"/>
                <w:szCs w:val="18"/>
              </w:rPr>
              <w:t>皮卡</w:t>
            </w:r>
          </w:p>
        </w:tc>
        <w:tc>
          <w:tcPr>
            <w:tcW w:w="691" w:type="dxa"/>
            <w:shd w:val="clear" w:color="auto" w:fill="auto"/>
            <w:vAlign w:val="center"/>
          </w:tcPr>
          <w:p w14:paraId="1C3EEB1F">
            <w:pPr>
              <w:pStyle w:val="16"/>
              <w:keepNext w:val="0"/>
              <w:keepLines w:val="0"/>
              <w:pageBreakBefore w:val="0"/>
              <w:widowControl/>
              <w:kinsoku w:val="0"/>
              <w:wordWrap/>
              <w:overflowPunct/>
              <w:topLinePunct w:val="0"/>
              <w:autoSpaceDE w:val="0"/>
              <w:autoSpaceDN w:val="0"/>
              <w:bidi w:val="0"/>
              <w:adjustRightInd w:val="0"/>
              <w:snapToGrid w:val="0"/>
              <w:spacing w:before="0" w:after="0" w:line="240" w:lineRule="auto"/>
              <w:ind w:left="0" w:leftChars="0"/>
              <w:jc w:val="center"/>
              <w:textAlignment w:val="baseline"/>
              <w:rPr>
                <w:rFonts w:hint="eastAsia" w:ascii="仿宋_GB2312" w:hAnsi="仿宋_GB2312" w:eastAsia="仿宋_GB2312" w:cs="仿宋_GB2312"/>
                <w:spacing w:val="-2"/>
                <w:kern w:val="2"/>
                <w:sz w:val="18"/>
                <w:szCs w:val="18"/>
                <w:lang w:val="en-US" w:eastAsia="zh-CN" w:bidi="ar-SA"/>
              </w:rPr>
            </w:pPr>
            <w:r>
              <w:rPr>
                <w:rFonts w:hint="eastAsia" w:ascii="仿宋_GB2312" w:hAnsi="仿宋_GB2312" w:eastAsia="仿宋_GB2312" w:cs="仿宋_GB2312"/>
                <w:spacing w:val="-2"/>
                <w:sz w:val="18"/>
                <w:szCs w:val="18"/>
              </w:rPr>
              <w:t>长城炮</w:t>
            </w:r>
          </w:p>
        </w:tc>
        <w:tc>
          <w:tcPr>
            <w:tcW w:w="616" w:type="dxa"/>
            <w:shd w:val="clear" w:color="auto" w:fill="auto"/>
            <w:vAlign w:val="center"/>
          </w:tcPr>
          <w:p w14:paraId="3CB3F007">
            <w:pPr>
              <w:spacing w:line="500" w:lineRule="exact"/>
              <w:jc w:val="center"/>
              <w:rPr>
                <w:rFonts w:hint="eastAsia" w:ascii="仿宋_GB2312" w:hAnsi="仿宋" w:eastAsia="仿宋_GB2312" w:cstheme="minorBidi"/>
                <w:bCs/>
                <w:color w:val="000000" w:themeColor="text1"/>
                <w:kern w:val="2"/>
                <w:sz w:val="18"/>
                <w:szCs w:val="18"/>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18"/>
                <w:szCs w:val="18"/>
                <w:highlight w:val="none"/>
                <w:lang w:val="en-US" w:eastAsia="zh-CN"/>
                <w14:textFill>
                  <w14:solidFill>
                    <w14:schemeClr w14:val="tx1"/>
                  </w14:solidFill>
                </w14:textFill>
              </w:rPr>
              <w:t>8</w:t>
            </w:r>
          </w:p>
        </w:tc>
        <w:tc>
          <w:tcPr>
            <w:tcW w:w="691" w:type="dxa"/>
            <w:vAlign w:val="center"/>
          </w:tcPr>
          <w:p w14:paraId="46B0242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375764E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3443E24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5380BDF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台班</w:t>
            </w:r>
          </w:p>
        </w:tc>
        <w:tc>
          <w:tcPr>
            <w:tcW w:w="781" w:type="dxa"/>
            <w:shd w:val="clear" w:color="auto" w:fill="auto"/>
            <w:vAlign w:val="center"/>
          </w:tcPr>
          <w:p w14:paraId="6557ACF2">
            <w:pPr>
              <w:spacing w:line="500" w:lineRule="exact"/>
              <w:jc w:val="center"/>
              <w:rPr>
                <w:rFonts w:hint="default" w:ascii="仿宋_GB2312" w:hAnsi="仿宋" w:eastAsia="仿宋_GB2312" w:cstheme="minorBidi"/>
                <w:bCs/>
                <w:color w:val="000000" w:themeColor="text1"/>
                <w:kern w:val="2"/>
                <w:sz w:val="18"/>
                <w:szCs w:val="18"/>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18"/>
                <w:szCs w:val="18"/>
                <w:highlight w:val="none"/>
                <w:lang w:val="en-US" w:eastAsia="zh-CN"/>
                <w14:textFill>
                  <w14:solidFill>
                    <w14:schemeClr w14:val="tx1"/>
                  </w14:solidFill>
                </w14:textFill>
              </w:rPr>
              <w:t>760</w:t>
            </w:r>
          </w:p>
        </w:tc>
        <w:tc>
          <w:tcPr>
            <w:tcW w:w="1067" w:type="dxa"/>
            <w:vAlign w:val="center"/>
          </w:tcPr>
          <w:p w14:paraId="5AE57B48">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0D1B7CB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403EBCF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6B0E3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307C104B">
            <w:pPr>
              <w:spacing w:line="480" w:lineRule="exac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11</w:t>
            </w:r>
          </w:p>
        </w:tc>
        <w:tc>
          <w:tcPr>
            <w:tcW w:w="777" w:type="dxa"/>
            <w:shd w:val="clear" w:color="auto" w:fill="auto"/>
            <w:vAlign w:val="center"/>
          </w:tcPr>
          <w:p w14:paraId="0190636A">
            <w:pPr>
              <w:pStyle w:val="16"/>
              <w:keepNext w:val="0"/>
              <w:keepLines w:val="0"/>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仿宋_GB2312" w:hAnsi="仿宋_GB2312" w:eastAsia="仿宋_GB2312" w:cs="仿宋_GB2312"/>
                <w:spacing w:val="-2"/>
                <w:kern w:val="2"/>
                <w:sz w:val="18"/>
                <w:szCs w:val="18"/>
                <w:lang w:val="en-US" w:eastAsia="zh-CN" w:bidi="ar-SA"/>
              </w:rPr>
            </w:pPr>
            <w:r>
              <w:rPr>
                <w:rFonts w:hint="eastAsia" w:ascii="仿宋_GB2312" w:hAnsi="仿宋_GB2312" w:eastAsia="仿宋_GB2312" w:cs="仿宋_GB2312"/>
                <w:spacing w:val="-2"/>
                <w:sz w:val="18"/>
                <w:szCs w:val="18"/>
              </w:rPr>
              <w:t>打草机</w:t>
            </w:r>
          </w:p>
        </w:tc>
        <w:tc>
          <w:tcPr>
            <w:tcW w:w="691" w:type="dxa"/>
            <w:shd w:val="clear" w:color="auto" w:fill="auto"/>
            <w:vAlign w:val="center"/>
          </w:tcPr>
          <w:p w14:paraId="54627495">
            <w:pPr>
              <w:pStyle w:val="16"/>
              <w:keepNext w:val="0"/>
              <w:keepLines w:val="0"/>
              <w:pageBreakBefore w:val="0"/>
              <w:widowControl/>
              <w:kinsoku w:val="0"/>
              <w:wordWrap/>
              <w:overflowPunct/>
              <w:topLinePunct w:val="0"/>
              <w:autoSpaceDE w:val="0"/>
              <w:autoSpaceDN w:val="0"/>
              <w:bidi w:val="0"/>
              <w:adjustRightInd w:val="0"/>
              <w:snapToGrid w:val="0"/>
              <w:spacing w:before="0" w:after="0" w:line="240" w:lineRule="auto"/>
              <w:ind w:left="0" w:leftChars="0"/>
              <w:jc w:val="center"/>
              <w:textAlignment w:val="baseline"/>
              <w:rPr>
                <w:rFonts w:hint="eastAsia" w:ascii="仿宋_GB2312" w:hAnsi="仿宋_GB2312" w:eastAsia="仿宋_GB2312" w:cs="仿宋_GB2312"/>
                <w:spacing w:val="-2"/>
                <w:kern w:val="2"/>
                <w:sz w:val="18"/>
                <w:szCs w:val="18"/>
                <w:lang w:val="en-US" w:eastAsia="zh-CN" w:bidi="ar-SA"/>
              </w:rPr>
            </w:pPr>
            <w:r>
              <w:rPr>
                <w:rFonts w:hint="eastAsia" w:ascii="仿宋_GB2312" w:hAnsi="仿宋_GB2312" w:eastAsia="仿宋_GB2312" w:cs="仿宋_GB2312"/>
                <w:spacing w:val="-2"/>
                <w:sz w:val="18"/>
                <w:szCs w:val="18"/>
              </w:rPr>
              <w:t>四冲程</w:t>
            </w:r>
          </w:p>
        </w:tc>
        <w:tc>
          <w:tcPr>
            <w:tcW w:w="616" w:type="dxa"/>
            <w:shd w:val="clear" w:color="auto" w:fill="auto"/>
            <w:vAlign w:val="center"/>
          </w:tcPr>
          <w:p w14:paraId="59C2E72E">
            <w:pPr>
              <w:spacing w:line="500" w:lineRule="exact"/>
              <w:jc w:val="center"/>
              <w:rPr>
                <w:rFonts w:hint="eastAsia" w:ascii="仿宋_GB2312" w:hAnsi="仿宋" w:eastAsia="仿宋_GB2312" w:cstheme="minorBidi"/>
                <w:bCs/>
                <w:color w:val="000000" w:themeColor="text1"/>
                <w:kern w:val="2"/>
                <w:sz w:val="18"/>
                <w:szCs w:val="18"/>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18"/>
                <w:szCs w:val="18"/>
                <w:highlight w:val="none"/>
                <w:lang w:val="en-US" w:eastAsia="zh-CN"/>
                <w14:textFill>
                  <w14:solidFill>
                    <w14:schemeClr w14:val="tx1"/>
                  </w14:solidFill>
                </w14:textFill>
              </w:rPr>
              <w:t>240</w:t>
            </w:r>
          </w:p>
        </w:tc>
        <w:tc>
          <w:tcPr>
            <w:tcW w:w="691" w:type="dxa"/>
            <w:vAlign w:val="center"/>
          </w:tcPr>
          <w:p w14:paraId="631A624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788FE857">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6F5185D1">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07F8104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台班</w:t>
            </w:r>
          </w:p>
        </w:tc>
        <w:tc>
          <w:tcPr>
            <w:tcW w:w="781" w:type="dxa"/>
            <w:shd w:val="clear" w:color="auto" w:fill="auto"/>
            <w:vAlign w:val="center"/>
          </w:tcPr>
          <w:p w14:paraId="49C97D51">
            <w:pPr>
              <w:spacing w:line="500" w:lineRule="exact"/>
              <w:jc w:val="center"/>
              <w:rPr>
                <w:rFonts w:hint="default" w:ascii="仿宋_GB2312" w:hAnsi="仿宋" w:eastAsia="仿宋_GB2312" w:cstheme="minorBidi"/>
                <w:bCs/>
                <w:color w:val="000000" w:themeColor="text1"/>
                <w:kern w:val="2"/>
                <w:sz w:val="18"/>
                <w:szCs w:val="18"/>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18"/>
                <w:szCs w:val="18"/>
                <w:highlight w:val="none"/>
                <w:lang w:val="en-US" w:eastAsia="zh-CN"/>
                <w14:textFill>
                  <w14:solidFill>
                    <w14:schemeClr w14:val="tx1"/>
                  </w14:solidFill>
                </w14:textFill>
              </w:rPr>
              <w:t>12000</w:t>
            </w:r>
          </w:p>
        </w:tc>
        <w:tc>
          <w:tcPr>
            <w:tcW w:w="1067" w:type="dxa"/>
            <w:vAlign w:val="center"/>
          </w:tcPr>
          <w:p w14:paraId="5BAEB5D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592C219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1D11641B">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7404D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5CEE8944">
            <w:pPr>
              <w:spacing w:line="480" w:lineRule="exac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12</w:t>
            </w:r>
          </w:p>
        </w:tc>
        <w:tc>
          <w:tcPr>
            <w:tcW w:w="777" w:type="dxa"/>
            <w:shd w:val="clear" w:color="auto" w:fill="auto"/>
            <w:vAlign w:val="center"/>
          </w:tcPr>
          <w:p w14:paraId="0933655C">
            <w:pPr>
              <w:pStyle w:val="16"/>
              <w:keepNext w:val="0"/>
              <w:keepLines w:val="0"/>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仿宋_GB2312" w:hAnsi="仿宋_GB2312" w:eastAsia="仿宋_GB2312" w:cs="仿宋_GB2312"/>
                <w:spacing w:val="-2"/>
                <w:kern w:val="2"/>
                <w:sz w:val="18"/>
                <w:szCs w:val="18"/>
                <w:lang w:val="en-US" w:eastAsia="zh-CN" w:bidi="ar-SA"/>
              </w:rPr>
            </w:pPr>
            <w:r>
              <w:rPr>
                <w:rFonts w:hint="eastAsia" w:ascii="仿宋_GB2312" w:hAnsi="仿宋_GB2312" w:eastAsia="仿宋_GB2312" w:cs="仿宋_GB2312"/>
                <w:spacing w:val="-2"/>
                <w:sz w:val="18"/>
                <w:szCs w:val="18"/>
              </w:rPr>
              <w:t>打药机</w:t>
            </w:r>
          </w:p>
        </w:tc>
        <w:tc>
          <w:tcPr>
            <w:tcW w:w="691" w:type="dxa"/>
            <w:shd w:val="clear" w:color="auto" w:fill="auto"/>
            <w:vAlign w:val="center"/>
          </w:tcPr>
          <w:p w14:paraId="16380446">
            <w:pPr>
              <w:pStyle w:val="16"/>
              <w:keepNext w:val="0"/>
              <w:keepLines w:val="0"/>
              <w:pageBreakBefore w:val="0"/>
              <w:widowControl/>
              <w:kinsoku w:val="0"/>
              <w:wordWrap/>
              <w:overflowPunct/>
              <w:topLinePunct w:val="0"/>
              <w:autoSpaceDE w:val="0"/>
              <w:autoSpaceDN w:val="0"/>
              <w:bidi w:val="0"/>
              <w:adjustRightInd w:val="0"/>
              <w:snapToGrid w:val="0"/>
              <w:spacing w:before="0" w:after="0" w:line="240" w:lineRule="auto"/>
              <w:ind w:left="0" w:leftChars="0"/>
              <w:jc w:val="center"/>
              <w:textAlignment w:val="baseline"/>
              <w:rPr>
                <w:rFonts w:hint="eastAsia" w:ascii="仿宋_GB2312" w:hAnsi="仿宋_GB2312" w:eastAsia="仿宋_GB2312" w:cs="仿宋_GB2312"/>
                <w:spacing w:val="-2"/>
                <w:kern w:val="2"/>
                <w:sz w:val="18"/>
                <w:szCs w:val="18"/>
                <w:lang w:val="en-US" w:eastAsia="zh-CN" w:bidi="ar-SA"/>
              </w:rPr>
            </w:pPr>
            <w:r>
              <w:rPr>
                <w:rFonts w:hint="eastAsia" w:ascii="仿宋_GB2312" w:hAnsi="仿宋_GB2312" w:eastAsia="仿宋_GB2312" w:cs="仿宋_GB2312"/>
                <w:spacing w:val="-2"/>
                <w:sz w:val="18"/>
                <w:szCs w:val="18"/>
              </w:rPr>
              <w:t>HF-MW 180</w:t>
            </w:r>
          </w:p>
        </w:tc>
        <w:tc>
          <w:tcPr>
            <w:tcW w:w="616" w:type="dxa"/>
            <w:shd w:val="clear" w:color="auto" w:fill="auto"/>
            <w:vAlign w:val="center"/>
          </w:tcPr>
          <w:p w14:paraId="088250F9">
            <w:pPr>
              <w:spacing w:line="500" w:lineRule="exact"/>
              <w:jc w:val="center"/>
              <w:rPr>
                <w:rFonts w:hint="eastAsia" w:ascii="仿宋_GB2312" w:hAnsi="仿宋" w:eastAsia="仿宋_GB2312" w:cstheme="minorBidi"/>
                <w:bCs/>
                <w:color w:val="000000" w:themeColor="text1"/>
                <w:kern w:val="2"/>
                <w:sz w:val="18"/>
                <w:szCs w:val="18"/>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18"/>
                <w:szCs w:val="18"/>
                <w:highlight w:val="none"/>
                <w:lang w:val="en-US" w:eastAsia="zh-CN"/>
                <w14:textFill>
                  <w14:solidFill>
                    <w14:schemeClr w14:val="tx1"/>
                  </w14:solidFill>
                </w14:textFill>
              </w:rPr>
              <w:t>8</w:t>
            </w:r>
          </w:p>
        </w:tc>
        <w:tc>
          <w:tcPr>
            <w:tcW w:w="691" w:type="dxa"/>
            <w:vAlign w:val="center"/>
          </w:tcPr>
          <w:p w14:paraId="7147D09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3524B65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6F18F75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05CCE0B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台班</w:t>
            </w:r>
          </w:p>
        </w:tc>
        <w:tc>
          <w:tcPr>
            <w:tcW w:w="781" w:type="dxa"/>
            <w:shd w:val="clear" w:color="auto" w:fill="auto"/>
            <w:vAlign w:val="center"/>
          </w:tcPr>
          <w:p w14:paraId="7D955BB7">
            <w:pPr>
              <w:spacing w:line="500" w:lineRule="exact"/>
              <w:jc w:val="center"/>
              <w:rPr>
                <w:rFonts w:hint="default" w:ascii="仿宋_GB2312" w:hAnsi="仿宋" w:eastAsia="仿宋_GB2312" w:cstheme="minorBidi"/>
                <w:bCs/>
                <w:color w:val="000000" w:themeColor="text1"/>
                <w:kern w:val="2"/>
                <w:sz w:val="18"/>
                <w:szCs w:val="18"/>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18"/>
                <w:szCs w:val="18"/>
                <w:highlight w:val="none"/>
                <w:lang w:val="en-US" w:eastAsia="zh-CN"/>
                <w14:textFill>
                  <w14:solidFill>
                    <w14:schemeClr w14:val="tx1"/>
                  </w14:solidFill>
                </w14:textFill>
              </w:rPr>
              <w:t>750</w:t>
            </w:r>
          </w:p>
        </w:tc>
        <w:tc>
          <w:tcPr>
            <w:tcW w:w="1067" w:type="dxa"/>
            <w:vAlign w:val="center"/>
          </w:tcPr>
          <w:p w14:paraId="50B846D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11BE51DB">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33063EB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E1DD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67D5EDA2">
            <w:pPr>
              <w:spacing w:line="480" w:lineRule="exac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13</w:t>
            </w:r>
          </w:p>
        </w:tc>
        <w:tc>
          <w:tcPr>
            <w:tcW w:w="777" w:type="dxa"/>
            <w:shd w:val="clear" w:color="auto" w:fill="auto"/>
            <w:vAlign w:val="center"/>
          </w:tcPr>
          <w:p w14:paraId="3574A167">
            <w:pPr>
              <w:pStyle w:val="16"/>
              <w:keepNext w:val="0"/>
              <w:keepLines w:val="0"/>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仿宋_GB2312" w:hAnsi="仿宋_GB2312" w:eastAsia="仿宋_GB2312" w:cs="仿宋_GB2312"/>
                <w:spacing w:val="-2"/>
                <w:kern w:val="2"/>
                <w:sz w:val="18"/>
                <w:szCs w:val="18"/>
                <w:lang w:val="en-US" w:eastAsia="zh-CN" w:bidi="ar-SA"/>
              </w:rPr>
            </w:pPr>
            <w:r>
              <w:rPr>
                <w:rFonts w:hint="eastAsia" w:ascii="仿宋_GB2312" w:hAnsi="仿宋_GB2312" w:eastAsia="仿宋_GB2312" w:cs="仿宋_GB2312"/>
                <w:spacing w:val="-2"/>
                <w:sz w:val="18"/>
                <w:szCs w:val="18"/>
              </w:rPr>
              <w:t>发电机</w:t>
            </w:r>
          </w:p>
        </w:tc>
        <w:tc>
          <w:tcPr>
            <w:tcW w:w="691" w:type="dxa"/>
            <w:shd w:val="clear" w:color="auto" w:fill="auto"/>
            <w:vAlign w:val="center"/>
          </w:tcPr>
          <w:p w14:paraId="7B8DC53C">
            <w:pPr>
              <w:pStyle w:val="16"/>
              <w:keepNext w:val="0"/>
              <w:keepLines w:val="0"/>
              <w:pageBreakBefore w:val="0"/>
              <w:widowControl/>
              <w:kinsoku w:val="0"/>
              <w:wordWrap/>
              <w:overflowPunct/>
              <w:topLinePunct w:val="0"/>
              <w:autoSpaceDE w:val="0"/>
              <w:autoSpaceDN w:val="0"/>
              <w:bidi w:val="0"/>
              <w:adjustRightInd w:val="0"/>
              <w:snapToGrid w:val="0"/>
              <w:spacing w:before="0" w:after="0" w:line="240" w:lineRule="auto"/>
              <w:ind w:left="0" w:leftChars="0"/>
              <w:jc w:val="center"/>
              <w:textAlignment w:val="baseline"/>
              <w:rPr>
                <w:rFonts w:hint="eastAsia" w:ascii="仿宋_GB2312" w:hAnsi="仿宋_GB2312" w:eastAsia="仿宋_GB2312" w:cs="仿宋_GB2312"/>
                <w:spacing w:val="-2"/>
                <w:kern w:val="2"/>
                <w:sz w:val="18"/>
                <w:szCs w:val="18"/>
                <w:lang w:val="en-US" w:eastAsia="zh-CN" w:bidi="ar-SA"/>
              </w:rPr>
            </w:pPr>
            <w:r>
              <w:rPr>
                <w:rFonts w:hint="eastAsia" w:ascii="仿宋_GB2312" w:hAnsi="仿宋_GB2312" w:eastAsia="仿宋_GB2312" w:cs="仿宋_GB2312"/>
                <w:spacing w:val="-2"/>
                <w:sz w:val="18"/>
                <w:szCs w:val="18"/>
              </w:rPr>
              <w:t>6kw</w:t>
            </w:r>
          </w:p>
        </w:tc>
        <w:tc>
          <w:tcPr>
            <w:tcW w:w="616" w:type="dxa"/>
            <w:shd w:val="clear" w:color="auto" w:fill="auto"/>
            <w:vAlign w:val="center"/>
          </w:tcPr>
          <w:p w14:paraId="521A45D3">
            <w:pPr>
              <w:spacing w:line="500" w:lineRule="exact"/>
              <w:jc w:val="center"/>
              <w:rPr>
                <w:rFonts w:hint="eastAsia" w:ascii="仿宋_GB2312" w:hAnsi="仿宋" w:eastAsia="仿宋_GB2312" w:cstheme="minorBidi"/>
                <w:bCs/>
                <w:color w:val="000000" w:themeColor="text1"/>
                <w:kern w:val="2"/>
                <w:sz w:val="18"/>
                <w:szCs w:val="18"/>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18"/>
                <w:szCs w:val="18"/>
                <w:highlight w:val="none"/>
                <w:lang w:val="en-US" w:eastAsia="zh-CN"/>
                <w14:textFill>
                  <w14:solidFill>
                    <w14:schemeClr w14:val="tx1"/>
                  </w14:solidFill>
                </w14:textFill>
              </w:rPr>
              <w:t>8</w:t>
            </w:r>
          </w:p>
        </w:tc>
        <w:tc>
          <w:tcPr>
            <w:tcW w:w="691" w:type="dxa"/>
            <w:vAlign w:val="center"/>
          </w:tcPr>
          <w:p w14:paraId="17DEC8B8">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5D92C76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2951B10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5DB0B6F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台班</w:t>
            </w:r>
          </w:p>
        </w:tc>
        <w:tc>
          <w:tcPr>
            <w:tcW w:w="781" w:type="dxa"/>
            <w:shd w:val="clear" w:color="auto" w:fill="auto"/>
            <w:vAlign w:val="center"/>
          </w:tcPr>
          <w:p w14:paraId="65E4C82F">
            <w:pPr>
              <w:spacing w:line="500" w:lineRule="exact"/>
              <w:jc w:val="center"/>
              <w:rPr>
                <w:rFonts w:hint="default" w:ascii="仿宋_GB2312" w:hAnsi="仿宋" w:eastAsia="仿宋_GB2312" w:cstheme="minorBidi"/>
                <w:bCs/>
                <w:color w:val="000000" w:themeColor="text1"/>
                <w:kern w:val="2"/>
                <w:sz w:val="18"/>
                <w:szCs w:val="18"/>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18"/>
                <w:szCs w:val="18"/>
                <w:highlight w:val="none"/>
                <w:lang w:val="en-US" w:eastAsia="zh-CN"/>
                <w14:textFill>
                  <w14:solidFill>
                    <w14:schemeClr w14:val="tx1"/>
                  </w14:solidFill>
                </w14:textFill>
              </w:rPr>
              <w:t>480</w:t>
            </w:r>
          </w:p>
        </w:tc>
        <w:tc>
          <w:tcPr>
            <w:tcW w:w="1067" w:type="dxa"/>
            <w:vAlign w:val="center"/>
          </w:tcPr>
          <w:p w14:paraId="7BD53C3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0795A01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05242FE8">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52A2B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491" w:type="dxa"/>
            <w:gridSpan w:val="4"/>
            <w:vAlign w:val="center"/>
          </w:tcPr>
          <w:p w14:paraId="332BECC6">
            <w:pPr>
              <w:spacing w:line="480" w:lineRule="exact"/>
              <w:jc w:val="center"/>
              <w:rPr>
                <w:rFonts w:ascii="仿宋_GB2312" w:hAnsi="仿宋_GB2312" w:eastAsia="仿宋_GB2312" w:cs="仿宋_GB2312"/>
                <w:b/>
                <w:bCs/>
                <w:color w:val="000000" w:themeColor="text1"/>
                <w:sz w:val="18"/>
                <w:szCs w:val="18"/>
                <w:highlight w:val="none"/>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不含税合计（暂估）</w:t>
            </w:r>
          </w:p>
        </w:tc>
        <w:tc>
          <w:tcPr>
            <w:tcW w:w="6789" w:type="dxa"/>
            <w:gridSpan w:val="8"/>
            <w:vAlign w:val="center"/>
          </w:tcPr>
          <w:p w14:paraId="3253DB15">
            <w:pPr>
              <w:spacing w:line="480" w:lineRule="exact"/>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34D3C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91" w:type="dxa"/>
            <w:gridSpan w:val="4"/>
            <w:vAlign w:val="center"/>
          </w:tcPr>
          <w:p w14:paraId="5CEFD00F">
            <w:pPr>
              <w:spacing w:line="480" w:lineRule="exact"/>
              <w:jc w:val="center"/>
              <w:rPr>
                <w:rFonts w:hint="default" w:ascii="仿宋_GB2312" w:hAnsi="仿宋_GB2312" w:eastAsia="仿宋_GB2312" w:cs="仿宋_GB2312"/>
                <w:b/>
                <w:bCs/>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lang w:val="en-US" w:eastAsia="zh-CN"/>
                <w14:textFill>
                  <w14:solidFill>
                    <w14:schemeClr w14:val="tx1"/>
                  </w14:solidFill>
                </w14:textFill>
              </w:rPr>
              <w:t>税金合计（暂估）</w:t>
            </w:r>
          </w:p>
        </w:tc>
        <w:tc>
          <w:tcPr>
            <w:tcW w:w="6789" w:type="dxa"/>
            <w:gridSpan w:val="8"/>
            <w:vAlign w:val="center"/>
          </w:tcPr>
          <w:p w14:paraId="471ED400">
            <w:pPr>
              <w:spacing w:line="480" w:lineRule="exact"/>
              <w:rPr>
                <w:rFonts w:hint="eastAsia" w:ascii="仿宋_GB2312" w:hAnsi="仿宋_GB2312" w:eastAsia="仿宋_GB2312" w:cs="仿宋_GB2312"/>
                <w:color w:val="000000" w:themeColor="text1"/>
                <w:sz w:val="18"/>
                <w:szCs w:val="18"/>
                <w:highlight w:val="none"/>
                <w14:textFill>
                  <w14:solidFill>
                    <w14:schemeClr w14:val="tx1"/>
                  </w14:solidFill>
                </w14:textFill>
              </w:rPr>
            </w:pPr>
            <w:sdt>
              <w:sdtPr>
                <w:rPr>
                  <w:rFonts w:hint="eastAsia" w:ascii="仿宋_GB2312" w:hAnsi="仿宋_GB2312" w:eastAsia="仿宋_GB2312" w:cs="仿宋_GB2312"/>
                  <w:color w:val="000000" w:themeColor="text1"/>
                  <w:sz w:val="18"/>
                  <w:szCs w:val="18"/>
                  <w:highlight w:val="none"/>
                  <w14:textFill>
                    <w14:solidFill>
                      <w14:schemeClr w14:val="tx1"/>
                    </w14:solidFill>
                  </w14:textFill>
                </w:rPr>
                <w:id w:val="147461616"/>
                <w:placeholder>
                  <w:docPart w:val="{e6562ef6-109c-4dbd-8ee3-f68ac2077afd}"/>
                </w:placeholder>
              </w:sdtPr>
              <w:sdtEndPr>
                <w:rPr>
                  <w:rFonts w:hint="eastAsia" w:ascii="仿宋_GB2312" w:hAnsi="仿宋_GB2312" w:eastAsia="仿宋_GB2312" w:cs="仿宋_GB2312"/>
                  <w:color w:val="000000" w:themeColor="text1"/>
                  <w:sz w:val="18"/>
                  <w:szCs w:val="18"/>
                  <w:highlight w:val="none"/>
                  <w14:textFill>
                    <w14:solidFill>
                      <w14:schemeClr w14:val="tx1"/>
                    </w14:solidFill>
                  </w14:textFill>
                </w:rPr>
              </w:sdtEndPr>
              <w:sdtContent>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sdtContent>
            </w:sdt>
          </w:p>
        </w:tc>
      </w:tr>
      <w:tr w14:paraId="34F14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91" w:type="dxa"/>
            <w:gridSpan w:val="4"/>
            <w:vAlign w:val="center"/>
          </w:tcPr>
          <w:p w14:paraId="54717394">
            <w:pPr>
              <w:spacing w:line="480" w:lineRule="exact"/>
              <w:jc w:val="center"/>
              <w:rPr>
                <w:rFonts w:hint="eastAsia" w:ascii="仿宋_GB2312" w:hAnsi="仿宋_GB2312" w:eastAsia="仿宋_GB2312" w:cs="仿宋_GB2312"/>
                <w:b/>
                <w:bCs/>
                <w:color w:val="000000" w:themeColor="text1"/>
                <w:sz w:val="18"/>
                <w:szCs w:val="18"/>
                <w:highlight w:val="none"/>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含税合计</w:t>
            </w:r>
            <w: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18"/>
                <w:szCs w:val="18"/>
                <w:highlight w:val="none"/>
                <w:lang w:val="en-US" w:eastAsia="zh-CN"/>
                <w14:textFill>
                  <w14:solidFill>
                    <w14:schemeClr w14:val="tx1"/>
                  </w14:solidFill>
                </w14:textFill>
              </w:rPr>
              <w:t>暂估</w:t>
            </w:r>
            <w: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t>）</w:t>
            </w:r>
          </w:p>
        </w:tc>
        <w:tc>
          <w:tcPr>
            <w:tcW w:w="6789" w:type="dxa"/>
            <w:gridSpan w:val="8"/>
            <w:vAlign w:val="center"/>
          </w:tcPr>
          <w:p w14:paraId="29AE33AF">
            <w:pPr>
              <w:spacing w:line="480" w:lineRule="exact"/>
              <w:rPr>
                <w:rFonts w:hint="eastAsia" w:ascii="仿宋_GB2312" w:hAnsi="仿宋_GB2312" w:eastAsia="仿宋_GB2312" w:cs="仿宋_GB2312"/>
                <w:b/>
                <w:bCs/>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r>
              <w:rPr>
                <w:rFonts w:hint="eastAsia" w:ascii="仿宋_GB2312" w:hAnsi="仿宋_GB2312" w:eastAsia="仿宋_GB2312" w:cs="仿宋_GB2312"/>
                <w:color w:val="000000" w:themeColor="text1"/>
                <w:sz w:val="18"/>
                <w:szCs w:val="18"/>
                <w:highlight w:val="none"/>
                <w14:textFill>
                  <w14:solidFill>
                    <w14:schemeClr w14:val="tx1"/>
                  </w14:solidFill>
                </w14:textFill>
              </w:rPr>
              <w:t xml:space="preserve">   </w:t>
            </w:r>
          </w:p>
        </w:tc>
      </w:tr>
      <w:permEnd w:id="12"/>
    </w:tbl>
    <w:p w14:paraId="74DF568F">
      <w:pPr>
        <w:spacing w:line="400" w:lineRule="exact"/>
        <w:ind w:firstLine="480" w:firstLineChars="200"/>
        <w:jc w:val="left"/>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3.1.1.1</w:t>
      </w:r>
      <w:r>
        <w:rPr>
          <w:rFonts w:hint="eastAsia" w:ascii="仿宋_GB2312" w:hAnsi="仿宋_GB2312" w:eastAsia="仿宋_GB2312" w:cs="仿宋_GB2312"/>
          <w:color w:val="000000" w:themeColor="text1"/>
          <w:sz w:val="24"/>
          <w:szCs w:val="24"/>
          <w:highlight w:val="none"/>
          <w14:textFill>
            <w14:solidFill>
              <w14:schemeClr w14:val="tx1"/>
            </w14:solidFill>
          </w14:textFill>
        </w:rPr>
        <w:t>设备计划租赁期限自</w:t>
      </w:r>
      <w:permStart w:id="1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2024</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3"/>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permStart w:id="14"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11</w:t>
      </w:r>
      <w:permEnd w:id="14"/>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permStart w:id="1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5"/>
      <w:r>
        <w:rPr>
          <w:rFonts w:hint="eastAsia" w:ascii="仿宋_GB2312" w:hAnsi="仿宋_GB2312" w:eastAsia="仿宋_GB2312" w:cs="仿宋_GB2312"/>
          <w:color w:val="000000" w:themeColor="text1"/>
          <w:sz w:val="24"/>
          <w:szCs w:val="24"/>
          <w:highlight w:val="none"/>
          <w14:textFill>
            <w14:solidFill>
              <w14:schemeClr w14:val="tx1"/>
            </w14:solidFill>
          </w14:textFill>
        </w:rPr>
        <w:t>日起至</w:t>
      </w:r>
      <w:permStart w:id="1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2025</w:t>
      </w:r>
      <w:permEnd w:id="16"/>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permStart w:id="17"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5</w:t>
      </w:r>
      <w:permEnd w:id="17"/>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permStart w:id="18"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8"/>
      <w:r>
        <w:rPr>
          <w:rFonts w:hint="eastAsia" w:ascii="仿宋_GB2312" w:hAnsi="仿宋_GB2312" w:eastAsia="仿宋_GB2312" w:cs="仿宋_GB2312"/>
          <w:color w:val="000000" w:themeColor="text1"/>
          <w:sz w:val="24"/>
          <w:szCs w:val="24"/>
          <w:highlight w:val="none"/>
          <w14:textFill>
            <w14:solidFill>
              <w14:schemeClr w14:val="tx1"/>
            </w14:solidFill>
          </w14:textFill>
        </w:rPr>
        <w:t>日止。实际租赁时间以甲方通知及甲方开具的</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结算证书</w:t>
      </w:r>
      <w:r>
        <w:rPr>
          <w:rFonts w:hint="eastAsia" w:ascii="仿宋_GB2312" w:hAnsi="仿宋_GB2312" w:eastAsia="仿宋_GB2312" w:cs="仿宋_GB2312"/>
          <w:color w:val="000000" w:themeColor="text1"/>
          <w:sz w:val="24"/>
          <w:szCs w:val="24"/>
          <w:highlight w:val="none"/>
          <w14:textFill>
            <w14:solidFill>
              <w14:schemeClr w14:val="tx1"/>
            </w14:solidFill>
          </w14:textFill>
        </w:rPr>
        <w:t>为准。</w:t>
      </w:r>
    </w:p>
    <w:p w14:paraId="0F8364F7">
      <w:pPr>
        <w:spacing w:line="400" w:lineRule="exact"/>
        <w:ind w:firstLine="480" w:firstLineChars="200"/>
        <w:jc w:val="left"/>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3.1.1.2</w:t>
      </w:r>
      <w:r>
        <w:rPr>
          <w:rFonts w:hint="eastAsia" w:ascii="仿宋_GB2312" w:hAnsi="仿宋_GB2312" w:eastAsia="仿宋_GB2312" w:cs="仿宋_GB2312"/>
          <w:color w:val="000000" w:themeColor="text1"/>
          <w:sz w:val="24"/>
          <w:szCs w:val="24"/>
          <w:highlight w:val="none"/>
          <w14:textFill>
            <w14:solidFill>
              <w14:schemeClr w14:val="tx1"/>
            </w14:solidFill>
          </w14:textFill>
        </w:rPr>
        <w:t>甲方根据施工需要可提前退租，</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月租</w:t>
      </w:r>
      <w:r>
        <w:rPr>
          <w:rFonts w:hint="eastAsia" w:ascii="仿宋_GB2312" w:hAnsi="仿宋_GB2312" w:eastAsia="仿宋_GB2312" w:cs="仿宋_GB2312"/>
          <w:color w:val="000000" w:themeColor="text1"/>
          <w:sz w:val="24"/>
          <w:szCs w:val="24"/>
          <w:highlight w:val="none"/>
          <w14:textFill>
            <w14:solidFill>
              <w14:schemeClr w14:val="tx1"/>
            </w14:solidFill>
          </w14:textFill>
        </w:rPr>
        <w:t>退租前应提前5 天</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日租</w:t>
      </w:r>
      <w:r>
        <w:rPr>
          <w:rFonts w:hint="eastAsia" w:ascii="仿宋_GB2312" w:hAnsi="仿宋_GB2312" w:eastAsia="仿宋_GB2312" w:cs="仿宋_GB2312"/>
          <w:color w:val="000000" w:themeColor="text1"/>
          <w:sz w:val="24"/>
          <w:szCs w:val="24"/>
          <w:highlight w:val="none"/>
          <w14:textFill>
            <w14:solidFill>
              <w14:schemeClr w14:val="tx1"/>
            </w14:solidFill>
          </w14:textFill>
        </w:rPr>
        <w:t>退租前应提前</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8小时、小时租</w:t>
      </w:r>
      <w:r>
        <w:rPr>
          <w:rFonts w:hint="eastAsia" w:ascii="仿宋_GB2312" w:hAnsi="仿宋_GB2312" w:eastAsia="仿宋_GB2312" w:cs="仿宋_GB2312"/>
          <w:color w:val="000000" w:themeColor="text1"/>
          <w:sz w:val="24"/>
          <w:szCs w:val="24"/>
          <w:highlight w:val="none"/>
          <w14:textFill>
            <w14:solidFill>
              <w14:schemeClr w14:val="tx1"/>
            </w14:solidFill>
          </w14:textFill>
        </w:rPr>
        <w:t>退租前应提前</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2小时</w:t>
      </w:r>
      <w:r>
        <w:rPr>
          <w:rFonts w:hint="eastAsia" w:ascii="仿宋_GB2312" w:hAnsi="仿宋_GB2312" w:eastAsia="仿宋_GB2312" w:cs="仿宋_GB2312"/>
          <w:color w:val="000000" w:themeColor="text1"/>
          <w:sz w:val="24"/>
          <w:szCs w:val="24"/>
          <w:highlight w:val="none"/>
          <w14:textFill>
            <w14:solidFill>
              <w14:schemeClr w14:val="tx1"/>
            </w14:solidFill>
          </w14:textFill>
        </w:rPr>
        <w:t>书面或口头通知乙方。甲方提前退租不承担任何责任，也无需向乙方支付任何违约费用。</w:t>
      </w:r>
    </w:p>
    <w:p w14:paraId="71175F7C">
      <w:pPr>
        <w:spacing w:line="400" w:lineRule="exact"/>
        <w:ind w:firstLine="480" w:firstLineChars="200"/>
        <w:jc w:val="left"/>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3.1.1.3</w:t>
      </w:r>
      <w:r>
        <w:rPr>
          <w:rFonts w:hint="eastAsia" w:ascii="仿宋_GB2312" w:hAnsi="仿宋_GB2312" w:eastAsia="仿宋_GB2312" w:cs="仿宋_GB2312"/>
          <w:color w:val="000000" w:themeColor="text1"/>
          <w:sz w:val="24"/>
          <w:szCs w:val="24"/>
          <w:highlight w:val="none"/>
          <w14:textFill>
            <w14:solidFill>
              <w14:schemeClr w14:val="tx1"/>
            </w14:solidFill>
          </w14:textFill>
        </w:rPr>
        <w:t>甲乙双方约定试验段施工完毕和正式施工前的待工期间，不计租期，不计租赁费。</w:t>
      </w:r>
    </w:p>
    <w:p w14:paraId="5E7A7897">
      <w:pPr>
        <w:spacing w:line="400" w:lineRule="exact"/>
        <w:ind w:firstLine="480" w:firstLineChars="200"/>
        <w:jc w:val="left"/>
        <w:rPr>
          <w:rFonts w:hint="default" w:eastAsia="仿宋_GB2312"/>
          <w:lang w:val="en-US" w:eastAsia="zh-CN"/>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3.1.1.4</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验收的时间不计入租赁期限，甲方也不承担任何费用，进场验收完毕签订进场确认单不代表租赁期开始，租赁开始时间以实际通知为准。</w:t>
      </w:r>
    </w:p>
    <w:p w14:paraId="16589947">
      <w:pPr>
        <w:pStyle w:val="15"/>
        <w:numPr>
          <w:ilvl w:val="255"/>
          <w:numId w:val="0"/>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highlight w:val="none"/>
          <w14:textFill>
            <w14:solidFill>
              <w14:schemeClr w14:val="tx1"/>
            </w14:solidFill>
          </w14:textFill>
        </w:rPr>
        <w:t>1.</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2 方式二：</w:t>
      </w:r>
      <w:r>
        <w:rPr>
          <w:rFonts w:hint="eastAsia" w:ascii="仿宋_GB2312" w:hAnsi="仿宋_GB2312" w:eastAsia="仿宋_GB2312" w:cs="仿宋_GB2312"/>
          <w:b/>
          <w:bCs/>
          <w:color w:val="000000" w:themeColor="text1"/>
          <w:highlight w:val="none"/>
          <w14:textFill>
            <w14:solidFill>
              <w14:schemeClr w14:val="tx1"/>
            </w14:solidFill>
          </w14:textFill>
        </w:rPr>
        <w:t>为</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按工程量租赁</w:t>
      </w:r>
    </w:p>
    <w:tbl>
      <w:tblPr>
        <w:tblStyle w:val="12"/>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777"/>
        <w:gridCol w:w="691"/>
        <w:gridCol w:w="616"/>
        <w:gridCol w:w="691"/>
        <w:gridCol w:w="616"/>
        <w:gridCol w:w="721"/>
        <w:gridCol w:w="736"/>
        <w:gridCol w:w="781"/>
        <w:gridCol w:w="1067"/>
        <w:gridCol w:w="1006"/>
        <w:gridCol w:w="1171"/>
      </w:tblGrid>
      <w:tr w14:paraId="47FE9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280" w:type="dxa"/>
            <w:gridSpan w:val="12"/>
            <w:vAlign w:val="center"/>
          </w:tcPr>
          <w:p w14:paraId="08999F4F">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ermStart w:id="19" w:edGrp="everyone"/>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3.1.2按工程量租赁清单</w:t>
            </w:r>
          </w:p>
        </w:tc>
      </w:tr>
      <w:tr w14:paraId="67A7B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407" w:type="dxa"/>
            <w:vAlign w:val="center"/>
          </w:tcPr>
          <w:p w14:paraId="78AD5C51">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序号</w:t>
            </w:r>
          </w:p>
        </w:tc>
        <w:tc>
          <w:tcPr>
            <w:tcW w:w="777" w:type="dxa"/>
            <w:vAlign w:val="center"/>
          </w:tcPr>
          <w:p w14:paraId="173C35EE">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设备</w:t>
            </w:r>
          </w:p>
          <w:p w14:paraId="5DD95F75">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名称</w:t>
            </w:r>
          </w:p>
        </w:tc>
        <w:tc>
          <w:tcPr>
            <w:tcW w:w="691" w:type="dxa"/>
            <w:vAlign w:val="center"/>
          </w:tcPr>
          <w:p w14:paraId="7A2443EF">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规格型号</w:t>
            </w:r>
          </w:p>
        </w:tc>
        <w:tc>
          <w:tcPr>
            <w:tcW w:w="616" w:type="dxa"/>
            <w:vAlign w:val="center"/>
          </w:tcPr>
          <w:p w14:paraId="643C2E0C">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设备</w:t>
            </w:r>
            <w:r>
              <w:rPr>
                <w:rFonts w:hint="eastAsia" w:ascii="仿宋_GB2312" w:hAnsi="仿宋_GB2312" w:eastAsia="仿宋_GB2312" w:cs="仿宋_GB2312"/>
                <w:color w:val="000000" w:themeColor="text1"/>
                <w:sz w:val="18"/>
                <w:szCs w:val="18"/>
                <w:highlight w:val="none"/>
                <w14:textFill>
                  <w14:solidFill>
                    <w14:schemeClr w14:val="tx1"/>
                  </w14:solidFill>
                </w14:textFill>
              </w:rPr>
              <w:t>数量</w:t>
            </w:r>
          </w:p>
        </w:tc>
        <w:tc>
          <w:tcPr>
            <w:tcW w:w="691" w:type="dxa"/>
            <w:vAlign w:val="center"/>
          </w:tcPr>
          <w:p w14:paraId="3F24F055">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税前单价</w:t>
            </w:r>
          </w:p>
          <w:p w14:paraId="66B5A83F">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c>
          <w:tcPr>
            <w:tcW w:w="616" w:type="dxa"/>
            <w:vAlign w:val="center"/>
          </w:tcPr>
          <w:p w14:paraId="7F368132">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税率</w:t>
            </w:r>
          </w:p>
          <w:p w14:paraId="32FD4B44">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w:t>
            </w:r>
          </w:p>
        </w:tc>
        <w:tc>
          <w:tcPr>
            <w:tcW w:w="721" w:type="dxa"/>
            <w:vAlign w:val="center"/>
          </w:tcPr>
          <w:p w14:paraId="37E7A1D9">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含税单价</w:t>
            </w:r>
          </w:p>
          <w:p w14:paraId="65C59A9B">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highlight w:val="none"/>
                <w14:textFill>
                  <w14:solidFill>
                    <w14:schemeClr w14:val="tx1"/>
                  </w14:solidFill>
                </w14:textFill>
              </w:rPr>
              <w:t>（元）</w:t>
            </w:r>
          </w:p>
        </w:tc>
        <w:tc>
          <w:tcPr>
            <w:tcW w:w="736" w:type="dxa"/>
            <w:vAlign w:val="center"/>
          </w:tcPr>
          <w:p w14:paraId="44116B76">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工程量单位</w:t>
            </w:r>
          </w:p>
        </w:tc>
        <w:tc>
          <w:tcPr>
            <w:tcW w:w="781" w:type="dxa"/>
            <w:vAlign w:val="center"/>
          </w:tcPr>
          <w:p w14:paraId="238B0AAC">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工程量</w:t>
            </w:r>
            <w:r>
              <w:rPr>
                <w:rFonts w:hint="eastAsia" w:ascii="仿宋_GB2312" w:hAnsi="仿宋_GB2312" w:eastAsia="仿宋_GB2312" w:cs="仿宋_GB2312"/>
                <w:color w:val="000000" w:themeColor="text1"/>
                <w:sz w:val="15"/>
                <w:szCs w:val="15"/>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5"/>
                <w:szCs w:val="15"/>
                <w:highlight w:val="none"/>
                <w:lang w:val="en-US" w:eastAsia="zh-CN"/>
                <w14:textFill>
                  <w14:solidFill>
                    <w14:schemeClr w14:val="tx1"/>
                  </w14:solidFill>
                </w14:textFill>
              </w:rPr>
              <w:t>暂估</w:t>
            </w:r>
            <w:r>
              <w:rPr>
                <w:rFonts w:hint="eastAsia" w:ascii="仿宋_GB2312" w:hAnsi="仿宋_GB2312" w:eastAsia="仿宋_GB2312" w:cs="仿宋_GB2312"/>
                <w:color w:val="000000" w:themeColor="text1"/>
                <w:sz w:val="15"/>
                <w:szCs w:val="15"/>
                <w:highlight w:val="none"/>
                <w:lang w:eastAsia="zh-CN"/>
                <w14:textFill>
                  <w14:solidFill>
                    <w14:schemeClr w14:val="tx1"/>
                  </w14:solidFill>
                </w14:textFill>
              </w:rPr>
              <w:t>）</w:t>
            </w:r>
          </w:p>
        </w:tc>
        <w:tc>
          <w:tcPr>
            <w:tcW w:w="1067" w:type="dxa"/>
            <w:vAlign w:val="center"/>
          </w:tcPr>
          <w:p w14:paraId="65EFDC5A">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进退场</w:t>
            </w:r>
            <w:r>
              <w:rPr>
                <w:rFonts w:hint="eastAsia" w:ascii="仿宋_GB2312" w:hAnsi="仿宋_GB2312" w:eastAsia="仿宋_GB2312" w:cs="仿宋_GB2312"/>
                <w:color w:val="000000" w:themeColor="text1"/>
                <w:sz w:val="18"/>
                <w:szCs w:val="18"/>
                <w:highlight w:val="none"/>
                <w14:textFill>
                  <w14:solidFill>
                    <w14:schemeClr w14:val="tx1"/>
                  </w14:solidFill>
                </w14:textFill>
              </w:rPr>
              <w:t>费</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安拆费</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含税</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p>
        </w:tc>
        <w:tc>
          <w:tcPr>
            <w:tcW w:w="1006" w:type="dxa"/>
            <w:vAlign w:val="center"/>
          </w:tcPr>
          <w:p w14:paraId="00CB76C7">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含税合价</w:t>
            </w:r>
          </w:p>
          <w:p w14:paraId="42CCE5CF">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c>
          <w:tcPr>
            <w:tcW w:w="1171" w:type="dxa"/>
            <w:vAlign w:val="center"/>
          </w:tcPr>
          <w:p w14:paraId="1D21E6C2">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备注</w:t>
            </w:r>
          </w:p>
        </w:tc>
      </w:tr>
      <w:tr w14:paraId="635D0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07" w:type="dxa"/>
            <w:vAlign w:val="center"/>
          </w:tcPr>
          <w:p w14:paraId="3C532AC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1</w:t>
            </w:r>
          </w:p>
        </w:tc>
        <w:tc>
          <w:tcPr>
            <w:tcW w:w="777" w:type="dxa"/>
            <w:vAlign w:val="center"/>
          </w:tcPr>
          <w:p w14:paraId="645D1F68">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296C2977">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7389ACF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74B53F0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4BD0FE6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38CA2AFB">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1274EBB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1" w:type="dxa"/>
            <w:vAlign w:val="center"/>
          </w:tcPr>
          <w:p w14:paraId="72FAC33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67" w:type="dxa"/>
            <w:vAlign w:val="center"/>
          </w:tcPr>
          <w:p w14:paraId="59E71FB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722DCCA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4158E14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8D35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24784A98">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2</w:t>
            </w:r>
          </w:p>
        </w:tc>
        <w:tc>
          <w:tcPr>
            <w:tcW w:w="777" w:type="dxa"/>
            <w:vAlign w:val="center"/>
          </w:tcPr>
          <w:p w14:paraId="4B7A096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520A2D0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411C7DD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4FFFD8E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047BBAC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742EFD97">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166292F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1" w:type="dxa"/>
            <w:vAlign w:val="center"/>
          </w:tcPr>
          <w:p w14:paraId="1889AAA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67" w:type="dxa"/>
            <w:vAlign w:val="center"/>
          </w:tcPr>
          <w:p w14:paraId="3AE00A3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5CC120B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42A3B1EB">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1B36C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491" w:type="dxa"/>
            <w:gridSpan w:val="4"/>
            <w:vAlign w:val="center"/>
          </w:tcPr>
          <w:p w14:paraId="28FD36C8">
            <w:pPr>
              <w:spacing w:line="480" w:lineRule="exact"/>
              <w:jc w:val="center"/>
              <w:rPr>
                <w:rFonts w:ascii="仿宋_GB2312" w:hAnsi="仿宋_GB2312" w:eastAsia="仿宋_GB2312" w:cs="仿宋_GB2312"/>
                <w:b/>
                <w:bCs/>
                <w:color w:val="000000" w:themeColor="text1"/>
                <w:sz w:val="18"/>
                <w:szCs w:val="18"/>
                <w:highlight w:val="none"/>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不含税合计（暂估）</w:t>
            </w:r>
          </w:p>
        </w:tc>
        <w:tc>
          <w:tcPr>
            <w:tcW w:w="6789" w:type="dxa"/>
            <w:gridSpan w:val="8"/>
            <w:vAlign w:val="center"/>
          </w:tcPr>
          <w:p w14:paraId="6309FE4D">
            <w:pPr>
              <w:spacing w:line="480" w:lineRule="exact"/>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28B81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491" w:type="dxa"/>
            <w:gridSpan w:val="4"/>
            <w:vAlign w:val="center"/>
          </w:tcPr>
          <w:p w14:paraId="5662EC54">
            <w:pPr>
              <w:spacing w:line="480" w:lineRule="exact"/>
              <w:jc w:val="center"/>
              <w:rPr>
                <w:rFonts w:hint="default" w:ascii="仿宋_GB2312" w:hAnsi="仿宋_GB2312" w:eastAsia="仿宋_GB2312" w:cs="仿宋_GB2312"/>
                <w:b/>
                <w:bCs/>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lang w:val="en-US" w:eastAsia="zh-CN"/>
                <w14:textFill>
                  <w14:solidFill>
                    <w14:schemeClr w14:val="tx1"/>
                  </w14:solidFill>
                </w14:textFill>
              </w:rPr>
              <w:t>税金合计</w:t>
            </w:r>
            <w:r>
              <w:rPr>
                <w:rFonts w:hint="eastAsia" w:ascii="仿宋_GB2312" w:hAnsi="仿宋_GB2312" w:eastAsia="仿宋_GB2312" w:cs="仿宋_GB2312"/>
                <w:b/>
                <w:bCs/>
                <w:color w:val="000000" w:themeColor="text1"/>
                <w:sz w:val="18"/>
                <w:szCs w:val="18"/>
                <w:highlight w:val="none"/>
                <w14:textFill>
                  <w14:solidFill>
                    <w14:schemeClr w14:val="tx1"/>
                  </w14:solidFill>
                </w14:textFill>
              </w:rPr>
              <w:t>（暂估）</w:t>
            </w:r>
          </w:p>
        </w:tc>
        <w:tc>
          <w:tcPr>
            <w:tcW w:w="6789" w:type="dxa"/>
            <w:gridSpan w:val="8"/>
            <w:vAlign w:val="center"/>
          </w:tcPr>
          <w:p w14:paraId="3EFDED76">
            <w:pPr>
              <w:spacing w:line="480" w:lineRule="exact"/>
              <w:rPr>
                <w:rFonts w:hint="eastAsia" w:ascii="仿宋_GB2312" w:hAnsi="仿宋_GB2312" w:eastAsia="仿宋_GB2312" w:cs="仿宋_GB2312"/>
                <w:color w:val="000000" w:themeColor="text1"/>
                <w:sz w:val="18"/>
                <w:szCs w:val="18"/>
                <w:highlight w:val="none"/>
                <w14:textFill>
                  <w14:solidFill>
                    <w14:schemeClr w14:val="tx1"/>
                  </w14:solidFill>
                </w14:textFill>
              </w:rPr>
            </w:pPr>
            <w:sdt>
              <w:sdtPr>
                <w:rPr>
                  <w:rFonts w:hint="eastAsia" w:ascii="仿宋_GB2312" w:hAnsi="仿宋_GB2312" w:eastAsia="仿宋_GB2312" w:cs="仿宋_GB2312"/>
                  <w:color w:val="000000" w:themeColor="text1"/>
                  <w:sz w:val="18"/>
                  <w:szCs w:val="18"/>
                  <w:highlight w:val="none"/>
                  <w14:textFill>
                    <w14:solidFill>
                      <w14:schemeClr w14:val="tx1"/>
                    </w14:solidFill>
                  </w14:textFill>
                </w:rPr>
                <w:id w:val="147479520"/>
                <w:placeholder>
                  <w:docPart w:val="{275ea211-f55d-407c-9b70-f9fd6d23af4a}"/>
                </w:placeholder>
              </w:sdtPr>
              <w:sdtEndPr>
                <w:rPr>
                  <w:rFonts w:hint="eastAsia" w:ascii="仿宋_GB2312" w:hAnsi="仿宋_GB2312" w:eastAsia="仿宋_GB2312" w:cs="仿宋_GB2312"/>
                  <w:color w:val="000000" w:themeColor="text1"/>
                  <w:sz w:val="18"/>
                  <w:szCs w:val="18"/>
                  <w:highlight w:val="none"/>
                  <w14:textFill>
                    <w14:solidFill>
                      <w14:schemeClr w14:val="tx1"/>
                    </w14:solidFill>
                  </w14:textFill>
                </w:rPr>
              </w:sdtEndPr>
              <w:sdtContent>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sdtContent>
            </w:sdt>
          </w:p>
        </w:tc>
      </w:tr>
      <w:tr w14:paraId="09B54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491" w:type="dxa"/>
            <w:gridSpan w:val="4"/>
            <w:vAlign w:val="center"/>
          </w:tcPr>
          <w:p w14:paraId="491DA2A7">
            <w:pPr>
              <w:spacing w:line="480" w:lineRule="exact"/>
              <w:jc w:val="center"/>
              <w:rPr>
                <w:rFonts w:hint="eastAsia" w:ascii="仿宋_GB2312" w:hAnsi="仿宋_GB2312" w:eastAsia="仿宋_GB2312" w:cs="仿宋_GB2312"/>
                <w:b/>
                <w:bCs/>
                <w:color w:val="000000" w:themeColor="text1"/>
                <w:sz w:val="18"/>
                <w:szCs w:val="18"/>
                <w:highlight w:val="none"/>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含税合计</w:t>
            </w:r>
            <w: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18"/>
                <w:szCs w:val="18"/>
                <w:highlight w:val="none"/>
                <w:lang w:val="en-US" w:eastAsia="zh-CN"/>
                <w14:textFill>
                  <w14:solidFill>
                    <w14:schemeClr w14:val="tx1"/>
                  </w14:solidFill>
                </w14:textFill>
              </w:rPr>
              <w:t>暂估</w:t>
            </w:r>
            <w: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t>）</w:t>
            </w:r>
          </w:p>
        </w:tc>
        <w:tc>
          <w:tcPr>
            <w:tcW w:w="6789" w:type="dxa"/>
            <w:gridSpan w:val="8"/>
            <w:vAlign w:val="center"/>
          </w:tcPr>
          <w:p w14:paraId="53C7C952">
            <w:pPr>
              <w:spacing w:line="480" w:lineRule="exact"/>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r>
              <w:rPr>
                <w:rFonts w:hint="eastAsia" w:ascii="仿宋_GB2312" w:hAnsi="仿宋_GB2312" w:eastAsia="仿宋_GB2312" w:cs="仿宋_GB2312"/>
                <w:color w:val="000000" w:themeColor="text1"/>
                <w:sz w:val="18"/>
                <w:szCs w:val="18"/>
                <w:highlight w:val="none"/>
                <w14:textFill>
                  <w14:solidFill>
                    <w14:schemeClr w14:val="tx1"/>
                  </w14:solidFill>
                </w14:textFill>
              </w:rPr>
              <w:t xml:space="preserve">   </w:t>
            </w:r>
          </w:p>
        </w:tc>
      </w:tr>
      <w:permEnd w:id="19"/>
    </w:tbl>
    <w:p w14:paraId="3B5A3759">
      <w:pPr>
        <w:spacing w:line="480" w:lineRule="exact"/>
        <w:ind w:firstLine="480" w:firstLineChars="200"/>
      </w:pPr>
      <w:r>
        <w:rPr>
          <w:rFonts w:hint="eastAsia" w:ascii="仿宋_GB2312" w:hAnsi="仿宋_GB2312" w:eastAsia="仿宋_GB2312" w:cs="仿宋_GB2312"/>
          <w:color w:val="000000" w:themeColor="text1"/>
          <w:sz w:val="24"/>
          <w:szCs w:val="24"/>
          <w:highlight w:val="none"/>
          <w14:textFill>
            <w14:solidFill>
              <w14:schemeClr w14:val="tx1"/>
            </w14:solidFill>
          </w14:textFill>
        </w:rPr>
        <w:t>设备计划租赁期限自</w:t>
      </w:r>
      <w:permStart w:id="2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20"/>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permStart w:id="2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21"/>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permStart w:id="2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22"/>
      <w:r>
        <w:rPr>
          <w:rFonts w:hint="eastAsia" w:ascii="仿宋_GB2312" w:hAnsi="仿宋_GB2312" w:eastAsia="仿宋_GB2312" w:cs="仿宋_GB2312"/>
          <w:color w:val="000000" w:themeColor="text1"/>
          <w:sz w:val="24"/>
          <w:szCs w:val="24"/>
          <w:highlight w:val="none"/>
          <w14:textFill>
            <w14:solidFill>
              <w14:schemeClr w14:val="tx1"/>
            </w14:solidFill>
          </w14:textFill>
        </w:rPr>
        <w:t>日起至</w:t>
      </w:r>
      <w:permStart w:id="2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23"/>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permStart w:id="2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24"/>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permStart w:id="2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25"/>
      <w:r>
        <w:rPr>
          <w:rFonts w:hint="eastAsia" w:ascii="仿宋_GB2312" w:hAnsi="仿宋_GB2312" w:eastAsia="仿宋_GB2312" w:cs="仿宋_GB2312"/>
          <w:color w:val="000000" w:themeColor="text1"/>
          <w:sz w:val="24"/>
          <w:szCs w:val="24"/>
          <w:highlight w:val="none"/>
          <w14:textFill>
            <w14:solidFill>
              <w14:schemeClr w14:val="tx1"/>
            </w14:solidFill>
          </w14:textFill>
        </w:rPr>
        <w:t>日止，共计</w:t>
      </w:r>
      <w:permStart w:id="26"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ermEnd w:id="26"/>
      <w:r>
        <w:rPr>
          <w:rFonts w:hint="eastAsia" w:ascii="仿宋_GB2312" w:hAnsi="仿宋_GB2312" w:eastAsia="仿宋_GB2312" w:cs="仿宋_GB2312"/>
          <w:color w:val="000000" w:themeColor="text1"/>
          <w:sz w:val="24"/>
          <w:szCs w:val="24"/>
          <w:highlight w:val="none"/>
          <w14:textFill>
            <w14:solidFill>
              <w14:schemeClr w14:val="tx1"/>
            </w14:solidFill>
          </w14:textFill>
        </w:rPr>
        <w:t>月。实际租赁</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工程量</w:t>
      </w:r>
      <w:r>
        <w:rPr>
          <w:rFonts w:hint="eastAsia" w:ascii="仿宋_GB2312" w:hAnsi="仿宋_GB2312" w:eastAsia="仿宋_GB2312" w:cs="仿宋_GB2312"/>
          <w:color w:val="000000" w:themeColor="text1"/>
          <w:sz w:val="24"/>
          <w:szCs w:val="24"/>
          <w:highlight w:val="none"/>
          <w14:textFill>
            <w14:solidFill>
              <w14:schemeClr w14:val="tx1"/>
            </w14:solidFill>
          </w14:textFill>
        </w:rPr>
        <w:t>以甲方开具的</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结算证书</w:t>
      </w:r>
      <w:r>
        <w:rPr>
          <w:rFonts w:hint="eastAsia" w:ascii="仿宋_GB2312" w:hAnsi="仿宋_GB2312" w:eastAsia="仿宋_GB2312" w:cs="仿宋_GB2312"/>
          <w:color w:val="000000" w:themeColor="text1"/>
          <w:sz w:val="24"/>
          <w:szCs w:val="24"/>
          <w:highlight w:val="none"/>
          <w14:textFill>
            <w14:solidFill>
              <w14:schemeClr w14:val="tx1"/>
            </w14:solidFill>
          </w14:textFill>
        </w:rPr>
        <w:t>为准。</w:t>
      </w:r>
    </w:p>
    <w:p w14:paraId="5613FE8F">
      <w:pPr>
        <w:spacing w:line="480" w:lineRule="exact"/>
        <w:ind w:firstLine="482" w:firstLineChars="200"/>
        <w:rPr>
          <w:rFonts w:hint="default"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工程量的计算规则</w:t>
      </w:r>
      <w:permStart w:id="27"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
    <w:permEnd w:id="27"/>
    <w:p w14:paraId="6BD11500">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3.2</w:t>
      </w:r>
      <w:r>
        <w:rPr>
          <w:rFonts w:hint="eastAsia" w:ascii="仿宋_GB2312" w:hAnsi="仿宋_GB2312" w:eastAsia="仿宋_GB2312" w:cs="仿宋_GB2312"/>
          <w:color w:val="000000" w:themeColor="text1"/>
          <w:sz w:val="24"/>
          <w:szCs w:val="24"/>
          <w:highlight w:val="none"/>
          <w14:textFill>
            <w14:solidFill>
              <w14:schemeClr w14:val="tx1"/>
            </w14:solidFill>
          </w14:textFill>
        </w:rPr>
        <w:t>上述机械租赁单价、进出场及安拆费均为不含税价格，包含除增值税外的其他全部税费（包括但不限于城市建设维护税、教育费附加及地方教育费附加、个人所得税、合同印花税、企业所得税、车船使用税以及国家和地方规定的所有税费）。</w:t>
      </w:r>
    </w:p>
    <w:p w14:paraId="55D0CB25">
      <w:pPr>
        <w:spacing w:line="480" w:lineRule="exact"/>
        <w:ind w:firstLine="480" w:firstLineChars="200"/>
        <w:rPr>
          <w:rFonts w:hint="default" w:ascii="仿宋_GB2312" w:hAnsi="仿宋_GB2312" w:eastAsia="宋体"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3.3</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机械租赁单价包含</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设备正常使用所必须发生的一切费用</w:t>
      </w:r>
      <w:r>
        <w:rPr>
          <w:rFonts w:hint="eastAsia" w:ascii="仿宋_GB2312" w:hAnsi="仿宋_GB2312" w:eastAsia="仿宋_GB2312" w:cs="仿宋_GB2312"/>
          <w:color w:val="000000" w:themeColor="text1"/>
          <w:sz w:val="24"/>
          <w:szCs w:val="24"/>
          <w:highlight w:val="none"/>
          <w14:textFill>
            <w14:solidFill>
              <w14:schemeClr w14:val="tx1"/>
            </w14:solidFill>
          </w14:textFill>
        </w:rPr>
        <w:t>，包括但不限于【租赁费、维修保养费、</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配件费、</w:t>
      </w:r>
      <w:r>
        <w:rPr>
          <w:rFonts w:hint="eastAsia" w:ascii="仿宋_GB2312" w:hAnsi="仿宋_GB2312" w:eastAsia="仿宋_GB2312" w:cs="仿宋_GB2312"/>
          <w:color w:val="000000" w:themeColor="text1"/>
          <w:sz w:val="24"/>
          <w:szCs w:val="24"/>
          <w:highlight w:val="none"/>
          <w14:textFill>
            <w14:solidFill>
              <w14:schemeClr w14:val="tx1"/>
            </w14:solidFill>
          </w14:textFill>
        </w:rPr>
        <w:t>折旧费、机械停滞费</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待工费</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技术标定费</w:t>
      </w:r>
      <w:r>
        <w:rPr>
          <w:rFonts w:hint="eastAsia" w:ascii="仿宋_GB2312" w:hAnsi="仿宋_GB2312" w:eastAsia="仿宋_GB2312" w:cs="仿宋_GB2312"/>
          <w:color w:val="000000" w:themeColor="text1"/>
          <w:sz w:val="24"/>
          <w:szCs w:val="24"/>
          <w:highlight w:val="none"/>
          <w14:textFill>
            <w14:solidFill>
              <w14:schemeClr w14:val="tx1"/>
            </w14:solidFill>
          </w14:textFill>
        </w:rPr>
        <w:t>市场波动引起的涨价风险费、安全文明施工费、保险费、利润及管理费等，以及乙方为履行本合同项下义务所需发生的其它一切费用】。</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完成设备进退场过程中所发生的一切费用</w:t>
      </w:r>
      <w:r>
        <w:rPr>
          <w:rFonts w:hint="eastAsia" w:ascii="仿宋_GB2312" w:hAnsi="仿宋_GB2312" w:eastAsia="仿宋_GB2312" w:cs="仿宋_GB2312"/>
          <w:color w:val="000000" w:themeColor="text1"/>
          <w:sz w:val="24"/>
          <w:szCs w:val="24"/>
          <w:highlight w:val="none"/>
          <w14:textFill>
            <w14:solidFill>
              <w14:schemeClr w14:val="tx1"/>
            </w14:solidFill>
          </w14:textFill>
        </w:rPr>
        <w:t>，具体包括但不限于【机械所有部件的运输及保险费等；折旧费、机械停滞费、安全文明费、方案评审费、专家论证费、管理费、利润、因市场波动等引起的各类风险费等】。</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操作人员(司索及司机）工资包括使用操作人员所需发生的一切费用，</w:t>
      </w:r>
      <w:r>
        <w:rPr>
          <w:rFonts w:hint="eastAsia" w:ascii="仿宋_GB2312" w:hAnsi="仿宋_GB2312" w:eastAsia="仿宋_GB2312" w:cs="仿宋_GB2312"/>
          <w:color w:val="000000" w:themeColor="text1"/>
          <w:sz w:val="24"/>
          <w:szCs w:val="24"/>
          <w:highlight w:val="none"/>
          <w14:textFill>
            <w14:solidFill>
              <w14:schemeClr w14:val="tx1"/>
            </w14:solidFill>
          </w14:textFill>
        </w:rPr>
        <w:t>具体包括但限于【操作人员工资、奖金、福利、劳保、保险、对讲通讯设备、节假日加班费、管理费、利润、因人工上涨等引起的各类风险费等】。</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（4）食宿费（见第3.6款食宿费约定）。（5）燃油费（见第3.7款燃油费用约定）。（6）</w:t>
      </w:r>
      <w:permStart w:id="28" w:edGrp="everyone"/>
      <w:r>
        <w:rPr>
          <w:rFonts w:hint="eastAsia" w:ascii="仿宋_GB2312" w:hAnsi="仿宋_GB2312" w:eastAsia="仿宋_GB2312" w:cs="仿宋_GB2312"/>
          <w:color w:val="000000" w:themeColor="text1"/>
          <w:kern w:val="2"/>
          <w:sz w:val="24"/>
          <w:szCs w:val="24"/>
          <w:highlight w:val="none"/>
          <w:u w:val="single"/>
          <w:lang w:val="en-US" w:eastAsia="zh-CN" w:bidi="ar-SA"/>
          <w14:textFill>
            <w14:solidFill>
              <w14:schemeClr w14:val="tx1"/>
            </w14:solidFill>
          </w14:textFill>
        </w:rPr>
        <w:t xml:space="preserve">  不包含  </w:t>
      </w:r>
      <w:permEnd w:id="28"/>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中间转场运输费（含安装、拆卸、转移）。</w:t>
      </w:r>
    </w:p>
    <w:p w14:paraId="5FD14ABE">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3.4除合同另有约定外，乙方在合同签订前和签订时已确定采用的专利、专有技术、技术秘密的使用费已包含在签约合同价中。</w:t>
      </w:r>
    </w:p>
    <w:p w14:paraId="1958E084">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3.5</w:t>
      </w:r>
      <w:r>
        <w:rPr>
          <w:rFonts w:hint="eastAsia" w:ascii="仿宋_GB2312" w:hAnsi="仿宋_GB2312" w:eastAsia="仿宋_GB2312" w:cs="仿宋_GB2312"/>
          <w:color w:val="000000" w:themeColor="text1"/>
          <w:sz w:val="24"/>
          <w:szCs w:val="24"/>
          <w:highlight w:val="none"/>
          <w14:textFill>
            <w14:solidFill>
              <w14:schemeClr w14:val="tx1"/>
            </w14:solidFill>
          </w14:textFill>
        </w:rPr>
        <w:t>本合同价款为固定单价，暂定总价</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乙方不得以合同暂定数量或合同暂定总金额为依据要求甲方支付任何款项</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1DCA7E2D">
      <w:pPr>
        <w:spacing w:line="480" w:lineRule="exact"/>
        <w:ind w:firstLine="482"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3.6设备操作手及劳务人员食宿：</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设备操作手及辅助施工人员食宿,本合同执行下面第</w:t>
      </w:r>
      <w:permStart w:id="29"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3.6.4 </w:t>
      </w:r>
      <w:permEnd w:id="29"/>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种方式:</w:t>
      </w:r>
    </w:p>
    <w:p w14:paraId="32379AFC">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3.6.1方式（一）甲方免费提供住宿并承担乙方生活用水电费用,乙方执行甲方的住宿及生活用水用电管理制度；甲方免费为乙方操作手提供食堂就餐。</w:t>
      </w:r>
    </w:p>
    <w:p w14:paraId="6B3312B1">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3.6.2方式（二）甲方免费提供住宿并承担乙方生活用水电费用,乙方执行甲方的住宿及生活用水用电管理制度；乙方操作手按甲方指定的食堂就餐并支付餐费。</w:t>
      </w:r>
    </w:p>
    <w:p w14:paraId="566FC909">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3.6.3方式（三）甲方免费提供住宿，生活用水电费用由乙方承担,乙方执行甲方的住宿及生活用水用电管理制度；乙方操作手按甲方指定的食堂就餐并支付餐费。</w:t>
      </w:r>
    </w:p>
    <w:p w14:paraId="67C1B449">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3.6.4方式（四）乙方自己负责食宿及生活用水电费用。如果甲方提供食宿，费用从乙方租赁费中扣除。</w:t>
      </w:r>
    </w:p>
    <w:p w14:paraId="4D115AD5">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3.7燃油费用的约定。</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关于燃油供给及费用，本合同执行下面</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第</w:t>
      </w:r>
      <w:permStart w:id="30"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3.7.2 </w:t>
      </w:r>
      <w:permEnd w:id="30"/>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种方式</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w:t>
      </w:r>
    </w:p>
    <w:p w14:paraId="3EF6CE66">
      <w:pPr>
        <w:spacing w:line="480" w:lineRule="exact"/>
        <w:ind w:firstLine="480" w:firstLineChars="200"/>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3.7.1方式（一）所租赁的设备燃油由甲方供给并由甲方承担费用。</w:t>
      </w:r>
    </w:p>
    <w:p w14:paraId="4B3EB5DD">
      <w:pPr>
        <w:spacing w:line="480" w:lineRule="exact"/>
        <w:ind w:firstLine="480" w:firstLineChars="200"/>
        <w:rPr>
          <w:rFonts w:hint="default"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3.7.2方式（二）所租赁的设备燃油费由乙方承担。</w:t>
      </w:r>
    </w:p>
    <w:p w14:paraId="2EAFD14B">
      <w:pPr>
        <w:spacing w:line="480" w:lineRule="exact"/>
        <w:ind w:firstLine="480" w:firstLineChars="200"/>
        <w:rPr>
          <w:rFonts w:hint="default" w:ascii="仿宋_GB2312" w:hAnsi="仿宋_GB2312" w:eastAsia="仿宋_GB2312" w:cs="仿宋_GB2312"/>
          <w:color w:val="0000FF"/>
          <w:sz w:val="24"/>
          <w:szCs w:val="24"/>
          <w:highlight w:val="none"/>
          <w:lang w:val="en-US" w:eastAsia="zh-CN"/>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3.8</w:t>
      </w:r>
      <w:r>
        <w:rPr>
          <w:rFonts w:hint="default"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乙方出租的机械在租赁期间应24小时待命，随叫随到，满足甲方连续不间断施工需求，安排相应资源</w:t>
      </w:r>
      <w:r>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t>。</w:t>
      </w:r>
    </w:p>
    <w:p w14:paraId="66124CB4">
      <w:pPr>
        <w:spacing w:line="480" w:lineRule="exact"/>
        <w:ind w:firstLine="480" w:firstLineChars="200"/>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3.9</w:t>
      </w:r>
      <w:r>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t>甲方实际使用本合同约定的机械超过本合同约定的暂定租赁期限的，本合同租赁期限自动顺延，</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顺延期间单价执行本合同单价与同期市场单价中的较小价，有</w:t>
      </w:r>
      <w:r>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t>关双方的权利、义务按本合同的约定履行。</w:t>
      </w:r>
    </w:p>
    <w:p w14:paraId="1DEE9623">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3.10设备的看管</w:t>
      </w:r>
    </w:p>
    <w:p w14:paraId="1A9DD7E3">
      <w:pPr>
        <w:spacing w:line="400" w:lineRule="exact"/>
        <w:ind w:firstLine="480" w:firstLineChars="200"/>
        <w:jc w:val="left"/>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双方约定设备施工期间由</w:t>
      </w:r>
      <w:permStart w:id="31"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3.10.2</w:t>
      </w:r>
      <w:permEnd w:id="31"/>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方负责设备的看管。</w:t>
      </w:r>
    </w:p>
    <w:p w14:paraId="38106A18">
      <w:pPr>
        <w:spacing w:line="400" w:lineRule="exact"/>
        <w:ind w:firstLine="480" w:firstLineChars="200"/>
        <w:jc w:val="left"/>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3.10.1如果甲方负责看管，甲方只负责设备的防盗责任，对设备灭失、设备自燃、洪水冲毁、溜车、事故后果、设备被抢、设备内备件丢失、设备内个人物品丢失等情况，乙方自行承担责任，但是甲方有及时告知乙方的义务。</w:t>
      </w:r>
    </w:p>
    <w:p w14:paraId="609E5A50">
      <w:pPr>
        <w:spacing w:line="400" w:lineRule="exact"/>
        <w:ind w:firstLine="480" w:firstLineChars="200"/>
        <w:jc w:val="left"/>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3.10.2甲方告知乙方设备停工期间，乙方承担看管责任。 </w:t>
      </w:r>
    </w:p>
    <w:p w14:paraId="2143BE24">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3.11其他：</w:t>
      </w:r>
      <w:permStart w:id="32"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ermEnd w:id="32"/>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w:t>
      </w:r>
    </w:p>
    <w:p w14:paraId="289FBB35">
      <w:pPr>
        <w:pStyle w:val="15"/>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6" w:name="_Toc22132"/>
      <w:r>
        <w:rPr>
          <w:rFonts w:hint="eastAsia" w:ascii="仿宋_GB2312" w:hAnsi="仿宋_GB2312" w:eastAsia="仿宋_GB2312" w:cs="仿宋_GB2312"/>
          <w:b/>
          <w:bCs/>
          <w:color w:val="000000" w:themeColor="text1"/>
          <w:highlight w:val="none"/>
          <w14:textFill>
            <w14:solidFill>
              <w14:schemeClr w14:val="tx1"/>
            </w14:solidFill>
          </w14:textFill>
        </w:rPr>
        <w:t>租赁机械设备交付的时间、地点及验收方法</w:t>
      </w:r>
      <w:bookmarkEnd w:id="6"/>
    </w:p>
    <w:p w14:paraId="26B1BB33">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24"/>
          <w:szCs w:val="24"/>
          <w:highlight w:val="none"/>
          <w14:textFill>
            <w14:solidFill>
              <w14:schemeClr w14:val="tx1"/>
            </w14:solidFill>
          </w14:textFill>
        </w:rPr>
        <w:t>.1 乙方按照项目生产需要，确保租赁机械设备能够正常投入使用。</w:t>
      </w:r>
    </w:p>
    <w:p w14:paraId="60C184CC">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24"/>
          <w:szCs w:val="24"/>
          <w:highlight w:val="none"/>
          <w14:textFill>
            <w14:solidFill>
              <w14:schemeClr w14:val="tx1"/>
            </w14:solidFill>
          </w14:textFill>
        </w:rPr>
        <w:t>.2 乙方应当按照甲方要求的时间将租赁机械设备运至指定地点</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。乙方无法按甲方要求将设备送到指定地点卸货的，甲方有权不予验收，由此给甲方造成的损失由乙方承担。</w:t>
      </w:r>
    </w:p>
    <w:p w14:paraId="78DBECAA">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24"/>
          <w:szCs w:val="24"/>
          <w:highlight w:val="none"/>
          <w14:textFill>
            <w14:solidFill>
              <w14:schemeClr w14:val="tx1"/>
            </w14:solidFill>
          </w14:textFill>
        </w:rPr>
        <w:t>.3 乙方向甲方交付租赁机械设备时，由甲乙双方对租赁机械设备进行验收，依据</w:t>
      </w:r>
      <w:permStart w:id="33" w:edGrp="everyone"/>
      <w:r>
        <w:rPr>
          <w:rFonts w:hint="eastAsia" w:ascii="仿宋_GB2312" w:hAnsi="仿宋_GB2312" w:eastAsia="仿宋_GB2312" w:cs="仿宋_GB2312"/>
          <w:color w:val="auto"/>
          <w:sz w:val="24"/>
          <w:szCs w:val="24"/>
          <w:highlight w:val="none"/>
        </w:rPr>
        <w:t>《施工现场机械设备检查技术规范》（JGJ160-2016）、《建筑施工安全检查标准》（JGJ59-2011）</w:t>
      </w:r>
      <w:permEnd w:id="33"/>
      <w:r>
        <w:rPr>
          <w:rFonts w:hint="eastAsia" w:ascii="仿宋_GB2312" w:hAnsi="仿宋_GB2312" w:eastAsia="仿宋_GB2312" w:cs="仿宋_GB2312"/>
          <w:color w:val="000000" w:themeColor="text1"/>
          <w:sz w:val="24"/>
          <w:szCs w:val="24"/>
          <w:highlight w:val="none"/>
          <w14:textFill>
            <w14:solidFill>
              <w14:schemeClr w14:val="tx1"/>
            </w14:solidFill>
          </w14:textFill>
        </w:rPr>
        <w:t>及工程所在地行业主管部门验收标准等，该验收仅针对租赁机械设备的外观、规格型号和排放标准等进行，并不视为甲方对租赁机械设备</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性能状态</w:t>
      </w:r>
      <w:r>
        <w:rPr>
          <w:rFonts w:hint="eastAsia" w:ascii="仿宋_GB2312" w:hAnsi="仿宋_GB2312" w:eastAsia="仿宋_GB2312" w:cs="仿宋_GB2312"/>
          <w:color w:val="000000" w:themeColor="text1"/>
          <w:sz w:val="24"/>
          <w:szCs w:val="24"/>
          <w:highlight w:val="none"/>
          <w14:textFill>
            <w14:solidFill>
              <w14:schemeClr w14:val="tx1"/>
            </w14:solidFill>
          </w14:textFill>
        </w:rPr>
        <w:t>的确认。</w:t>
      </w:r>
    </w:p>
    <w:p w14:paraId="204A9E78">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4.4</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若甲方停止使用租赁机械设备的，</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甲方按第3.1.1.2款</w:t>
      </w:r>
      <w:r>
        <w:rPr>
          <w:rFonts w:hint="eastAsia" w:ascii="仿宋_GB2312" w:hAnsi="仿宋_GB2312" w:eastAsia="仿宋_GB2312" w:cs="仿宋_GB2312"/>
          <w:color w:val="000000" w:themeColor="text1"/>
          <w:sz w:val="24"/>
          <w:szCs w:val="24"/>
          <w:highlight w:val="none"/>
          <w14:textFill>
            <w14:solidFill>
              <w14:schemeClr w14:val="tx1"/>
            </w14:solidFill>
          </w14:textFill>
        </w:rPr>
        <w:t>通知</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乙</w:t>
      </w:r>
      <w:r>
        <w:rPr>
          <w:rFonts w:hint="eastAsia" w:ascii="仿宋_GB2312" w:hAnsi="仿宋_GB2312" w:eastAsia="仿宋_GB2312" w:cs="仿宋_GB2312"/>
          <w:color w:val="000000" w:themeColor="text1"/>
          <w:sz w:val="24"/>
          <w:szCs w:val="24"/>
          <w:highlight w:val="none"/>
          <w14:textFill>
            <w14:solidFill>
              <w14:schemeClr w14:val="tx1"/>
            </w14:solidFill>
          </w14:textFill>
        </w:rPr>
        <w:t>方退租或部分退租，通知内所列的租赁物自甲方通知的退租之日起不再计算租金。乙方应在甲方通知停租后，在甲方指定的期限内完成设备退场；因乙方原因未按甲方通知及时撤离租赁设备的，甲方有权自行处理遗留现场的租赁设备，乙方除应承担产品的丢失、损毁风险外，还应承担设备延迟退场的违约责任。</w:t>
      </w:r>
    </w:p>
    <w:p w14:paraId="469BB723">
      <w:pPr>
        <w:spacing w:line="480" w:lineRule="exact"/>
        <w:ind w:firstLine="480" w:firstLineChars="200"/>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4.5</w:t>
      </w:r>
      <w:r>
        <w:rPr>
          <w:rFonts w:hint="eastAsia" w:ascii="仿宋_GB2312" w:hAnsi="仿宋_GB2312" w:eastAsia="仿宋_GB2312" w:cs="仿宋_GB2312"/>
          <w:color w:val="000000" w:themeColor="text1"/>
          <w:sz w:val="24"/>
          <w:szCs w:val="24"/>
          <w:highlight w:val="none"/>
          <w14:textFill>
            <w14:solidFill>
              <w14:schemeClr w14:val="tx1"/>
            </w14:solidFill>
          </w14:textFill>
        </w:rPr>
        <w:t>因向政府相关部门办理设备</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使用登记</w:t>
      </w:r>
      <w:r>
        <w:rPr>
          <w:rFonts w:hint="eastAsia" w:ascii="仿宋_GB2312" w:hAnsi="仿宋_GB2312" w:eastAsia="仿宋_GB2312" w:cs="仿宋_GB2312"/>
          <w:color w:val="000000" w:themeColor="text1"/>
          <w:sz w:val="24"/>
          <w:szCs w:val="24"/>
          <w:highlight w:val="none"/>
          <w14:textFill>
            <w14:solidFill>
              <w14:schemeClr w14:val="tx1"/>
            </w14:solidFill>
          </w14:textFill>
        </w:rPr>
        <w:t>手续而应要求签订的制式合同文本，其内容与本合同约定不一致的，以本合同约定为准。</w:t>
      </w:r>
    </w:p>
    <w:p w14:paraId="46B9915C">
      <w:pPr>
        <w:pStyle w:val="15"/>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7" w:name="_Toc15371"/>
      <w:r>
        <w:rPr>
          <w:rFonts w:hint="eastAsia" w:ascii="仿宋_GB2312" w:hAnsi="仿宋_GB2312" w:eastAsia="仿宋_GB2312" w:cs="仿宋_GB2312"/>
          <w:b/>
          <w:bCs/>
          <w:color w:val="000000" w:themeColor="text1"/>
          <w:highlight w:val="none"/>
          <w14:textFill>
            <w14:solidFill>
              <w14:schemeClr w14:val="tx1"/>
            </w14:solidFill>
          </w14:textFill>
        </w:rPr>
        <w:t>价款支付方式</w:t>
      </w:r>
      <w:bookmarkEnd w:id="7"/>
    </w:p>
    <w:p w14:paraId="71E266F4">
      <w:pPr>
        <w:pStyle w:val="15"/>
        <w:numPr>
          <w:ilvl w:val="0"/>
          <w:numId w:val="0"/>
        </w:numPr>
        <w:spacing w:line="400" w:lineRule="atLeast"/>
        <w:ind w:firstLine="480" w:firstLineChars="200"/>
        <w:rPr>
          <w:rFonts w:hint="eastAsia" w:ascii="仿宋_GB2312" w:hAnsi="仿宋_GB2312" w:eastAsia="仿宋_GB2312" w:cs="仿宋_GB2312"/>
          <w:b/>
          <w:bCs/>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.1 工作量确认：</w:t>
      </w:r>
      <w:r>
        <w:rPr>
          <w:rFonts w:hint="eastAsia" w:ascii="仿宋_GB2312" w:hAnsi="仿宋_GB2312" w:eastAsia="仿宋_GB2312" w:cs="仿宋_GB2312"/>
          <w:color w:val="000000" w:themeColor="text1"/>
          <w:highlight w:val="none"/>
          <w14:textFill>
            <w14:solidFill>
              <w14:schemeClr w14:val="tx1"/>
            </w14:solidFill>
          </w14:textFill>
        </w:rPr>
        <w:t>本合同</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工程量确认</w:t>
      </w:r>
      <w:r>
        <w:rPr>
          <w:rFonts w:hint="eastAsia" w:ascii="仿宋_GB2312" w:hAnsi="仿宋_GB2312" w:eastAsia="仿宋_GB2312" w:cs="仿宋_GB2312"/>
          <w:color w:val="000000" w:themeColor="text1"/>
          <w:highlight w:val="none"/>
          <w14:textFill>
            <w14:solidFill>
              <w14:schemeClr w14:val="tx1"/>
            </w14:solidFill>
          </w14:textFill>
        </w:rPr>
        <w:t>适用</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以下</w:t>
      </w:r>
      <w:r>
        <w:rPr>
          <w:rFonts w:hint="eastAsia" w:ascii="仿宋_GB2312" w:hAnsi="仿宋_GB2312" w:eastAsia="仿宋_GB2312" w:cs="仿宋_GB2312"/>
          <w:color w:val="000000" w:themeColor="text1"/>
          <w:highlight w:val="none"/>
          <w14:textFill>
            <w14:solidFill>
              <w14:schemeClr w14:val="tx1"/>
            </w14:solidFill>
          </w14:textFill>
        </w:rPr>
        <w:t>第</w:t>
      </w:r>
      <w:permStart w:id="3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5.1.2</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34"/>
      <w:r>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t>条</w:t>
      </w:r>
    </w:p>
    <w:p w14:paraId="3FC944FC">
      <w:pPr>
        <w:spacing w:line="400" w:lineRule="exact"/>
        <w:ind w:firstLine="480" w:firstLineChars="200"/>
        <w:jc w:val="left"/>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4552DD9A">
      <w:pPr>
        <w:spacing w:line="400" w:lineRule="exact"/>
        <w:ind w:firstLine="480" w:firstLineChars="200"/>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5.1.1方式一（按时间租赁）：（1）月租形式：租期满一个月按月计算租金，不满一个月按日计算租金；甲乙双方约定试验段施工完毕和正式施工前的待工期间，不计租期，不计租赁费。（2）日租形式：</w:t>
      </w:r>
      <w:r>
        <w:rPr>
          <w:rFonts w:hint="eastAsia" w:ascii="仿宋_GB2312" w:hAnsi="仿宋_GB2312" w:eastAsia="仿宋_GB2312" w:cs="仿宋_GB2312"/>
          <w:color w:val="auto"/>
          <w:sz w:val="24"/>
          <w:szCs w:val="24"/>
          <w:highlight w:val="none"/>
        </w:rPr>
        <w:t>每日施工完毕，乙方将台班数在当日报甲方物资设备、工程管理人员签字确认。台班数按照每日工作小时数累加除以8进行折算，一日（24小时）内，工作不足4小时（含）按半个台班计，超过4小时部分按台时计。</w:t>
      </w:r>
      <w:r>
        <w:rPr>
          <w:rFonts w:hint="eastAsia" w:ascii="仿宋_GB2312" w:hAnsi="仿宋_GB2312" w:eastAsia="仿宋_GB2312" w:cs="仿宋_GB2312"/>
          <w:color w:val="auto"/>
          <w:sz w:val="24"/>
          <w:szCs w:val="24"/>
          <w:highlight w:val="none"/>
          <w:lang w:val="en-US" w:eastAsia="zh-CN"/>
        </w:rPr>
        <w:t>（3）甲方按照乙方实际提供的机械设备数量、实际租期支付租金。</w:t>
      </w:r>
    </w:p>
    <w:p w14:paraId="0AB5E8C6">
      <w:pPr>
        <w:spacing w:line="400" w:lineRule="exact"/>
        <w:ind w:firstLine="480" w:firstLineChars="200"/>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5.1.2方式二（按工程量租赁）以甲方按约定的计量规则最终确认的数量为准。</w:t>
      </w:r>
    </w:p>
    <w:p w14:paraId="240674A4">
      <w:pPr>
        <w:spacing w:line="480" w:lineRule="exact"/>
        <w:ind w:firstLine="482"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乙方不得以合同暂定数量或合同暂定总金额为依据要求甲方支付任何款项，否则按合同第二部分第三条违约条款承担违约责任。</w:t>
      </w:r>
    </w:p>
    <w:p w14:paraId="70C9201B">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.2 一般结算、支付原则：</w:t>
      </w:r>
    </w:p>
    <w:p w14:paraId="56DB4037">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5.2.1乙方每月16日与甲方核对上月16日至本月15日所供设备租赁服务的数量，并办理完结算手续。因乙方不配合签认结算单等原因超出本合同规定时间未办理完结算手续，乙方在此期间无权要求甲方付款及追究甲方任何违约责任或要求赔偿资金占用费等损失，同时甲方保留单方办理结算的权利且视为乙方认可甲方审定的结算金额。</w:t>
      </w:r>
    </w:p>
    <w:p w14:paraId="3D128819">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5.2.2支付周期及支付比例：双方办理完结算后，适用第</w:t>
      </w:r>
      <w:permStart w:id="35"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ermEnd w:id="35"/>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条付款条件：</w:t>
      </w:r>
    </w:p>
    <w:p w14:paraId="74E06D6D">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5.2.2.1本合同无预付款，租赁费来源于项目工程结算款。</w:t>
      </w:r>
      <w:r>
        <w:rPr>
          <w:rFonts w:hint="eastAsia" w:ascii="仿宋_GB2312" w:hAnsi="仿宋_GB2312" w:eastAsia="仿宋_GB2312" w:cs="仿宋_GB2312"/>
          <w:color w:val="auto"/>
          <w:sz w:val="24"/>
          <w:szCs w:val="24"/>
          <w:highlight w:val="none"/>
          <w:lang w:val="en-US" w:eastAsia="zh-CN"/>
        </w:rPr>
        <w:t>甲方按资金审批计划对租赁费进行支付。</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付款期限自双方确认结算金额之日起计算，在甲乙双方完成月度设备租赁结算手续且甲方收到乙方相应发票后，第</w:t>
      </w:r>
      <w:permStart w:id="36"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ermEnd w:id="36"/>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月末支付至当期应付款的</w:t>
      </w:r>
      <w:permStart w:id="37"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ermEnd w:id="37"/>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%，余下</w:t>
      </w:r>
      <w:permStart w:id="38"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ermEnd w:id="38"/>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%租赁费款在办理最终结算后</w:t>
      </w:r>
      <w:permStart w:id="39"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ermEnd w:id="39"/>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个工作日内无息支付。</w:t>
      </w:r>
    </w:p>
    <w:p w14:paraId="7C8F7964">
      <w:pPr>
        <w:spacing w:line="480" w:lineRule="exact"/>
        <w:ind w:firstLine="480" w:firstLineChars="200"/>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5.2.2.2其他支付方式</w:t>
      </w:r>
      <w:permStart w:id="40" w:edGrp="everyone"/>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付款期限自双方确认结算金额之日起计算，在甲乙双方完成月度设备租赁结算手续且甲方收到乙方相应发票后，交工验收合格支付至合同金额的30%，交工验收1年后，支付至合同金额的70%，2年后支付至合同金额的100%。</w:t>
      </w:r>
      <w:permEnd w:id="40"/>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p>
    <w:p w14:paraId="706923E7">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5.2.3如双方因货款支付发生争议，对于争议解决前甲方存在迟付情形的已付款项，乙方放弃索要逾期利息、违约金或资金占用费的权利。非甲方原因延迟支付结算款的，甲方不承担逾期利息，如因其他原因需甲方承担逾期利息时，约定利率为不超过合同订立时1年期贷款市场报价利率。</w:t>
      </w:r>
    </w:p>
    <w:p w14:paraId="70FFADD8">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5.2.4甲方拖欠线索受理联系人</w:t>
      </w:r>
    </w:p>
    <w:p w14:paraId="1DE0A25C">
      <w:pPr>
        <w:spacing w:line="480" w:lineRule="exact"/>
        <w:ind w:firstLine="480" w:firstLineChars="200"/>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项目部联系人：</w:t>
      </w:r>
      <w:permStart w:id="41"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贾上游 </w:t>
      </w:r>
      <w:permEnd w:id="41"/>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，联系电话：</w:t>
      </w:r>
      <w:permStart w:id="42"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13111511172</w:t>
      </w:r>
      <w:permEnd w:id="42"/>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w:t>
      </w:r>
    </w:p>
    <w:p w14:paraId="0831FEB5">
      <w:pPr>
        <w:spacing w:line="480" w:lineRule="exact"/>
        <w:ind w:firstLine="480" w:firstLineChars="200"/>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公司联系人：</w:t>
      </w:r>
      <w:permStart w:id="43"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贾宜周 </w:t>
      </w:r>
      <w:permEnd w:id="43"/>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，联系电话：</w:t>
      </w:r>
      <w:permStart w:id="44"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0311-868093020 </w:t>
      </w:r>
      <w:permEnd w:id="44"/>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w:t>
      </w:r>
    </w:p>
    <w:p w14:paraId="0C5447A1">
      <w:pPr>
        <w:spacing w:line="480" w:lineRule="exact"/>
        <w:ind w:firstLine="480" w:firstLineChars="200"/>
        <w:rPr>
          <w:rFonts w:hint="default"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公司信访投诉电话：</w:t>
      </w:r>
      <w:permStart w:id="45"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0311-868093020</w:t>
      </w:r>
      <w:permEnd w:id="45"/>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w:t>
      </w:r>
    </w:p>
    <w:p w14:paraId="650985E9">
      <w:pPr>
        <w:spacing w:line="480" w:lineRule="exact"/>
        <w:ind w:firstLine="480" w:firstLineChars="200"/>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信访投诉邮箱：</w:t>
      </w:r>
      <w:permStart w:id="46"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shizhenggongsijiwei@cscec.com </w:t>
      </w:r>
      <w:permEnd w:id="46"/>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w:t>
      </w:r>
    </w:p>
    <w:p w14:paraId="4470AFBA">
      <w:pPr>
        <w:spacing w:line="480" w:lineRule="exact"/>
        <w:ind w:firstLine="480" w:firstLineChars="200"/>
        <w:rPr>
          <w:rFonts w:hint="default"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云筑网中建系统账款投诉平台：</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https://ts.yzw.cn</w:t>
      </w:r>
    </w:p>
    <w:p w14:paraId="61D52353">
      <w:pPr>
        <w:pStyle w:val="6"/>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.3发票信息</w:t>
      </w:r>
    </w:p>
    <w:tbl>
      <w:tblPr>
        <w:tblStyle w:val="1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5"/>
        <w:gridCol w:w="2865"/>
        <w:gridCol w:w="3146"/>
      </w:tblGrid>
      <w:tr w14:paraId="09CCD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tcPr>
          <w:p w14:paraId="11143145">
            <w:pPr>
              <w:spacing w:line="480" w:lineRule="exact"/>
              <w:rPr>
                <w:rFonts w:ascii="仿宋_GB2312" w:hAnsi="仿宋_GB2312" w:eastAsia="仿宋_GB2312" w:cs="仿宋_GB2312"/>
                <w:bCs/>
                <w:color w:val="000000" w:themeColor="text1"/>
                <w:sz w:val="24"/>
                <w:szCs w:val="24"/>
                <w:highlight w:val="none"/>
                <w14:textFill>
                  <w14:solidFill>
                    <w14:schemeClr w14:val="tx1"/>
                  </w14:solidFill>
                </w14:textFill>
              </w:rPr>
            </w:pPr>
            <w:permStart w:id="47" w:edGrp="everyone"/>
          </w:p>
        </w:tc>
        <w:tc>
          <w:tcPr>
            <w:tcW w:w="2865" w:type="dxa"/>
            <w:vAlign w:val="center"/>
          </w:tcPr>
          <w:p w14:paraId="0E050BF9">
            <w:pPr>
              <w:spacing w:line="480" w:lineRule="exact"/>
              <w:ind w:firstLine="480" w:firstLineChars="200"/>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甲          方</w:t>
            </w:r>
          </w:p>
        </w:tc>
        <w:tc>
          <w:tcPr>
            <w:tcW w:w="3146" w:type="dxa"/>
            <w:vAlign w:val="center"/>
          </w:tcPr>
          <w:p w14:paraId="60D75BCB">
            <w:pPr>
              <w:pStyle w:val="6"/>
              <w:spacing w:line="48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乙          方</w:t>
            </w:r>
          </w:p>
        </w:tc>
      </w:tr>
      <w:tr w14:paraId="2FCC4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tcPr>
          <w:p w14:paraId="0BB6CE55">
            <w:pPr>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名            称：</w:t>
            </w:r>
          </w:p>
        </w:tc>
        <w:tc>
          <w:tcPr>
            <w:tcW w:w="2865" w:type="dxa"/>
            <w:vAlign w:val="center"/>
          </w:tcPr>
          <w:p w14:paraId="7B7B5AEA">
            <w:pPr>
              <w:spacing w:line="480" w:lineRule="exact"/>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中建路桥集团</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河北基础市政工程</w:t>
            </w:r>
            <w:r>
              <w:rPr>
                <w:rFonts w:hint="eastAsia" w:ascii="仿宋_GB2312" w:hAnsi="仿宋_GB2312" w:eastAsia="仿宋_GB2312" w:cs="仿宋_GB2312"/>
                <w:color w:val="000000" w:themeColor="text1"/>
                <w:sz w:val="24"/>
                <w:szCs w:val="24"/>
                <w:highlight w:val="none"/>
                <w14:textFill>
                  <w14:solidFill>
                    <w14:schemeClr w14:val="tx1"/>
                  </w14:solidFill>
                </w14:textFill>
              </w:rPr>
              <w:t>有限公司</w:t>
            </w:r>
          </w:p>
        </w:tc>
        <w:tc>
          <w:tcPr>
            <w:tcW w:w="3146" w:type="dxa"/>
          </w:tcPr>
          <w:p w14:paraId="3765635F">
            <w:pPr>
              <w:pStyle w:val="6"/>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p>
        </w:tc>
      </w:tr>
      <w:tr w14:paraId="1DE62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tcPr>
          <w:p w14:paraId="45EA17F4">
            <w:pPr>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纳   税   主  体：</w:t>
            </w:r>
          </w:p>
        </w:tc>
        <w:tc>
          <w:tcPr>
            <w:tcW w:w="2865" w:type="dxa"/>
            <w:vAlign w:val="top"/>
          </w:tcPr>
          <w:p w14:paraId="7893AE7C">
            <w:pPr>
              <w:spacing w:line="480" w:lineRule="exact"/>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一般纳税人</w:t>
            </w:r>
          </w:p>
        </w:tc>
        <w:tc>
          <w:tcPr>
            <w:tcW w:w="3146" w:type="dxa"/>
          </w:tcPr>
          <w:p w14:paraId="54433EE3">
            <w:pPr>
              <w:pStyle w:val="6"/>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p>
        </w:tc>
      </w:tr>
      <w:tr w14:paraId="4CB22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tcPr>
          <w:p w14:paraId="413D56C4">
            <w:pPr>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国税纳税人识别号：</w:t>
            </w:r>
          </w:p>
        </w:tc>
        <w:tc>
          <w:tcPr>
            <w:tcW w:w="2865" w:type="dxa"/>
            <w:vAlign w:val="center"/>
          </w:tcPr>
          <w:p w14:paraId="72E2019C">
            <w:pPr>
              <w:spacing w:line="480" w:lineRule="exact"/>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91130000</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755495582E</w:t>
            </w:r>
          </w:p>
        </w:tc>
        <w:tc>
          <w:tcPr>
            <w:tcW w:w="3146" w:type="dxa"/>
          </w:tcPr>
          <w:p w14:paraId="4B0D33E3">
            <w:pPr>
              <w:pStyle w:val="6"/>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p>
        </w:tc>
      </w:tr>
      <w:tr w14:paraId="38C2D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tcPr>
          <w:p w14:paraId="1C926B30">
            <w:pPr>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户            名：</w:t>
            </w:r>
          </w:p>
        </w:tc>
        <w:tc>
          <w:tcPr>
            <w:tcW w:w="2865" w:type="dxa"/>
            <w:vAlign w:val="center"/>
          </w:tcPr>
          <w:p w14:paraId="24CB89E1">
            <w:pPr>
              <w:spacing w:line="480" w:lineRule="exact"/>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中建路桥集团</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河北基础市政工程</w:t>
            </w:r>
            <w:r>
              <w:rPr>
                <w:rFonts w:hint="eastAsia" w:ascii="仿宋_GB2312" w:hAnsi="仿宋_GB2312" w:eastAsia="仿宋_GB2312" w:cs="仿宋_GB2312"/>
                <w:color w:val="000000" w:themeColor="text1"/>
                <w:sz w:val="24"/>
                <w:szCs w:val="24"/>
                <w:highlight w:val="none"/>
                <w14:textFill>
                  <w14:solidFill>
                    <w14:schemeClr w14:val="tx1"/>
                  </w14:solidFill>
                </w14:textFill>
              </w:rPr>
              <w:t>有限公司</w:t>
            </w:r>
          </w:p>
        </w:tc>
        <w:tc>
          <w:tcPr>
            <w:tcW w:w="3146" w:type="dxa"/>
          </w:tcPr>
          <w:p w14:paraId="3C4CE0E3">
            <w:pPr>
              <w:pStyle w:val="6"/>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p>
        </w:tc>
      </w:tr>
      <w:tr w14:paraId="2612F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tcPr>
          <w:p w14:paraId="7BB8120D">
            <w:pPr>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开     户     行：</w:t>
            </w:r>
          </w:p>
        </w:tc>
        <w:tc>
          <w:tcPr>
            <w:tcW w:w="2865" w:type="dxa"/>
            <w:vAlign w:val="center"/>
          </w:tcPr>
          <w:p w14:paraId="6775F177">
            <w:pPr>
              <w:spacing w:line="480" w:lineRule="exact"/>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lang w:eastAsia="zh-CN"/>
                <w14:textFill>
                  <w14:solidFill>
                    <w14:schemeClr w14:val="tx1"/>
                  </w14:solidFill>
                </w14:textFill>
              </w:rPr>
              <w:t>中国建设银行石家庄建设南大街支行</w:t>
            </w:r>
          </w:p>
        </w:tc>
        <w:tc>
          <w:tcPr>
            <w:tcW w:w="3146" w:type="dxa"/>
          </w:tcPr>
          <w:p w14:paraId="7EB2DBDE">
            <w:pPr>
              <w:pStyle w:val="6"/>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p>
        </w:tc>
      </w:tr>
      <w:tr w14:paraId="5AA0F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tcPr>
          <w:p w14:paraId="233F4B8A">
            <w:pPr>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账            号：</w:t>
            </w:r>
          </w:p>
        </w:tc>
        <w:tc>
          <w:tcPr>
            <w:tcW w:w="2865" w:type="dxa"/>
            <w:vAlign w:val="center"/>
          </w:tcPr>
          <w:p w14:paraId="066DFA59">
            <w:pPr>
              <w:spacing w:line="480" w:lineRule="exact"/>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130</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50161536100000357</w:t>
            </w:r>
          </w:p>
        </w:tc>
        <w:tc>
          <w:tcPr>
            <w:tcW w:w="3146" w:type="dxa"/>
          </w:tcPr>
          <w:p w14:paraId="6DEF63F2">
            <w:pPr>
              <w:pStyle w:val="6"/>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p>
        </w:tc>
      </w:tr>
      <w:tr w14:paraId="26724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tcPr>
          <w:p w14:paraId="6EF5B2BF">
            <w:pPr>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地            址：</w:t>
            </w:r>
          </w:p>
        </w:tc>
        <w:tc>
          <w:tcPr>
            <w:tcW w:w="2865" w:type="dxa"/>
            <w:vAlign w:val="center"/>
          </w:tcPr>
          <w:p w14:paraId="12F312A3">
            <w:pPr>
              <w:spacing w:line="480" w:lineRule="exact"/>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河北省</w:t>
            </w:r>
            <w:r>
              <w:rPr>
                <w:rFonts w:hint="eastAsia" w:ascii="仿宋_GB2312" w:hAnsi="仿宋_GB2312" w:eastAsia="仿宋_GB2312" w:cs="仿宋_GB2312"/>
                <w:color w:val="000000" w:themeColor="text1"/>
                <w:sz w:val="24"/>
                <w:szCs w:val="24"/>
                <w:highlight w:val="none"/>
                <w14:textFill>
                  <w14:solidFill>
                    <w14:schemeClr w14:val="tx1"/>
                  </w14:solidFill>
                </w14:textFill>
              </w:rPr>
              <w:t>石家庄市</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新石北路362号1号楼3层</w:t>
            </w:r>
          </w:p>
        </w:tc>
        <w:tc>
          <w:tcPr>
            <w:tcW w:w="3146" w:type="dxa"/>
          </w:tcPr>
          <w:p w14:paraId="36CDE111">
            <w:pPr>
              <w:pStyle w:val="6"/>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p>
        </w:tc>
      </w:tr>
      <w:tr w14:paraId="7F01A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vAlign w:val="top"/>
          </w:tcPr>
          <w:p w14:paraId="0AA6BCE5">
            <w:pPr>
              <w:spacing w:line="480" w:lineRule="exact"/>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联   系  电   话：</w:t>
            </w:r>
          </w:p>
        </w:tc>
        <w:tc>
          <w:tcPr>
            <w:tcW w:w="2865" w:type="dxa"/>
            <w:vAlign w:val="center"/>
          </w:tcPr>
          <w:p w14:paraId="16E09F56">
            <w:pPr>
              <w:spacing w:line="480" w:lineRule="exact"/>
              <w:rPr>
                <w:rFonts w:hint="eastAsia" w:ascii="仿宋_GB2312" w:hAnsi="仿宋_GB2312" w:eastAsia="仿宋_GB2312" w:cs="仿宋_GB2312"/>
                <w:bCs/>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0311-8</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9821098</w:t>
            </w:r>
          </w:p>
        </w:tc>
        <w:tc>
          <w:tcPr>
            <w:tcW w:w="3146" w:type="dxa"/>
          </w:tcPr>
          <w:p w14:paraId="493DD7A0">
            <w:pPr>
              <w:pStyle w:val="6"/>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p>
        </w:tc>
      </w:tr>
      <w:tr w14:paraId="058C9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tcPr>
          <w:p w14:paraId="3F27DC73">
            <w:pPr>
              <w:spacing w:line="480" w:lineRule="exact"/>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备            注：</w:t>
            </w:r>
          </w:p>
        </w:tc>
        <w:tc>
          <w:tcPr>
            <w:tcW w:w="2865" w:type="dxa"/>
            <w:vAlign w:val="center"/>
          </w:tcPr>
          <w:p w14:paraId="0481A2D2">
            <w:pPr>
              <w:spacing w:line="480" w:lineRule="exact"/>
              <w:rPr>
                <w:rFonts w:ascii="仿宋_GB2312" w:hAnsi="仿宋_GB2312" w:eastAsia="仿宋_GB2312" w:cs="仿宋_GB2312"/>
                <w:bCs/>
                <w:color w:val="000000" w:themeColor="text1"/>
                <w:sz w:val="24"/>
                <w:szCs w:val="24"/>
                <w:highlight w:val="none"/>
                <w14:textFill>
                  <w14:solidFill>
                    <w14:schemeClr w14:val="tx1"/>
                  </w14:solidFill>
                </w14:textFill>
              </w:rPr>
            </w:pPr>
          </w:p>
        </w:tc>
        <w:tc>
          <w:tcPr>
            <w:tcW w:w="3146" w:type="dxa"/>
          </w:tcPr>
          <w:p w14:paraId="03AC765D">
            <w:pPr>
              <w:pStyle w:val="6"/>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p>
        </w:tc>
      </w:tr>
      <w:permEnd w:id="47"/>
    </w:tbl>
    <w:p w14:paraId="7903D39C">
      <w:pPr>
        <w:tabs>
          <w:tab w:val="left" w:pos="765"/>
        </w:tabs>
        <w:spacing w:line="400" w:lineRule="exact"/>
        <w:ind w:firstLine="480" w:firstLineChars="200"/>
        <w:jc w:val="left"/>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.4支付形式：本合同付款形式适用第</w:t>
      </w:r>
      <w:permStart w:id="48"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5.2.2.2</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48"/>
      <w:r>
        <w:rPr>
          <w:rFonts w:hint="eastAsia" w:ascii="仿宋_GB2312" w:hAnsi="仿宋_GB2312" w:eastAsia="仿宋_GB2312" w:cs="仿宋_GB2312"/>
          <w:color w:val="000000" w:themeColor="text1"/>
          <w:sz w:val="24"/>
          <w:szCs w:val="24"/>
          <w:highlight w:val="none"/>
          <w14:textFill>
            <w14:solidFill>
              <w14:schemeClr w14:val="tx1"/>
            </w14:solidFill>
          </w14:textFill>
        </w:rPr>
        <w:t>条；</w:t>
      </w:r>
    </w:p>
    <w:p w14:paraId="49233829">
      <w:pPr>
        <w:tabs>
          <w:tab w:val="left" w:pos="765"/>
        </w:tabs>
        <w:spacing w:line="400" w:lineRule="exact"/>
        <w:ind w:firstLine="480" w:firstLineChars="200"/>
        <w:jc w:val="left"/>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5.4</w:t>
      </w:r>
      <w:r>
        <w:rPr>
          <w:rFonts w:hint="eastAsia" w:ascii="仿宋_GB2312" w:hAnsi="仿宋_GB2312" w:eastAsia="仿宋_GB2312" w:cs="仿宋_GB2312"/>
          <w:color w:val="000000" w:themeColor="text1"/>
          <w:sz w:val="24"/>
          <w:szCs w:val="24"/>
          <w:highlight w:val="none"/>
          <w14:textFill>
            <w14:solidFill>
              <w14:schemeClr w14:val="tx1"/>
            </w14:solidFill>
          </w14:textFill>
        </w:rPr>
        <w:t>.1货币付款。</w:t>
      </w:r>
    </w:p>
    <w:p w14:paraId="417E7156">
      <w:pPr>
        <w:tabs>
          <w:tab w:val="left" w:pos="765"/>
        </w:tabs>
        <w:spacing w:line="400" w:lineRule="exact"/>
        <w:ind w:firstLine="480" w:firstLineChars="200"/>
        <w:jc w:val="left"/>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5.4.</w:t>
      </w:r>
      <w:r>
        <w:rPr>
          <w:rFonts w:hint="eastAsia" w:ascii="仿宋_GB2312" w:hAnsi="仿宋_GB2312" w:eastAsia="仿宋_GB2312" w:cs="仿宋_GB2312"/>
          <w:color w:val="000000" w:themeColor="text1"/>
          <w:sz w:val="24"/>
          <w:szCs w:val="24"/>
          <w:highlight w:val="none"/>
          <w14:textFill>
            <w14:solidFill>
              <w14:schemeClr w14:val="tx1"/>
            </w14:solidFill>
          </w14:textFill>
        </w:rPr>
        <w:t>2货币及其他的形式（包括且不限于支票、电汇、银行承兑汇票、商业承兑汇票、保理、信用证、供应链融资等）向乙方付款。（其中非现金付款方式不低于合同总价的</w:t>
      </w:r>
      <w:permStart w:id="4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ermEnd w:id="49"/>
      <w:r>
        <w:rPr>
          <w:rFonts w:hint="eastAsia" w:ascii="仿宋_GB2312" w:hAnsi="仿宋_GB2312" w:eastAsia="仿宋_GB2312" w:cs="仿宋_GB2312"/>
          <w:color w:val="000000" w:themeColor="text1"/>
          <w:sz w:val="24"/>
          <w:szCs w:val="24"/>
          <w:highlight w:val="none"/>
          <w14:textFill>
            <w14:solidFill>
              <w14:schemeClr w14:val="tx1"/>
            </w14:solidFill>
          </w14:textFill>
        </w:rPr>
        <w:t>%，期限为六个月，因此产生的相关贴现成本由乙方承担。</w:t>
      </w:r>
    </w:p>
    <w:p w14:paraId="5B3431FD">
      <w:pPr>
        <w:tabs>
          <w:tab w:val="left" w:pos="765"/>
        </w:tabs>
        <w:spacing w:line="400" w:lineRule="exact"/>
        <w:ind w:firstLine="480" w:firstLineChars="200"/>
        <w:jc w:val="left"/>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乙方须保证资金往来账户与本合同所约定账户一致，开票单位名称与合同约定名称一致。）</w:t>
      </w:r>
    </w:p>
    <w:p w14:paraId="6C269BF7">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5.5乙方已对可能出现甲方迟延支付租赁款的情况有充分的考虑。若由于甲方未向乙方支付相应租赁费的，乙方予以谅解，并承诺放弃向甲方索要相应利息及追究甲方违约责任的权利。同时，乙方保证不中断机械设备作业，保证工作质量，保证设备正常运转，且与项目配合良好。</w:t>
      </w:r>
    </w:p>
    <w:p w14:paraId="41DF42F3">
      <w:pPr>
        <w:spacing w:line="480" w:lineRule="exact"/>
        <w:ind w:firstLine="480" w:firstLineChars="200"/>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.6双方明确，乙方开具符合国家规定的增值税专用发票属于本合同中乙方的先行义务，</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乙方同意，若其未能提供本条所述发票时，甲方有权暂扣结算款直至发票开具之日，乙方在此期间放弃要求甲方付款及追究甲方任何违约责任或要求赔偿损失的权利。</w:t>
      </w:r>
    </w:p>
    <w:p w14:paraId="3238562A">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.7乙方应按照</w:t>
      </w:r>
      <w:permStart w:id="50"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《增值税暂行条例》、国家财税【2018】32号文、国家税务总局公告2016第17号、2016年第19号、2016年第23号</w:t>
      </w:r>
      <w:permEnd w:id="50"/>
      <w:r>
        <w:rPr>
          <w:rFonts w:hint="eastAsia" w:ascii="仿宋_GB2312" w:hAnsi="仿宋_GB2312" w:eastAsia="仿宋_GB2312" w:cs="仿宋_GB2312"/>
          <w:color w:val="000000" w:themeColor="text1"/>
          <w:sz w:val="24"/>
          <w:szCs w:val="24"/>
          <w:highlight w:val="none"/>
          <w14:textFill>
            <w14:solidFill>
              <w14:schemeClr w14:val="tx1"/>
            </w14:solidFill>
          </w14:textFill>
        </w:rPr>
        <w:t>要求，向甲方开具合法有效且能够通过认证的增值税专用发票/增值税普通发票的义务，乙方按照双方办理的生效结算文件载明的结算额度开具合同约定的增值税发票，开具日期为结算书生效之日。若乙方提交的发票未能通过认证，则甲方有权要求乙方在5个工作日内更换或补开符合合同要求的增值税发票并承担因此发生的相应费用。若甲方因乙方提交的发票而被税务机关调查，乙方有协助配合甲方做好调查、解释、说明及提交相关书面资料的义务。</w:t>
      </w:r>
    </w:p>
    <w:p w14:paraId="256FB497">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.8若乙方为不具备开票资格的小规模纳税人的，如甲方要求乙方开具增值税专用发票，应由乙方按照国家营改增税收政策文件申请税务机关代开发票，并承担代开发票发生的费用。</w:t>
      </w:r>
    </w:p>
    <w:p w14:paraId="5EBF0BD8">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9若乙方由一般纳税人身份变为小规模纳税人身份的，或者计税方法发生变化的，或者政策法规规范性文件发生变化的，并导致甲方可抵扣的进项税额减少或被税务机关要求补缴税款的，则减少的进项税额或补缴的税款应由乙方承担，甲方有权从将支付的任何一笔结算款中扣除。</w:t>
      </w:r>
    </w:p>
    <w:p w14:paraId="38A71E35">
      <w:pPr>
        <w:spacing w:line="480" w:lineRule="exact"/>
        <w:ind w:firstLine="482"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.10甲方仅向乙方本单位名下银行账户支付价款，未经甲方同意，乙方不得委托任何第三方代为收款，否则甲方有权拒绝付款。</w:t>
      </w:r>
      <w:r>
        <w:rPr>
          <w:rFonts w:hint="eastAsia" w:ascii="仿宋_GB2312" w:hAnsi="仿宋_GB2312" w:eastAsia="仿宋_GB2312" w:cs="仿宋_GB2312"/>
          <w:color w:val="000000" w:themeColor="text1"/>
          <w:sz w:val="24"/>
          <w:szCs w:val="24"/>
          <w:highlight w:val="none"/>
          <w14:textFill>
            <w14:solidFill>
              <w14:schemeClr w14:val="tx1"/>
            </w14:solidFill>
          </w14:textFill>
        </w:rPr>
        <w:t>当乙方收款银行账号发生变动时，应以函件的形式书面通知甲方，否则甲方有权拒绝付款。若甲方在收到乙方的书面通知之前已按原账号付款，则甲方不再另行支付，由此造成的一切损失均由乙方自行承担。</w:t>
      </w:r>
    </w:p>
    <w:p w14:paraId="0771D217">
      <w:pPr>
        <w:pStyle w:val="15"/>
        <w:numPr>
          <w:ilvl w:val="1"/>
          <w:numId w:val="0"/>
        </w:numPr>
        <w:spacing w:line="480" w:lineRule="exact"/>
        <w:ind w:firstLine="482" w:firstLineChars="200"/>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5</w:t>
      </w:r>
      <w:r>
        <w:rPr>
          <w:rFonts w:hint="eastAsia" w:ascii="仿宋_GB2312" w:hAnsi="仿宋_GB2312" w:eastAsia="仿宋_GB2312" w:cs="仿宋_GB2312"/>
          <w:b/>
          <w:bCs/>
          <w:color w:val="000000" w:themeColor="text1"/>
          <w:highlight w:val="none"/>
          <w14:textFill>
            <w14:solidFill>
              <w14:schemeClr w14:val="tx1"/>
            </w14:solidFill>
          </w14:textFill>
        </w:rPr>
        <w:t>.11甲方禁止项目部及任何人员以甲方、甲方子企业或甲方项目部</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名义</w:t>
      </w:r>
      <w:r>
        <w:rPr>
          <w:rFonts w:hint="eastAsia" w:ascii="仿宋_GB2312" w:hAnsi="仿宋_GB2312" w:eastAsia="仿宋_GB2312" w:cs="仿宋_GB2312"/>
          <w:b/>
          <w:bCs/>
          <w:color w:val="000000" w:themeColor="text1"/>
          <w:highlight w:val="none"/>
          <w14:textFill>
            <w14:solidFill>
              <w14:schemeClr w14:val="tx1"/>
            </w14:solidFill>
          </w14:textFill>
        </w:rPr>
        <w:t>对外借款或者支取任何款项，如乙方或乙方有关人员以任何形式将款项出借或支付或返还给甲方项目部及任何人员，则不论该等款项是否实际用于甲方工程，均与甲方无关，该行为均属于乙方与相关人员个人之间的经济关系，乙方无权向甲方主张任何权利，亦不得要求甲方以货款抵偿。</w:t>
      </w:r>
    </w:p>
    <w:p w14:paraId="3B6FCB0B">
      <w:pPr>
        <w:pStyle w:val="15"/>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5.12</w:t>
      </w:r>
      <w:r>
        <w:rPr>
          <w:rFonts w:hint="eastAsia" w:ascii="仿宋_GB2312" w:hAnsi="仿宋_GB2312" w:eastAsia="仿宋_GB2312" w:cs="仿宋_GB2312"/>
          <w:b/>
          <w:bCs/>
          <w:color w:val="000000" w:themeColor="text1"/>
          <w:highlight w:val="none"/>
          <w14:textFill>
            <w14:solidFill>
              <w14:schemeClr w14:val="tx1"/>
            </w14:solidFill>
          </w14:textFill>
        </w:rPr>
        <w:t>履约保证金缴纳及退还：</w:t>
      </w:r>
    </w:p>
    <w:p w14:paraId="79EBF4CA">
      <w:pPr>
        <w:spacing w:line="400" w:lineRule="atLeast"/>
        <w:ind w:firstLine="482" w:firstLineChars="200"/>
        <w:rPr>
          <w:rFonts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5.12.1</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履约保证金缴纳形式：</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乙方在签订合同前应向甲方缴纳合同额的</w:t>
      </w:r>
    </w:p>
    <w:p w14:paraId="2DD177CC">
      <w:pPr>
        <w:spacing w:line="400" w:lineRule="atLeast"/>
        <w:rPr>
          <w:rFonts w:ascii="仿宋_GB2312" w:hAnsi="仿宋_GB2312" w:eastAsia="仿宋_GB2312" w:cs="仿宋_GB2312"/>
          <w:color w:val="000000" w:themeColor="text1"/>
          <w:sz w:val="24"/>
          <w:szCs w:val="24"/>
          <w:highlight w:val="none"/>
          <w14:textFill>
            <w14:solidFill>
              <w14:schemeClr w14:val="tx1"/>
            </w14:solidFill>
          </w14:textFill>
        </w:rPr>
      </w:pPr>
      <w:permStart w:id="5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51"/>
      <w:r>
        <w:rPr>
          <w:rFonts w:hint="eastAsia" w:ascii="仿宋_GB2312" w:hAnsi="仿宋_GB2312" w:eastAsia="仿宋_GB2312" w:cs="仿宋_GB2312"/>
          <w:color w:val="000000" w:themeColor="text1"/>
          <w:sz w:val="24"/>
          <w:szCs w:val="24"/>
          <w:highlight w:val="none"/>
          <w14:textFill>
            <w14:solidFill>
              <w14:schemeClr w14:val="tx1"/>
            </w14:solidFill>
          </w14:textFill>
        </w:rPr>
        <w:t>％或</w:t>
      </w:r>
      <w:permStart w:id="5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100000</w:t>
      </w:r>
      <w:permEnd w:id="52"/>
      <w:r>
        <w:rPr>
          <w:rFonts w:hint="eastAsia" w:ascii="仿宋_GB2312" w:hAnsi="仿宋_GB2312" w:eastAsia="仿宋_GB2312" w:cs="仿宋_GB2312"/>
          <w:color w:val="000000" w:themeColor="text1"/>
          <w:sz w:val="24"/>
          <w:szCs w:val="24"/>
          <w:highlight w:val="none"/>
          <w14:textFill>
            <w14:solidFill>
              <w14:schemeClr w14:val="tx1"/>
            </w14:solidFill>
          </w14:textFill>
        </w:rPr>
        <w:t>元的履约保证金，具体缴纳形式采用第</w:t>
      </w:r>
      <w:permStart w:id="53"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5.12.1.2</w:t>
      </w:r>
      <w:permEnd w:id="53"/>
      <w:r>
        <w:rPr>
          <w:rFonts w:hint="eastAsia" w:ascii="仿宋_GB2312" w:hAnsi="仿宋_GB2312" w:eastAsia="仿宋_GB2312" w:cs="仿宋_GB2312"/>
          <w:color w:val="000000" w:themeColor="text1"/>
          <w:sz w:val="24"/>
          <w:szCs w:val="24"/>
          <w:highlight w:val="none"/>
          <w14:textFill>
            <w14:solidFill>
              <w14:schemeClr w14:val="tx1"/>
            </w14:solidFill>
          </w14:textFill>
        </w:rPr>
        <w:t>种：</w:t>
      </w:r>
    </w:p>
    <w:p w14:paraId="3957C8C4">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5.12.1.1</w:t>
      </w:r>
      <w:r>
        <w:rPr>
          <w:rFonts w:hint="eastAsia" w:ascii="仿宋_GB2312" w:hAnsi="仿宋_GB2312" w:eastAsia="仿宋_GB2312" w:cs="仿宋_GB2312"/>
          <w:color w:val="000000" w:themeColor="text1"/>
          <w:sz w:val="24"/>
          <w:szCs w:val="24"/>
          <w:highlight w:val="none"/>
          <w14:textFill>
            <w14:solidFill>
              <w14:schemeClr w14:val="tx1"/>
            </w14:solidFill>
          </w14:textFill>
        </w:rPr>
        <w:t>无需缴纳履约保证金。</w:t>
      </w:r>
    </w:p>
    <w:p w14:paraId="0F69EF99">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5.12.1.2</w:t>
      </w:r>
      <w:r>
        <w:rPr>
          <w:rFonts w:hint="eastAsia" w:ascii="仿宋_GB2312" w:hAnsi="仿宋_GB2312" w:eastAsia="仿宋_GB2312" w:cs="仿宋_GB2312"/>
          <w:color w:val="000000" w:themeColor="text1"/>
          <w:sz w:val="24"/>
          <w:szCs w:val="24"/>
          <w:highlight w:val="none"/>
          <w14:textFill>
            <w14:solidFill>
              <w14:schemeClr w14:val="tx1"/>
            </w14:solidFill>
          </w14:textFill>
        </w:rPr>
        <w:t>银行转账：乙方未参与甲方其他在建项目，采用银行转账方式缴纳履约保证金，并由项目相应会计根据财务部规定办理相应流程，开具证明件。</w:t>
      </w:r>
    </w:p>
    <w:p w14:paraId="089F44C7">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5.12.1.3</w:t>
      </w:r>
      <w:r>
        <w:rPr>
          <w:rFonts w:hint="eastAsia" w:ascii="仿宋_GB2312" w:hAnsi="仿宋_GB2312" w:eastAsia="仿宋_GB2312" w:cs="仿宋_GB2312"/>
          <w:color w:val="000000" w:themeColor="text1"/>
          <w:sz w:val="24"/>
          <w:szCs w:val="24"/>
          <w:highlight w:val="none"/>
          <w14:textFill>
            <w14:solidFill>
              <w14:schemeClr w14:val="tx1"/>
            </w14:solidFill>
          </w14:textFill>
        </w:rPr>
        <w:t>应付款抵扣：乙方参与甲方其他在建项目，履约保证金从其他项目应付款中抵扣，并由项目相应会计根据财务部规定办理相应流程，开具证明件。</w:t>
      </w:r>
    </w:p>
    <w:p w14:paraId="69F4098C">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5.12.1.4</w:t>
      </w:r>
      <w:r>
        <w:rPr>
          <w:rFonts w:hint="eastAsia" w:ascii="仿宋_GB2312" w:hAnsi="仿宋_GB2312" w:eastAsia="仿宋_GB2312" w:cs="仿宋_GB2312"/>
          <w:color w:val="000000" w:themeColor="text1"/>
          <w:sz w:val="24"/>
          <w:szCs w:val="24"/>
          <w:highlight w:val="none"/>
          <w14:textFill>
            <w14:solidFill>
              <w14:schemeClr w14:val="tx1"/>
            </w14:solidFill>
          </w14:textFill>
        </w:rPr>
        <w:t>履约保函</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只接受银行保函，不接受商业保函</w:t>
      </w:r>
      <w:r>
        <w:rPr>
          <w:rFonts w:hint="eastAsia" w:ascii="仿宋_GB2312" w:hAnsi="仿宋_GB2312" w:eastAsia="仿宋_GB2312" w:cs="仿宋_GB2312"/>
          <w:color w:val="auto"/>
          <w:sz w:val="24"/>
          <w:szCs w:val="24"/>
          <w:highlight w:val="none"/>
        </w:rPr>
        <w:t>。</w:t>
      </w:r>
    </w:p>
    <w:p w14:paraId="5157414E">
      <w:pPr>
        <w:spacing w:line="400" w:lineRule="atLeast"/>
        <w:ind w:firstLine="480" w:firstLineChars="200"/>
        <w:rPr>
          <w:rFonts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5.12.1.5</w:t>
      </w:r>
      <w:r>
        <w:rPr>
          <w:rFonts w:hint="eastAsia" w:ascii="仿宋_GB2312" w:hAnsi="仿宋_GB2312" w:eastAsia="仿宋_GB2312" w:cs="仿宋_GB2312"/>
          <w:color w:val="000000" w:themeColor="text1"/>
          <w:sz w:val="24"/>
          <w:szCs w:val="24"/>
          <w:highlight w:val="none"/>
          <w14:textFill>
            <w14:solidFill>
              <w14:schemeClr w14:val="tx1"/>
            </w14:solidFill>
          </w14:textFill>
        </w:rPr>
        <w:t>其他</w:t>
      </w:r>
      <w:permStart w:id="54" w:edGrp="everyone"/>
      <w:r>
        <w:rPr>
          <w:rFonts w:hint="eastAsia" w:ascii="仿宋_GB2312" w:hAnsi="仿宋_GB2312" w:eastAsia="仿宋_GB2312" w:cs="仿宋_GB2312"/>
          <w:b/>
          <w:bCs/>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54"/>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5715D079">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5.12.1.6</w:t>
      </w:r>
      <w:r>
        <w:rPr>
          <w:rFonts w:hint="eastAsia" w:ascii="仿宋_GB2312" w:hAnsi="仿宋_GB2312" w:eastAsia="仿宋_GB2312" w:cs="仿宋_GB2312"/>
          <w:color w:val="000000" w:themeColor="text1"/>
          <w:sz w:val="24"/>
          <w:szCs w:val="24"/>
          <w:highlight w:val="none"/>
          <w14:textFill>
            <w14:solidFill>
              <w14:schemeClr w14:val="tx1"/>
            </w14:solidFill>
          </w14:textFill>
        </w:rPr>
        <w:t>履约保证金缴纳账户：</w:t>
      </w:r>
    </w:p>
    <w:p w14:paraId="1313EA2B">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户名：</w:t>
      </w:r>
      <w:permStart w:id="55" w:edGrp="everyone"/>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中建路桥集团河北基础市政工程有限公司</w:t>
      </w:r>
      <w:permEnd w:id="55"/>
    </w:p>
    <w:p w14:paraId="6F13CF32">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帐号：</w:t>
      </w:r>
      <w:permStart w:id="56" w:edGrp="everyone"/>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13050161536100000357</w:t>
      </w:r>
      <w:permEnd w:id="56"/>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75D68C75">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w:t>
      </w:r>
      <w:permStart w:id="57" w:edGrp="everyone"/>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中国建设银行石家庄建设南大街支行</w:t>
      </w:r>
      <w:permEnd w:id="57"/>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44D44724">
      <w:pPr>
        <w:pStyle w:val="15"/>
        <w:spacing w:line="400" w:lineRule="atLeast"/>
        <w:ind w:firstLine="482" w:firstLineChars="200"/>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5.12.2</w:t>
      </w:r>
      <w:r>
        <w:rPr>
          <w:rFonts w:hint="eastAsia" w:ascii="仿宋_GB2312" w:hAnsi="仿宋_GB2312" w:eastAsia="仿宋_GB2312" w:cs="仿宋_GB2312"/>
          <w:b/>
          <w:bCs/>
          <w:color w:val="000000" w:themeColor="text1"/>
          <w:highlight w:val="none"/>
          <w14:textFill>
            <w14:solidFill>
              <w14:schemeClr w14:val="tx1"/>
            </w14:solidFill>
          </w14:textFill>
        </w:rPr>
        <w:t>履约保证金退还：</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已缴纳履约保证金的，在合同完成后</w:t>
      </w:r>
      <w:permStart w:id="58" w:edGrp="everyone"/>
      <w:r>
        <w:rPr>
          <w:rFonts w:hint="eastAsia" w:ascii="仿宋_GB2312" w:hAnsi="仿宋_GB2312" w:eastAsia="仿宋_GB2312" w:cs="仿宋_GB2312"/>
          <w:color w:val="000000" w:themeColor="text1"/>
          <w:kern w:val="2"/>
          <w:sz w:val="24"/>
          <w:szCs w:val="24"/>
          <w:highlight w:val="none"/>
          <w:u w:val="single"/>
          <w:lang w:val="en-US" w:eastAsia="zh-CN" w:bidi="ar-SA"/>
          <w14:textFill>
            <w14:solidFill>
              <w14:schemeClr w14:val="tx1"/>
            </w14:solidFill>
          </w14:textFill>
        </w:rPr>
        <w:t xml:space="preserve"> 5</w:t>
      </w:r>
      <w:permEnd w:id="58"/>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工作日内甲方无息退还乙方履约保证金（扣除违约金及应扣除款项）。</w:t>
      </w:r>
    </w:p>
    <w:p w14:paraId="04D71698">
      <w:pPr>
        <w:pStyle w:val="15"/>
        <w:numPr>
          <w:ilvl w:val="1"/>
          <w:numId w:val="0"/>
        </w:numPr>
        <w:spacing w:line="480" w:lineRule="exact"/>
        <w:ind w:firstLine="482" w:firstLineChars="200"/>
        <w:rPr>
          <w:rFonts w:hint="default"/>
          <w:lang w:val="en-US" w:eastAsia="zh-CN"/>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5.13</w:t>
      </w:r>
      <w:r>
        <w:rPr>
          <w:rFonts w:hint="eastAsia" w:ascii="仿宋_GB2312" w:hAnsi="仿宋_GB2312" w:eastAsia="仿宋_GB2312" w:cs="仿宋_GB2312"/>
          <w:b/>
          <w:bCs/>
          <w:color w:val="000000" w:themeColor="text1"/>
          <w:highlight w:val="none"/>
          <w14:textFill>
            <w14:solidFill>
              <w14:schemeClr w14:val="tx1"/>
            </w14:solidFill>
          </w14:textFill>
        </w:rPr>
        <w:t>其他</w:t>
      </w:r>
      <w:r>
        <w:rPr>
          <w:rFonts w:hint="eastAsia" w:ascii="仿宋_GB2312" w:hAnsi="仿宋_GB2312" w:eastAsia="仿宋_GB2312" w:cs="仿宋_GB2312"/>
          <w:color w:val="000000" w:themeColor="text1"/>
          <w:highlight w:val="none"/>
          <w14:textFill>
            <w14:solidFill>
              <w14:schemeClr w14:val="tx1"/>
            </w14:solidFill>
          </w14:textFill>
        </w:rPr>
        <w:t>：</w:t>
      </w:r>
      <w:permStart w:id="59"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r>
        <w:rPr>
          <w:rFonts w:ascii="仿宋_GB2312" w:hAnsi="仿宋_GB2312" w:eastAsia="仿宋_GB2312" w:cs="仿宋_GB2312"/>
          <w:color w:val="000000" w:themeColor="text1"/>
          <w:highlight w:val="none"/>
          <w:u w:val="single"/>
          <w14:textFill>
            <w14:solidFill>
              <w14:schemeClr w14:val="tx1"/>
            </w14:solidFill>
          </w14:textFill>
        </w:rPr>
        <w:t xml:space="preserve">    </w:t>
      </w:r>
      <w:permEnd w:id="59"/>
      <w:r>
        <w:rPr>
          <w:rFonts w:hint="eastAsia" w:ascii="仿宋_GB2312" w:hAnsi="仿宋_GB2312" w:eastAsia="仿宋_GB2312" w:cs="仿宋_GB2312"/>
          <w:color w:val="000000" w:themeColor="text1"/>
          <w:highlight w:val="none"/>
          <w14:textFill>
            <w14:solidFill>
              <w14:schemeClr w14:val="tx1"/>
            </w14:solidFill>
          </w14:textFill>
        </w:rPr>
        <w:t>。</w:t>
      </w:r>
    </w:p>
    <w:p w14:paraId="405C97B5">
      <w:pPr>
        <w:pStyle w:val="15"/>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8" w:name="_Toc26865"/>
      <w:bookmarkStart w:id="9" w:name="_Toc18116"/>
      <w:r>
        <w:rPr>
          <w:rFonts w:hint="eastAsia" w:ascii="仿宋_GB2312" w:hAnsi="仿宋_GB2312" w:eastAsia="仿宋_GB2312" w:cs="仿宋_GB2312"/>
          <w:b/>
          <w:bCs/>
          <w:color w:val="000000" w:themeColor="text1"/>
          <w:highlight w:val="none"/>
          <w14:textFill>
            <w14:solidFill>
              <w14:schemeClr w14:val="tx1"/>
            </w14:solidFill>
          </w14:textFill>
        </w:rPr>
        <w:t>通知与送达</w:t>
      </w:r>
      <w:bookmarkEnd w:id="8"/>
    </w:p>
    <w:p w14:paraId="3A7ED096">
      <w:pPr>
        <w:pStyle w:val="15"/>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highlight w:val="none"/>
          <w14:textFill>
            <w14:solidFill>
              <w14:schemeClr w14:val="tx1"/>
            </w14:solidFill>
          </w14:textFill>
        </w:rPr>
        <w:t>.1本合同中涉及合同、文件、律师函、仲裁、诉讼文书的送达地址或邮箱及法律后果作如下约定：</w:t>
      </w:r>
    </w:p>
    <w:p w14:paraId="61307F4C">
      <w:pPr>
        <w:pStyle w:val="15"/>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highlight w:val="none"/>
          <w14:textFill>
            <w14:solidFill>
              <w14:schemeClr w14:val="tx1"/>
            </w14:solidFill>
          </w14:textFill>
        </w:rPr>
        <w:t>.1.1甲方确认其有效的送达地址为：</w:t>
      </w:r>
      <w:permStart w:id="6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eastAsia="zh-CN"/>
          <w14:textFill>
            <w14:solidFill>
              <w14:schemeClr w14:val="tx1"/>
            </w14:solidFill>
          </w14:textFill>
        </w:rPr>
        <w:t>石家庄市桥西区新石北路</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362号</w:t>
      </w:r>
      <w:permEnd w:id="60"/>
      <w:r>
        <w:rPr>
          <w:rFonts w:hint="eastAsia" w:ascii="仿宋_GB2312" w:hAnsi="仿宋_GB2312" w:eastAsia="仿宋_GB2312" w:cs="仿宋_GB2312"/>
          <w:color w:val="000000" w:themeColor="text1"/>
          <w:highlight w:val="none"/>
          <w14:textFill>
            <w14:solidFill>
              <w14:schemeClr w14:val="tx1"/>
            </w14:solidFill>
          </w14:textFill>
        </w:rPr>
        <w:t>；</w:t>
      </w:r>
    </w:p>
    <w:p w14:paraId="0DF9663E">
      <w:pPr>
        <w:pStyle w:val="15"/>
        <w:spacing w:line="400" w:lineRule="atLeast"/>
        <w:ind w:firstLine="720" w:firstLineChars="3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联系人及电话：</w:t>
      </w:r>
      <w:permStart w:id="61" w:edGrp="everyone"/>
      <w:r>
        <w:rPr>
          <w:rFonts w:hint="eastAsia" w:ascii="仿宋_GB2312" w:hAnsi="仿宋_GB2312" w:eastAsia="仿宋_GB2312" w:cs="仿宋_GB2312"/>
          <w:color w:val="000000" w:themeColor="text1"/>
          <w:highlight w:val="none"/>
          <w:u w:val="single"/>
          <w:lang w:eastAsia="zh-CN"/>
          <w14:textFill>
            <w14:solidFill>
              <w14:schemeClr w14:val="tx1"/>
            </w14:solidFill>
          </w14:textFill>
        </w:rPr>
        <w:t>贾上游</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13111511172</w:t>
      </w:r>
      <w:permEnd w:id="61"/>
      <w:r>
        <w:rPr>
          <w:rFonts w:hint="eastAsia" w:ascii="仿宋_GB2312" w:hAnsi="仿宋_GB2312" w:eastAsia="仿宋_GB2312" w:cs="仿宋_GB2312"/>
          <w:color w:val="000000" w:themeColor="text1"/>
          <w:highlight w:val="none"/>
          <w14:textFill>
            <w14:solidFill>
              <w14:schemeClr w14:val="tx1"/>
            </w14:solidFill>
          </w14:textFill>
        </w:rPr>
        <w:t>；邮箱：</w:t>
      </w:r>
      <w:permStart w:id="62"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8143168@qq.com</w:t>
      </w:r>
      <w:permEnd w:id="62"/>
      <w:r>
        <w:rPr>
          <w:rFonts w:hint="eastAsia" w:ascii="仿宋_GB2312" w:hAnsi="仿宋_GB2312" w:eastAsia="仿宋_GB2312" w:cs="仿宋_GB2312"/>
          <w:color w:val="000000" w:themeColor="text1"/>
          <w:highlight w:val="none"/>
          <w14:textFill>
            <w14:solidFill>
              <w14:schemeClr w14:val="tx1"/>
            </w14:solidFill>
          </w14:textFill>
        </w:rPr>
        <w:t>；</w:t>
      </w:r>
    </w:p>
    <w:p w14:paraId="53EC1B0A">
      <w:pPr>
        <w:pStyle w:val="15"/>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highlight w:val="none"/>
          <w14:textFill>
            <w14:solidFill>
              <w14:schemeClr w14:val="tx1"/>
            </w14:solidFill>
          </w14:textFill>
        </w:rPr>
        <w:t>.1.2乙方确认其有效的送达地址为：</w:t>
      </w:r>
      <w:permStart w:id="6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63"/>
      <w:r>
        <w:rPr>
          <w:rFonts w:hint="eastAsia" w:ascii="仿宋_GB2312" w:hAnsi="仿宋_GB2312" w:eastAsia="仿宋_GB2312" w:cs="仿宋_GB2312"/>
          <w:color w:val="000000" w:themeColor="text1"/>
          <w:highlight w:val="none"/>
          <w14:textFill>
            <w14:solidFill>
              <w14:schemeClr w14:val="tx1"/>
            </w14:solidFill>
          </w14:textFill>
        </w:rPr>
        <w:t>；</w:t>
      </w:r>
    </w:p>
    <w:p w14:paraId="2D37AC76">
      <w:pPr>
        <w:pStyle w:val="15"/>
        <w:spacing w:line="400" w:lineRule="atLeast"/>
        <w:ind w:firstLine="720" w:firstLineChars="3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联系人及电话：</w:t>
      </w:r>
      <w:permStart w:id="6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64"/>
      <w:r>
        <w:rPr>
          <w:rFonts w:hint="eastAsia" w:ascii="仿宋_GB2312" w:hAnsi="仿宋_GB2312" w:eastAsia="仿宋_GB2312" w:cs="仿宋_GB2312"/>
          <w:color w:val="000000" w:themeColor="text1"/>
          <w:highlight w:val="none"/>
          <w14:textFill>
            <w14:solidFill>
              <w14:schemeClr w14:val="tx1"/>
            </w14:solidFill>
          </w14:textFill>
        </w:rPr>
        <w:t>；邮箱：</w:t>
      </w:r>
      <w:permStart w:id="6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65"/>
      <w:r>
        <w:rPr>
          <w:rFonts w:hint="eastAsia" w:ascii="仿宋_GB2312" w:hAnsi="仿宋_GB2312" w:eastAsia="仿宋_GB2312" w:cs="仿宋_GB2312"/>
          <w:color w:val="000000" w:themeColor="text1"/>
          <w:highlight w:val="none"/>
          <w14:textFill>
            <w14:solidFill>
              <w14:schemeClr w14:val="tx1"/>
            </w14:solidFill>
          </w14:textFill>
        </w:rPr>
        <w:t>；</w:t>
      </w:r>
    </w:p>
    <w:p w14:paraId="14EF5395">
      <w:pPr>
        <w:pStyle w:val="15"/>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highlight w:val="none"/>
          <w14:textFill>
            <w14:solidFill>
              <w14:schemeClr w14:val="tx1"/>
            </w14:solidFill>
          </w14:textFill>
        </w:rPr>
        <w:t>.2双方该送达地址或邮箱适用范围包括双方就合同发生纠纷时的律师函和法律文书的送达，同时包括在争议进入仲裁、民事诉讼程序（如有）后的一审、二审、再审和执行程序。</w:t>
      </w:r>
    </w:p>
    <w:p w14:paraId="40C27845">
      <w:pPr>
        <w:pStyle w:val="15"/>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highlight w:val="none"/>
          <w14:textFill>
            <w14:solidFill>
              <w14:schemeClr w14:val="tx1"/>
            </w14:solidFill>
          </w14:textFill>
        </w:rPr>
        <w:t>.3乙方因提供的送达地址或邮箱不准确、变更后未及时书面告知甲方、其指定的接收人拒绝签收等原因，导致法律文书未能被其实际接收的，视为对乙方送达成功：邮寄送达的，以文件退回之日视为送达之日；直接送达的，送达人当场在送达回证上记明情况之日视为送达之日。</w:t>
      </w:r>
    </w:p>
    <w:p w14:paraId="6A4FF2E9">
      <w:pPr>
        <w:pStyle w:val="15"/>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0" w:name="_Toc17002"/>
      <w:r>
        <w:rPr>
          <w:rFonts w:hint="eastAsia" w:ascii="仿宋_GB2312" w:hAnsi="仿宋_GB2312" w:eastAsia="仿宋_GB2312" w:cs="仿宋_GB2312"/>
          <w:b/>
          <w:bCs/>
          <w:color w:val="000000" w:themeColor="text1"/>
          <w:highlight w:val="none"/>
          <w14:textFill>
            <w14:solidFill>
              <w14:schemeClr w14:val="tx1"/>
            </w14:solidFill>
          </w14:textFill>
        </w:rPr>
        <w:t>合同生效</w:t>
      </w:r>
      <w:bookmarkEnd w:id="9"/>
      <w:bookmarkEnd w:id="10"/>
    </w:p>
    <w:p w14:paraId="76C42786">
      <w:pPr>
        <w:pStyle w:val="15"/>
        <w:numPr>
          <w:ilvl w:val="255"/>
          <w:numId w:val="0"/>
        </w:numPr>
        <w:spacing w:line="48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本合同签约形式适用第</w:t>
      </w:r>
      <w:permStart w:id="66"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7.2</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66"/>
      <w:r>
        <w:rPr>
          <w:rFonts w:hint="eastAsia" w:ascii="仿宋_GB2312" w:hAnsi="仿宋_GB2312" w:eastAsia="仿宋_GB2312" w:cs="仿宋_GB2312"/>
          <w:color w:val="000000" w:themeColor="text1"/>
          <w:highlight w:val="none"/>
          <w14:textFill>
            <w14:solidFill>
              <w14:schemeClr w14:val="tx1"/>
            </w14:solidFill>
          </w14:textFill>
        </w:rPr>
        <w:t>条；</w:t>
      </w:r>
    </w:p>
    <w:p w14:paraId="0AEDEFA2">
      <w:pPr>
        <w:pStyle w:val="15"/>
        <w:numPr>
          <w:ilvl w:val="255"/>
          <w:numId w:val="0"/>
        </w:numPr>
        <w:spacing w:line="48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highlight w:val="none"/>
          <w14:textFill>
            <w14:solidFill>
              <w14:schemeClr w14:val="tx1"/>
            </w14:solidFill>
          </w14:textFill>
        </w:rPr>
        <w:t>.1双方同意通过云筑网以电子签章的方式签署本合同，本合同自双方加盖电子签章之日起生效。合同生效后，双方均可对本合同进行查阅、下载、打印。下载、打印后的合同可以与云筑网中的电子合同进行比对，如有不同，以云筑网中的电子合同为准。甲乙双方使用电子签章方式签署的合同，只有通过验证生效的电子原件具有法律效力，未经电子印章服务平台公司提供书面证明材料的电子合同打印版不能作为法律依据。如因乙方使用不当给甲方造成损失，乙方愿自行承担由此造成的全部经济损失和法律责任。</w:t>
      </w:r>
    </w:p>
    <w:p w14:paraId="11439137">
      <w:pPr>
        <w:pStyle w:val="15"/>
        <w:numPr>
          <w:ilvl w:val="255"/>
          <w:numId w:val="0"/>
        </w:numPr>
        <w:spacing w:line="48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highlight w:val="none"/>
          <w14:textFill>
            <w14:solidFill>
              <w14:schemeClr w14:val="tx1"/>
            </w14:solidFill>
          </w14:textFill>
        </w:rPr>
        <w:t>.2双方同意通过加盖物理印章的方式签署本合同，合同自双方盖章后生效，完成合同约定的全部内容且保修期满后即告终止。合同壹式</w:t>
      </w:r>
      <w:permStart w:id="67"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捌 </w:t>
      </w:r>
      <w:permEnd w:id="67"/>
      <w:r>
        <w:rPr>
          <w:rFonts w:hint="eastAsia" w:ascii="仿宋_GB2312" w:hAnsi="仿宋_GB2312" w:eastAsia="仿宋_GB2312" w:cs="仿宋_GB2312"/>
          <w:color w:val="000000" w:themeColor="text1"/>
          <w:highlight w:val="none"/>
          <w14:textFill>
            <w14:solidFill>
              <w14:schemeClr w14:val="tx1"/>
            </w14:solidFill>
          </w14:textFill>
        </w:rPr>
        <w:t>份，甲方执</w:t>
      </w:r>
      <w:permStart w:id="68"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柒</w:t>
      </w:r>
      <w:permEnd w:id="68"/>
      <w:r>
        <w:rPr>
          <w:rFonts w:hint="eastAsia" w:ascii="仿宋_GB2312" w:hAnsi="仿宋_GB2312" w:eastAsia="仿宋_GB2312" w:cs="仿宋_GB2312"/>
          <w:color w:val="000000" w:themeColor="text1"/>
          <w:highlight w:val="none"/>
          <w14:textFill>
            <w14:solidFill>
              <w14:schemeClr w14:val="tx1"/>
            </w14:solidFill>
          </w14:textFill>
        </w:rPr>
        <w:t>份，乙方执</w:t>
      </w:r>
      <w:permStart w:id="69"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壹 </w:t>
      </w:r>
      <w:permEnd w:id="69"/>
      <w:r>
        <w:rPr>
          <w:rFonts w:hint="eastAsia" w:ascii="仿宋_GB2312" w:hAnsi="仿宋_GB2312" w:eastAsia="仿宋_GB2312" w:cs="仿宋_GB2312"/>
          <w:color w:val="000000" w:themeColor="text1"/>
          <w:highlight w:val="none"/>
          <w14:textFill>
            <w14:solidFill>
              <w14:schemeClr w14:val="tx1"/>
            </w14:solidFill>
          </w14:textFill>
        </w:rPr>
        <w:t>份。</w:t>
      </w:r>
    </w:p>
    <w:p w14:paraId="5931EEC7">
      <w:pPr>
        <w:pStyle w:val="4"/>
        <w:spacing w:line="480" w:lineRule="exact"/>
        <w:ind w:left="0" w:leftChars="0" w:right="0" w:rightChars="0"/>
        <w:rPr>
          <w:rFonts w:hint="eastAsia" w:ascii="仿宋_GB2312" w:hAnsi="仿宋_GB2312" w:eastAsia="仿宋_GB2312" w:cs="仿宋_GB2312"/>
          <w:color w:val="000000" w:themeColor="text1"/>
          <w:szCs w:val="24"/>
          <w:highlight w:val="none"/>
          <w14:textFill>
            <w14:solidFill>
              <w14:schemeClr w14:val="tx1"/>
            </w14:solidFill>
          </w14:textFill>
        </w:rPr>
      </w:pPr>
    </w:p>
    <w:p w14:paraId="33CC75AD">
      <w:pPr>
        <w:pStyle w:val="4"/>
        <w:spacing w:line="480" w:lineRule="exact"/>
        <w:ind w:left="0" w:leftChars="0" w:right="0" w:rightChars="0"/>
        <w:rPr>
          <w:rFonts w:ascii="仿宋_GB2312" w:hAnsi="仿宋_GB2312" w:eastAsia="仿宋_GB2312" w:cs="仿宋_GB2312"/>
          <w:color w:val="000000" w:themeColor="text1"/>
          <w:szCs w:val="24"/>
          <w:highlight w:val="none"/>
          <w14:textFill>
            <w14:solidFill>
              <w14:schemeClr w14:val="tx1"/>
            </w14:solidFill>
          </w14:textFill>
        </w:rPr>
      </w:pPr>
      <w:r>
        <w:rPr>
          <w:rFonts w:hint="eastAsia" w:ascii="仿宋_GB2312" w:hAnsi="仿宋_GB2312" w:eastAsia="仿宋_GB2312" w:cs="仿宋_GB2312"/>
          <w:color w:val="000000" w:themeColor="text1"/>
          <w:szCs w:val="24"/>
          <w:highlight w:val="none"/>
          <w14:textFill>
            <w14:solidFill>
              <w14:schemeClr w14:val="tx1"/>
            </w14:solidFill>
          </w14:textFill>
        </w:rPr>
        <w:t>以下无正文</w:t>
      </w:r>
    </w:p>
    <w:p w14:paraId="4D1FBCB5">
      <w:pPr>
        <w:spacing w:line="480" w:lineRule="exac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11" w:name="_Toc31108"/>
      <w:bookmarkStart w:id="12" w:name="_Toc9372"/>
      <w:bookmarkStart w:id="13" w:name="_Toc23374"/>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附件一 授权委托书</w:t>
      </w:r>
      <w:bookmarkEnd w:id="11"/>
      <w:bookmarkEnd w:id="12"/>
      <w:bookmarkEnd w:id="13"/>
    </w:p>
    <w:p w14:paraId="6EDF26EF">
      <w:pPr>
        <w:spacing w:line="480" w:lineRule="exac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14" w:name="_Toc5250_WPSOffice_Level1"/>
      <w:bookmarkStart w:id="15" w:name="_Toc16133_WPSOffice_Level1"/>
      <w:bookmarkStart w:id="16" w:name="_Toc3383_WPSOffice_Level1"/>
      <w:bookmarkStart w:id="17" w:name="_Toc14040"/>
      <w:bookmarkStart w:id="18" w:name="_Toc27542"/>
      <w:bookmarkStart w:id="19" w:name="_Toc31307"/>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附件二 </w:t>
      </w:r>
      <w:bookmarkEnd w:id="14"/>
      <w:bookmarkEnd w:id="15"/>
      <w:bookmarkEnd w:id="16"/>
      <w:bookmarkEnd w:id="17"/>
      <w:bookmarkEnd w:id="18"/>
      <w:bookmarkEnd w:id="19"/>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项目部合规权限告知书</w:t>
      </w:r>
    </w:p>
    <w:p w14:paraId="12938341">
      <w:pPr>
        <w:spacing w:line="480" w:lineRule="exac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20" w:name="_Toc641_WPSOffice_Level1"/>
      <w:bookmarkStart w:id="21" w:name="_Toc19768_WPSOffice_Level1"/>
      <w:bookmarkStart w:id="22" w:name="_Toc22730_WPSOffice_Level1"/>
      <w:bookmarkStart w:id="23" w:name="_Toc17821"/>
      <w:bookmarkStart w:id="24" w:name="_Toc3486"/>
      <w:bookmarkStart w:id="25" w:name="_Toc660"/>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附件三 </w:t>
      </w:r>
      <w:bookmarkEnd w:id="20"/>
      <w:bookmarkEnd w:id="21"/>
      <w:bookmarkEnd w:id="22"/>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安全管理协议书</w:t>
      </w:r>
      <w:bookmarkEnd w:id="23"/>
      <w:bookmarkEnd w:id="24"/>
      <w:bookmarkEnd w:id="25"/>
    </w:p>
    <w:p w14:paraId="1E3FAF69">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bookmarkStart w:id="26" w:name="_Toc19161_WPSOffice_Level1"/>
      <w:bookmarkStart w:id="27" w:name="_Toc8260_WPSOffice_Level1"/>
      <w:bookmarkStart w:id="28" w:name="_Toc24584_WPSOffice_Level1"/>
      <w:bookmarkStart w:id="29" w:name="_Toc459"/>
      <w:bookmarkStart w:id="30" w:name="_Toc25961"/>
      <w:bookmarkStart w:id="31" w:name="_Toc29046"/>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附件四 </w:t>
      </w:r>
      <w:bookmarkEnd w:id="26"/>
      <w:bookmarkEnd w:id="27"/>
      <w:bookmarkEnd w:id="28"/>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廉洁从业共建协议</w:t>
      </w:r>
      <w:bookmarkEnd w:id="29"/>
      <w:bookmarkEnd w:id="30"/>
      <w:bookmarkEnd w:id="31"/>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69CF0A37">
      <w:pPr>
        <w:pStyle w:val="15"/>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p>
    <w:p w14:paraId="19F79C4C">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甲方（盖章）：                        乙方（公章）：             </w:t>
      </w:r>
    </w:p>
    <w:p w14:paraId="37B0A63A">
      <w:pPr>
        <w:pStyle w:val="6"/>
      </w:pPr>
    </w:p>
    <w:p w14:paraId="41710F53">
      <w:pPr>
        <w:autoSpaceDE w:val="0"/>
        <w:autoSpaceDN w:val="0"/>
        <w:adjustRightInd w:val="0"/>
        <w:spacing w:line="400" w:lineRule="atLeas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法定代表人：</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w:t>
      </w:r>
    </w:p>
    <w:p w14:paraId="3234EB6C">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5EEAEBE1">
      <w:pPr>
        <w:autoSpaceDE w:val="0"/>
        <w:autoSpaceDN w:val="0"/>
        <w:adjustRightInd w:val="0"/>
        <w:spacing w:line="400" w:lineRule="atLeast"/>
        <w:ind w:firstLine="960" w:firstLineChars="4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委托人：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p>
    <w:p w14:paraId="09EE25BC">
      <w:pPr>
        <w:autoSpaceDE w:val="0"/>
        <w:autoSpaceDN w:val="0"/>
        <w:adjustRightInd w:val="0"/>
        <w:spacing w:line="480" w:lineRule="exact"/>
        <w:ind w:firstLine="420" w:firstLineChars="200"/>
        <w:rPr>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年</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月</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日</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年</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月</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日</w:t>
      </w:r>
      <w:r>
        <w:rPr>
          <w:rFonts w:hint="eastAsia" w:ascii="仿宋_GB2312" w:hAnsi="仿宋_GB2312" w:eastAsia="仿宋_GB2312" w:cs="仿宋_GB2312"/>
          <w:color w:val="000000" w:themeColor="text1"/>
          <w:sz w:val="24"/>
          <w:szCs w:val="24"/>
          <w:highlight w:val="none"/>
          <w14:textFill>
            <w14:solidFill>
              <w14:schemeClr w14:val="tx1"/>
            </w14:solidFill>
          </w14:textFill>
        </w:rPr>
        <w:br w:type="page"/>
      </w:r>
    </w:p>
    <w:p w14:paraId="089AD104">
      <w:pPr>
        <w:autoSpaceDE w:val="0"/>
        <w:autoSpaceDN w:val="0"/>
        <w:adjustRightInd w:val="0"/>
        <w:spacing w:line="480" w:lineRule="exact"/>
        <w:outlineLvl w:val="0"/>
        <w:rPr>
          <w:rFonts w:ascii="仿宋_GB2312" w:hAnsi="仿宋_GB2312" w:eastAsia="仿宋_GB2312" w:cs="仿宋_GB2312"/>
          <w:color w:val="000000" w:themeColor="text1"/>
          <w:kern w:val="0"/>
          <w:sz w:val="28"/>
          <w:szCs w:val="28"/>
          <w:highlight w:val="none"/>
          <w14:textFill>
            <w14:solidFill>
              <w14:schemeClr w14:val="tx1"/>
            </w14:solidFill>
          </w14:textFill>
        </w:rPr>
      </w:pPr>
      <w:bookmarkStart w:id="32" w:name="_Toc14542"/>
      <w:bookmarkStart w:id="33" w:name="_Toc27121"/>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附件一：</w:t>
      </w:r>
      <w:bookmarkEnd w:id="32"/>
      <w:bookmarkEnd w:id="33"/>
    </w:p>
    <w:p w14:paraId="7E7C7199">
      <w:pPr>
        <w:autoSpaceDE w:val="0"/>
        <w:autoSpaceDN w:val="0"/>
        <w:adjustRightInd w:val="0"/>
        <w:spacing w:line="480" w:lineRule="exact"/>
        <w:ind w:firstLine="602" w:firstLineChars="200"/>
        <w:jc w:val="center"/>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授权委托书</w:t>
      </w:r>
    </w:p>
    <w:p w14:paraId="1CB8B5DB">
      <w:pPr>
        <w:autoSpaceDE w:val="0"/>
        <w:autoSpaceDN w:val="0"/>
        <w:adjustRightInd w:val="0"/>
        <w:spacing w:line="480" w:lineRule="exact"/>
        <w:ind w:firstLine="482" w:firstLineChars="200"/>
        <w:rPr>
          <w:rFonts w:ascii="仿宋_GB2312" w:hAnsi="仿宋_GB2312" w:eastAsia="仿宋_GB2312" w:cs="仿宋_GB2312"/>
          <w:b/>
          <w:color w:val="000000" w:themeColor="text1"/>
          <w:sz w:val="24"/>
          <w:szCs w:val="24"/>
          <w:highlight w:val="none"/>
          <w14:textFill>
            <w14:solidFill>
              <w14:schemeClr w14:val="tx1"/>
            </w14:solidFill>
          </w14:textFill>
        </w:rPr>
      </w:pPr>
    </w:p>
    <w:p w14:paraId="6F01DA05">
      <w:pPr>
        <w:autoSpaceDE w:val="0"/>
        <w:autoSpaceDN w:val="0"/>
        <w:adjustRightInd w:val="0"/>
        <w:spacing w:line="400" w:lineRule="exact"/>
        <w:ind w:firstLine="482"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本授权委托书声明：</w:t>
      </w:r>
      <w:r>
        <w:rPr>
          <w:rFonts w:hint="eastAsia" w:ascii="仿宋_GB2312" w:hAnsi="仿宋_GB2312" w:eastAsia="仿宋_GB2312" w:cs="仿宋_GB2312"/>
          <w:color w:val="000000" w:themeColor="text1"/>
          <w:sz w:val="24"/>
          <w:szCs w:val="24"/>
          <w:highlight w:val="none"/>
          <w14:textFill>
            <w14:solidFill>
              <w14:schemeClr w14:val="tx1"/>
            </w14:solidFill>
          </w14:textFill>
        </w:rPr>
        <w:t>我</w:t>
      </w:r>
      <w:permStart w:id="7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b/>
          <w:color w:val="000000" w:themeColor="text1"/>
          <w:kern w:val="0"/>
          <w:sz w:val="24"/>
          <w:szCs w:val="24"/>
          <w:highlight w:val="none"/>
          <w:u w:val="single"/>
          <w14:textFill>
            <w14:solidFill>
              <w14:schemeClr w14:val="tx1"/>
            </w14:solidFill>
          </w14:textFill>
        </w:rPr>
        <w:t xml:space="preserve">  </w:t>
      </w:r>
      <w:permEnd w:id="70"/>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7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71"/>
      <w:r>
        <w:rPr>
          <w:rFonts w:hint="eastAsia" w:ascii="仿宋_GB2312" w:hAnsi="仿宋_GB2312" w:eastAsia="仿宋_GB2312" w:cs="仿宋_GB2312"/>
          <w:color w:val="000000" w:themeColor="text1"/>
          <w:sz w:val="24"/>
          <w:szCs w:val="24"/>
          <w:highlight w:val="none"/>
          <w14:textFill>
            <w14:solidFill>
              <w14:schemeClr w14:val="tx1"/>
            </w14:solidFill>
          </w14:textFill>
        </w:rPr>
        <w:t>）系</w:t>
      </w:r>
      <w:permStart w:id="7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b/>
          <w:color w:val="000000" w:themeColor="text1"/>
          <w:kern w:val="0"/>
          <w:sz w:val="24"/>
          <w:szCs w:val="24"/>
          <w:highlight w:val="none"/>
          <w:u w:val="single"/>
          <w14:textFill>
            <w14:solidFill>
              <w14:schemeClr w14:val="tx1"/>
            </w14:solidFill>
          </w14:textFill>
        </w:rPr>
        <w:t xml:space="preserve">        </w:t>
      </w:r>
      <w:r>
        <w:rPr>
          <w:rFonts w:hint="eastAsia" w:ascii="仿宋_GB2312" w:hAnsi="仿宋_GB2312" w:eastAsia="仿宋_GB2312" w:cs="仿宋_GB2312"/>
          <w:b/>
          <w:color w:val="000000" w:themeColor="text1"/>
          <w:sz w:val="24"/>
          <w:szCs w:val="24"/>
          <w:highlight w:val="none"/>
          <w:u w:val="single"/>
          <w14:textFill>
            <w14:solidFill>
              <w14:schemeClr w14:val="tx1"/>
            </w14:solidFill>
          </w14:textFill>
        </w:rPr>
        <w:t xml:space="preserve"> </w:t>
      </w:r>
      <w:permEnd w:id="72"/>
      <w:r>
        <w:rPr>
          <w:rFonts w:hint="eastAsia" w:ascii="仿宋_GB2312" w:hAnsi="仿宋_GB2312" w:eastAsia="仿宋_GB2312" w:cs="仿宋_GB2312"/>
          <w:color w:val="000000" w:themeColor="text1"/>
          <w:sz w:val="24"/>
          <w:szCs w:val="24"/>
          <w:highlight w:val="none"/>
          <w14:textFill>
            <w14:solidFill>
              <w14:schemeClr w14:val="tx1"/>
            </w14:solidFill>
          </w14:textFill>
        </w:rPr>
        <w:t>公司（乙方）的法定代表人，现授权委托</w:t>
      </w:r>
      <w:permStart w:id="73" w:edGrp="everyone"/>
      <w:r>
        <w:rPr>
          <w:rFonts w:hint="eastAsia" w:ascii="仿宋_GB2312" w:hAnsi="仿宋_GB2312" w:eastAsia="仿宋_GB2312" w:cs="仿宋_GB2312"/>
          <w:b/>
          <w:color w:val="000000" w:themeColor="text1"/>
          <w:sz w:val="24"/>
          <w:szCs w:val="24"/>
          <w:highlight w:val="none"/>
          <w:u w:val="single"/>
          <w14:textFill>
            <w14:solidFill>
              <w14:schemeClr w14:val="tx1"/>
            </w14:solidFill>
          </w14:textFill>
        </w:rPr>
        <w:t xml:space="preserve">      </w:t>
      </w:r>
      <w:permEnd w:id="73"/>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身份证号码：</w:t>
      </w:r>
      <w:permStart w:id="74" w:edGrp="everyone"/>
      <w:r>
        <w:rPr>
          <w:rFonts w:hint="eastAsia" w:ascii="仿宋_GB2312" w:hAnsi="仿宋_GB2312" w:eastAsia="仿宋_GB2312" w:cs="仿宋_GB2312"/>
          <w:b/>
          <w:bCs/>
          <w:color w:val="000000" w:themeColor="text1"/>
          <w:sz w:val="24"/>
          <w:szCs w:val="24"/>
          <w:highlight w:val="none"/>
          <w:u w:val="single"/>
          <w14:textFill>
            <w14:solidFill>
              <w14:schemeClr w14:val="tx1"/>
            </w14:solidFill>
          </w14:textFill>
        </w:rPr>
        <w:t xml:space="preserve">            </w:t>
      </w:r>
      <w:permEnd w:id="74"/>
      <w:r>
        <w:rPr>
          <w:rFonts w:hint="eastAsia" w:ascii="仿宋_GB2312" w:hAnsi="仿宋_GB2312" w:eastAsia="仿宋_GB2312" w:cs="仿宋_GB2312"/>
          <w:color w:val="000000" w:themeColor="text1"/>
          <w:sz w:val="24"/>
          <w:szCs w:val="24"/>
          <w:highlight w:val="none"/>
          <w14:textFill>
            <w14:solidFill>
              <w14:schemeClr w14:val="tx1"/>
            </w14:solidFill>
          </w14:textFill>
        </w:rPr>
        <w:t>为我公司合法的代理人。以本公司的名义负责</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Start w:id="7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75"/>
      <w:r>
        <w:rPr>
          <w:rFonts w:hint="eastAsia" w:ascii="仿宋_GB2312" w:hAnsi="仿宋_GB2312" w:eastAsia="仿宋_GB2312" w:cs="仿宋_GB2312"/>
          <w:color w:val="000000" w:themeColor="text1"/>
          <w:sz w:val="24"/>
          <w:szCs w:val="24"/>
          <w:highlight w:val="none"/>
          <w14:textFill>
            <w14:solidFill>
              <w14:schemeClr w14:val="tx1"/>
            </w14:solidFill>
          </w14:textFill>
        </w:rPr>
        <w:t>项目招投标、合同签署及合同履行等事宜。</w:t>
      </w:r>
    </w:p>
    <w:p w14:paraId="26EC52F2">
      <w:pPr>
        <w:autoSpaceDE w:val="0"/>
        <w:autoSpaceDN w:val="0"/>
        <w:adjustRightInd w:val="0"/>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代理人在合同履行过程中所签署的一切文件和处理与之有关的一切事务，包括但不限于签署往来函件、签署会议纪要、货物供应、乙方结算办理、</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租赁款</w:t>
      </w:r>
      <w:r>
        <w:rPr>
          <w:rFonts w:hint="eastAsia" w:ascii="仿宋_GB2312" w:hAnsi="仿宋_GB2312" w:eastAsia="仿宋_GB2312" w:cs="仿宋_GB2312"/>
          <w:color w:val="000000" w:themeColor="text1"/>
          <w:sz w:val="24"/>
          <w:szCs w:val="24"/>
          <w:highlight w:val="none"/>
          <w14:textFill>
            <w14:solidFill>
              <w14:schemeClr w14:val="tx1"/>
            </w14:solidFill>
          </w14:textFill>
        </w:rPr>
        <w:t>的收取、发票开具等均具有法律效力，授权人均予以认可。</w:t>
      </w:r>
    </w:p>
    <w:p w14:paraId="432BF365">
      <w:pPr>
        <w:keepNext/>
        <w:keepLines/>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本授权委托的期限为自</w:t>
      </w:r>
      <w:permStart w:id="7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76"/>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permStart w:id="77"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77"/>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permStart w:id="78"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78"/>
      <w:r>
        <w:rPr>
          <w:rFonts w:hint="eastAsia" w:ascii="仿宋_GB2312" w:hAnsi="仿宋_GB2312" w:eastAsia="仿宋_GB2312" w:cs="仿宋_GB2312"/>
          <w:color w:val="000000" w:themeColor="text1"/>
          <w:sz w:val="24"/>
          <w:szCs w:val="24"/>
          <w:highlight w:val="none"/>
          <w14:textFill>
            <w14:solidFill>
              <w14:schemeClr w14:val="tx1"/>
            </w14:solidFill>
          </w14:textFill>
        </w:rPr>
        <w:t>日至</w:t>
      </w:r>
      <w:permStart w:id="7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79"/>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permStart w:id="8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0"/>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permStart w:id="8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1"/>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
    <w:p w14:paraId="23981004">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代理人无转委托权。</w:t>
      </w:r>
    </w:p>
    <w:p w14:paraId="461D27A2">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特此授权。</w:t>
      </w:r>
    </w:p>
    <w:p w14:paraId="609657BF">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委托单位全称（公章）：          </w:t>
      </w:r>
    </w:p>
    <w:p w14:paraId="74EFA77A">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法定代表人：</w:t>
      </w:r>
    </w:p>
    <w:p w14:paraId="613A4080">
      <w:pPr>
        <w:spacing w:line="400" w:lineRule="exact"/>
        <w:ind w:firstLine="480" w:firstLineChars="200"/>
        <w:jc w:val="right"/>
        <w:rPr>
          <w:rFonts w:ascii="仿宋_GB2312" w:hAnsi="仿宋_GB2312" w:eastAsia="仿宋_GB2312" w:cs="仿宋_GB2312"/>
          <w:b/>
          <w:color w:val="000000" w:themeColor="text1"/>
          <w:sz w:val="24"/>
          <w:szCs w:val="24"/>
          <w:highlight w:val="none"/>
          <w14:textFill>
            <w14:solidFill>
              <w14:schemeClr w14:val="tx1"/>
            </w14:solidFill>
          </w14:textFill>
        </w:rPr>
      </w:pPr>
      <w:permStart w:id="8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2"/>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permStart w:id="8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3"/>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permStart w:id="8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4"/>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日     </w:t>
      </w:r>
      <w:r>
        <w:rPr>
          <w:rFonts w:hint="eastAsia" w:ascii="仿宋_GB2312" w:hAnsi="仿宋_GB2312" w:eastAsia="仿宋_GB2312" w:cs="仿宋_GB2312"/>
          <w:b/>
          <w:color w:val="000000" w:themeColor="text1"/>
          <w:sz w:val="24"/>
          <w:szCs w:val="24"/>
          <w:highlight w:val="none"/>
          <w14:textFill>
            <w14:solidFill>
              <w14:schemeClr w14:val="tx1"/>
            </w14:solidFill>
          </w14:textFill>
        </w:rPr>
        <w:t xml:space="preserve"> </w:t>
      </w:r>
    </w:p>
    <w:p w14:paraId="5A7D31CC">
      <w:pPr>
        <w:spacing w:before="120" w:beforeLines="50" w:after="120" w:afterLines="50" w:line="400" w:lineRule="exact"/>
        <w:ind w:firstLine="482"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代理人声明</w:t>
      </w:r>
      <w:r>
        <w:rPr>
          <w:rFonts w:hint="eastAsia" w:ascii="仿宋_GB2312" w:hAnsi="仿宋_GB2312" w:eastAsia="仿宋_GB2312" w:cs="仿宋_GB2312"/>
          <w:color w:val="000000" w:themeColor="text1"/>
          <w:sz w:val="24"/>
          <w:szCs w:val="24"/>
          <w:highlight w:val="none"/>
          <w14:textFill>
            <w14:solidFill>
              <w14:schemeClr w14:val="tx1"/>
            </w14:solidFill>
          </w14:textFill>
        </w:rPr>
        <w:t>：我对以上授权委托事项完全接受，自愿履行。</w:t>
      </w:r>
    </w:p>
    <w:p w14:paraId="1E15B700">
      <w:pPr>
        <w:spacing w:line="400" w:lineRule="exact"/>
        <w:ind w:firstLine="480" w:firstLineChars="20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r>
        <w:rPr>
          <w:rFonts w:hint="eastAsia" w:ascii="仿宋_GB2312" w:hAnsi="仿宋_GB2312" w:eastAsia="仿宋_GB2312" w:cs="仿宋_GB2312"/>
          <w:color w:val="000000" w:themeColor="text1"/>
          <w:sz w:val="24"/>
          <w:szCs w:val="24"/>
          <w:highlight w:val="none"/>
          <w14:textFill>
            <w14:solidFill>
              <w14:schemeClr w14:val="tx1"/>
            </w14:solidFill>
          </w14:textFill>
        </w:rPr>
        <w:t>（本人签字）：</w:t>
      </w:r>
    </w:p>
    <w:p w14:paraId="6A5C339E">
      <w:pPr>
        <w:spacing w:line="400" w:lineRule="exact"/>
        <w:ind w:firstLine="480" w:firstLineChars="200"/>
        <w:jc w:val="right"/>
        <w:rPr>
          <w:rFonts w:ascii="仿宋_GB2312" w:hAnsi="仿宋_GB2312" w:eastAsia="仿宋_GB2312" w:cs="仿宋_GB2312"/>
          <w:color w:val="000000" w:themeColor="text1"/>
          <w:sz w:val="24"/>
          <w:szCs w:val="24"/>
          <w:highlight w:val="none"/>
          <w14:textFill>
            <w14:solidFill>
              <w14:schemeClr w14:val="tx1"/>
            </w14:solidFill>
          </w14:textFill>
        </w:rPr>
      </w:pPr>
      <w:permStart w:id="8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5"/>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permStart w:id="8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6"/>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permStart w:id="87"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7"/>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
    <w:p w14:paraId="7EFA696A">
      <w:pPr>
        <w:spacing w:line="480" w:lineRule="exact"/>
        <w:ind w:firstLine="482" w:firstLineChars="200"/>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u w:val="dash"/>
          <w14:textFill>
            <w14:solidFill>
              <w14:schemeClr w14:val="tx1"/>
            </w14:solidFill>
          </w14:textFill>
        </w:rPr>
        <w:t>代理人身份证复印件粘贴处</w:t>
      </w:r>
      <w:r>
        <w:rPr>
          <w:rFonts w:hint="eastAsia" w:ascii="仿宋_GB2312" w:hAnsi="仿宋_GB2312" w:eastAsia="仿宋_GB2312" w:cs="仿宋_GB2312"/>
          <w:b/>
          <w:color w:val="000000" w:themeColor="text1"/>
          <w:sz w:val="24"/>
          <w:szCs w:val="24"/>
          <w:highlight w:val="none"/>
          <w14:textFill>
            <w14:solidFill>
              <w14:schemeClr w14:val="tx1"/>
            </w14:solidFill>
          </w14:textFill>
        </w:rPr>
        <w:t>：</w:t>
      </w:r>
    </w:p>
    <w:tbl>
      <w:tblPr>
        <w:tblStyle w:val="12"/>
        <w:tblpPr w:leftFromText="180" w:rightFromText="180" w:vertAnchor="text" w:horzAnchor="page" w:tblpX="1537" w:tblpY="248"/>
        <w:tblOverlap w:val="never"/>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4"/>
        <w:gridCol w:w="4322"/>
      </w:tblGrid>
      <w:tr w14:paraId="7C88F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trPr>
        <w:tc>
          <w:tcPr>
            <w:tcW w:w="4694" w:type="dxa"/>
            <w:tcBorders>
              <w:right w:val="single" w:color="000000" w:sz="4" w:space="0"/>
            </w:tcBorders>
            <w:vAlign w:val="center"/>
          </w:tcPr>
          <w:p w14:paraId="413A4B36">
            <w:pPr>
              <w:autoSpaceDE w:val="0"/>
              <w:autoSpaceDN w:val="0"/>
              <w:adjustRightInd w:val="0"/>
              <w:spacing w:line="480" w:lineRule="exact"/>
              <w:ind w:firstLine="480" w:firstLineChars="200"/>
              <w:jc w:val="center"/>
              <w:rPr>
                <w:rFonts w:ascii="仿宋_GB2312" w:hAnsi="仿宋_GB2312" w:eastAsia="仿宋_GB2312" w:cs="仿宋_GB2312"/>
                <w:color w:val="000000" w:themeColor="text1"/>
                <w:sz w:val="24"/>
                <w:szCs w:val="24"/>
                <w:highlight w:val="none"/>
                <w14:textFill>
                  <w14:solidFill>
                    <w14:schemeClr w14:val="tx1"/>
                  </w14:solidFill>
                </w14:textFill>
              </w:rPr>
            </w:pPr>
            <w:permStart w:id="88" w:edGrp="everyone"/>
          </w:p>
        </w:tc>
        <w:tc>
          <w:tcPr>
            <w:tcW w:w="4322" w:type="dxa"/>
            <w:tcBorders>
              <w:left w:val="single" w:color="000000" w:sz="4" w:space="0"/>
            </w:tcBorders>
            <w:vAlign w:val="center"/>
          </w:tcPr>
          <w:p w14:paraId="25215E31">
            <w:pPr>
              <w:autoSpaceDE w:val="0"/>
              <w:autoSpaceDN w:val="0"/>
              <w:adjustRightInd w:val="0"/>
              <w:spacing w:line="480" w:lineRule="exact"/>
              <w:ind w:firstLine="480" w:firstLineChars="200"/>
              <w:rPr>
                <w:rFonts w:ascii="仿宋_GB2312" w:hAnsi="仿宋_GB2312" w:eastAsia="仿宋_GB2312" w:cs="仿宋_GB2312"/>
                <w:color w:val="000000" w:themeColor="text1"/>
                <w:sz w:val="24"/>
                <w:szCs w:val="24"/>
                <w:highlight w:val="none"/>
                <w:lang w:val="zh-CN"/>
                <w14:textFill>
                  <w14:solidFill>
                    <w14:schemeClr w14:val="tx1"/>
                  </w14:solidFill>
                </w14:textFill>
              </w:rPr>
            </w:pPr>
          </w:p>
        </w:tc>
      </w:tr>
      <w:permEnd w:id="88"/>
    </w:tbl>
    <w:p w14:paraId="03425EAE">
      <w:pPr>
        <w:spacing w:line="480" w:lineRule="exact"/>
        <w:ind w:firstLine="482" w:firstLineChars="200"/>
        <w:rPr>
          <w:rFonts w:ascii="仿宋_GB2312" w:hAnsi="仿宋_GB2312" w:eastAsia="仿宋_GB2312" w:cs="仿宋_GB2312"/>
          <w:b/>
          <w:color w:val="000000" w:themeColor="text1"/>
          <w:sz w:val="24"/>
          <w:szCs w:val="24"/>
          <w:highlight w:val="none"/>
          <w:u w:val="dash"/>
          <w14:textFill>
            <w14:solidFill>
              <w14:schemeClr w14:val="tx1"/>
            </w14:solidFill>
          </w14:textFill>
        </w:rPr>
      </w:pPr>
      <w:r>
        <w:rPr>
          <w:rFonts w:hint="eastAsia" w:ascii="仿宋_GB2312" w:hAnsi="仿宋_GB2312" w:eastAsia="仿宋_GB2312" w:cs="仿宋_GB2312"/>
          <w:b/>
          <w:color w:val="000000" w:themeColor="text1"/>
          <w:sz w:val="24"/>
          <w:szCs w:val="24"/>
          <w:highlight w:val="none"/>
          <w:u w:val="dash"/>
          <w14:textFill>
            <w14:solidFill>
              <w14:schemeClr w14:val="tx1"/>
            </w14:solidFill>
          </w14:textFill>
        </w:rPr>
        <w:t>法定代表人身份证复印件粘贴处：</w:t>
      </w:r>
    </w:p>
    <w:tbl>
      <w:tblPr>
        <w:tblStyle w:val="12"/>
        <w:tblpPr w:leftFromText="180" w:rightFromText="180" w:vertAnchor="text" w:horzAnchor="page" w:tblpX="1538" w:tblpY="112"/>
        <w:tblOverlap w:val="never"/>
        <w:tblW w:w="89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3"/>
        <w:gridCol w:w="4303"/>
      </w:tblGrid>
      <w:tr w14:paraId="498C6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9" w:hRule="atLeast"/>
        </w:trPr>
        <w:tc>
          <w:tcPr>
            <w:tcW w:w="4693" w:type="dxa"/>
            <w:tcBorders>
              <w:right w:val="single" w:color="000000" w:sz="4" w:space="0"/>
            </w:tcBorders>
            <w:vAlign w:val="center"/>
          </w:tcPr>
          <w:p w14:paraId="0E546546">
            <w:pPr>
              <w:autoSpaceDE w:val="0"/>
              <w:autoSpaceDN w:val="0"/>
              <w:adjustRightInd w:val="0"/>
              <w:spacing w:line="40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permStart w:id="89" w:edGrp="everyone"/>
          </w:p>
        </w:tc>
        <w:tc>
          <w:tcPr>
            <w:tcW w:w="4303" w:type="dxa"/>
            <w:tcBorders>
              <w:left w:val="single" w:color="000000" w:sz="4" w:space="0"/>
            </w:tcBorders>
            <w:vAlign w:val="center"/>
          </w:tcPr>
          <w:p w14:paraId="79A609B8">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p>
        </w:tc>
      </w:tr>
      <w:permEnd w:id="89"/>
    </w:tbl>
    <w:p w14:paraId="3E6BD7BC">
      <w:pPr>
        <w:pStyle w:val="6"/>
        <w:rPr>
          <w:rFonts w:ascii="仿宋_GB2312" w:hAnsi="仿宋_GB2312" w:eastAsia="仿宋_GB2312" w:cs="仿宋_GB2312"/>
          <w:b/>
          <w:color w:val="000000" w:themeColor="text1"/>
          <w:sz w:val="24"/>
          <w:szCs w:val="24"/>
          <w:highlight w:val="none"/>
          <w:u w:val="dash"/>
          <w14:textFill>
            <w14:solidFill>
              <w14:schemeClr w14:val="tx1"/>
            </w14:solidFill>
          </w14:textFill>
        </w:rPr>
        <w:sectPr>
          <w:footerReference r:id="rId11" w:type="default"/>
          <w:pgSz w:w="11906" w:h="16838"/>
          <w:pgMar w:top="1440" w:right="1800" w:bottom="1440" w:left="1800" w:header="850" w:footer="975" w:gutter="0"/>
          <w:pgNumType w:start="1"/>
          <w:cols w:space="0" w:num="1"/>
          <w:docGrid w:linePitch="312" w:charSpace="0"/>
        </w:sectPr>
      </w:pPr>
    </w:p>
    <w:p w14:paraId="6F0BFED8">
      <w:pPr>
        <w:spacing w:line="480" w:lineRule="exact"/>
        <w:outlineLvl w:val="0"/>
        <w:rPr>
          <w:rFonts w:ascii="仿宋_GB2312" w:hAnsi="仿宋_GB2312" w:eastAsia="仿宋_GB2312" w:cs="仿宋_GB2312"/>
          <w:color w:val="000000" w:themeColor="text1"/>
          <w:sz w:val="28"/>
          <w:szCs w:val="28"/>
          <w:highlight w:val="none"/>
          <w14:textFill>
            <w14:solidFill>
              <w14:schemeClr w14:val="tx1"/>
            </w14:solidFill>
          </w14:textFill>
        </w:rPr>
      </w:pPr>
      <w:bookmarkStart w:id="34" w:name="_Toc29005"/>
      <w:bookmarkStart w:id="35" w:name="_Toc6713"/>
      <w:r>
        <w:rPr>
          <w:rFonts w:hint="eastAsia" w:ascii="仿宋_GB2312" w:hAnsi="仿宋_GB2312" w:eastAsia="仿宋_GB2312" w:cs="仿宋_GB2312"/>
          <w:color w:val="000000" w:themeColor="text1"/>
          <w:sz w:val="28"/>
          <w:szCs w:val="28"/>
          <w:highlight w:val="none"/>
          <w14:textFill>
            <w14:solidFill>
              <w14:schemeClr w14:val="tx1"/>
            </w14:solidFill>
          </w14:textFill>
        </w:rPr>
        <w:t>附件二：</w:t>
      </w:r>
      <w:bookmarkEnd w:id="34"/>
      <w:bookmarkEnd w:id="35"/>
    </w:p>
    <w:p w14:paraId="475005E6">
      <w:pPr>
        <w:spacing w:line="480" w:lineRule="exact"/>
        <w:ind w:firstLine="602" w:firstLineChars="200"/>
        <w:jc w:val="center"/>
        <w:rPr>
          <w:rFonts w:ascii="仿宋_GB2312" w:hAnsi="仿宋_GB2312" w:eastAsia="仿宋_GB2312" w:cs="仿宋_GB2312"/>
          <w:color w:val="000000" w:themeColor="text1"/>
          <w:sz w:val="30"/>
          <w:szCs w:val="30"/>
          <w:highlight w:val="none"/>
          <w14:textFill>
            <w14:solidFill>
              <w14:schemeClr w14:val="tx1"/>
            </w14:solidFill>
          </w14:textFill>
        </w:rPr>
      </w:pPr>
      <w:r>
        <w:rPr>
          <w:rFonts w:hint="eastAsia" w:ascii="仿宋_GB2312" w:hAnsi="仿宋_GB2312" w:eastAsia="仿宋_GB2312" w:cs="仿宋_GB2312"/>
          <w:b/>
          <w:bCs/>
          <w:color w:val="000000" w:themeColor="text1"/>
          <w:sz w:val="30"/>
          <w:szCs w:val="30"/>
          <w:highlight w:val="none"/>
          <w14:textFill>
            <w14:solidFill>
              <w14:schemeClr w14:val="tx1"/>
            </w14:solidFill>
          </w14:textFill>
        </w:rPr>
        <w:t>项目部合规权限告知书</w:t>
      </w:r>
    </w:p>
    <w:p w14:paraId="48904EFA">
      <w:pPr>
        <w:autoSpaceDE w:val="0"/>
        <w:autoSpaceDN w:val="0"/>
        <w:adjustRightInd w:val="0"/>
        <w:spacing w:before="240" w:beforeLines="100"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致：</w:t>
      </w:r>
      <w:permStart w:id="9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b/>
          <w:color w:val="000000" w:themeColor="text1"/>
          <w:kern w:val="0"/>
          <w:sz w:val="24"/>
          <w:szCs w:val="24"/>
          <w:highlight w:val="none"/>
          <w:u w:val="single"/>
          <w14:textFill>
            <w14:solidFill>
              <w14:schemeClr w14:val="tx1"/>
            </w14:solidFill>
          </w14:textFill>
        </w:rPr>
        <w:t xml:space="preserve"> </w:t>
      </w:r>
      <w:permEnd w:id="90"/>
      <w:r>
        <w:rPr>
          <w:rFonts w:hint="eastAsia" w:ascii="仿宋_GB2312" w:hAnsi="仿宋_GB2312" w:eastAsia="仿宋_GB2312" w:cs="仿宋_GB2312"/>
          <w:color w:val="000000" w:themeColor="text1"/>
          <w:sz w:val="24"/>
          <w:szCs w:val="24"/>
          <w:highlight w:val="none"/>
          <w14:textFill>
            <w14:solidFill>
              <w14:schemeClr w14:val="tx1"/>
            </w14:solidFill>
          </w14:textFill>
        </w:rPr>
        <w:t>（乙方全称）</w:t>
      </w:r>
    </w:p>
    <w:p w14:paraId="6C629F21">
      <w:pPr>
        <w:autoSpaceDE w:val="0"/>
        <w:autoSpaceDN w:val="0"/>
        <w:adjustRightInd w:val="0"/>
        <w:spacing w:line="400" w:lineRule="exact"/>
        <w:ind w:firstLine="480" w:firstLineChars="200"/>
        <w:rPr>
          <w:rFonts w:ascii="仿宋_GB2312" w:hAnsi="仿宋_GB2312" w:eastAsia="仿宋_GB2312" w:cs="仿宋_GB2312"/>
          <w:color w:val="000000" w:themeColor="text1"/>
          <w:sz w:val="24"/>
          <w:szCs w:val="24"/>
          <w:highlight w:val="none"/>
          <w:lang w:val="zh-CN"/>
          <w14:textFill>
            <w14:solidFill>
              <w14:schemeClr w14:val="tx1"/>
            </w14:solidFill>
          </w14:textFill>
        </w:rPr>
      </w:pPr>
      <w:permStart w:id="9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中建</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集团</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河北基础市政工程</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有限公司 </w:t>
      </w:r>
      <w:permEnd w:id="91"/>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甲方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全称，以下简称本公司），系依法成立并有效存续的公司。现向本公司</w:t>
      </w:r>
      <w:permStart w:id="92" w:edGrp="everyone"/>
      <w:bookmarkStart w:id="36" w:name="_Hlk48924784"/>
      <w:r>
        <w:rPr>
          <w:rFonts w:hint="eastAsia" w:ascii="仿宋_GB2312" w:hAnsi="仿宋_GB2312" w:eastAsia="仿宋_GB2312" w:cs="仿宋_GB2312"/>
          <w:b/>
          <w:bCs/>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b/>
          <w:color w:val="000000" w:themeColor="text1"/>
          <w:sz w:val="24"/>
          <w:szCs w:val="24"/>
          <w:highlight w:val="none"/>
          <w:u w:val="single"/>
          <w14:textFill>
            <w14:solidFill>
              <w14:schemeClr w14:val="tx1"/>
            </w14:solidFill>
          </w14:textFill>
        </w:rPr>
        <w:t xml:space="preserve">  </w:t>
      </w:r>
      <w:permEnd w:id="92"/>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项目部(以下简称项目部)签发项目部合规权限告知书（以下简称本</w:t>
      </w:r>
      <w:r>
        <w:rPr>
          <w:rFonts w:hint="eastAsia" w:ascii="仿宋_GB2312" w:hAnsi="仿宋_GB2312" w:eastAsia="仿宋_GB2312" w:cs="仿宋_GB2312"/>
          <w:color w:val="000000" w:themeColor="text1"/>
          <w:sz w:val="24"/>
          <w:szCs w:val="24"/>
          <w:highlight w:val="none"/>
          <w14:textFill>
            <w14:solidFill>
              <w14:schemeClr w14:val="tx1"/>
            </w14:solidFill>
          </w14:textFill>
        </w:rPr>
        <w:t>告知</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书），项目经理</w:t>
      </w:r>
      <w:permStart w:id="93" w:edGrp="everyone"/>
      <w:r>
        <w:rPr>
          <w:rFonts w:hint="eastAsia" w:ascii="仿宋_GB2312" w:hAnsi="仿宋_GB2312" w:eastAsia="仿宋_GB2312" w:cs="仿宋_GB2312"/>
          <w:b/>
          <w:bCs/>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3"/>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94" w:edGrp="everyone"/>
      <w:r>
        <w:rPr>
          <w:rFonts w:hint="eastAsia" w:ascii="仿宋_GB2312" w:hAnsi="仿宋_GB2312" w:eastAsia="仿宋_GB2312" w:cs="仿宋_GB2312"/>
          <w:b/>
          <w:bCs/>
          <w:color w:val="000000" w:themeColor="text1"/>
          <w:sz w:val="24"/>
          <w:szCs w:val="24"/>
          <w:highlight w:val="none"/>
          <w:u w:val="single"/>
          <w14:textFill>
            <w14:solidFill>
              <w14:schemeClr w14:val="tx1"/>
            </w14:solidFill>
          </w14:textFill>
        </w:rPr>
        <w:t xml:space="preserve">      </w:t>
      </w:r>
      <w:permEnd w:id="94"/>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代表本公司行使权限。</w:t>
      </w:r>
    </w:p>
    <w:bookmarkEnd w:id="36"/>
    <w:p w14:paraId="6E060206">
      <w:pPr>
        <w:autoSpaceDE w:val="0"/>
        <w:autoSpaceDN w:val="0"/>
        <w:adjustRightInd w:val="0"/>
        <w:spacing w:line="480" w:lineRule="exact"/>
        <w:ind w:firstLine="480" w:firstLineChars="200"/>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一、</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项目部须严格按合同约定行使权利，履行义务。本授权书规定与合同约定相冲突的，以合同约定为准。</w:t>
      </w:r>
    </w:p>
    <w:p w14:paraId="43882DDA">
      <w:pPr>
        <w:autoSpaceDE w:val="0"/>
        <w:autoSpaceDN w:val="0"/>
        <w:adjustRightInd w:val="0"/>
        <w:spacing w:line="480" w:lineRule="exact"/>
        <w:ind w:firstLine="480" w:firstLineChars="200"/>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二、项目部行使权限，须由项目经理签字并加盖项目部盖章，否则本公司不予认可，亦不承担任何责任。</w:t>
      </w:r>
    </w:p>
    <w:p w14:paraId="3FC947DE">
      <w:pPr>
        <w:autoSpaceDE w:val="0"/>
        <w:autoSpaceDN w:val="0"/>
        <w:adjustRightInd w:val="0"/>
        <w:spacing w:line="480" w:lineRule="exact"/>
        <w:ind w:firstLine="480" w:firstLineChars="200"/>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三、项目经理</w:t>
      </w:r>
      <w:r>
        <w:rPr>
          <w:rFonts w:hint="eastAsia" w:ascii="仿宋_GB2312" w:hAnsi="仿宋_GB2312" w:eastAsia="仿宋_GB2312" w:cs="仿宋_GB2312"/>
          <w:color w:val="000000" w:themeColor="text1"/>
          <w:sz w:val="24"/>
          <w:szCs w:val="24"/>
          <w:highlight w:val="none"/>
          <w14:textFill>
            <w14:solidFill>
              <w14:schemeClr w14:val="tx1"/>
            </w14:solidFill>
          </w14:textFill>
        </w:rPr>
        <w:t>不</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可将其部分权限以书面形式转授权项目部其他人员，项目部任何内设机构及项目经理转</w:t>
      </w:r>
      <w:r>
        <w:rPr>
          <w:rFonts w:hint="eastAsia" w:ascii="仿宋_GB2312" w:hAnsi="仿宋_GB2312" w:eastAsia="仿宋_GB2312" w:cs="仿宋_GB2312"/>
          <w:color w:val="000000" w:themeColor="text1"/>
          <w:sz w:val="24"/>
          <w:szCs w:val="24"/>
          <w:highlight w:val="none"/>
          <w14:textFill>
            <w14:solidFill>
              <w14:schemeClr w14:val="tx1"/>
            </w14:solidFill>
          </w14:textFill>
        </w:rPr>
        <w:t>擅自</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授权人员以任何形式签字、盖章本公司均不予认可，亦不承担任何责任。</w:t>
      </w:r>
    </w:p>
    <w:p w14:paraId="08E6D975">
      <w:pPr>
        <w:autoSpaceDE w:val="0"/>
        <w:autoSpaceDN w:val="0"/>
        <w:adjustRightInd w:val="0"/>
        <w:spacing w:line="480" w:lineRule="exact"/>
        <w:ind w:firstLine="480" w:firstLineChars="200"/>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四、未经</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授权的</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项目经理、</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任何</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项目部</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人员和项目印章均无权从事下列行为：（1）签订本合同的补充协议或签署其他合同类文件，包括但不限于采购合同、分包合同、租赁合同；（2）签署任何借贷、担保性质的文件，包括但不限于借条、保函、保证书、承诺书；（3）签署代他人清偿债务的文件，签署任何放弃债权的文件；（4）签署任何对总承包合同进行修改和补充的文件;（5）收取现金及任何款项；（6）签署合同价款的变更、结算及支付确认文件；（7）签署任何劳动关系确认文件、工资发放承诺文件。项目所有合同、协议等具有权利义务性质的文件均需加盖合同专用章，否则本公司不予认可，亦不承担任何责任。</w:t>
      </w:r>
    </w:p>
    <w:p w14:paraId="4AA43640">
      <w:pPr>
        <w:autoSpaceDE w:val="0"/>
        <w:autoSpaceDN w:val="0"/>
        <w:adjustRightInd w:val="0"/>
        <w:spacing w:line="480" w:lineRule="exact"/>
        <w:ind w:firstLine="480" w:firstLineChars="200"/>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五、凡涉及项目经济性事项，项目部须严格在本授权书规定的权限范围内行使，否则，即使经项目部加盖盖章、项目经理签字，本公司亦不予认可，不承担任何责任。</w:t>
      </w:r>
    </w:p>
    <w:p w14:paraId="095A917D">
      <w:pPr>
        <w:autoSpaceDE w:val="0"/>
        <w:autoSpaceDN w:val="0"/>
        <w:adjustRightIn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1.项目部有权审批如下事项：</w:t>
      </w:r>
    </w:p>
    <w:tbl>
      <w:tblPr>
        <w:tblStyle w:val="12"/>
        <w:tblpPr w:leftFromText="180" w:rightFromText="180" w:vertAnchor="text" w:horzAnchor="margin" w:tblpXSpec="center" w:tblpY="87"/>
        <w:tblOverlap w:val="never"/>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8818"/>
      </w:tblGrid>
      <w:tr w14:paraId="52C25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dxa"/>
            <w:vAlign w:val="center"/>
          </w:tcPr>
          <w:p w14:paraId="22825AB8">
            <w:pPr>
              <w:autoSpaceDE w:val="0"/>
              <w:autoSpaceDN w:val="0"/>
              <w:adjustRightInd w:val="0"/>
              <w:spacing w:line="48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序号</w:t>
            </w:r>
          </w:p>
        </w:tc>
        <w:tc>
          <w:tcPr>
            <w:tcW w:w="8818" w:type="dxa"/>
            <w:vAlign w:val="center"/>
          </w:tcPr>
          <w:p w14:paraId="59522FA4">
            <w:pPr>
              <w:autoSpaceDE w:val="0"/>
              <w:autoSpaceDN w:val="0"/>
              <w:adjustRightInd w:val="0"/>
              <w:spacing w:line="48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授权性事项</w:t>
            </w:r>
          </w:p>
        </w:tc>
      </w:tr>
      <w:tr w14:paraId="21F98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2901A5F0">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1</w:t>
            </w:r>
          </w:p>
        </w:tc>
        <w:tc>
          <w:tcPr>
            <w:tcW w:w="8818" w:type="dxa"/>
            <w:shd w:val="clear" w:color="auto" w:fill="auto"/>
            <w:vAlign w:val="center"/>
          </w:tcPr>
          <w:p w14:paraId="5CA92F96">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将相关工程洽商记录、纸施工图纸及会审记录、设计变更通知书或设计变更图发至乙方，并做书面交底</w:t>
            </w:r>
          </w:p>
        </w:tc>
      </w:tr>
      <w:tr w14:paraId="4E0C9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5201B6A2">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2</w:t>
            </w:r>
          </w:p>
        </w:tc>
        <w:tc>
          <w:tcPr>
            <w:tcW w:w="8818" w:type="dxa"/>
            <w:shd w:val="clear" w:color="auto" w:fill="auto"/>
            <w:vAlign w:val="center"/>
          </w:tcPr>
          <w:p w14:paraId="5898D974">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向乙方发送</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设备</w:t>
            </w: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进退场联系单</w:t>
            </w:r>
          </w:p>
        </w:tc>
      </w:tr>
      <w:tr w14:paraId="6DA59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36B55DA2">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3</w:t>
            </w:r>
          </w:p>
        </w:tc>
        <w:tc>
          <w:tcPr>
            <w:tcW w:w="8818" w:type="dxa"/>
            <w:shd w:val="clear" w:color="auto" w:fill="auto"/>
            <w:vAlign w:val="center"/>
          </w:tcPr>
          <w:p w14:paraId="792BBDC0">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对乙方进场</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设备</w:t>
            </w: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进行外观检测，出具进场物资登记验收单，确认进场</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设备</w:t>
            </w: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外观检测和进场登记</w:t>
            </w:r>
          </w:p>
        </w:tc>
      </w:tr>
      <w:tr w14:paraId="59622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02E11C36">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4</w:t>
            </w:r>
          </w:p>
        </w:tc>
        <w:tc>
          <w:tcPr>
            <w:tcW w:w="8818" w:type="dxa"/>
            <w:shd w:val="clear" w:color="auto" w:fill="auto"/>
            <w:vAlign w:val="center"/>
          </w:tcPr>
          <w:p w14:paraId="66B0CF0A">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办理</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设备</w:t>
            </w: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验收单、初步编制</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设备</w:t>
            </w: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采购结算单提交</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甲方公司</w:t>
            </w: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确认</w:t>
            </w:r>
          </w:p>
        </w:tc>
      </w:tr>
      <w:tr w14:paraId="619A3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7EB8AD9A">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5</w:t>
            </w:r>
          </w:p>
        </w:tc>
        <w:tc>
          <w:tcPr>
            <w:tcW w:w="8818" w:type="dxa"/>
            <w:shd w:val="clear" w:color="auto" w:fill="auto"/>
            <w:vAlign w:val="center"/>
          </w:tcPr>
          <w:p w14:paraId="73D4CFF8">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对乙方</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设备</w:t>
            </w: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进行检验、试验、检测与计量，联系乙方退货或更换，出具进场</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设备</w:t>
            </w: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不合格记录。</w:t>
            </w:r>
          </w:p>
        </w:tc>
      </w:tr>
      <w:tr w14:paraId="14027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0E6B69E8">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6</w:t>
            </w:r>
          </w:p>
        </w:tc>
        <w:tc>
          <w:tcPr>
            <w:tcW w:w="8818" w:type="dxa"/>
            <w:shd w:val="clear" w:color="auto" w:fill="auto"/>
            <w:vAlign w:val="center"/>
          </w:tcPr>
          <w:p w14:paraId="0CD497FE">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出具料具进退场签收单</w:t>
            </w:r>
          </w:p>
        </w:tc>
      </w:tr>
      <w:tr w14:paraId="723E7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6D024E82">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7</w:t>
            </w:r>
          </w:p>
        </w:tc>
        <w:tc>
          <w:tcPr>
            <w:tcW w:w="8818" w:type="dxa"/>
            <w:shd w:val="clear" w:color="auto" w:fill="auto"/>
            <w:vAlign w:val="center"/>
          </w:tcPr>
          <w:p w14:paraId="73859136">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编制、审核料具结算单（无审批权）</w:t>
            </w:r>
          </w:p>
        </w:tc>
      </w:tr>
      <w:tr w14:paraId="5472C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0AAABE4D">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8</w:t>
            </w:r>
          </w:p>
        </w:tc>
        <w:tc>
          <w:tcPr>
            <w:tcW w:w="8818" w:type="dxa"/>
            <w:shd w:val="clear" w:color="auto" w:fill="auto"/>
            <w:vAlign w:val="center"/>
          </w:tcPr>
          <w:p w14:paraId="1099C1C8">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对不服从指挥的</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设备</w:t>
            </w: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供应商作出处罚（追究违约责任）的决定</w:t>
            </w:r>
          </w:p>
        </w:tc>
      </w:tr>
      <w:tr w14:paraId="6ADAA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7FF2C647">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9</w:t>
            </w:r>
          </w:p>
        </w:tc>
        <w:tc>
          <w:tcPr>
            <w:tcW w:w="8818" w:type="dxa"/>
            <w:shd w:val="clear" w:color="auto" w:fill="auto"/>
            <w:vAlign w:val="center"/>
          </w:tcPr>
          <w:p w14:paraId="6024A724">
            <w:pPr>
              <w:autoSpaceDE w:val="0"/>
              <w:autoSpaceDN w:val="0"/>
              <w:adjustRightInd w:val="0"/>
              <w:spacing w:line="48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对乙方工程项目的履约情况进行监控和核查；</w:t>
            </w:r>
          </w:p>
          <w:p w14:paraId="5F8864BC">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发现问题后，通知要求乙方进行整改或调整</w:t>
            </w:r>
          </w:p>
        </w:tc>
      </w:tr>
      <w:tr w14:paraId="4EA0A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vAlign w:val="center"/>
          </w:tcPr>
          <w:p w14:paraId="27CDD738">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10</w:t>
            </w:r>
          </w:p>
        </w:tc>
        <w:tc>
          <w:tcPr>
            <w:tcW w:w="8818" w:type="dxa"/>
            <w:vAlign w:val="center"/>
          </w:tcPr>
          <w:p w14:paraId="0032CC1C">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组织实施质量验收工作</w:t>
            </w:r>
          </w:p>
        </w:tc>
      </w:tr>
      <w:tr w14:paraId="6B7C9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vAlign w:val="center"/>
          </w:tcPr>
          <w:p w14:paraId="1B16EB83">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11</w:t>
            </w:r>
          </w:p>
        </w:tc>
        <w:tc>
          <w:tcPr>
            <w:tcW w:w="8818" w:type="dxa"/>
            <w:vAlign w:val="center"/>
          </w:tcPr>
          <w:p w14:paraId="7EDDD890">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向乙方发送维修整改通知</w:t>
            </w:r>
          </w:p>
        </w:tc>
      </w:tr>
      <w:tr w14:paraId="77F7D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vAlign w:val="center"/>
          </w:tcPr>
          <w:p w14:paraId="1C751856">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12</w:t>
            </w:r>
          </w:p>
        </w:tc>
        <w:tc>
          <w:tcPr>
            <w:tcW w:w="8818" w:type="dxa"/>
            <w:vAlign w:val="center"/>
          </w:tcPr>
          <w:p w14:paraId="707EC563">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根据合同约定或公司规定扣除乙方质保金</w:t>
            </w:r>
          </w:p>
        </w:tc>
      </w:tr>
      <w:tr w14:paraId="4446F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vAlign w:val="center"/>
          </w:tcPr>
          <w:p w14:paraId="43AD7A98">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13</w:t>
            </w:r>
          </w:p>
        </w:tc>
        <w:tc>
          <w:tcPr>
            <w:tcW w:w="8818" w:type="dxa"/>
            <w:vAlign w:val="center"/>
          </w:tcPr>
          <w:p w14:paraId="6D857C52">
            <w:pPr>
              <w:autoSpaceDE w:val="0"/>
              <w:autoSpaceDN w:val="0"/>
              <w:adjustRightInd w:val="0"/>
              <w:spacing w:line="48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对存在的安全生产隐患，下达《安全隐患整改通知书》</w:t>
            </w:r>
          </w:p>
          <w:p w14:paraId="574547E1">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对存在重大安全生产隐患，下达《安全隐患局部停工整改令》</w:t>
            </w:r>
          </w:p>
        </w:tc>
      </w:tr>
      <w:tr w14:paraId="33ED6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vAlign w:val="center"/>
          </w:tcPr>
          <w:p w14:paraId="0F1EC1F4">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14</w:t>
            </w:r>
          </w:p>
        </w:tc>
        <w:tc>
          <w:tcPr>
            <w:tcW w:w="8818" w:type="dxa"/>
            <w:vAlign w:val="center"/>
          </w:tcPr>
          <w:p w14:paraId="6064823F">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对检查中发现的不符合合同约定或国家规定标准的，要求乙方进行整改</w:t>
            </w:r>
          </w:p>
        </w:tc>
      </w:tr>
      <w:tr w14:paraId="277FB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vAlign w:val="center"/>
          </w:tcPr>
          <w:p w14:paraId="4EDCC75A">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15</w:t>
            </w:r>
          </w:p>
        </w:tc>
        <w:tc>
          <w:tcPr>
            <w:tcW w:w="8818" w:type="dxa"/>
            <w:vAlign w:val="center"/>
          </w:tcPr>
          <w:p w14:paraId="42F5BE3E">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报送或接收工程履约相关的工作联系函</w:t>
            </w:r>
          </w:p>
        </w:tc>
      </w:tr>
    </w:tbl>
    <w:p w14:paraId="50EBC0F8">
      <w:pPr>
        <w:numPr>
          <w:ilvl w:val="0"/>
          <w:numId w:val="2"/>
        </w:numPr>
        <w:autoSpaceDE w:val="0"/>
        <w:autoSpaceDN w:val="0"/>
        <w:adjustRightInd w:val="0"/>
        <w:spacing w:line="480" w:lineRule="exact"/>
        <w:ind w:left="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项目部无权审批以下事项：</w:t>
      </w:r>
    </w:p>
    <w:tbl>
      <w:tblPr>
        <w:tblStyle w:val="12"/>
        <w:tblW w:w="9542" w:type="dxa"/>
        <w:jc w:val="center"/>
        <w:tblBorders>
          <w:top w:val="none" w:color="auto" w:sz="4" w:space="0"/>
          <w:left w:val="none" w:color="auto" w:sz="4" w:space="0"/>
          <w:bottom w:val="non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33"/>
        <w:gridCol w:w="8809"/>
      </w:tblGrid>
      <w:tr w14:paraId="43ADD35B">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510" w:hRule="exact"/>
          <w:jc w:val="center"/>
        </w:trPr>
        <w:tc>
          <w:tcPr>
            <w:tcW w:w="733" w:type="dxa"/>
            <w:tcBorders>
              <w:top w:val="single" w:color="auto" w:sz="4" w:space="0"/>
              <w:left w:val="single" w:color="auto" w:sz="4" w:space="0"/>
              <w:bottom w:val="single" w:color="auto" w:sz="4" w:space="0"/>
              <w:right w:val="single" w:color="auto" w:sz="4" w:space="0"/>
            </w:tcBorders>
            <w:vAlign w:val="center"/>
          </w:tcPr>
          <w:p w14:paraId="47219D2E">
            <w:pPr>
              <w:autoSpaceDE w:val="0"/>
              <w:autoSpaceDN w:val="0"/>
              <w:adjustRightInd w:val="0"/>
              <w:spacing w:line="48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序号</w:t>
            </w:r>
          </w:p>
        </w:tc>
        <w:tc>
          <w:tcPr>
            <w:tcW w:w="8809" w:type="dxa"/>
            <w:tcBorders>
              <w:top w:val="single" w:color="auto" w:sz="4" w:space="0"/>
              <w:left w:val="single" w:color="auto" w:sz="4" w:space="0"/>
              <w:bottom w:val="single" w:color="auto" w:sz="4" w:space="0"/>
              <w:right w:val="single" w:color="auto" w:sz="4" w:space="0"/>
            </w:tcBorders>
            <w:vAlign w:val="center"/>
          </w:tcPr>
          <w:p w14:paraId="61ECB708">
            <w:pPr>
              <w:autoSpaceDE w:val="0"/>
              <w:autoSpaceDN w:val="0"/>
              <w:adjustRightInd w:val="0"/>
              <w:spacing w:line="48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禁止性事项</w:t>
            </w:r>
          </w:p>
        </w:tc>
      </w:tr>
      <w:tr w14:paraId="25565C95">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01B847F0">
            <w:pPr>
              <w:autoSpaceDE w:val="0"/>
              <w:autoSpaceDN w:val="0"/>
              <w:adjustRightInd w:val="0"/>
              <w:spacing w:line="48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1</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572625C7">
            <w:pPr>
              <w:autoSpaceDE w:val="0"/>
              <w:autoSpaceDN w:val="0"/>
              <w:adjustRightInd w:val="0"/>
              <w:spacing w:line="48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进行银行贷款等融资活动</w:t>
            </w:r>
          </w:p>
        </w:tc>
      </w:tr>
      <w:tr w14:paraId="23CDFBDE">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3BF762B6">
            <w:pPr>
              <w:autoSpaceDE w:val="0"/>
              <w:autoSpaceDN w:val="0"/>
              <w:adjustRightInd w:val="0"/>
              <w:spacing w:line="48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2</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741DEF50">
            <w:pPr>
              <w:autoSpaceDE w:val="0"/>
              <w:autoSpaceDN w:val="0"/>
              <w:adjustRightInd w:val="0"/>
              <w:spacing w:line="48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对外提供担保</w:t>
            </w:r>
          </w:p>
        </w:tc>
      </w:tr>
      <w:tr w14:paraId="6389BD26">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350C71DD">
            <w:pPr>
              <w:autoSpaceDE w:val="0"/>
              <w:autoSpaceDN w:val="0"/>
              <w:adjustRightInd w:val="0"/>
              <w:spacing w:line="48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3</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415EEA93">
            <w:pPr>
              <w:autoSpaceDE w:val="0"/>
              <w:autoSpaceDN w:val="0"/>
              <w:adjustRightInd w:val="0"/>
              <w:spacing w:line="48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对外开立各类保函</w:t>
            </w:r>
          </w:p>
        </w:tc>
      </w:tr>
      <w:tr w14:paraId="67931927">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276E808C">
            <w:pPr>
              <w:autoSpaceDE w:val="0"/>
              <w:autoSpaceDN w:val="0"/>
              <w:adjustRightInd w:val="0"/>
              <w:spacing w:line="48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4</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396BA2FB">
            <w:pPr>
              <w:autoSpaceDE w:val="0"/>
              <w:autoSpaceDN w:val="0"/>
              <w:adjustRightInd w:val="0"/>
              <w:spacing w:line="48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对外拆借资金</w:t>
            </w:r>
          </w:p>
        </w:tc>
      </w:tr>
      <w:tr w14:paraId="5877F937">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6509EA05">
            <w:pPr>
              <w:autoSpaceDE w:val="0"/>
              <w:autoSpaceDN w:val="0"/>
              <w:adjustRightInd w:val="0"/>
              <w:spacing w:line="48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5</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609CA45A">
            <w:pPr>
              <w:autoSpaceDE w:val="0"/>
              <w:autoSpaceDN w:val="0"/>
              <w:adjustRightInd w:val="0"/>
              <w:spacing w:line="48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设立或变更劳动关系（包括签订劳动合同、确认劳动关系等）</w:t>
            </w:r>
          </w:p>
        </w:tc>
      </w:tr>
    </w:tbl>
    <w:p w14:paraId="7541247C">
      <w:pPr>
        <w:numPr>
          <w:ilvl w:val="0"/>
          <w:numId w:val="3"/>
        </w:numPr>
        <w:autoSpaceDE w:val="0"/>
        <w:autoSpaceDN w:val="0"/>
        <w:adjustRightInd w:val="0"/>
        <w:spacing w:line="480" w:lineRule="exact"/>
        <w:ind w:left="0" w:firstLine="480" w:firstLineChars="200"/>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若项目经理发生变更，则由新委任的项目经理承继。</w:t>
      </w:r>
    </w:p>
    <w:p w14:paraId="2823BFEA">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70D8DAC9">
      <w:pPr>
        <w:autoSpaceDE w:val="0"/>
        <w:autoSpaceDN w:val="0"/>
        <w:adjustRightInd w:val="0"/>
        <w:spacing w:line="400" w:lineRule="exact"/>
        <w:ind w:firstLine="5040" w:firstLineChars="21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授权单位（盖章）：</w:t>
      </w:r>
    </w:p>
    <w:p w14:paraId="799A7D7E">
      <w:pPr>
        <w:autoSpaceDE w:val="0"/>
        <w:autoSpaceDN w:val="0"/>
        <w:adjustRightInd w:val="0"/>
        <w:spacing w:line="400" w:lineRule="atLeast"/>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w:t>
      </w:r>
    </w:p>
    <w:p w14:paraId="41404796">
      <w:pPr>
        <w:autoSpaceDE w:val="0"/>
        <w:autoSpaceDN w:val="0"/>
        <w:adjustRightInd w:val="0"/>
        <w:spacing w:line="400" w:lineRule="atLeast"/>
        <w:ind w:firstLine="1920" w:firstLineChars="800"/>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0C98A07A">
      <w:pPr>
        <w:autoSpaceDE w:val="0"/>
        <w:autoSpaceDN w:val="0"/>
        <w:adjustRightInd w:val="0"/>
        <w:spacing w:line="400" w:lineRule="atLeast"/>
        <w:ind w:firstLine="720" w:firstLineChars="300"/>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委托人：    </w:t>
      </w:r>
    </w:p>
    <w:p w14:paraId="1475AA62">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日</w:t>
      </w:r>
    </w:p>
    <w:p w14:paraId="0C71D910">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确认：我司已完全理解并清楚贵司对</w:t>
      </w:r>
      <w:bookmarkStart w:id="37" w:name="_Hlk48924799"/>
      <w:r>
        <w:rPr>
          <w:rFonts w:hint="eastAsia" w:ascii="仿宋_GB2312" w:hAnsi="仿宋_GB2312" w:eastAsia="仿宋_GB2312" w:cs="仿宋_GB2312"/>
          <w:color w:val="000000" w:themeColor="text1"/>
          <w:sz w:val="24"/>
          <w:szCs w:val="24"/>
          <w:highlight w:val="none"/>
          <w14:textFill>
            <w14:solidFill>
              <w14:schemeClr w14:val="tx1"/>
            </w14:solidFill>
          </w14:textFill>
        </w:rPr>
        <w:t>项目部及项目经理的授权范围，并严格遵照执行。</w:t>
      </w:r>
      <w:bookmarkEnd w:id="37"/>
      <w:r>
        <w:rPr>
          <w:rFonts w:hint="eastAsia" w:ascii="仿宋_GB2312" w:hAnsi="仿宋_GB2312" w:eastAsia="仿宋_GB2312" w:cs="仿宋_GB2312"/>
          <w:color w:val="000000" w:themeColor="text1"/>
          <w:sz w:val="24"/>
          <w:szCs w:val="24"/>
          <w:highlight w:val="none"/>
          <w14:textFill>
            <w14:solidFill>
              <w14:schemeClr w14:val="tx1"/>
            </w14:solidFill>
          </w14:textFill>
        </w:rPr>
        <w:t>超出</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授权范围的行为属于无权代理行为，对</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无效，</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不承担任何法律责任。</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我</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司将</w:t>
      </w:r>
      <w:r>
        <w:rPr>
          <w:rFonts w:hint="eastAsia" w:ascii="仿宋_GB2312" w:hAnsi="仿宋_GB2312" w:eastAsia="仿宋_GB2312" w:cs="仿宋_GB2312"/>
          <w:color w:val="000000" w:themeColor="text1"/>
          <w:sz w:val="24"/>
          <w:szCs w:val="24"/>
          <w:highlight w:val="none"/>
          <w14:textFill>
            <w14:solidFill>
              <w14:schemeClr w14:val="tx1"/>
            </w14:solidFill>
          </w14:textFill>
        </w:rPr>
        <w:t>谨慎审查相关文件的签署主体资格和权限，对于无权代理人签署的相关文件，应及时与</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核实。      </w:t>
      </w:r>
    </w:p>
    <w:p w14:paraId="6EEC43AD">
      <w:pPr>
        <w:spacing w:line="400" w:lineRule="exact"/>
        <w:ind w:right="210" w:rightChars="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乙方（公章）：           </w:t>
      </w:r>
    </w:p>
    <w:p w14:paraId="6F2DC22E">
      <w:pPr>
        <w:autoSpaceDE w:val="0"/>
        <w:autoSpaceDN w:val="0"/>
        <w:adjustRightInd w:val="0"/>
        <w:spacing w:line="400" w:lineRule="atLeast"/>
        <w:ind w:firstLine="1680" w:firstLineChars="7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法定代表人：</w:t>
      </w:r>
    </w:p>
    <w:p w14:paraId="6908AE97">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2B3195FA">
      <w:pPr>
        <w:autoSpaceDE w:val="0"/>
        <w:autoSpaceDN w:val="0"/>
        <w:adjustRightInd w:val="0"/>
        <w:spacing w:line="400" w:lineRule="atLeast"/>
        <w:ind w:firstLine="1920" w:firstLineChars="8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7179B941">
      <w:pPr>
        <w:autoSpaceDE w:val="0"/>
        <w:autoSpaceDN w:val="0"/>
        <w:adjustRightInd w:val="0"/>
        <w:spacing w:line="400" w:lineRule="exact"/>
        <w:rPr>
          <w:rFonts w:ascii="仿宋_GB2312" w:hAnsi="仿宋_GB2312" w:eastAsia="仿宋_GB2312" w:cs="仿宋_GB2312"/>
          <w:color w:val="000000" w:themeColor="text1"/>
          <w:highlight w:val="none"/>
          <w14:textFill>
            <w14:solidFill>
              <w14:schemeClr w14:val="tx1"/>
            </w14:solidFill>
          </w14:textFill>
        </w:rPr>
        <w:sectPr>
          <w:pgSz w:w="11905" w:h="16838"/>
          <w:pgMar w:top="1440" w:right="1800" w:bottom="1440" w:left="1800" w:header="850" w:footer="975" w:gutter="0"/>
          <w:cols w:space="0" w:num="1"/>
          <w:docGrid w:linePitch="312" w:charSpace="0"/>
        </w:sect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日</w:t>
      </w:r>
    </w:p>
    <w:p w14:paraId="2DA2F46F">
      <w:pPr>
        <w:spacing w:line="400" w:lineRule="exact"/>
        <w:outlineLvl w:val="0"/>
        <w:rPr>
          <w:rFonts w:ascii="仿宋_GB2312" w:hAnsi="仿宋_GB2312" w:eastAsia="仿宋_GB2312" w:cs="仿宋_GB2312"/>
          <w:color w:val="000000" w:themeColor="text1"/>
          <w:sz w:val="28"/>
          <w:szCs w:val="28"/>
          <w:highlight w:val="none"/>
          <w14:textFill>
            <w14:solidFill>
              <w14:schemeClr w14:val="tx1"/>
            </w14:solidFill>
          </w14:textFill>
        </w:rPr>
      </w:pPr>
      <w:bookmarkStart w:id="38" w:name="_Toc3258"/>
      <w:bookmarkStart w:id="39" w:name="_Toc31114"/>
      <w:r>
        <w:rPr>
          <w:rFonts w:hint="eastAsia" w:ascii="仿宋_GB2312" w:hAnsi="仿宋_GB2312" w:eastAsia="仿宋_GB2312" w:cs="仿宋_GB2312"/>
          <w:color w:val="000000" w:themeColor="text1"/>
          <w:sz w:val="28"/>
          <w:szCs w:val="28"/>
          <w:highlight w:val="none"/>
          <w14:textFill>
            <w14:solidFill>
              <w14:schemeClr w14:val="tx1"/>
            </w14:solidFill>
          </w14:textFill>
        </w:rPr>
        <w:t>附件三：</w:t>
      </w:r>
      <w:bookmarkEnd w:id="38"/>
      <w:bookmarkEnd w:id="39"/>
    </w:p>
    <w:p w14:paraId="3AB87C1F">
      <w:pPr>
        <w:spacing w:line="400" w:lineRule="exact"/>
        <w:ind w:firstLine="602" w:firstLineChars="200"/>
        <w:jc w:val="center"/>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安全管理协议书</w:t>
      </w:r>
    </w:p>
    <w:p w14:paraId="2A1C5486">
      <w:pPr>
        <w:wordWrap w:val="0"/>
        <w:spacing w:line="400" w:lineRule="exact"/>
        <w:ind w:firstLine="480" w:firstLineChars="200"/>
        <w:jc w:val="righ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66BF7F6D">
      <w:pPr>
        <w:spacing w:line="400" w:lineRule="exact"/>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甲方：</w:t>
      </w:r>
      <w:bookmarkStart w:id="40" w:name="_Hlk126826529"/>
      <w:permStart w:id="9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集团</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河北基础市政工程</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有限公司</w:t>
      </w:r>
      <w:bookmarkEnd w:id="40"/>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ermEnd w:id="95"/>
      <w:r>
        <w:rPr>
          <w:rFonts w:hint="eastAsia" w:ascii="仿宋_GB2312" w:hAnsi="仿宋_GB2312" w:eastAsia="仿宋_GB2312" w:cs="仿宋_GB2312"/>
          <w:b/>
          <w:color w:val="000000" w:themeColor="text1"/>
          <w:sz w:val="24"/>
          <w:szCs w:val="24"/>
          <w:highlight w:val="none"/>
          <w14:textFill>
            <w14:solidFill>
              <w14:schemeClr w14:val="tx1"/>
            </w14:solidFill>
          </w14:textFill>
        </w:rPr>
        <w:t xml:space="preserve"> </w:t>
      </w:r>
    </w:p>
    <w:p w14:paraId="698C7859">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permStart w:id="96" w:edGrp="everyone"/>
      <w:r>
        <w:rPr>
          <w:rFonts w:hint="eastAsia" w:ascii="仿宋_GB2312" w:hAnsi="仿宋_GB2312" w:eastAsia="仿宋_GB2312" w:cs="仿宋_GB2312"/>
          <w:b/>
          <w:color w:val="000000" w:themeColor="text1"/>
          <w:sz w:val="24"/>
          <w:szCs w:val="24"/>
          <w:highlight w:val="none"/>
          <w:u w:val="single"/>
          <w14:textFill>
            <w14:solidFill>
              <w14:schemeClr w14:val="tx1"/>
            </w14:solidFill>
          </w14:textFill>
        </w:rPr>
        <w:t xml:space="preserve">                        </w:t>
      </w:r>
      <w:permEnd w:id="96"/>
    </w:p>
    <w:p w14:paraId="7D386D35">
      <w:pPr>
        <w:pStyle w:val="7"/>
        <w:tabs>
          <w:tab w:val="left" w:pos="2100"/>
        </w:tabs>
        <w:spacing w:line="480" w:lineRule="exact"/>
        <w:ind w:firstLine="480" w:firstLineChars="200"/>
        <w:rPr>
          <w:rFonts w:hAnsi="仿宋_GB2312" w:cs="仿宋_GB2312"/>
          <w:color w:val="000000" w:themeColor="text1"/>
          <w:sz w:val="24"/>
          <w:highlight w:val="none"/>
          <w14:textFill>
            <w14:solidFill>
              <w14:schemeClr w14:val="tx1"/>
            </w14:solidFill>
          </w14:textFill>
        </w:rPr>
      </w:pPr>
      <w:r>
        <w:rPr>
          <w:rFonts w:hint="eastAsia" w:hAnsi="仿宋_GB2312" w:cs="仿宋_GB2312"/>
          <w:color w:val="000000" w:themeColor="text1"/>
          <w:sz w:val="24"/>
          <w:highlight w:val="none"/>
          <w14:textFill>
            <w14:solidFill>
              <w14:schemeClr w14:val="tx1"/>
            </w14:solidFill>
          </w14:textFill>
        </w:rPr>
        <w:t xml:space="preserve">根据《中华人民共和国民法典》、《安全生产法》及有关法律规定，遵循平等、自愿、公平和诚实信用的原则，双方就合同范围内且在项目部施工现场范围内安全事项协商一致，订立本合同并共同遵守。 </w:t>
      </w:r>
    </w:p>
    <w:p w14:paraId="5E140843">
      <w:pPr>
        <w:snapToGrid w:val="0"/>
        <w:spacing w:line="480" w:lineRule="exact"/>
        <w:ind w:firstLine="482" w:firstLineChars="200"/>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第一条 共同约定  </w:t>
      </w:r>
    </w:p>
    <w:p w14:paraId="36F98111">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1、双方应共同遵守</w:t>
      </w:r>
      <w:permStart w:id="97"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《安全生产法》、《中华人民共和国建筑法》、《建设工程安全生产管理条例》、《房屋建筑和市政基础设施工程分包管理办法》《安全生产许可证条例》</w:t>
      </w:r>
      <w:permEnd w:id="97"/>
      <w:r>
        <w:rPr>
          <w:rFonts w:hint="eastAsia" w:ascii="仿宋_GB2312" w:hAnsi="仿宋_GB2312" w:eastAsia="仿宋_GB2312" w:cs="仿宋_GB2312"/>
          <w:color w:val="000000" w:themeColor="text1"/>
          <w:sz w:val="24"/>
          <w:szCs w:val="24"/>
          <w:highlight w:val="none"/>
          <w14:textFill>
            <w14:solidFill>
              <w14:schemeClr w14:val="tx1"/>
            </w14:solidFill>
          </w14:textFill>
        </w:rPr>
        <w:t>等一系列有关安全生产的法律法规，严格执行</w:t>
      </w:r>
      <w:permStart w:id="98"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建设部标准JGJ59—2011《建筑安全施工检查标准》</w:t>
      </w:r>
      <w:permEnd w:id="98"/>
      <w:r>
        <w:rPr>
          <w:rFonts w:hint="eastAsia" w:ascii="仿宋_GB2312" w:hAnsi="仿宋_GB2312" w:eastAsia="仿宋_GB2312" w:cs="仿宋_GB2312"/>
          <w:color w:val="000000" w:themeColor="text1"/>
          <w:sz w:val="24"/>
          <w:szCs w:val="24"/>
          <w:highlight w:val="none"/>
          <w14:textFill>
            <w14:solidFill>
              <w14:schemeClr w14:val="tx1"/>
            </w14:solidFill>
          </w14:textFill>
        </w:rPr>
        <w:t>等一系列标准规程及</w:t>
      </w:r>
      <w:permStart w:id="9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9"/>
      <w:r>
        <w:rPr>
          <w:rFonts w:hint="eastAsia" w:ascii="仿宋_GB2312" w:hAnsi="仿宋_GB2312" w:eastAsia="仿宋_GB2312" w:cs="仿宋_GB2312"/>
          <w:color w:val="000000" w:themeColor="text1"/>
          <w:sz w:val="24"/>
          <w:szCs w:val="24"/>
          <w:highlight w:val="none"/>
          <w14:textFill>
            <w14:solidFill>
              <w14:schemeClr w14:val="tx1"/>
            </w14:solidFill>
          </w14:textFill>
        </w:rPr>
        <w:t>市有关安全生产的规章制度。</w:t>
      </w:r>
    </w:p>
    <w:p w14:paraId="3AF2E4C8">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2、双方应共同遵守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中建总公司、中建交通</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中建路桥</w:t>
      </w:r>
      <w:r>
        <w:rPr>
          <w:rFonts w:hint="eastAsia" w:ascii="仿宋_GB2312" w:hAnsi="仿宋_GB2312" w:eastAsia="仿宋_GB2312" w:cs="仿宋_GB2312"/>
          <w:color w:val="000000" w:themeColor="text1"/>
          <w:sz w:val="24"/>
          <w:szCs w:val="24"/>
          <w:highlight w:val="none"/>
          <w14:textFill>
            <w14:solidFill>
              <w14:schemeClr w14:val="tx1"/>
            </w14:solidFill>
          </w14:textFill>
        </w:rPr>
        <w:t>等系列安全生产规章制度。贯彻执行项目职业健康安全和环境管理体系的各项要求。</w:t>
      </w:r>
    </w:p>
    <w:p w14:paraId="7CAB56E9">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3、安全文明施工管理目标、指标：</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以项目部总包单位制定的为准</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6B6113A2">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4、在甲方施工区域以外场所安全工作及发生的不良后果由乙方自行承担。</w:t>
      </w:r>
    </w:p>
    <w:p w14:paraId="27BBD878">
      <w:pPr>
        <w:pStyle w:val="15"/>
        <w:spacing w:line="480" w:lineRule="exact"/>
        <w:ind w:firstLine="482" w:firstLineChars="200"/>
        <w:rPr>
          <w:rFonts w:ascii="仿宋_GB2312" w:hAnsi="仿宋_GB2312" w:eastAsia="仿宋_GB2312" w:cs="仿宋_GB2312"/>
          <w:b/>
          <w:bCs/>
          <w:color w:val="000000" w:themeColor="text1"/>
          <w:kern w:val="2"/>
          <w:highlight w:val="none"/>
          <w14:textFill>
            <w14:solidFill>
              <w14:schemeClr w14:val="tx1"/>
            </w14:solidFill>
          </w14:textFill>
        </w:rPr>
      </w:pPr>
      <w:r>
        <w:rPr>
          <w:rFonts w:hint="eastAsia" w:ascii="仿宋_GB2312" w:hAnsi="仿宋_GB2312" w:eastAsia="仿宋_GB2312" w:cs="仿宋_GB2312"/>
          <w:b/>
          <w:bCs/>
          <w:color w:val="000000" w:themeColor="text1"/>
          <w:kern w:val="2"/>
          <w:highlight w:val="none"/>
          <w14:textFill>
            <w14:solidFill>
              <w14:schemeClr w14:val="tx1"/>
            </w14:solidFill>
          </w14:textFill>
        </w:rPr>
        <w:t>第二条 环境与职业健康安全</w:t>
      </w:r>
    </w:p>
    <w:p w14:paraId="5215B730">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1、乙方车辆及材料在运输途中及到达甲方现场后应遵守国家和地方现行的有关环境保护、职业健康安全的法律、法规和其他要求。</w:t>
      </w:r>
    </w:p>
    <w:p w14:paraId="5373574C">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2、乙方需遵守《道路交通安全法》，应当给负责运送货物的车辆办理交强险及商业保险，否则发生的人员伤亡事故或货物毁损由责任方承担，与甲方无关。</w:t>
      </w:r>
    </w:p>
    <w:p w14:paraId="66CF3D54">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乙方货物到达指定堆场或仓库等甲方指定地点，装卸、运输过程中的人员、机械、车辆安全，应按国家及地方规定办理相关手续。如因运载车辆事故、卸货等原因导致的乙方及任何第三方的人身伤害及经济损失均由乙方负责，并补偿甲方及其他方因此造成的损失。</w:t>
      </w:r>
    </w:p>
    <w:p w14:paraId="0EFB1DC2">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4、乙方到施工现场的人员必须佩戴安全帽，穿戴整洁，严禁吸烟和大声喧哗，遵守需方项目的规章制度，否则将按需方有关制度处罚。</w:t>
      </w:r>
    </w:p>
    <w:p w14:paraId="17958B79">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5、由于非甲方的任何第三方原因导致乙方人员伤亡及财产损害均由乙方承担相应损失。</w:t>
      </w:r>
    </w:p>
    <w:p w14:paraId="65A0DDE8">
      <w:pPr>
        <w:snapToGrid w:val="0"/>
        <w:spacing w:line="480" w:lineRule="exact"/>
        <w:ind w:firstLine="482" w:firstLineChars="200"/>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第三条 甲方的安全责任、权利和义务  </w:t>
      </w:r>
    </w:p>
    <w:p w14:paraId="6750E937">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1、甲方在现场履行管理、监督职责，认真履行第一条共同约定的内容，对乙方在进入总包施工现场的施工安全进行监督、指导、检查。 </w:t>
      </w:r>
    </w:p>
    <w:p w14:paraId="20FB9D73">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2、对乙方安排生产、运输任务的同时，对按照规定程序审批的施工组织设计进行书面安全技术交底，并办理交底双方签字手续（如有）。 </w:t>
      </w:r>
    </w:p>
    <w:p w14:paraId="0A4CB3EC">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3、在合同中约定由甲方向使用单位提供的安全防护设施，应完整齐全，并且符合安全要求，并整改乙方提出的不安全问题。</w:t>
      </w:r>
    </w:p>
    <w:p w14:paraId="221981F0">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4、有权制止乙方的违章作业，对重大违章行为有权责令其停工整顿；对于乙方的违章行为，甲方有进行安全违约处罚的权利；因乙方责任造成防护设施、防护用品等损坏、改变或遗失，或者环境破坏，可要求乙方赔偿或恢复。 </w:t>
      </w:r>
    </w:p>
    <w:p w14:paraId="17F3EAF2">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5、对安全素质差、不服从安全生产管理的人员责令其限期退场，造成的工期损失、经济损失由乙方承担。对不执行规章制度的人员，可视情节轻重，按照项目奖罚制度进行安全违约处罚。</w:t>
      </w:r>
    </w:p>
    <w:p w14:paraId="7B487C08">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6、对达不到规定的安全生产条件、存在重大安全隐患或发生安全事故，可要求乙方限期退场，或者中止合同，造成项目工期损失、经济损失由乙方承担。</w:t>
      </w:r>
    </w:p>
    <w:p w14:paraId="6D915F3A">
      <w:pPr>
        <w:snapToGrid w:val="0"/>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7、按照规定要求对乙方自有的材料和自带（含租赁）施工机具、起重 吊装设备、运输车辆等进行安全生产监督检查，有权拒绝乙方不合格产品进场（已进场的限期退场）。</w:t>
      </w:r>
    </w:p>
    <w:p w14:paraId="75658C2E">
      <w:pPr>
        <w:snapToGrid w:val="0"/>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8、与安全生产关系直接的大型设备、特种设备、安全设施设备、防护用品进场时，项目安全生产监督管理部门应参与验收，验收合格签字后方可进场。</w:t>
      </w:r>
    </w:p>
    <w:p w14:paraId="65EC1F77">
      <w:pPr>
        <w:snapToGrid w:val="0"/>
        <w:spacing w:line="480" w:lineRule="exact"/>
        <w:ind w:firstLine="482" w:firstLineChars="200"/>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第四条 乙方的安全责任、权利和义务  </w:t>
      </w:r>
    </w:p>
    <w:p w14:paraId="03EBCB3B">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1、乙方应认真履行第一条共同约定的内容，接受甲方的监督、检查工作。</w:t>
      </w:r>
    </w:p>
    <w:p w14:paraId="52A98BDE">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2、乙方应具备所供货物的运输资质或证照，不得跨资质承运相应货物。若乙方委托第三方单位承运相应货物，不解除乙方应承担本合同项下的义务和责任。</w:t>
      </w:r>
    </w:p>
    <w:p w14:paraId="6AC23006">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乙方运输前对货物性质、形状充分认识并制定相应运输措施，必要情况下准备运输防护用品及货物运输应急用品。如有特定需求运输超大、超重、异形等道路通行规定以外的货物，应按照设计文件提示等采用特定的运输方式并制定安全防范措施。</w:t>
      </w:r>
    </w:p>
    <w:p w14:paraId="29D984EF">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负责本单位特种作业人员、运输车辆司机、起重吊装作业司机指挥等人的培训、考核和取证，必须做到进入施工现场的人员持证上岗。进入施工现场作业要有专人在现场履行管理职责，并对未认真履行职责的后果负责。</w:t>
      </w:r>
    </w:p>
    <w:p w14:paraId="49F4EA58">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对本单位员工进行安全三级教育，进行安全技术交底，交底报甲方备案。保证进场人员符合相关要求，身体情况能适应本行业工作，熟悉现场一般安全规定及本工种安全操作规程，并进行进场岗前教育，未经过培训教育的工人不得安排进行现场工作；</w:t>
      </w:r>
    </w:p>
    <w:p w14:paraId="2FB4859C">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不得违章指挥，或强令工人冒险作业，也不能强迫工人连续长时间作业，更不能进入指定禁区及非本工作作业区域。不得私自翻越防护，攀爬架体、私自接电等违章作业行为，不得在高处危险作业和各种提升机械的垂直下方穿行或停留（如：吊篮、电梯笼）。</w:t>
      </w:r>
    </w:p>
    <w:p w14:paraId="165AC5AB">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7、对甲方所提供的安全设施不能保证安全施工时，应及时提出，也可拒绝施工；在施工中不得未经甲方现场负责人同意私自拆除安全防护设施。</w:t>
      </w:r>
    </w:p>
    <w:p w14:paraId="4FA628DB">
      <w:pPr>
        <w:spacing w:line="48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8、乙方自备的设备及工具必须保证环保、性能良好、各安全装置齐全灵敏有效。进工地前必须报项目监督试机，验收并填写验收表，达不到环保和</w:t>
      </w:r>
      <w:permStart w:id="100"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《JGJ59—2011》</w:t>
      </w:r>
      <w:permEnd w:id="100"/>
      <w:r>
        <w:rPr>
          <w:rFonts w:hint="eastAsia" w:ascii="仿宋_GB2312" w:hAnsi="仿宋_GB2312" w:eastAsia="仿宋_GB2312" w:cs="仿宋_GB2312"/>
          <w:color w:val="000000" w:themeColor="text1"/>
          <w:sz w:val="24"/>
          <w:szCs w:val="24"/>
          <w:highlight w:val="none"/>
          <w14:textFill>
            <w14:solidFill>
              <w14:schemeClr w14:val="tx1"/>
            </w14:solidFill>
          </w14:textFill>
        </w:rPr>
        <w:t>标准的设备及工具严禁在工地使用。</w:t>
      </w:r>
    </w:p>
    <w:p w14:paraId="7DB6D54C">
      <w:pPr>
        <w:spacing w:line="48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9、乙方自带设备或工具必须相匹配的质量合格的电缆线，并自备符合当地主管部门要求的末级标准配电箱。</w:t>
      </w:r>
    </w:p>
    <w:p w14:paraId="68807F48">
      <w:pPr>
        <w:spacing w:line="48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10、必须按规定提取和使用安全技术措施经费，为作业人员提供符合国家标准或行业标准的劳动防护用品，并督促、教育作业人员按照使用规则佩戴、使用。</w:t>
      </w:r>
    </w:p>
    <w:p w14:paraId="3AFBD8CF">
      <w:pPr>
        <w:spacing w:line="48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11、对甲方人员违章指挥或者可能危及人身安全、财产损失的指挥，乙方有权拒绝。</w:t>
      </w:r>
    </w:p>
    <w:p w14:paraId="3DE1538A">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12、不得进行违反安全法律和其他、安全生产规章制度的行为。</w:t>
      </w:r>
    </w:p>
    <w:p w14:paraId="31157C10">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13、乙方对供应的材料在甲方施工场地外运输过程发生的安全事故承担全部责任，不得向甲方提出索赔要求。</w:t>
      </w:r>
    </w:p>
    <w:p w14:paraId="048FAF1A">
      <w:pPr>
        <w:spacing w:line="480" w:lineRule="exact"/>
        <w:ind w:firstLine="480" w:firstLineChars="200"/>
        <w:jc w:val="left"/>
        <w:rPr>
          <w:rFonts w:ascii="仿宋_GB2312" w:hAnsi="仿宋_GB2312" w:eastAsia="仿宋_GB2312" w:cs="仿宋_GB2312"/>
          <w:color w:val="000000" w:themeColor="text1"/>
          <w:sz w:val="24"/>
          <w:szCs w:val="24"/>
          <w:highlight w:val="none"/>
          <w:shd w:val="clear" w:color="auto" w:fill="FF0000"/>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14、乙方对因自身原因发生的安全事故承担全部责任。由于乙方原因而引发的被当地有关部门处罚的各类事件，乙方承担相应罚款、工期损失及经济损失；</w:t>
      </w:r>
    </w:p>
    <w:p w14:paraId="3EE1E523">
      <w:pPr>
        <w:spacing w:line="48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15、在施工现场发生事故时，应积极抢救伤员，保护事故现场，防止事故扩大，按甲方要求提供事故有关资料，并配合调查。</w:t>
      </w:r>
    </w:p>
    <w:p w14:paraId="2F91629F">
      <w:pPr>
        <w:spacing w:line="480" w:lineRule="exact"/>
        <w:ind w:firstLine="482" w:firstLineChars="200"/>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第五条事故处理</w:t>
      </w:r>
    </w:p>
    <w:p w14:paraId="49920F19">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1、若发生事故应立即启动事故应急预案，采取有效措施组织抢救，防止事故扩大，减少人员伤亡和财产损失，同时应按</w:t>
      </w:r>
      <w:permStart w:id="101"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《生产安全事故报告和</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调查</w:t>
      </w:r>
      <w:r>
        <w:rPr>
          <w:rFonts w:hint="eastAsia" w:ascii="仿宋_GB2312" w:hAnsi="仿宋_GB2312" w:eastAsia="仿宋_GB2312" w:cs="仿宋_GB2312"/>
          <w:color w:val="000000" w:themeColor="text1"/>
          <w:sz w:val="24"/>
          <w:szCs w:val="24"/>
          <w:highlight w:val="none"/>
          <w14:textFill>
            <w14:solidFill>
              <w14:schemeClr w14:val="tx1"/>
            </w14:solidFill>
          </w14:textFill>
        </w:rPr>
        <w:t>处理条例》（493号令）</w:t>
      </w:r>
      <w:permEnd w:id="101"/>
      <w:r>
        <w:rPr>
          <w:rFonts w:hint="eastAsia" w:ascii="仿宋_GB2312" w:hAnsi="仿宋_GB2312" w:eastAsia="仿宋_GB2312" w:cs="仿宋_GB2312"/>
          <w:color w:val="000000" w:themeColor="text1"/>
          <w:sz w:val="24"/>
          <w:szCs w:val="24"/>
          <w:highlight w:val="none"/>
          <w14:textFill>
            <w14:solidFill>
              <w14:schemeClr w14:val="tx1"/>
            </w14:solidFill>
          </w14:textFill>
        </w:rPr>
        <w:t>的规定进行事故处理及上报。乙方应及时将事故情况向甲方上报，不得迟报、漏报、谎报或瞒报。</w:t>
      </w:r>
    </w:p>
    <w:p w14:paraId="0F0BEF34">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2、在施工现场内发生重伤或死亡事故，由甲方主管部门牵头，乙方为主，甲乙双方共同参加，按照规定报告有关部门进行调查，查清事故原因，分清事故责任，提出对事故责任者的处理意见。 </w:t>
      </w:r>
    </w:p>
    <w:p w14:paraId="3B6DADFF">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3、由于没有认真履行安全责任，造成重大伤亡事故，情节严重的主要直接责任者，已触及国家刑律，应提请有关部门进行调查处理。 </w:t>
      </w:r>
    </w:p>
    <w:p w14:paraId="4D4E0C70">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4、对不认真履行本合同，违章指挥、违章作业、冒险进入施工禁区及损坏安全防护设施、不按规定进行安全技术交底及组织施工，造成伤亡事故的，应由事故责任方承担罚款及一切经济损失和责任。 </w:t>
      </w:r>
    </w:p>
    <w:p w14:paraId="78C81042">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5、由于甲方主要责任造成的伤亡事故，乙方有权要求甲方进行经济赔偿。由于乙方主要责任造成的伤亡事故，甲方有权要求乙方承担违约责任。</w:t>
      </w:r>
    </w:p>
    <w:p w14:paraId="3C679195">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6、由于第三方责任导致乙方人员伤亡，及由于乙方责任导致第三方人员伤亡，由乙方负责并处理。</w:t>
      </w:r>
    </w:p>
    <w:p w14:paraId="3AB28443">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对乙方因自身原因发生的安全事故，如因工人自身误操作、违章作业、冒险进入施工禁区、损坏安全设施、乙方不按规定对工人进行安全交底、班前活动等等，所造成的或主要责任在乙方的伤害事故，所发生的一切责任及费用由乙方承担。</w:t>
      </w:r>
    </w:p>
    <w:p w14:paraId="49DD8655">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乙方积极配合甲方做好事故的善后处理工作，若伤亡人员为乙方雇佣、招录人员，乙方应及时负责伤亡人员及家属的接待善后工作，因此发生的医疗费、护理费、赔偿费等费用由乙方先垫付，最后由事故责任方一次性承担，因未积极配合甲方对事故进行善后处理而产生的一切法律责任及经济处罚由乙方自负。</w:t>
      </w:r>
    </w:p>
    <w:p w14:paraId="6FE591A3">
      <w:pPr>
        <w:spacing w:line="400" w:lineRule="exact"/>
        <w:ind w:firstLine="516" w:firstLineChars="214"/>
        <w:jc w:val="left"/>
        <w:rPr>
          <w:rFonts w:hint="eastAsia"/>
          <w:highlight w:val="none"/>
        </w:rPr>
      </w:pPr>
      <w:bookmarkStart w:id="41" w:name="_Toc28569"/>
      <w:r>
        <w:rPr>
          <w:rFonts w:hint="eastAsia" w:ascii="仿宋_GB2312" w:hAnsi="仿宋_GB2312" w:eastAsia="仿宋_GB2312" w:cs="仿宋_GB2312"/>
          <w:b/>
          <w:bCs/>
          <w:color w:val="000000" w:themeColor="text1"/>
          <w:sz w:val="24"/>
          <w:szCs w:val="24"/>
          <w:highlight w:val="none"/>
          <w14:textFill>
            <w14:solidFill>
              <w14:schemeClr w14:val="tx1"/>
            </w14:solidFill>
          </w14:textFill>
        </w:rPr>
        <w:t>第六条</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本合同生效条件与主合同相同。</w:t>
      </w:r>
    </w:p>
    <w:p w14:paraId="3F9CEF4D">
      <w:pPr>
        <w:spacing w:line="400" w:lineRule="exact"/>
        <w:ind w:firstLine="570"/>
        <w:rPr>
          <w:rFonts w:ascii="仿宋_GB2312" w:hAnsi="仿宋_GB2312" w:eastAsia="仿宋_GB2312" w:cs="仿宋_GB2312"/>
          <w:color w:val="000000" w:themeColor="text1"/>
          <w:sz w:val="24"/>
          <w:szCs w:val="24"/>
          <w:highlight w:val="none"/>
          <w14:textFill>
            <w14:solidFill>
              <w14:schemeClr w14:val="tx1"/>
            </w14:solidFill>
          </w14:textFill>
        </w:rPr>
      </w:pPr>
      <w:bookmarkStart w:id="42" w:name="_Hlk127200928"/>
      <w:bookmarkStart w:id="43" w:name="_Hlk127203185"/>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甲方（盖章）：                        乙方（公章）：                    </w:t>
      </w:r>
    </w:p>
    <w:bookmarkEnd w:id="42"/>
    <w:p w14:paraId="0D02194C">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6FE146FE">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39F931BC">
      <w:pPr>
        <w:autoSpaceDE w:val="0"/>
        <w:autoSpaceDN w:val="0"/>
        <w:adjustRightInd w:val="0"/>
        <w:spacing w:line="400" w:lineRule="atLeast"/>
        <w:ind w:firstLine="960" w:firstLineChars="4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696C0098">
      <w:pPr>
        <w:spacing w:line="400" w:lineRule="exact"/>
        <w:ind w:firstLine="1200" w:firstLineChars="5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bookmarkEnd w:id="43"/>
    </w:p>
    <w:p w14:paraId="41C34C87">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sectPr>
          <w:headerReference r:id="rId12" w:type="default"/>
          <w:footerReference r:id="rId13" w:type="default"/>
          <w:pgSz w:w="11906" w:h="16838"/>
          <w:pgMar w:top="1440" w:right="1800" w:bottom="1440" w:left="1800" w:header="850" w:footer="975" w:gutter="0"/>
          <w:cols w:space="0" w:num="1"/>
          <w:docGrid w:linePitch="312" w:charSpace="0"/>
        </w:sectPr>
      </w:pPr>
    </w:p>
    <w:p w14:paraId="0F3178C5">
      <w:pPr>
        <w:spacing w:line="400" w:lineRule="exact"/>
        <w:outlineLvl w:val="0"/>
        <w:rPr>
          <w:rFonts w:ascii="仿宋_GB2312" w:hAnsi="仿宋_GB2312" w:eastAsia="仿宋_GB2312" w:cs="仿宋_GB2312"/>
          <w:color w:val="000000" w:themeColor="text1"/>
          <w:sz w:val="28"/>
          <w:szCs w:val="28"/>
          <w:highlight w:val="none"/>
          <w14:textFill>
            <w14:solidFill>
              <w14:schemeClr w14:val="tx1"/>
            </w14:solidFill>
          </w14:textFill>
        </w:rPr>
      </w:pPr>
      <w:bookmarkStart w:id="44" w:name="_Toc860"/>
      <w:r>
        <w:rPr>
          <w:rFonts w:hint="eastAsia" w:ascii="仿宋_GB2312" w:hAnsi="仿宋_GB2312" w:eastAsia="仿宋_GB2312" w:cs="仿宋_GB2312"/>
          <w:color w:val="000000" w:themeColor="text1"/>
          <w:sz w:val="28"/>
          <w:szCs w:val="28"/>
          <w:highlight w:val="none"/>
          <w14:textFill>
            <w14:solidFill>
              <w14:schemeClr w14:val="tx1"/>
            </w14:solidFill>
          </w14:textFill>
        </w:rPr>
        <w:t>附件四：</w:t>
      </w:r>
      <w:bookmarkEnd w:id="41"/>
      <w:bookmarkEnd w:id="44"/>
    </w:p>
    <w:p w14:paraId="20DE16FC">
      <w:pPr>
        <w:spacing w:line="400" w:lineRule="exact"/>
        <w:jc w:val="center"/>
        <w:rPr>
          <w:rFonts w:ascii="仿宋_GB2312" w:hAnsi="仿宋_GB2312" w:eastAsia="仿宋_GB2312" w:cs="仿宋_GB2312"/>
          <w:color w:val="000000" w:themeColor="text1"/>
          <w:sz w:val="30"/>
          <w:szCs w:val="30"/>
          <w:highlight w:val="none"/>
          <w14:textFill>
            <w14:solidFill>
              <w14:schemeClr w14:val="tx1"/>
            </w14:solidFill>
          </w14:textFill>
        </w:rPr>
      </w:pPr>
      <w:bookmarkStart w:id="45" w:name="_Toc16461"/>
      <w:r>
        <w:rPr>
          <w:rFonts w:hint="eastAsia" w:ascii="仿宋_GB2312" w:hAnsi="仿宋_GB2312" w:eastAsia="仿宋_GB2312" w:cs="仿宋_GB2312"/>
          <w:b/>
          <w:color w:val="000000" w:themeColor="text1"/>
          <w:sz w:val="30"/>
          <w:szCs w:val="30"/>
          <w:highlight w:val="none"/>
          <w14:textFill>
            <w14:solidFill>
              <w14:schemeClr w14:val="tx1"/>
            </w14:solidFill>
          </w14:textFill>
        </w:rPr>
        <w:t>廉洁从业共建协议</w:t>
      </w:r>
      <w:bookmarkEnd w:id="45"/>
    </w:p>
    <w:p w14:paraId="586516E9">
      <w:pPr>
        <w:spacing w:line="46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甲方：</w:t>
      </w:r>
      <w:bookmarkStart w:id="46" w:name="_Hlk127190139"/>
      <w:permStart w:id="102" w:edGrp="everyone"/>
      <w:r>
        <w:rPr>
          <w:rFonts w:hint="eastAsia" w:ascii="仿宋_GB2312" w:hAnsi="宋体" w:eastAsia="仿宋_GB2312"/>
          <w:color w:val="000000" w:themeColor="text1"/>
          <w:sz w:val="24"/>
          <w:szCs w:val="24"/>
          <w:highlight w:val="none"/>
          <w:u w:val="single"/>
          <w14:textFill>
            <w14:solidFill>
              <w14:schemeClr w14:val="tx1"/>
            </w14:solidFill>
          </w14:textFill>
        </w:rPr>
        <w:t>中建</w:t>
      </w:r>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宋体" w:eastAsia="仿宋_GB2312"/>
          <w:color w:val="000000" w:themeColor="text1"/>
          <w:sz w:val="24"/>
          <w:szCs w:val="24"/>
          <w:highlight w:val="none"/>
          <w:u w:val="single"/>
          <w14:textFill>
            <w14:solidFill>
              <w14:schemeClr w14:val="tx1"/>
            </w14:solidFill>
          </w14:textFill>
        </w:rPr>
        <w:t>集团</w:t>
      </w:r>
      <w:r>
        <w:rPr>
          <w:rFonts w:hint="eastAsia" w:ascii="仿宋_GB2312" w:hAnsi="宋体" w:eastAsia="仿宋_GB2312"/>
          <w:color w:val="000000" w:themeColor="text1"/>
          <w:sz w:val="24"/>
          <w:szCs w:val="24"/>
          <w:highlight w:val="none"/>
          <w:u w:val="single"/>
          <w:lang w:eastAsia="zh-CN"/>
          <w14:textFill>
            <w14:solidFill>
              <w14:schemeClr w14:val="tx1"/>
            </w14:solidFill>
          </w14:textFill>
        </w:rPr>
        <w:t>河北基础市政工程</w:t>
      </w:r>
      <w:r>
        <w:rPr>
          <w:rFonts w:hint="eastAsia" w:ascii="仿宋_GB2312" w:hAnsi="宋体" w:eastAsia="仿宋_GB2312"/>
          <w:color w:val="000000" w:themeColor="text1"/>
          <w:sz w:val="24"/>
          <w:szCs w:val="24"/>
          <w:highlight w:val="none"/>
          <w:u w:val="single"/>
          <w14:textFill>
            <w14:solidFill>
              <w14:schemeClr w14:val="tx1"/>
            </w14:solidFill>
          </w14:textFill>
        </w:rPr>
        <w:t>有限公司</w:t>
      </w:r>
      <w:bookmarkEnd w:id="46"/>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ermEnd w:id="102"/>
    </w:p>
    <w:p w14:paraId="6B0FAAE6">
      <w:pPr>
        <w:spacing w:line="46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乙方：</w:t>
      </w:r>
      <w:permStart w:id="103" w:edGrp="everyone"/>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r>
        <w:rPr>
          <w:rFonts w:ascii="仿宋_GB2312" w:hAnsi="宋体" w:eastAsia="仿宋_GB2312"/>
          <w:color w:val="000000" w:themeColor="text1"/>
          <w:sz w:val="24"/>
          <w:szCs w:val="24"/>
          <w:highlight w:val="none"/>
          <w:u w:val="single"/>
          <w14:textFill>
            <w14:solidFill>
              <w14:schemeClr w14:val="tx1"/>
            </w14:solidFill>
          </w14:textFill>
        </w:rPr>
        <w:t xml:space="preserve">   </w:t>
      </w:r>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ermEnd w:id="103"/>
    </w:p>
    <w:p w14:paraId="6903D589">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为加强建设工程廉政建设，规范建设工程各项活动中甲方、乙方双方的行为，防止谋取不正当利益的违法违纪现象的发生，保护国家、集体和当事人的合法权益，根据国家有关工程建设的法律法规和廉政建设的有关规定，订立本廉政责任书。</w:t>
      </w:r>
    </w:p>
    <w:p w14:paraId="0ECA892D">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47" w:name="_Toc300671949"/>
      <w:r>
        <w:rPr>
          <w:rFonts w:hint="eastAsia" w:ascii="仿宋_GB2312" w:hAnsi="宋体" w:eastAsia="仿宋_GB2312" w:cs="宋体"/>
          <w:color w:val="000000" w:themeColor="text1"/>
          <w:kern w:val="0"/>
          <w:sz w:val="24"/>
          <w:szCs w:val="24"/>
          <w:highlight w:val="none"/>
          <w14:textFill>
            <w14:solidFill>
              <w14:schemeClr w14:val="tx1"/>
            </w14:solidFill>
          </w14:textFill>
        </w:rPr>
        <w:t>一、双方的责任</w:t>
      </w:r>
      <w:bookmarkEnd w:id="47"/>
    </w:p>
    <w:p w14:paraId="54A8C635">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1.1应严格遵守国家关于建设工程的有关法律、法规，相关政策，以及廉政建设的各项规定。</w:t>
      </w:r>
    </w:p>
    <w:p w14:paraId="7082562F">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1.2严格执行建设工程合同文件，自觉按合同办事。</w:t>
      </w:r>
    </w:p>
    <w:p w14:paraId="58E1D534">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1.3各项活动必须坚持公开、公平、公正、诚信、透明的原则(除法律法规另有规定者外)，不得为获取不正当的利益，损害国家、集体和对方利益，不得违反建设工程管理的规章制度。</w:t>
      </w:r>
    </w:p>
    <w:p w14:paraId="02D7D44E">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48" w:name="_Hlk127535665"/>
      <w:r>
        <w:rPr>
          <w:rFonts w:hint="eastAsia" w:ascii="仿宋_GB2312" w:hAnsi="宋体" w:eastAsia="仿宋_GB2312" w:cs="宋体"/>
          <w:color w:val="000000" w:themeColor="text1"/>
          <w:kern w:val="0"/>
          <w:sz w:val="24"/>
          <w:szCs w:val="24"/>
          <w:highlight w:val="none"/>
          <w14:textFill>
            <w14:solidFill>
              <w14:schemeClr w14:val="tx1"/>
            </w14:solidFill>
          </w14:textFill>
        </w:rPr>
        <w:t>1.4发现双方在业务活动中有违规、违纪、违法行为的，应及时提醒对方，情节严重的，如实进行举报，一经查实，严肃处理。</w:t>
      </w:r>
    </w:p>
    <w:bookmarkEnd w:id="48"/>
    <w:p w14:paraId="554DA931">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49" w:name="_Toc300671950"/>
      <w:r>
        <w:rPr>
          <w:rFonts w:hint="eastAsia" w:ascii="仿宋_GB2312" w:hAnsi="宋体" w:eastAsia="仿宋_GB2312" w:cs="宋体"/>
          <w:color w:val="000000" w:themeColor="text1"/>
          <w:kern w:val="0"/>
          <w:sz w:val="24"/>
          <w:szCs w:val="24"/>
          <w:highlight w:val="none"/>
          <w14:textFill>
            <w14:solidFill>
              <w14:schemeClr w14:val="tx1"/>
            </w14:solidFill>
          </w14:textFill>
        </w:rPr>
        <w:t>二、甲方责任</w:t>
      </w:r>
      <w:bookmarkEnd w:id="49"/>
    </w:p>
    <w:p w14:paraId="7CF37477">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甲方相关人员和从事该建设工程项目的工作人员，在工程建设的事前、事中、事后应遵守以下规定：</w:t>
      </w:r>
    </w:p>
    <w:p w14:paraId="41FEEEF4">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2.1按照甲方的招（议）标程序确定供应商，确保公正、公平对待所有合作方；不得在招标文件中有针对性地故意设定条件，以不公正的方法确定供应商；</w:t>
      </w:r>
    </w:p>
    <w:p w14:paraId="7CE175B3">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2.2</w:t>
      </w:r>
      <w:r>
        <w:rPr>
          <w:rFonts w:hint="eastAsia" w:ascii="仿宋_GB2312" w:hAnsi="宋体" w:eastAsia="仿宋_GB2312"/>
          <w:color w:val="000000" w:themeColor="text1"/>
          <w:sz w:val="24"/>
          <w:szCs w:val="24"/>
          <w:highlight w:val="none"/>
          <w14:textFill>
            <w14:solidFill>
              <w14:schemeClr w14:val="tx1"/>
            </w14:solidFill>
          </w14:textFill>
        </w:rPr>
        <w:t>按照甲方的项目管理流程办理乙方的各项业务（现场签证、验收、结算、付款等），对乙方员工的吃拿卡要行为坚决制止，如甲方员工出现上述情况以索贿论；</w:t>
      </w:r>
    </w:p>
    <w:p w14:paraId="3185EFAD">
      <w:pPr>
        <w:widowControl/>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2.3</w:t>
      </w:r>
      <w:r>
        <w:rPr>
          <w:rFonts w:hint="eastAsia" w:ascii="仿宋_GB2312" w:hAnsi="宋体" w:eastAsia="仿宋_GB2312"/>
          <w:color w:val="000000" w:themeColor="text1"/>
          <w:sz w:val="24"/>
          <w:szCs w:val="24"/>
          <w:highlight w:val="none"/>
          <w14:textFill>
            <w14:solidFill>
              <w14:schemeClr w14:val="tx1"/>
            </w14:solidFill>
          </w14:textFill>
        </w:rPr>
        <w:t>不安排己方员工的亲友在乙方工作；</w:t>
      </w:r>
    </w:p>
    <w:p w14:paraId="5810EF2C">
      <w:pPr>
        <w:widowControl/>
        <w:spacing w:line="400" w:lineRule="exact"/>
        <w:ind w:firstLine="480" w:firstLineChars="200"/>
        <w:rPr>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2.4</w:t>
      </w:r>
      <w:r>
        <w:rPr>
          <w:rFonts w:hint="eastAsia" w:ascii="仿宋_GB2312" w:hAnsi="宋体" w:eastAsia="仿宋_GB2312"/>
          <w:color w:val="000000" w:themeColor="text1"/>
          <w:sz w:val="24"/>
          <w:szCs w:val="24"/>
          <w:highlight w:val="none"/>
          <w14:textFill>
            <w14:solidFill>
              <w14:schemeClr w14:val="tx1"/>
            </w14:solidFill>
          </w14:textFill>
        </w:rPr>
        <w:t>不得以任何理由向乙方推荐分包单位，不得要求乙方购买合同规定外的材料和设备；</w:t>
      </w:r>
    </w:p>
    <w:p w14:paraId="2BAC032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2.5不得向乙方和相关单位索要或接受回扣、礼金、有价证券、贵重物品和好处费、感谢费等。</w:t>
      </w:r>
    </w:p>
    <w:p w14:paraId="706556E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2.6不得在乙方和相关单位报销任何应由业主方或个人支付的费用。</w:t>
      </w:r>
    </w:p>
    <w:p w14:paraId="27F17433">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2.7不得要求、暗示或接受乙方和相关单位为个人装修住房、婚丧嫁娶、配偶子女的工作安排以及出国(境)、旅游等提供方便。</w:t>
      </w:r>
    </w:p>
    <w:p w14:paraId="69CA06B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2.8不得参加有可能影响公正执行公务的乙方和相关单位的宴请、健身、娱乐等活动。</w:t>
      </w:r>
    </w:p>
    <w:p w14:paraId="0BC3F616">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50" w:name="_Toc300671951"/>
      <w:r>
        <w:rPr>
          <w:rFonts w:hint="eastAsia" w:ascii="仿宋_GB2312" w:hAnsi="宋体" w:eastAsia="仿宋_GB2312" w:cs="宋体"/>
          <w:color w:val="000000" w:themeColor="text1"/>
          <w:kern w:val="0"/>
          <w:sz w:val="24"/>
          <w:szCs w:val="24"/>
          <w:highlight w:val="none"/>
          <w14:textFill>
            <w14:solidFill>
              <w14:schemeClr w14:val="tx1"/>
            </w14:solidFill>
          </w14:textFill>
        </w:rPr>
        <w:t>三、乙方责任</w:t>
      </w:r>
      <w:bookmarkEnd w:id="50"/>
    </w:p>
    <w:p w14:paraId="125ED076">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应与甲方保持正常的业务交往，按照有关法律法规和程序开展业务工作，严格执行工程建设的有关方针、政策，执行工程建设强制性标准，并遵守以下规定：</w:t>
      </w:r>
    </w:p>
    <w:p w14:paraId="58CADB78">
      <w:pPr>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3.1</w:t>
      </w:r>
      <w:r>
        <w:rPr>
          <w:rFonts w:hint="eastAsia" w:ascii="仿宋_GB2312" w:hAnsi="宋体" w:eastAsia="仿宋_GB2312"/>
          <w:color w:val="000000" w:themeColor="text1"/>
          <w:sz w:val="24"/>
          <w:szCs w:val="24"/>
          <w:highlight w:val="none"/>
          <w14:textFill>
            <w14:solidFill>
              <w14:schemeClr w14:val="tx1"/>
            </w14:solidFill>
          </w14:textFill>
        </w:rPr>
        <w:t>根据自己的实力参与甲方的招（议）标，遵守甲方的管理制度；不得在招标之前或过程中，以不正当手段谋求中标。</w:t>
      </w:r>
    </w:p>
    <w:p w14:paraId="2F2AF698">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3.2不得向甲方员工及其亲属输送任何个人利益以寻求合作机会，不得为甲方人员配偶、子女及特定关系人安排工作、谋取不正当利益或提供各类方便。</w:t>
      </w:r>
    </w:p>
    <w:p w14:paraId="54FC2AA2">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3.3不得以任何理由为甲方和相关单位报销应由对方或个人支付的费用，包括出差期间的交通费和住宿费等。</w:t>
      </w:r>
    </w:p>
    <w:p w14:paraId="1C051E7D">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3.4不得以甲方员工及其亲属的家庭装修、婚丧嫁娶、出国留学等事宜为由进行提供资金及物资资助等行贿行为。</w:t>
      </w:r>
    </w:p>
    <w:p w14:paraId="61180A27">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3.5</w:t>
      </w:r>
      <w:r>
        <w:rPr>
          <w:rFonts w:hint="eastAsia" w:ascii="仿宋_GB2312" w:eastAsia="仿宋_GB2312" w:cs="宋体"/>
          <w:color w:val="000000" w:themeColor="text1"/>
          <w:kern w:val="0"/>
          <w:sz w:val="24"/>
          <w:szCs w:val="24"/>
          <w:highlight w:val="none"/>
          <w14:textFill>
            <w14:solidFill>
              <w14:schemeClr w14:val="tx1"/>
            </w14:solidFill>
          </w14:textFill>
        </w:rPr>
        <w:t>不得向甲方员工提供礼品、礼金、贵重物品或消费卡、会员卡、礼品券等虚拟电子礼品，严禁快递送礼。</w:t>
      </w:r>
    </w:p>
    <w:p w14:paraId="4CC1185F">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w:t>
      </w:r>
      <w:r>
        <w:rPr>
          <w:rFonts w:ascii="仿宋_GB2312" w:eastAsia="仿宋_GB2312" w:cs="宋体"/>
          <w:color w:val="000000" w:themeColor="text1"/>
          <w:kern w:val="0"/>
          <w:sz w:val="24"/>
          <w:szCs w:val="24"/>
          <w:highlight w:val="none"/>
          <w14:textFill>
            <w14:solidFill>
              <w14:schemeClr w14:val="tx1"/>
            </w14:solidFill>
          </w14:textFill>
        </w:rPr>
        <w:t>6</w:t>
      </w:r>
      <w:r>
        <w:rPr>
          <w:rFonts w:hint="eastAsia" w:ascii="仿宋_GB2312" w:eastAsia="仿宋_GB2312" w:cs="宋体"/>
          <w:color w:val="000000" w:themeColor="text1"/>
          <w:kern w:val="0"/>
          <w:sz w:val="24"/>
          <w:szCs w:val="24"/>
          <w:highlight w:val="none"/>
          <w14:textFill>
            <w14:solidFill>
              <w14:schemeClr w14:val="tx1"/>
            </w14:solidFill>
          </w14:textFill>
        </w:rPr>
        <w:t>不得以任何理由为甲方、相关单位或个人组织有可能影响公正执行公务的宴请、健身、娱乐等活动。</w:t>
      </w:r>
    </w:p>
    <w:p w14:paraId="63792980">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3.7</w:t>
      </w:r>
      <w:r>
        <w:rPr>
          <w:rFonts w:hint="eastAsia" w:ascii="仿宋_GB2312" w:eastAsia="仿宋_GB2312" w:cs="宋体"/>
          <w:color w:val="000000" w:themeColor="text1"/>
          <w:kern w:val="0"/>
          <w:sz w:val="24"/>
          <w:szCs w:val="24"/>
          <w:highlight w:val="none"/>
          <w14:textFill>
            <w14:solidFill>
              <w14:schemeClr w14:val="tx1"/>
            </w14:solidFill>
          </w14:textFill>
        </w:rPr>
        <w:t>不得与甲方员工就标书合同条款中的利益条款进行私下协商或达成默契。</w:t>
      </w:r>
    </w:p>
    <w:p w14:paraId="4B344232">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w:t>
      </w:r>
      <w:r>
        <w:rPr>
          <w:rFonts w:ascii="仿宋_GB2312" w:eastAsia="仿宋_GB2312" w:cs="宋体"/>
          <w:color w:val="000000" w:themeColor="text1"/>
          <w:kern w:val="0"/>
          <w:sz w:val="24"/>
          <w:szCs w:val="24"/>
          <w:highlight w:val="none"/>
          <w14:textFill>
            <w14:solidFill>
              <w14:schemeClr w14:val="tx1"/>
            </w14:solidFill>
          </w14:textFill>
        </w:rPr>
        <w:t>.8</w:t>
      </w:r>
      <w:r>
        <w:rPr>
          <w:rFonts w:hint="eastAsia" w:ascii="仿宋_GB2312" w:eastAsia="仿宋_GB2312" w:cs="宋体"/>
          <w:color w:val="000000" w:themeColor="text1"/>
          <w:kern w:val="0"/>
          <w:sz w:val="24"/>
          <w:szCs w:val="24"/>
          <w:highlight w:val="none"/>
          <w14:textFill>
            <w14:solidFill>
              <w14:schemeClr w14:val="tx1"/>
            </w14:solidFill>
          </w14:textFill>
        </w:rPr>
        <w:t>不得安排甲方员工及其亲属从事合资或合股经营行为，不向甲方打探商业秘密或提供兼职报酬。</w:t>
      </w:r>
    </w:p>
    <w:p w14:paraId="2482E88A">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3.9</w:t>
      </w:r>
      <w:r>
        <w:rPr>
          <w:rFonts w:hint="eastAsia" w:ascii="仿宋_GB2312" w:eastAsia="仿宋_GB2312" w:cs="宋体"/>
          <w:color w:val="000000" w:themeColor="text1"/>
          <w:kern w:val="0"/>
          <w:sz w:val="24"/>
          <w:szCs w:val="24"/>
          <w:highlight w:val="none"/>
          <w14:textFill>
            <w14:solidFill>
              <w14:schemeClr w14:val="tx1"/>
            </w14:solidFill>
          </w14:textFill>
        </w:rPr>
        <w:t>不在甲方人员进行市场调研、商务洽谈等期间违规提供公务接待。</w:t>
      </w:r>
    </w:p>
    <w:p w14:paraId="13668BE5">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3.10</w:t>
      </w:r>
      <w:r>
        <w:rPr>
          <w:rFonts w:hint="eastAsia" w:ascii="仿宋_GB2312" w:eastAsia="仿宋_GB2312" w:cs="宋体"/>
          <w:color w:val="000000" w:themeColor="text1"/>
          <w:kern w:val="0"/>
          <w:sz w:val="24"/>
          <w:szCs w:val="24"/>
          <w:highlight w:val="none"/>
          <w14:textFill>
            <w14:solidFill>
              <w14:schemeClr w14:val="tx1"/>
            </w14:solidFill>
          </w14:textFill>
        </w:rPr>
        <w:t>对甲方员工违反本协议的行为及时向甲方的上级监督部门报告。</w:t>
      </w:r>
    </w:p>
    <w:p w14:paraId="5EAFE907">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51" w:name="_Toc300671952"/>
      <w:r>
        <w:rPr>
          <w:rFonts w:hint="eastAsia" w:ascii="仿宋_GB2312" w:hAnsi="宋体" w:eastAsia="仿宋_GB2312" w:cs="宋体"/>
          <w:color w:val="000000" w:themeColor="text1"/>
          <w:kern w:val="0"/>
          <w:sz w:val="24"/>
          <w:szCs w:val="24"/>
          <w:highlight w:val="none"/>
          <w14:textFill>
            <w14:solidFill>
              <w14:schemeClr w14:val="tx1"/>
            </w14:solidFill>
          </w14:textFill>
        </w:rPr>
        <w:t>四、违约责任</w:t>
      </w:r>
      <w:bookmarkEnd w:id="51"/>
    </w:p>
    <w:p w14:paraId="07369165">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4.1甲方工作人员有违反本责任书第一、二条责任行为的，依据有关法律及甲方《员工守则》，提交甲方纪检部门进行处理。</w:t>
      </w:r>
    </w:p>
    <w:p w14:paraId="04940D8D">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4.2乙方工作人员有违反本责任书第一、三条责任行为的，依据有关法律法规处理；向甲方行贿或给甲方单位造成经济损失的，按照受贿金额或损失金额的5-10倍进行处罚</w:t>
      </w:r>
      <w:r>
        <w:rPr>
          <w:rFonts w:hint="eastAsia" w:ascii="仿宋_GB2312" w:hAnsi="宋体" w:eastAsia="仿宋_GB2312"/>
          <w:color w:val="000000" w:themeColor="text1"/>
          <w:sz w:val="24"/>
          <w:szCs w:val="24"/>
          <w:highlight w:val="none"/>
          <w14:textFill>
            <w14:solidFill>
              <w14:schemeClr w14:val="tx1"/>
            </w14:solidFill>
          </w14:textFill>
        </w:rPr>
        <w:t>，立即清除出场，终止合同执行，给甲方造成经济损失的应予以赔偿，同时纳入供应商黑名单；如乙方和甲方的员工勾结虚增结算款，则按照虚增款项的5倍扣减乙方应结算的款项；如发现乙方接受甲方人员要求安排甲方人员亲友在乙方工作，违者除令被安插人员在两天内退出外，并对责任人按每人每次1000元给予罚款。</w:t>
      </w:r>
    </w:p>
    <w:p w14:paraId="796E7AD9">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4.3甲方工作人员不得接受可能影响公正执行公务的礼金（包括各种有价证券）、礼品馈赠。因各种原因未能拒收的，一律上交所属部门并登记。</w:t>
      </w:r>
    </w:p>
    <w:p w14:paraId="70258A8D">
      <w:pPr>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4.4</w:t>
      </w:r>
      <w:r>
        <w:rPr>
          <w:rFonts w:hint="eastAsia" w:ascii="仿宋_GB2312" w:hAnsi="宋体" w:eastAsia="仿宋_GB2312" w:cs="宋体"/>
          <w:color w:val="000000" w:themeColor="text1"/>
          <w:kern w:val="0"/>
          <w:sz w:val="24"/>
          <w:szCs w:val="24"/>
          <w:highlight w:val="none"/>
          <w14:textFill>
            <w14:solidFill>
              <w14:schemeClr w14:val="tx1"/>
            </w14:solidFill>
          </w14:textFill>
        </w:rPr>
        <w:t>甲乙双方必须认真履行本协议，遵纪守法，相互监督，密切配合，共同搞好廉政建设。双方</w:t>
      </w:r>
      <w:r>
        <w:rPr>
          <w:rFonts w:hint="eastAsia" w:ascii="仿宋_GB2312" w:hAnsi="宋体" w:eastAsia="仿宋_GB2312"/>
          <w:color w:val="000000" w:themeColor="text1"/>
          <w:sz w:val="24"/>
          <w:szCs w:val="24"/>
          <w:highlight w:val="none"/>
          <w14:textFill>
            <w14:solidFill>
              <w14:schemeClr w14:val="tx1"/>
            </w14:solidFill>
          </w14:textFill>
        </w:rPr>
        <w:t>认可甲方建立不诚信合作方黑名单制度，如乙方发生向甲方员工的行贿行为、乙方和甲方的员工勾结虚增结算款项的行为，则该乙方进入甲方不诚信合作方黑名单，</w:t>
      </w:r>
      <w:r>
        <w:rPr>
          <w:rFonts w:hint="eastAsia" w:ascii="仿宋_GB2312" w:hAnsi="宋体" w:eastAsia="仿宋_GB2312" w:cs="宋体"/>
          <w:color w:val="000000" w:themeColor="text1"/>
          <w:kern w:val="0"/>
          <w:sz w:val="24"/>
          <w:szCs w:val="24"/>
          <w:highlight w:val="none"/>
          <w14:textFill>
            <w14:solidFill>
              <w14:schemeClr w14:val="tx1"/>
            </w14:solidFill>
          </w14:textFill>
        </w:rPr>
        <w:t>触犯刑律的，移交司法机关处理。</w:t>
      </w:r>
    </w:p>
    <w:p w14:paraId="50D345BA">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4.5本责任书作为主合同的组成部分，与本合同具有同等法律效力。生效条件与主合同相同。</w:t>
      </w:r>
    </w:p>
    <w:p w14:paraId="7DB55BF6">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五、监督举报渠道</w:t>
      </w:r>
    </w:p>
    <w:p w14:paraId="68229878">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5.1信访办公室</w:t>
      </w:r>
    </w:p>
    <w:p w14:paraId="6DEB5C96">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来信地址：石家庄市建设南大街38号中建路桥集团有限公司信访办公室（收）</w:t>
      </w:r>
    </w:p>
    <w:p w14:paraId="651C8BAE">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邮编：050011</w:t>
      </w:r>
    </w:p>
    <w:p w14:paraId="156F4C67">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电话：0311-66538159</w:t>
      </w:r>
    </w:p>
    <w:p w14:paraId="79F90D21">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电子邮箱：sinorbbg@cscec.com</w:t>
      </w:r>
    </w:p>
    <w:p w14:paraId="3372FB7D">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5.2纪检监督工作部</w:t>
      </w:r>
    </w:p>
    <w:p w14:paraId="48712F79">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来信地址：石家庄市建设南大街38号中建路桥集团有限公司纪检监督工作部（收）</w:t>
      </w:r>
    </w:p>
    <w:p w14:paraId="21774485">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邮编：050011</w:t>
      </w:r>
    </w:p>
    <w:p w14:paraId="006CAAF7">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电话：0311-66538173</w:t>
      </w:r>
    </w:p>
    <w:p w14:paraId="417A90BF">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电子邮箱：sinorbjc@cscec.com</w:t>
      </w:r>
    </w:p>
    <w:p w14:paraId="7072F1C9">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lang w:val="en-US" w:eastAsia="zh-CN"/>
          <w14:textFill>
            <w14:solidFill>
              <w14:schemeClr w14:val="tx1"/>
            </w14:solidFill>
          </w14:textFill>
        </w:rPr>
        <w:t>六</w:t>
      </w:r>
      <w:r>
        <w:rPr>
          <w:rFonts w:hint="eastAsia" w:ascii="仿宋_GB2312" w:hAnsi="宋体" w:eastAsia="仿宋_GB2312" w:cs="宋体"/>
          <w:color w:val="000000" w:themeColor="text1"/>
          <w:kern w:val="0"/>
          <w:sz w:val="24"/>
          <w:szCs w:val="24"/>
          <w:highlight w:val="none"/>
          <w14:textFill>
            <w14:solidFill>
              <w14:schemeClr w14:val="tx1"/>
            </w14:solidFill>
          </w14:textFill>
        </w:rPr>
        <w:t>、责任书有效期</w:t>
      </w:r>
    </w:p>
    <w:p w14:paraId="0740A796">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本责任书的有效期为双方签署之日起至该工程项目竣工验收合格时止。</w:t>
      </w:r>
    </w:p>
    <w:p w14:paraId="6FE16E99">
      <w:pPr>
        <w:spacing w:line="400" w:lineRule="atLeast"/>
        <w:ind w:left="4" w:leftChars="2" w:right="210" w:rightChars="100" w:firstLine="448" w:firstLineChars="187"/>
        <w:rPr>
          <w:rFonts w:ascii="仿宋_GB2312" w:hAnsi="仿宋_GB2312" w:eastAsia="仿宋_GB2312" w:cs="仿宋_GB2312"/>
          <w:bCs/>
          <w:color w:val="000000" w:themeColor="text1"/>
          <w:sz w:val="24"/>
          <w:szCs w:val="24"/>
          <w:highlight w:val="none"/>
          <w14:textFill>
            <w14:solidFill>
              <w14:schemeClr w14:val="tx1"/>
            </w14:solidFill>
          </w14:textFill>
        </w:rPr>
      </w:pPr>
      <w:bookmarkStart w:id="52" w:name="_Hlk127199163"/>
    </w:p>
    <w:bookmarkEnd w:id="52"/>
    <w:p w14:paraId="502672BF">
      <w:pPr>
        <w:spacing w:line="400" w:lineRule="exact"/>
        <w:ind w:firstLine="57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甲方（盖章）：                        乙方（公章）：                    </w:t>
      </w:r>
    </w:p>
    <w:p w14:paraId="305F784D">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5B0F8508">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4D4CC409">
      <w:pPr>
        <w:autoSpaceDE w:val="0"/>
        <w:autoSpaceDN w:val="0"/>
        <w:adjustRightInd w:val="0"/>
        <w:spacing w:line="400" w:lineRule="atLeast"/>
        <w:ind w:firstLine="960" w:firstLineChars="4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5F091AA2">
      <w:pPr>
        <w:spacing w:line="400" w:lineRule="exact"/>
        <w:ind w:firstLine="720" w:firstLineChars="300"/>
        <w:rPr>
          <w:rFonts w:ascii="仿宋_GB2312" w:hAnsi="宋体" w:eastAsia="仿宋_GB2312"/>
          <w:color w:val="000000" w:themeColor="text1"/>
          <w:sz w:val="24"/>
          <w:szCs w:val="24"/>
          <w:highlight w:val="none"/>
          <w14:textFill>
            <w14:solidFill>
              <w14:schemeClr w14:val="tx1"/>
            </w14:solidFill>
          </w14:textFill>
        </w:rPr>
        <w:sectPr>
          <w:headerReference r:id="rId14" w:type="default"/>
          <w:footerReference r:id="rId15" w:type="default"/>
          <w:pgSz w:w="11906" w:h="16838"/>
          <w:pgMar w:top="1440" w:right="1800" w:bottom="1440" w:left="1800" w:header="850" w:footer="975" w:gutter="0"/>
          <w:cols w:space="0" w:num="1"/>
          <w:docGrid w:linePitch="312" w:charSpace="0"/>
        </w:sect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w:t>
      </w:r>
    </w:p>
    <w:p w14:paraId="208C47C9">
      <w:pPr>
        <w:pStyle w:val="3"/>
        <w:spacing w:before="0" w:after="0" w:line="480" w:lineRule="exact"/>
        <w:ind w:left="0" w:leftChars="0" w:right="0" w:rightChars="0" w:firstLine="0" w:firstLineChars="0"/>
        <w:jc w:val="center"/>
        <w:rPr>
          <w:rFonts w:ascii="黑体" w:hAnsi="黑体" w:eastAsia="黑体" w:cs="黑体"/>
          <w:color w:val="000000" w:themeColor="text1"/>
          <w:sz w:val="32"/>
          <w:highlight w:val="none"/>
          <w14:textFill>
            <w14:solidFill>
              <w14:schemeClr w14:val="tx1"/>
            </w14:solidFill>
          </w14:textFill>
        </w:rPr>
      </w:pPr>
      <w:bookmarkStart w:id="53" w:name="_Toc27761"/>
      <w:r>
        <w:rPr>
          <w:rFonts w:hint="eastAsia" w:ascii="黑体" w:hAnsi="黑体" w:eastAsia="黑体" w:cs="黑体"/>
          <w:color w:val="000000" w:themeColor="text1"/>
          <w:sz w:val="32"/>
          <w:highlight w:val="none"/>
          <w14:textFill>
            <w14:solidFill>
              <w14:schemeClr w14:val="tx1"/>
            </w14:solidFill>
          </w14:textFill>
        </w:rPr>
        <w:t>第二部分 通用条款</w:t>
      </w:r>
      <w:bookmarkEnd w:id="53"/>
    </w:p>
    <w:p w14:paraId="5783669E">
      <w:pPr>
        <w:pStyle w:val="15"/>
        <w:numPr>
          <w:ilvl w:val="0"/>
          <w:numId w:val="4"/>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54" w:name="_Toc25585"/>
      <w:r>
        <w:rPr>
          <w:rFonts w:hint="eastAsia" w:ascii="仿宋_GB2312" w:hAnsi="仿宋_GB2312" w:eastAsia="仿宋_GB2312" w:cs="仿宋_GB2312"/>
          <w:b/>
          <w:bCs/>
          <w:color w:val="000000" w:themeColor="text1"/>
          <w:highlight w:val="none"/>
          <w14:textFill>
            <w14:solidFill>
              <w14:schemeClr w14:val="tx1"/>
            </w14:solidFill>
          </w14:textFill>
        </w:rPr>
        <w:t>甲方权利及义务</w:t>
      </w:r>
      <w:bookmarkEnd w:id="54"/>
    </w:p>
    <w:p w14:paraId="5DBF623B">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1.1甲方按计划日期提前三天通知乙方，以便乙方做好设备进场调度。</w:t>
      </w:r>
    </w:p>
    <w:p w14:paraId="4941F569">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1.2甲方应对乙方提供的机械设备进行验收，经确认设备状况良好后方可使用。</w:t>
      </w:r>
    </w:p>
    <w:p w14:paraId="5800AE96">
      <w:pPr>
        <w:pStyle w:val="5"/>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1.3甲方按规定对乙方设备进行安全生产检查。</w:t>
      </w:r>
    </w:p>
    <w:p w14:paraId="3396C8B4">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1.4机械设备使用过程中甲方有权监督和管理。</w:t>
      </w:r>
    </w:p>
    <w:p w14:paraId="201BEAD1">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1.5甲方有权根据现场施工进度情况对作业工期做出调整，乙方不得因作业时间调整而提出任何形式索赔。</w:t>
      </w:r>
    </w:p>
    <w:p w14:paraId="75E3398F">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1.6在租赁期间，乙方同意甲方将租赁机械设备转租给第三人使用，但转租期间的租赁费继续由甲方承担。</w:t>
      </w:r>
    </w:p>
    <w:p w14:paraId="11212310">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1.7甲方有权根据现场施工进度情况对作业工期做出调整，乙方不得因作业时间调整而提出任何形式索赔。</w:t>
      </w:r>
    </w:p>
    <w:p w14:paraId="2E4582D0">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1.8甲方有权要求乙方更换不符合要求的设备和操作人员。</w:t>
      </w:r>
    </w:p>
    <w:p w14:paraId="070393DF">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1.9</w:t>
      </w:r>
      <w:r>
        <w:rPr>
          <w:rFonts w:hint="eastAsia" w:ascii="仿宋_GB2312" w:hAnsi="仿宋_GB2312" w:eastAsia="仿宋_GB2312" w:cs="仿宋_GB2312"/>
          <w:color w:val="000000" w:themeColor="text1"/>
          <w:sz w:val="24"/>
          <w:szCs w:val="24"/>
          <w:highlight w:val="none"/>
          <w14:textFill>
            <w14:solidFill>
              <w14:schemeClr w14:val="tx1"/>
            </w14:solidFill>
          </w14:textFill>
        </w:rPr>
        <w:t>对乙方消耗的甲方材料及乙方设备的工作能力进行成本核算，及时清退高耗能、低效率设备。</w:t>
      </w:r>
    </w:p>
    <w:p w14:paraId="47FD4E21">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1.10</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委派专人为本合同现场授权代表，负责指挥协调现场施工，负责机械设备的调度、使用及单证签认。</w:t>
      </w:r>
    </w:p>
    <w:p w14:paraId="1F464080">
      <w:pPr>
        <w:pStyle w:val="15"/>
        <w:numPr>
          <w:ilvl w:val="0"/>
          <w:numId w:val="4"/>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55" w:name="_Toc22562"/>
      <w:r>
        <w:rPr>
          <w:rFonts w:hint="eastAsia" w:ascii="仿宋_GB2312" w:hAnsi="仿宋_GB2312" w:eastAsia="仿宋_GB2312" w:cs="仿宋_GB2312"/>
          <w:b/>
          <w:bCs/>
          <w:color w:val="000000" w:themeColor="text1"/>
          <w:highlight w:val="none"/>
          <w14:textFill>
            <w14:solidFill>
              <w14:schemeClr w14:val="tx1"/>
            </w14:solidFill>
          </w14:textFill>
        </w:rPr>
        <w:t>乙方权利及义务</w:t>
      </w:r>
      <w:bookmarkEnd w:id="55"/>
    </w:p>
    <w:p w14:paraId="40D6FAB2">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2.1乙方合规义务</w:t>
      </w:r>
    </w:p>
    <w:p w14:paraId="4D62A18A">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2.1.1合规开展行业竞争：积极防范和制止垄断行为，不实施任何市场排除、限制竞争行为；不组织经营者集中等违法垄断行为，不实施不正当竞争行为和不正当价格行为，不从事商誉诋毁等违法违规竞争行为。</w:t>
      </w:r>
    </w:p>
    <w:p w14:paraId="2AF95CEA">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2.1.2合规保障服务生产：恪守契约精神，严格按照合同约定时间和地点完成</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设备</w:t>
      </w:r>
      <w:r>
        <w:rPr>
          <w:rFonts w:hint="eastAsia" w:ascii="仿宋_GB2312" w:hAnsi="仿宋_GB2312" w:eastAsia="仿宋_GB2312" w:cs="仿宋_GB2312"/>
          <w:color w:val="000000" w:themeColor="text1"/>
          <w:sz w:val="24"/>
          <w:szCs w:val="24"/>
          <w:highlight w:val="none"/>
          <w14:textFill>
            <w14:solidFill>
              <w14:schemeClr w14:val="tx1"/>
            </w14:solidFill>
          </w14:textFill>
        </w:rPr>
        <w:t>交付，全力保障项目物资设备供应需求。</w:t>
      </w:r>
    </w:p>
    <w:p w14:paraId="346DD9A5">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2.1.3合规履行安全管控职责：自觉遵守甲方施工现场有关安全文明施工、环境和职业健康安全方面的要求，绝不出现违反安全法律和其他安全生产规章制度的行为，具体要求详见合同附件三。</w:t>
      </w:r>
    </w:p>
    <w:p w14:paraId="767C6C4F">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2.1.4合规履行质量管控职责：绝不供应质量</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性能、服务</w:t>
      </w:r>
      <w:r>
        <w:rPr>
          <w:rFonts w:hint="eastAsia" w:ascii="仿宋_GB2312" w:hAnsi="仿宋_GB2312" w:eastAsia="仿宋_GB2312" w:cs="仿宋_GB2312"/>
          <w:color w:val="000000" w:themeColor="text1"/>
          <w:sz w:val="24"/>
          <w:szCs w:val="24"/>
          <w:highlight w:val="none"/>
          <w14:textFill>
            <w14:solidFill>
              <w14:schemeClr w14:val="tx1"/>
            </w14:solidFill>
          </w14:textFill>
        </w:rPr>
        <w:t>不合格</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设备</w:t>
      </w:r>
      <w:r>
        <w:rPr>
          <w:rFonts w:hint="eastAsia" w:ascii="仿宋_GB2312" w:hAnsi="仿宋_GB2312" w:eastAsia="仿宋_GB2312" w:cs="仿宋_GB2312"/>
          <w:color w:val="000000" w:themeColor="text1"/>
          <w:sz w:val="24"/>
          <w:szCs w:val="24"/>
          <w:highlight w:val="none"/>
          <w14:textFill>
            <w14:solidFill>
              <w14:schemeClr w14:val="tx1"/>
            </w14:solidFill>
          </w14:textFill>
        </w:rPr>
        <w:t>，加强自身各环节质量管理，绝不出现任何质量或数量瑕疵，严控假冒伪劣货物流通，严格按本合同约定质量标准和数量要求履约生产。</w:t>
      </w:r>
    </w:p>
    <w:p w14:paraId="0D6A0A74">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2.1.5合规依法纳税职责：严格按照国家税法规定，履行合法合规纳税义务，绝不虚开或伪造增值税专用发票。如乙方未在税务机关要求的期限内缴纳税款，导致甲方无法抵扣进项税的，甲方有权拒绝付款，如已经支付的，甲方有权追回已支付的款项，并要求乙方支付违约金或赔偿损失。</w:t>
      </w:r>
    </w:p>
    <w:p w14:paraId="112B4F14">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2.1.6合规拥有货物所有权：保证对货物具有所有权或受委托代理销售权，并向甲方出具相关凭证。保证交付的货物不附有任何担保权、留置权或设定其他权利负担。</w:t>
      </w:r>
    </w:p>
    <w:p w14:paraId="495D4D55">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2.1.7合规拥有</w:t>
      </w:r>
      <w:r>
        <w:rPr>
          <w:rFonts w:ascii="仿宋_GB2312" w:hAnsi="仿宋_GB2312" w:eastAsia="仿宋_GB2312" w:cs="仿宋_GB2312"/>
          <w:color w:val="000000" w:themeColor="text1"/>
          <w:sz w:val="24"/>
          <w:szCs w:val="24"/>
          <w:highlight w:val="none"/>
          <w14:textFill>
            <w14:solidFill>
              <w14:schemeClr w14:val="tx1"/>
            </w14:solidFill>
          </w14:textFill>
        </w:rPr>
        <w:t>货物知识产权：保障甲方在工程所在地使用其货物、</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设备、</w:t>
      </w:r>
      <w:r>
        <w:rPr>
          <w:rFonts w:ascii="仿宋_GB2312" w:hAnsi="仿宋_GB2312" w:eastAsia="仿宋_GB2312" w:cs="仿宋_GB2312"/>
          <w:color w:val="000000" w:themeColor="text1"/>
          <w:sz w:val="24"/>
          <w:szCs w:val="24"/>
          <w:highlight w:val="none"/>
          <w14:textFill>
            <w14:solidFill>
              <w14:schemeClr w14:val="tx1"/>
            </w14:solidFill>
          </w14:textFill>
        </w:rPr>
        <w:t>服务及其任何部分不受到第三方关于侵犯专利权、商标权、工业设计权或其他知识产权的指控。任何第三方如果提起侵权诉讼，乙方负责与第三方交涉并承担由此而引起的一切法律责任和费用及赔偿甲方的一切损失。</w:t>
      </w:r>
    </w:p>
    <w:p w14:paraId="4B686601">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2.1.8合规开展廉洁共建职责：绝不从事任何形式的商业贿赂、利益输送及其他不正当交易；绝不以任何理由为甲方、相关单位或个人组织有可能影响公正执行公务的宴请、娱乐等活动，具体要求详见合同附件四。 </w:t>
      </w:r>
    </w:p>
    <w:p w14:paraId="689DAB63">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2.2乙方其他义务</w:t>
      </w:r>
    </w:p>
    <w:p w14:paraId="2BA5A546">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2.2.1乙方应具有国家和地方政府授予的相应资质，租赁设备应符合国家和地方政府的市场准入要求，并向甲方出示设备的性能检测报告、备案证明、出厂合格证、维修保养证明及其他需要相应的证明文件,包括但不限于营业执照、组织结构代码、税务登记证、资质证书等。</w:t>
      </w:r>
    </w:p>
    <w:p w14:paraId="32E9FEF5">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2.2.2乙方对租赁设备应具有合法的所有权和转租权，保证甲方在租赁期内不因任何第三方主张该租赁设备的任何权利而影响正常使用。</w:t>
      </w:r>
    </w:p>
    <w:p w14:paraId="7887248E">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2.2.3乙方提供的设备必须证照齐全</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符合安全环保等相关要求（</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提供</w:t>
      </w:r>
      <w:r>
        <w:rPr>
          <w:rFonts w:hint="eastAsia" w:ascii="仿宋_GB2312" w:hAnsi="仿宋_GB2312" w:eastAsia="仿宋_GB2312" w:cs="仿宋_GB2312"/>
          <w:color w:val="000000" w:themeColor="text1"/>
          <w:sz w:val="24"/>
          <w:szCs w:val="24"/>
          <w:highlight w:val="none"/>
          <w14:textFill>
            <w14:solidFill>
              <w14:schemeClr w14:val="tx1"/>
            </w14:solidFill>
          </w14:textFill>
        </w:rPr>
        <w:t>包含但不限于定期检查报告、商业保险、强制性保险、安全检验合格证、产权备案证、特种设备制造许可证、</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产品合格证书、</w:t>
      </w:r>
      <w:r>
        <w:rPr>
          <w:rFonts w:hint="eastAsia" w:ascii="仿宋_GB2312" w:hAnsi="仿宋_GB2312" w:eastAsia="仿宋_GB2312" w:cs="仿宋_GB2312"/>
          <w:color w:val="auto"/>
          <w:sz w:val="24"/>
          <w:szCs w:val="24"/>
          <w:highlight w:val="none"/>
        </w:rPr>
        <w:t>特种设备安全检验合格证书</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如需）</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环保合格证</w:t>
      </w:r>
      <w:r>
        <w:rPr>
          <w:rFonts w:hint="eastAsia" w:ascii="仿宋_GB2312" w:hAnsi="仿宋_GB2312" w:eastAsia="仿宋_GB2312" w:cs="仿宋_GB2312"/>
          <w:color w:val="000000" w:themeColor="text1"/>
          <w:sz w:val="24"/>
          <w:szCs w:val="24"/>
          <w:highlight w:val="none"/>
          <w14:textFill>
            <w14:solidFill>
              <w14:schemeClr w14:val="tx1"/>
            </w14:solidFill>
          </w14:textFill>
        </w:rPr>
        <w:t>等资料），无第三方责权纠纷，因设备本身造成的安全责任和经济责任由乙方承担。</w:t>
      </w:r>
    </w:p>
    <w:p w14:paraId="683A06D5">
      <w:pPr>
        <w:spacing w:line="52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2.2.4乙方授权</w:t>
      </w:r>
      <w:permStart w:id="10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04"/>
      <w:r>
        <w:rPr>
          <w:rFonts w:hint="eastAsia" w:ascii="仿宋_GB2312" w:hAnsi="仿宋_GB2312" w:eastAsia="仿宋_GB2312" w:cs="仿宋_GB2312"/>
          <w:color w:val="000000" w:themeColor="text1"/>
          <w:sz w:val="24"/>
          <w:szCs w:val="24"/>
          <w:highlight w:val="none"/>
          <w14:textFill>
            <w14:solidFill>
              <w14:schemeClr w14:val="tx1"/>
            </w14:solidFill>
          </w14:textFill>
        </w:rPr>
        <w:t>为现场代表，负责与甲方的工作对接和协调，以及对乙方现场其他工作人员的管理。乙方在现场的一切管理活动需遵守现场的各项规章制度，人员进入现场应统一着装，听从甲方的指挥安排。</w:t>
      </w:r>
    </w:p>
    <w:p w14:paraId="6FB7CF22">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2.2.5乙方在承租期内负责</w:t>
      </w:r>
      <w:r>
        <w:rPr>
          <w:rFonts w:hint="eastAsia" w:ascii="仿宋_GB2312" w:hAnsi="仿宋_GB2312" w:eastAsia="仿宋_GB2312" w:cs="仿宋_GB2312"/>
          <w:color w:val="auto"/>
          <w:sz w:val="24"/>
          <w:szCs w:val="24"/>
          <w:highlight w:val="none"/>
          <w:lang w:val="en-US" w:eastAsia="zh-CN"/>
        </w:rPr>
        <w:t>设备</w:t>
      </w:r>
      <w:r>
        <w:rPr>
          <w:rFonts w:hint="eastAsia" w:ascii="仿宋_GB2312" w:hAnsi="仿宋_GB2312" w:eastAsia="仿宋_GB2312" w:cs="仿宋_GB2312"/>
          <w:color w:val="000000" w:themeColor="text1"/>
          <w:sz w:val="24"/>
          <w:szCs w:val="24"/>
          <w:highlight w:val="none"/>
          <w14:textFill>
            <w14:solidFill>
              <w14:schemeClr w14:val="tx1"/>
            </w14:solidFill>
          </w14:textFill>
        </w:rPr>
        <w:t>维修费用。</w:t>
      </w:r>
    </w:p>
    <w:p w14:paraId="1F16E169">
      <w:pPr>
        <w:spacing w:line="480" w:lineRule="exact"/>
        <w:ind w:firstLine="480" w:firstLineChars="200"/>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2.2.6 合同期间乙方机械进场后应服从甲方现场统一管理和调度</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，如不服从每次支付违约1000元。</w:t>
      </w:r>
    </w:p>
    <w:p w14:paraId="047F8103">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2.2.7 乙方应提供充足的人员配备，承诺所有上岗人员均具备良好的操作技能和职业道德，持有有效的上岗证件，满足甲方的使用要求，若乙方提供的特殊工种作业人员无证上岗，因此造成的安全责任和经济责任由乙方承担。</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若由甲方先行承担的，甲方有权在向乙方支付任何一笔结算款中予以扣除。</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乙方保证与本合同机械设备的操作人员有合法有效的劳动合同关系，承担并支付操作人员的工资、奖金、福利、津贴、劳保用品和社会保险等各种费用。</w:t>
      </w:r>
    </w:p>
    <w:p w14:paraId="1E0CF6A9">
      <w:pPr>
        <w:spacing w:line="480" w:lineRule="exact"/>
        <w:ind w:firstLine="480" w:firstLineChars="200"/>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2.2.8 未经甲方同意乙方私自调换施工机械和机械手，每发生一次支付违约金500元，甲方保留追究因乙方调换、调离机械车辆所造成损失的权利，期间造成后果由乙方承担。</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若由甲方先行承担的，甲方有权在向乙方支付任何一笔结算款中予以扣除。</w:t>
      </w:r>
    </w:p>
    <w:p w14:paraId="5A59CBDB">
      <w:pPr>
        <w:spacing w:line="480" w:lineRule="exact"/>
        <w:ind w:firstLine="480" w:firstLineChars="200"/>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2.2.9 乙方应对操作人员进行上岗前安全教育和安全操作技术交底</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并向甲方备案相关资料</w:t>
      </w:r>
      <w:r>
        <w:rPr>
          <w:rFonts w:hint="eastAsia" w:ascii="仿宋_GB2312" w:hAnsi="仿宋_GB2312" w:eastAsia="仿宋_GB2312" w:cs="仿宋_GB2312"/>
          <w:color w:val="000000" w:themeColor="text1"/>
          <w:sz w:val="24"/>
          <w:szCs w:val="24"/>
          <w:highlight w:val="none"/>
          <w14:textFill>
            <w14:solidFill>
              <w14:schemeClr w14:val="tx1"/>
            </w14:solidFill>
          </w14:textFill>
        </w:rPr>
        <w:t>，机械手在施工期间，必须遵守交通规则和机动车辆操作规程、严禁违章驾驶和酒后开车，施工期间因任何乙方原因造成的安全事故，由乙方承担全部损失。</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若由甲方先行承担的，甲方有权在向乙方支付任何一笔结算款中予以扣除。</w:t>
      </w:r>
    </w:p>
    <w:p w14:paraId="3B531FD1">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2.2.10 乙方应向甲方提供状况良好的设备，配齐灯光、信号、救生、消防设施及通讯设备</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并</w:t>
      </w:r>
      <w:r>
        <w:rPr>
          <w:rFonts w:hint="eastAsia" w:ascii="仿宋_GB2312" w:hAnsi="仿宋_GB2312" w:eastAsia="仿宋_GB2312" w:cs="仿宋_GB2312"/>
          <w:color w:val="000000" w:themeColor="text1"/>
          <w:sz w:val="24"/>
          <w:szCs w:val="24"/>
          <w:highlight w:val="none"/>
          <w14:textFill>
            <w14:solidFill>
              <w14:schemeClr w14:val="tx1"/>
            </w14:solidFill>
          </w14:textFill>
        </w:rPr>
        <w:t>做好设备维修保养工作。保证机械完好，安全装置齐全、有效，积极消除机械故障</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p w14:paraId="27456E15">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2.2.11 乙方在操作设备时应时刻注意设备周边建筑物、构建物等情况，避免发生碰撞事件，因操作造成的他人财产或成品破坏等损失，由乙方自行承担。</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若由甲方先行承担的，甲方有权在向乙方支付任何一笔结算款中予以扣除。</w:t>
      </w:r>
    </w:p>
    <w:p w14:paraId="60C0281F">
      <w:pPr>
        <w:spacing w:line="480" w:lineRule="exact"/>
        <w:ind w:firstLine="480" w:firstLineChars="200"/>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2.2.12 设备架设前，乙方必须对现场架设场地进行验收，因乙方支腿不牢发生的设备事故由乙方负责。</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若由甲方先行承担的，甲方有权在向乙方支付任何一笔结算款中予以扣除。</w:t>
      </w:r>
    </w:p>
    <w:p w14:paraId="51194A6F">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2.2.13 乙方应指定专人负责现场施工工作，24小时驻现场，随时服从甲方的安排。</w:t>
      </w:r>
    </w:p>
    <w:p w14:paraId="17DCA794">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2.2.14 乙方应保证设备完好，若因设备自身缺陷造成的一切损失由乙方承担。</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若由甲方先行承担的，甲方有权在向乙方支付任何一笔结算款中予以扣除。</w:t>
      </w:r>
    </w:p>
    <w:p w14:paraId="7ECB4C85">
      <w:pPr>
        <w:spacing w:line="480" w:lineRule="exact"/>
        <w:ind w:firstLine="480" w:firstLineChars="200"/>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2.2.15</w:t>
      </w:r>
      <w:r>
        <w:rPr>
          <w:rFonts w:hint="eastAsia" w:ascii="仿宋_GB2312" w:hAnsi="仿宋_GB2312" w:eastAsia="仿宋_GB2312" w:cs="仿宋_GB2312"/>
          <w:color w:val="000000" w:themeColor="text1"/>
          <w:sz w:val="24"/>
          <w:szCs w:val="24"/>
          <w:highlight w:val="none"/>
          <w14:textFill>
            <w14:solidFill>
              <w14:schemeClr w14:val="tx1"/>
            </w14:solidFill>
          </w14:textFill>
        </w:rPr>
        <w:t>由于乙方或第三方原因发生的人身伤亡、机损事故、交通事故等均由乙方承担全部责任及经济损失。对于第三方原因造成的人身伤亡、机损事故、交通事故等的经济损失，由乙方直接向第三方索赔，甲方不承担相关责任。</w:t>
      </w:r>
    </w:p>
    <w:p w14:paraId="78913751">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2.2.16 乙方应确保提供的一般纳税人资格认定证明、收款账户合法有效，若乙方收款账户发生变更，应提前3个工作日以正式函件形式通知甲方，否则甲方有权拒绝付款，因此导致的相关损失由乙方自行承担。</w:t>
      </w:r>
    </w:p>
    <w:p w14:paraId="5878D037">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2.2.17 乙方单位名称或工商登记注册信息发生变更的，应自变更之日起3个工作日内以正式函件形式通知甲方，并提交变更后的工商登记注册及变更信息材料。</w:t>
      </w:r>
    </w:p>
    <w:p w14:paraId="7F699E44">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2.2.18 乙方应确保其开具的增值税发票合法有效、完整、准确，不得虚开、非法购买增值税发票、购买伪造的增值税发票，否则应承担相应法律责任，同时赔偿因上述违法行为给甲方造成的经济损失。</w:t>
      </w:r>
    </w:p>
    <w:p w14:paraId="6BD5F3E2">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2.2.19</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乙方设备施工、存放及乙方操作人员行为举止应满足甲方文明生产、文明生活要求。</w:t>
      </w:r>
    </w:p>
    <w:p w14:paraId="4ED4A94F">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2.2.20</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乙方应按照甲方要求编制保障施工质量和施工进度的设备组织方案和实施措施。</w:t>
      </w:r>
    </w:p>
    <w:p w14:paraId="35E691A2">
      <w:pPr>
        <w:spacing w:line="480" w:lineRule="exact"/>
        <w:ind w:firstLine="480" w:firstLineChars="200"/>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2.2.21</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乙方须配合甲方对乙方消耗的甲方材料及乙方工作能力进行成本核算，及时更换高耗能、低效率设备。</w:t>
      </w:r>
    </w:p>
    <w:p w14:paraId="45B48331">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2.2.22</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机械进退场时地方问题的解决及费用承担</w:t>
      </w:r>
    </w:p>
    <w:p w14:paraId="123E831D">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2.2.22.1</w:t>
      </w:r>
      <w:r>
        <w:rPr>
          <w:rFonts w:hint="eastAsia" w:ascii="仿宋_GB2312" w:hAnsi="仿宋_GB2312" w:eastAsia="仿宋_GB2312" w:cs="仿宋_GB2312"/>
          <w:color w:val="000000" w:themeColor="text1"/>
          <w:sz w:val="24"/>
          <w:szCs w:val="24"/>
          <w:highlight w:val="none"/>
          <w14:textFill>
            <w14:solidFill>
              <w14:schemeClr w14:val="tx1"/>
            </w14:solidFill>
          </w14:textFill>
        </w:rPr>
        <w:t>设备进场时，如果发生地方阻车情况，甲方负责协调，乙方协助，费用甲乙双方自理。</w:t>
      </w:r>
    </w:p>
    <w:p w14:paraId="099166AC">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2.2.22.2</w:t>
      </w:r>
      <w:r>
        <w:rPr>
          <w:rFonts w:hint="eastAsia" w:ascii="仿宋_GB2312" w:hAnsi="仿宋_GB2312" w:eastAsia="仿宋_GB2312" w:cs="仿宋_GB2312"/>
          <w:color w:val="000000" w:themeColor="text1"/>
          <w:sz w:val="24"/>
          <w:szCs w:val="24"/>
          <w:highlight w:val="none"/>
          <w14:textFill>
            <w14:solidFill>
              <w14:schemeClr w14:val="tx1"/>
            </w14:solidFill>
          </w14:textFill>
        </w:rPr>
        <w:t>甲方通知乙方退场，乙方未及时退场而遇到退场阻车情况，地方问题的解决及费用由乙方自行承担。</w:t>
      </w:r>
    </w:p>
    <w:p w14:paraId="7496E349">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2.2.22.3</w:t>
      </w:r>
      <w:r>
        <w:rPr>
          <w:rFonts w:hint="eastAsia" w:ascii="仿宋_GB2312" w:hAnsi="仿宋_GB2312" w:eastAsia="仿宋_GB2312" w:cs="仿宋_GB2312"/>
          <w:color w:val="000000" w:themeColor="text1"/>
          <w:sz w:val="24"/>
          <w:szCs w:val="24"/>
          <w:highlight w:val="none"/>
          <w14:textFill>
            <w14:solidFill>
              <w14:schemeClr w14:val="tx1"/>
            </w14:solidFill>
          </w14:textFill>
        </w:rPr>
        <w:t>由于甲方原因，设备未及时退场，甲方负责协调地方关系，乙方负责设备看管，费用甲乙双方自理。</w:t>
      </w:r>
    </w:p>
    <w:p w14:paraId="537A6BC8">
      <w:pPr>
        <w:spacing w:line="480" w:lineRule="exact"/>
        <w:ind w:firstLine="480" w:firstLineChars="200"/>
        <w:rPr>
          <w:rFonts w:hint="default" w:eastAsia="仿宋_GB2312"/>
          <w:lang w:val="en-US" w:eastAsia="zh-CN"/>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2.2.23</w:t>
      </w:r>
      <w:r>
        <w:rPr>
          <w:rFonts w:hint="eastAsia" w:ascii="仿宋_GB2312" w:hAnsi="仿宋_GB2312" w:eastAsia="仿宋_GB2312" w:cs="仿宋_GB2312"/>
          <w:color w:val="000000" w:themeColor="text1"/>
          <w:sz w:val="24"/>
          <w:szCs w:val="24"/>
          <w:highlight w:val="none"/>
          <w14:textFill>
            <w14:solidFill>
              <w14:schemeClr w14:val="tx1"/>
            </w14:solidFill>
          </w14:textFill>
        </w:rPr>
        <w:t>除上述工作以外本合同虽无约定，但乙方作为有相应资质、经验的专业公司为实现本合同目的，应当预料和给予充分的注意，尽量减少乙方和甲方损失所应做的全部工作，并承担相应的经济责任、安全责任、法律责任。</w:t>
      </w:r>
    </w:p>
    <w:p w14:paraId="7B6FBF8C">
      <w:pPr>
        <w:pStyle w:val="15"/>
        <w:numPr>
          <w:ilvl w:val="0"/>
          <w:numId w:val="4"/>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56" w:name="_Toc21169"/>
      <w:r>
        <w:rPr>
          <w:rFonts w:hint="eastAsia" w:ascii="仿宋_GB2312" w:hAnsi="仿宋_GB2312" w:eastAsia="仿宋_GB2312" w:cs="仿宋_GB2312"/>
          <w:b/>
          <w:bCs/>
          <w:color w:val="000000" w:themeColor="text1"/>
          <w:highlight w:val="none"/>
          <w14:textFill>
            <w14:solidFill>
              <w14:schemeClr w14:val="tx1"/>
            </w14:solidFill>
          </w14:textFill>
        </w:rPr>
        <w:t>违约责任</w:t>
      </w:r>
      <w:bookmarkEnd w:id="56"/>
    </w:p>
    <w:p w14:paraId="6F49AD1D">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3.1 未按时间进场、验收、备案、出场，除在甲方许可的期限内完成外，</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乙方应向甲方偿付1000元/天/台的违约金，且除违约金外乙方必须承担甲方项目实际工期损失及经济损失</w:t>
      </w:r>
      <w:r>
        <w:rPr>
          <w:rFonts w:hint="eastAsia" w:ascii="仿宋_GB2312" w:hAnsi="仿宋_GB2312" w:eastAsia="仿宋_GB2312" w:cs="仿宋_GB2312"/>
          <w:color w:val="000000" w:themeColor="text1"/>
          <w:sz w:val="24"/>
          <w:szCs w:val="24"/>
          <w:highlight w:val="none"/>
          <w14:textFill>
            <w14:solidFill>
              <w14:schemeClr w14:val="tx1"/>
            </w14:solidFill>
          </w14:textFill>
        </w:rPr>
        <w:t>。其中未按甲方通知时间拆卸、退场租赁机械设备的，自甲方通知拆卸、退场相关机械设备之日至乙方实际退场之日期间，收取500元/天的占地费，</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若乙方超过甲方通知期限仍未履行义务，则甲方有权自行委托有相应资质的第三方组织拆卸、退场相关机械设备，并从应当支付至乙方的相关费用当中予以扣除，乙方对此不持异议。</w:t>
      </w:r>
    </w:p>
    <w:p w14:paraId="2C68F15F">
      <w:pPr>
        <w:spacing w:line="480" w:lineRule="exact"/>
        <w:ind w:firstLine="480" w:firstLineChars="200"/>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3.2 未按合同约定的租赁机械设备品牌、规格、型号等特征提供租赁机械设备，除在甲方许可期限内提供合格的设备外，</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乙方应向甲方偿付1000元/天/台的违约金，且除违约金外乙方必须承担甲方项目实际工期损失及经济损失。</w:t>
      </w:r>
    </w:p>
    <w:p w14:paraId="12173178">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3.3 未按数量提供租赁机械设备，致使甲方不能如期正常使用的，除按规定如数补齐外，</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乙方应偿付1000元/天/台的违约金，且除违约金外乙方必须承担甲方项目实际工期损失及经济损失。</w:t>
      </w:r>
    </w:p>
    <w:p w14:paraId="4A5E1081">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3.4 未按甲方要求按时完成设备检测备案相关手续，致使甲方不能按期使用，则拖延一天使用时间，</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处以 1000 元/天/台的违约金，且除违约金外乙方必须承</w:t>
      </w:r>
      <w:r>
        <w:rPr>
          <w:rFonts w:hint="eastAsia" w:ascii="仿宋_GB2312" w:hAnsi="仿宋_GB2312" w:eastAsia="仿宋_GB2312" w:cs="仿宋_GB2312"/>
          <w:color w:val="000000" w:themeColor="text1"/>
          <w:sz w:val="24"/>
          <w:szCs w:val="24"/>
          <w:highlight w:val="none"/>
          <w14:textFill>
            <w14:solidFill>
              <w14:schemeClr w14:val="tx1"/>
            </w14:solidFill>
          </w14:textFill>
        </w:rPr>
        <w:t>担甲方项目实际工期损失及经济损失。</w:t>
      </w:r>
    </w:p>
    <w:p w14:paraId="430BF58E">
      <w:pPr>
        <w:spacing w:line="480" w:lineRule="exact"/>
        <w:ind w:firstLine="480" w:firstLineChars="200"/>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3.5</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乙方机械设备或操作人员延期3日入场的或者乙方的机械设备或操作人员私自退场超过3日的，甲方有权解除本合同，除上述的违约金外，乙方还应按照本合同租期内的租金总额的10%向甲方支付违约金。</w:t>
      </w:r>
    </w:p>
    <w:p w14:paraId="12662BF2">
      <w:pPr>
        <w:spacing w:line="480" w:lineRule="exact"/>
        <w:ind w:firstLine="480" w:firstLineChars="200"/>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3.6设备按时间租赁时：（1）月租形式：因</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原因造成设备不能正常为甲方服务的时间</w:t>
      </w:r>
      <w:r>
        <w:rPr>
          <w:rFonts w:hint="eastAsia" w:ascii="仿宋_GB2312" w:hAnsi="仿宋_GB2312" w:eastAsia="仿宋_GB2312" w:cs="仿宋_GB2312"/>
          <w:color w:val="000000" w:themeColor="text1"/>
          <w:sz w:val="24"/>
          <w:szCs w:val="24"/>
          <w:highlight w:val="none"/>
          <w14:textFill>
            <w14:solidFill>
              <w14:schemeClr w14:val="tx1"/>
            </w14:solidFill>
          </w14:textFill>
        </w:rPr>
        <w:t>每月</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累计</w:t>
      </w:r>
      <w:r>
        <w:rPr>
          <w:rFonts w:hint="eastAsia" w:ascii="仿宋_GB2312" w:hAnsi="仿宋_GB2312" w:eastAsia="仿宋_GB2312" w:cs="仿宋_GB2312"/>
          <w:color w:val="000000" w:themeColor="text1"/>
          <w:sz w:val="24"/>
          <w:szCs w:val="24"/>
          <w:highlight w:val="none"/>
          <w14:textFill>
            <w14:solidFill>
              <w14:schemeClr w14:val="tx1"/>
            </w14:solidFill>
          </w14:textFill>
        </w:rPr>
        <w:t>不超过</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48小时</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48小时</w:t>
      </w:r>
      <w:r>
        <w:rPr>
          <w:rFonts w:hint="eastAsia" w:ascii="仿宋_GB2312" w:hAnsi="仿宋_GB2312" w:eastAsia="仿宋_GB2312" w:cs="仿宋_GB2312"/>
          <w:color w:val="000000" w:themeColor="text1"/>
          <w:sz w:val="24"/>
          <w:szCs w:val="24"/>
          <w:highlight w:val="none"/>
          <w14:textFill>
            <w14:solidFill>
              <w14:schemeClr w14:val="tx1"/>
            </w14:solidFill>
          </w14:textFill>
        </w:rPr>
        <w:t>之内给予</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计</w:t>
      </w:r>
      <w:r>
        <w:rPr>
          <w:rFonts w:hint="eastAsia" w:ascii="仿宋_GB2312" w:hAnsi="仿宋_GB2312" w:eastAsia="仿宋_GB2312" w:cs="仿宋_GB2312"/>
          <w:color w:val="000000" w:themeColor="text1"/>
          <w:sz w:val="24"/>
          <w:szCs w:val="24"/>
          <w:highlight w:val="none"/>
          <w14:textFill>
            <w14:solidFill>
              <w14:schemeClr w14:val="tx1"/>
            </w14:solidFill>
          </w14:textFill>
        </w:rPr>
        <w:t>租，超过</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48小时的不能服务时间</w:t>
      </w:r>
      <w:r>
        <w:rPr>
          <w:rFonts w:hint="eastAsia" w:ascii="仿宋_GB2312" w:hAnsi="仿宋_GB2312" w:eastAsia="仿宋_GB2312" w:cs="仿宋_GB2312"/>
          <w:color w:val="000000" w:themeColor="text1"/>
          <w:sz w:val="24"/>
          <w:szCs w:val="24"/>
          <w:highlight w:val="none"/>
          <w14:textFill>
            <w14:solidFill>
              <w14:schemeClr w14:val="tx1"/>
            </w14:solidFill>
          </w14:textFill>
        </w:rPr>
        <w:t>不计租赁费。设备每月必须保证运转不低于240个小时,由于乙方原因低于规定的运转时间，甲方可按乙方的实际运转时间折合台班计算乙方租赁</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费。（2）日租形式：乙方机械发生故障之时应当对机械进行报停，同时自停用之时停止计算租金，报停时间以甲方发送的报停通知或重新启用通知载明时间为准。乙方在机械故障超过2小时不能修复时应该更换机械或提前退场。</w:t>
      </w:r>
    </w:p>
    <w:p w14:paraId="25EAE6DE">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若发现乙方存在以下行为，视为违约并处以相应的罚款，在当期结算款应付款中扣除（当期结算款额度不够的在下期结算款中扣除），并保留追究相应责任的权利。</w:t>
      </w:r>
    </w:p>
    <w:p w14:paraId="25EE3B27">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（1）伪造或虚开工程量数据，一经发现处以罚款2万元/次；</w:t>
      </w:r>
    </w:p>
    <w:p w14:paraId="7124F115">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（2）伪造甲方管理人员签字盖章，一经发现处以罚款5万元/次；</w:t>
      </w:r>
    </w:p>
    <w:p w14:paraId="1B3761A6">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（3）伪造结算书或其他结算相关材料，一经发现处以罚款10万元/次。</w:t>
      </w:r>
    </w:p>
    <w:p w14:paraId="4B1C62A8">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上述违约情形，若乙方在甲方通知期限内未采取有效措施纠正其违约行为，甲方有权采取以下任何一种方式解决：</w:t>
      </w:r>
    </w:p>
    <w:p w14:paraId="64DB1894">
      <w:pPr>
        <w:spacing w:line="480" w:lineRule="exact"/>
        <w:ind w:left="420" w:left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1）按其认为适当的条件和方式承租类似机械设备，由乙方承担相应费用，具体费用以甲方与第三方办理的结算为准。</w:t>
      </w:r>
    </w:p>
    <w:p w14:paraId="5E439A6E">
      <w:pPr>
        <w:spacing w:line="480" w:lineRule="exact"/>
        <w:ind w:left="420" w:left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2）书面通知乙方终止合同，由此造成的损失由乙方承担。</w:t>
      </w:r>
    </w:p>
    <w:p w14:paraId="1B0A4ED0">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若乙方开具或税务机关代开的增值税发票存在不合规或其他导致甲方无法抵扣情形的，则甲方有权拒收增值税发票，并有权暂停支付相应款项直到甲方收到符合要求的增值税发票之日止。如乙方开具不合规发票导致甲方税金损失的，乙方应赔偿甲方遭受的全部损失，赔偿范围包括但不限于：甲方无法办理增值税及附加税抵扣而导致的抵扣金额损失、增值税在</w:t>
      </w:r>
      <w:permStart w:id="10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05"/>
      <w:r>
        <w:rPr>
          <w:rFonts w:hint="eastAsia" w:ascii="仿宋_GB2312" w:hAnsi="仿宋_GB2312" w:eastAsia="仿宋_GB2312" w:cs="仿宋_GB2312"/>
          <w:color w:val="000000" w:themeColor="text1"/>
          <w:sz w:val="24"/>
          <w:szCs w:val="24"/>
          <w:highlight w:val="none"/>
          <w14:textFill>
            <w14:solidFill>
              <w14:schemeClr w14:val="tx1"/>
            </w14:solidFill>
          </w14:textFill>
        </w:rPr>
        <w:t>等地区的附加税费（附加税费包括城建税、教育费附加、地方教育附加、防洪费、河道费等税费）额外增加的企业所得税、因乙方行为导致甲方遭受相关行政处罚而支出的罚款、滞纳金等费用。</w:t>
      </w:r>
    </w:p>
    <w:p w14:paraId="49144D8D">
      <w:pPr>
        <w:pStyle w:val="15"/>
        <w:spacing w:line="480" w:lineRule="exact"/>
        <w:ind w:firstLine="482" w:firstLineChars="200"/>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3.9未经甲方书面同意，乙方不得以对甲方享有之任何债权向其他第三方进行转让或提供任何形式之担保或保证等。</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乙方擅自转让或提供担保的，转让及对外提供担保无效，乙方应在违约转让债权之日起五日内，按照违约转让债权总额的5%向甲方支付违约金，逾期支付并应承担违约付款责任，同时债权转让不发生法律效力。经甲方同意转让合同权利，不解除乙方应承担本合同项下的义务和责任。</w:t>
      </w:r>
    </w:p>
    <w:p w14:paraId="27E90479">
      <w:pPr>
        <w:spacing w:line="520" w:lineRule="exact"/>
        <w:ind w:firstLine="480" w:firstLineChars="200"/>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3.10乙方不履行本协议约定义务或中途终止履行合同（符合本合同约定的调价和合同解除条件除外）的，乙方按照项目实际工期损失、经济损失承担违约金。</w:t>
      </w:r>
    </w:p>
    <w:p w14:paraId="7BFF737B">
      <w:pPr>
        <w:spacing w:line="520" w:lineRule="exact"/>
        <w:ind w:firstLine="480" w:firstLineChars="200"/>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3.11乙方违约后，甲方有权直接从乙方结算款或应付款中扣除违约金；甲方决定合同继续履行的，乙方除承担上述违约责任，仍应继续履行合同。</w:t>
      </w:r>
    </w:p>
    <w:p w14:paraId="53752379">
      <w:pPr>
        <w:spacing w:line="520" w:lineRule="exact"/>
        <w:ind w:firstLine="480" w:firstLineChars="200"/>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3.12因乙方原因给甲方造成返工、材料浪费、材料损失、质量缺陷等损失的，由乙方承担责任，并赔偿甲方的损失。</w:t>
      </w:r>
    </w:p>
    <w:p w14:paraId="718A9373">
      <w:pPr>
        <w:pStyle w:val="15"/>
        <w:numPr>
          <w:ilvl w:val="0"/>
          <w:numId w:val="4"/>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57" w:name="_Toc32194"/>
      <w:bookmarkStart w:id="58" w:name="_Toc26643"/>
      <w:r>
        <w:rPr>
          <w:rFonts w:hint="eastAsia" w:ascii="仿宋_GB2312" w:hAnsi="仿宋_GB2312" w:eastAsia="仿宋_GB2312" w:cs="仿宋_GB2312"/>
          <w:b/>
          <w:bCs/>
          <w:color w:val="000000" w:themeColor="text1"/>
          <w:highlight w:val="none"/>
          <w14:textFill>
            <w14:solidFill>
              <w14:schemeClr w14:val="tx1"/>
            </w14:solidFill>
          </w14:textFill>
        </w:rPr>
        <w:t>合同变更</w:t>
      </w:r>
      <w:bookmarkEnd w:id="57"/>
      <w:bookmarkEnd w:id="58"/>
    </w:p>
    <w:p w14:paraId="6D1FF3A8">
      <w:pPr>
        <w:pStyle w:val="15"/>
        <w:spacing w:line="480" w:lineRule="exact"/>
        <w:ind w:firstLine="482"/>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经双方协商一致可以对本合同条款进行修改、变更或增减，并成为本合同的补充文件，</w:t>
      </w:r>
      <w:r>
        <w:rPr>
          <w:rFonts w:hint="eastAsia" w:ascii="仿宋_GB2312" w:hAnsi="仿宋_GB2312" w:eastAsia="仿宋_GB2312" w:cs="仿宋_GB2312"/>
          <w:b/>
          <w:bCs/>
          <w:color w:val="000000" w:themeColor="text1"/>
          <w:highlight w:val="none"/>
          <w14:textFill>
            <w14:solidFill>
              <w14:schemeClr w14:val="tx1"/>
            </w14:solidFill>
          </w14:textFill>
        </w:rPr>
        <w:t>此类补充文件需按本合同约定的生效条件加盖与本合同相同的印章才可视为成立并生效，具有同等法律效力。</w:t>
      </w:r>
    </w:p>
    <w:p w14:paraId="730667AB">
      <w:pPr>
        <w:pStyle w:val="15"/>
        <w:numPr>
          <w:ilvl w:val="0"/>
          <w:numId w:val="4"/>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59" w:name="_Toc14699"/>
      <w:bookmarkStart w:id="60" w:name="_Toc1117"/>
      <w:r>
        <w:rPr>
          <w:rFonts w:hint="eastAsia" w:ascii="仿宋_GB2312" w:hAnsi="仿宋_GB2312" w:eastAsia="仿宋_GB2312" w:cs="仿宋_GB2312"/>
          <w:b/>
          <w:bCs/>
          <w:color w:val="000000" w:themeColor="text1"/>
          <w:highlight w:val="none"/>
          <w14:textFill>
            <w14:solidFill>
              <w14:schemeClr w14:val="tx1"/>
            </w14:solidFill>
          </w14:textFill>
        </w:rPr>
        <w:t>合同解除</w:t>
      </w:r>
      <w:bookmarkEnd w:id="59"/>
      <w:bookmarkEnd w:id="60"/>
    </w:p>
    <w:p w14:paraId="1DC25C77">
      <w:pPr>
        <w:pStyle w:val="15"/>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61" w:name="_Hlk126831282"/>
      <w:r>
        <w:rPr>
          <w:rFonts w:hint="eastAsia" w:ascii="仿宋_GB2312" w:hAnsi="仿宋_GB2312" w:eastAsia="仿宋_GB2312" w:cs="仿宋_GB2312"/>
          <w:color w:val="000000" w:themeColor="text1"/>
          <w:highlight w:val="none"/>
          <w14:textFill>
            <w14:solidFill>
              <w14:schemeClr w14:val="tx1"/>
            </w14:solidFill>
          </w14:textFill>
        </w:rPr>
        <w:t>5.1因不可抗力致使不能实现合同目的等原因，经甲、乙双方协商一致同意可解除合同。</w:t>
      </w:r>
    </w:p>
    <w:p w14:paraId="62D530A9">
      <w:pPr>
        <w:pStyle w:val="15"/>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5.2如甲方与业主签订的总承包合同解除或终止，或因业主变更导致甲方无需采购约定材料，则甲方以书面形式通知乙方终止本合同。</w:t>
      </w:r>
    </w:p>
    <w:p w14:paraId="0B32288E">
      <w:pPr>
        <w:pStyle w:val="15"/>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5.3乙方具有下列事由之一的，甲方可以单方全部解除合同或部分解除合同或终止合同，乙方已收款项全部无条件返还：</w:t>
      </w:r>
    </w:p>
    <w:p w14:paraId="21E60184">
      <w:pPr>
        <w:pStyle w:val="15"/>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5.3.1乙方所提供的机械无法通过相关部门（如质监、监理、设计方、甲方及当地相关政府部门等）验收合格；</w:t>
      </w:r>
    </w:p>
    <w:p w14:paraId="32C801A4">
      <w:pPr>
        <w:pStyle w:val="15"/>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5.3.2机械使用后发生因质量问题造成人员、财产受到损害的；</w:t>
      </w:r>
    </w:p>
    <w:p w14:paraId="04BBD98E">
      <w:pPr>
        <w:pStyle w:val="15"/>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5.3.3乙方将本合同项下权利义务全部或部分转让的；</w:t>
      </w:r>
    </w:p>
    <w:p w14:paraId="7992017A">
      <w:pPr>
        <w:pStyle w:val="15"/>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5.3.4因产品质量未达到技术标准及质量要求和国家、地方政府相关部门的相关规范和要求，在甲方要求时间内无法更换或补充至甲方要求；</w:t>
      </w:r>
    </w:p>
    <w:p w14:paraId="7D6ED311">
      <w:pPr>
        <w:pStyle w:val="15"/>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5.3.5甲方发现机械不能满足本合同约定的质量标准时，或在本合同履行过程中，乙方未按甲方的要求及时进行整改的；</w:t>
      </w:r>
    </w:p>
    <w:p w14:paraId="20A4E411">
      <w:pPr>
        <w:pStyle w:val="15"/>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5.3.6在本合同履行过程中乙方漠视甲方、设计方指令的或未按甲方、设计方指令执行的；</w:t>
      </w:r>
    </w:p>
    <w:p w14:paraId="343E8C72">
      <w:pPr>
        <w:pStyle w:val="15"/>
        <w:spacing w:line="400" w:lineRule="atLeast"/>
        <w:ind w:firstLine="480" w:firstLineChars="200"/>
        <w:jc w:val="both"/>
        <w:rPr>
          <w:rFonts w:hint="eastAsia" w:ascii="仿宋_GB2312" w:hAnsi="仿宋_GB2312" w:eastAsia="仿宋_GB2312" w:cs="仿宋_GB2312"/>
          <w:b w:val="0"/>
          <w:bCs w:val="0"/>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24"/>
          <w:szCs w:val="24"/>
          <w:highlight w:val="none"/>
          <w:lang w:val="en-US" w:eastAsia="zh-CN" w:bidi="ar-SA"/>
          <w14:textFill>
            <w14:solidFill>
              <w14:schemeClr w14:val="tx1"/>
            </w14:solidFill>
          </w14:textFill>
        </w:rPr>
        <w:t>5.3.7乙方的机械设备故障频繁、服务质量差、能耗高、效能低等情况，且乙方拒不配合更换合格设备；</w:t>
      </w:r>
    </w:p>
    <w:p w14:paraId="6DF069FD">
      <w:pPr>
        <w:pStyle w:val="15"/>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5.3.</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highlight w:val="none"/>
          <w14:textFill>
            <w14:solidFill>
              <w14:schemeClr w14:val="tx1"/>
            </w14:solidFill>
          </w14:textFill>
        </w:rPr>
        <w:t>其他法律规定可解除合同的事由。</w:t>
      </w:r>
    </w:p>
    <w:p w14:paraId="206233CA">
      <w:pPr>
        <w:pStyle w:val="15"/>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如发生上述事项，甲方将解除或终止合同的意思表示（书面或传真）通知乙方后合同解除或终止。合同解除后乙方仍应承担上述因乙方原因而产生的违约金和因此给甲方造成的全部直接和间接经济损失。乙方在收到解除或终止合同的通知后应无条件配合甲方处理善后事宜。</w:t>
      </w:r>
    </w:p>
    <w:p w14:paraId="5FA8FD9A">
      <w:pPr>
        <w:pStyle w:val="15"/>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5.4合同解除或终止后，乙方应当积极配合甲方及时办理合同结算及支付手续，否则甲方有权单方办理结算，视为乙方认可甲方审定的结算额</w:t>
      </w:r>
      <w:bookmarkEnd w:id="61"/>
      <w:r>
        <w:rPr>
          <w:rFonts w:hint="eastAsia" w:ascii="仿宋_GB2312" w:hAnsi="仿宋_GB2312" w:eastAsia="仿宋_GB2312" w:cs="仿宋_GB2312"/>
          <w:b/>
          <w:bCs/>
          <w:color w:val="000000" w:themeColor="text1"/>
          <w:highlight w:val="none"/>
          <w14:textFill>
            <w14:solidFill>
              <w14:schemeClr w14:val="tx1"/>
            </w14:solidFill>
          </w14:textFill>
        </w:rPr>
        <w:t>。</w:t>
      </w:r>
    </w:p>
    <w:p w14:paraId="043FBCBC">
      <w:pPr>
        <w:pStyle w:val="15"/>
        <w:numPr>
          <w:ilvl w:val="0"/>
          <w:numId w:val="4"/>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62" w:name="_Toc28377"/>
      <w:r>
        <w:rPr>
          <w:rFonts w:hint="eastAsia" w:ascii="仿宋_GB2312" w:hAnsi="仿宋_GB2312" w:eastAsia="仿宋_GB2312" w:cs="仿宋_GB2312"/>
          <w:b/>
          <w:bCs/>
          <w:color w:val="000000" w:themeColor="text1"/>
          <w:highlight w:val="none"/>
          <w14:textFill>
            <w14:solidFill>
              <w14:schemeClr w14:val="tx1"/>
            </w14:solidFill>
          </w14:textFill>
        </w:rPr>
        <w:t>不可抗力</w:t>
      </w:r>
      <w:bookmarkEnd w:id="62"/>
    </w:p>
    <w:p w14:paraId="6768BDB7">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 不可抗力的确认</w:t>
      </w:r>
    </w:p>
    <w:p w14:paraId="6BCD1A7E">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不可抗力是指合同当事人在签订合同时不可预见，在合同履行过程中不可避免且不能克服的自然灾害和社会性突发事件，如地震、海啸、火灾、特大风雪、连续暴雨、特大降水、洪水等自然灾害，瘟疫、骚乱、戒严、暴动、战争、爆发性传染疾病、雾霾停工及其它通知的政府行为。合同一方当事人遇到不可抗力事件，使其履行合同义务受到阻碍时，应立即通知合同另一方当事人，书面说明不可抗力和受阻碍的详细情况，并提供必要的证明。</w:t>
      </w:r>
    </w:p>
    <w:p w14:paraId="6CDF6809">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6.2不可抗力的通知</w:t>
      </w:r>
    </w:p>
    <w:p w14:paraId="32B44C3A">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6.2.1 不可抗力事件发生后，乙方应立即通知甲方，并在力所能及的条件下迅速采取措施，尽力减少损失，甲方应协助乙方采取措施。若因乙方未能尽力挽救，导致损失扩大的，由乙方承担全部责任。</w:t>
      </w:r>
    </w:p>
    <w:p w14:paraId="648A4D07">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6.2.2 不可抗力事件结束后14天内，乙方应向甲方提交清理和修复费用的正式报告及有关资料。</w:t>
      </w:r>
    </w:p>
    <w:p w14:paraId="246C715F">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bookmarkStart w:id="63" w:name="_Toc371493255"/>
      <w:bookmarkStart w:id="64" w:name="_Toc14567"/>
      <w:bookmarkStart w:id="65" w:name="_Toc351203610"/>
      <w:bookmarkStart w:id="66" w:name="_Toc296503119"/>
      <w:bookmarkStart w:id="67" w:name="_Toc296346620"/>
      <w:bookmarkStart w:id="68" w:name="_Toc337558826"/>
      <w:r>
        <w:rPr>
          <w:rFonts w:hint="eastAsia" w:ascii="仿宋_GB2312" w:hAnsi="仿宋_GB2312" w:eastAsia="仿宋_GB2312" w:cs="仿宋_GB2312"/>
          <w:color w:val="000000" w:themeColor="text1"/>
          <w:sz w:val="24"/>
          <w:szCs w:val="24"/>
          <w:highlight w:val="none"/>
          <w14:textFill>
            <w14:solidFill>
              <w14:schemeClr w14:val="tx1"/>
            </w14:solidFill>
          </w14:textFill>
        </w:rPr>
        <w:t>6.3 不可抗力风险的承担</w:t>
      </w:r>
      <w:bookmarkEnd w:id="63"/>
      <w:bookmarkEnd w:id="64"/>
      <w:bookmarkEnd w:id="65"/>
    </w:p>
    <w:bookmarkEnd w:id="66"/>
    <w:bookmarkEnd w:id="67"/>
    <w:bookmarkEnd w:id="68"/>
    <w:p w14:paraId="5C8DDF5B">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6.3.1 不可抗力导致的人员伤亡、财产损失、费用增加和（或）作业期限延误等后果，由合同当事人按以下原则承担：</w:t>
      </w:r>
    </w:p>
    <w:p w14:paraId="359DFD99">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（1）乙方施工设备的损坏由乙方承担；</w:t>
      </w:r>
    </w:p>
    <w:p w14:paraId="101CF1DF">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（2）甲方和乙方承担各自人员伤亡和财产的损失；</w:t>
      </w:r>
    </w:p>
    <w:p w14:paraId="08C6DBC7">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（3）因不可抗力影响乙方履行合同约定的义务，已经引起或将引起工期延误的，应当顺延工期，由此导致乙方停工的费用损失由乙方承担；</w:t>
      </w:r>
    </w:p>
    <w:p w14:paraId="247486D3">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（4）因不可抗力引起或将引起工期延误，甲方要求赶工的，由此增加的赶工费用由甲方承担；</w:t>
      </w:r>
    </w:p>
    <w:p w14:paraId="1577FD51">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（5）乙方在停工期间按照甲方要求照管和清理分包工程的费用由甲方承担。</w:t>
      </w:r>
    </w:p>
    <w:p w14:paraId="211C4DDF">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不可抗力发生后，合同当事人均应采取措施尽量避免和减少损失的扩大，任何一方当事人没有采取有效措施导致损失扩大的，应对扩大的损失承担责任。</w:t>
      </w:r>
    </w:p>
    <w:p w14:paraId="135C347C">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6.3.2 因合同一方迟延履行合同义务，在迟延履行期间遭遇不可抗力的，不免除其违约责任。</w:t>
      </w:r>
    </w:p>
    <w:p w14:paraId="47438D2E">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bookmarkStart w:id="69" w:name="_Toc351203611"/>
      <w:bookmarkStart w:id="70" w:name="_Toc371493256"/>
      <w:bookmarkStart w:id="71" w:name="_Toc17082"/>
      <w:bookmarkStart w:id="72" w:name="_Toc337558827"/>
      <w:r>
        <w:rPr>
          <w:rFonts w:hint="eastAsia" w:ascii="仿宋_GB2312" w:hAnsi="仿宋_GB2312" w:eastAsia="仿宋_GB2312" w:cs="仿宋_GB2312"/>
          <w:color w:val="000000" w:themeColor="text1"/>
          <w:sz w:val="24"/>
          <w:szCs w:val="24"/>
          <w:highlight w:val="none"/>
          <w14:textFill>
            <w14:solidFill>
              <w14:schemeClr w14:val="tx1"/>
            </w14:solidFill>
          </w14:textFill>
        </w:rPr>
        <w:t>6.4 因不可抗力解除合同</w:t>
      </w:r>
      <w:bookmarkEnd w:id="69"/>
      <w:bookmarkEnd w:id="70"/>
      <w:bookmarkEnd w:id="71"/>
    </w:p>
    <w:bookmarkEnd w:id="72"/>
    <w:p w14:paraId="0F17629E">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因不可抗力导致</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本</w:t>
      </w:r>
      <w:r>
        <w:rPr>
          <w:rFonts w:hint="eastAsia" w:ascii="仿宋_GB2312" w:hAnsi="仿宋_GB2312" w:eastAsia="仿宋_GB2312" w:cs="仿宋_GB2312"/>
          <w:color w:val="000000" w:themeColor="text1"/>
          <w:sz w:val="24"/>
          <w:szCs w:val="24"/>
          <w:highlight w:val="none"/>
          <w14:textFill>
            <w14:solidFill>
              <w14:schemeClr w14:val="tx1"/>
            </w14:solidFill>
          </w14:textFill>
        </w:rPr>
        <w:t>合同无法履行连续超过84天或累计超过140天的，甲方和乙方均有权解除</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本</w:t>
      </w:r>
      <w:r>
        <w:rPr>
          <w:rFonts w:hint="eastAsia" w:ascii="仿宋_GB2312" w:hAnsi="仿宋_GB2312" w:eastAsia="仿宋_GB2312" w:cs="仿宋_GB2312"/>
          <w:color w:val="000000" w:themeColor="text1"/>
          <w:sz w:val="24"/>
          <w:szCs w:val="24"/>
          <w:highlight w:val="none"/>
          <w14:textFill>
            <w14:solidFill>
              <w14:schemeClr w14:val="tx1"/>
            </w14:solidFill>
          </w14:textFill>
        </w:rPr>
        <w:t>合同。</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本</w:t>
      </w:r>
      <w:r>
        <w:rPr>
          <w:rFonts w:hint="eastAsia" w:ascii="仿宋_GB2312" w:hAnsi="仿宋_GB2312" w:eastAsia="仿宋_GB2312" w:cs="仿宋_GB2312"/>
          <w:color w:val="000000" w:themeColor="text1"/>
          <w:sz w:val="24"/>
          <w:szCs w:val="24"/>
          <w:highlight w:val="none"/>
          <w14:textFill>
            <w14:solidFill>
              <w14:schemeClr w14:val="tx1"/>
            </w14:solidFill>
          </w14:textFill>
        </w:rPr>
        <w:t>合同解除后，甲方有权暂停对乙方的付款，直到双方就退场达成一致。</w:t>
      </w:r>
    </w:p>
    <w:p w14:paraId="0C7E7CB3">
      <w:pPr>
        <w:pStyle w:val="15"/>
        <w:numPr>
          <w:ilvl w:val="0"/>
          <w:numId w:val="4"/>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73" w:name="_Toc30820"/>
      <w:r>
        <w:rPr>
          <w:rFonts w:hint="eastAsia" w:ascii="仿宋_GB2312" w:hAnsi="仿宋_GB2312" w:eastAsia="仿宋_GB2312" w:cs="仿宋_GB2312"/>
          <w:b/>
          <w:bCs/>
          <w:color w:val="000000" w:themeColor="text1"/>
          <w:highlight w:val="none"/>
          <w14:textFill>
            <w14:solidFill>
              <w14:schemeClr w14:val="tx1"/>
            </w14:solidFill>
          </w14:textFill>
        </w:rPr>
        <w:t>争议解决</w:t>
      </w:r>
      <w:bookmarkEnd w:id="73"/>
    </w:p>
    <w:p w14:paraId="596B4035">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7.1 争议和解：对因本合同引起或与之相关的任何争议、纠纷或权利主张，任何一方如欲通过本条第2款约定的方式解决，须在提起第2款约定的争议解决方式前，向对方发出书面和解申请书，并告知对方争议、纠纷或权利主张之事实及依据。</w:t>
      </w:r>
    </w:p>
    <w:p w14:paraId="458C02D2">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在对方收到上述通知之日起</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3个月</w:t>
      </w:r>
      <w:r>
        <w:rPr>
          <w:rFonts w:hint="eastAsia" w:ascii="仿宋_GB2312" w:hAnsi="仿宋_GB2312" w:eastAsia="仿宋_GB2312" w:cs="仿宋_GB2312"/>
          <w:color w:val="000000" w:themeColor="text1"/>
          <w:sz w:val="24"/>
          <w:szCs w:val="24"/>
          <w:highlight w:val="none"/>
          <w14:textFill>
            <w14:solidFill>
              <w14:schemeClr w14:val="tx1"/>
            </w14:solidFill>
          </w14:textFill>
        </w:rPr>
        <w:t>为双方和解期限。在和解期限内，若双方达成和解协议的，双方的权利义务按照和解协议履行；若未达成和解协议的，任何一方可采取本条第2款约定的争议解决方式。</w:t>
      </w:r>
    </w:p>
    <w:p w14:paraId="650625EC">
      <w:pPr>
        <w:pStyle w:val="15"/>
        <w:spacing w:line="400" w:lineRule="atLeast"/>
        <w:ind w:firstLine="480" w:firstLineChars="200"/>
        <w:jc w:val="both"/>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7.2</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 xml:space="preserve">争议仲裁或诉讼:因本合同引起或与之相关任何争议、纠纷或权利主张，和解不成且已超过和解期的,按以下第 </w:t>
      </w:r>
      <w:permStart w:id="106" w:edGrp="everyone"/>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7</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3</w:t>
      </w:r>
      <w:permEnd w:id="106"/>
      <w:bookmarkStart w:id="77" w:name="_GoBack"/>
      <w:bookmarkEnd w:id="77"/>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种方式解决。</w:t>
      </w:r>
    </w:p>
    <w:p w14:paraId="675D7C0B">
      <w:pPr>
        <w:pStyle w:val="15"/>
        <w:spacing w:line="400" w:lineRule="atLeast"/>
        <w:ind w:firstLine="480" w:firstLineChars="200"/>
        <w:jc w:val="both"/>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7.2</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.1双方约定向甲方住所地有管辖权的人民法院提起诉讼。</w:t>
      </w:r>
    </w:p>
    <w:p w14:paraId="2207E6AC">
      <w:pPr>
        <w:pStyle w:val="15"/>
        <w:spacing w:line="400" w:lineRule="atLeast"/>
        <w:ind w:firstLine="480" w:firstLineChars="200"/>
        <w:jc w:val="both"/>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7.2</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.2双方约定向合同签订地人民法院提起诉讼。</w:t>
      </w:r>
    </w:p>
    <w:p w14:paraId="18D75F8B">
      <w:pPr>
        <w:pStyle w:val="15"/>
        <w:spacing w:line="400" w:lineRule="atLeast"/>
        <w:ind w:firstLine="480" w:firstLineChars="200"/>
        <w:jc w:val="both"/>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7.2</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.3提交河北省石家庄市仲裁委员会裁决。</w:t>
      </w:r>
    </w:p>
    <w:p w14:paraId="7C546EDB">
      <w:pPr>
        <w:pStyle w:val="15"/>
        <w:spacing w:line="400" w:lineRule="atLeast"/>
        <w:ind w:firstLine="482" w:firstLineChars="200"/>
        <w:jc w:val="both"/>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7.</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highlight w:val="none"/>
          <w14:textFill>
            <w14:solidFill>
              <w14:schemeClr w14:val="tx1"/>
            </w14:solidFill>
          </w14:textFill>
        </w:rPr>
        <w:t>本合同中关于管辖权的约定是唯一的，任何一方不得通过债权转让或其它方式对涉及本合同约定事项或与之相关的事项的争议解决方式进行另行约定或对本合同关于管辖权的约定进行变更，如发生类似情形，该等约定亦属无效。</w:t>
      </w:r>
    </w:p>
    <w:p w14:paraId="7B96F971">
      <w:pPr>
        <w:pStyle w:val="15"/>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7.</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4</w:t>
      </w:r>
      <w:r>
        <w:rPr>
          <w:rFonts w:hint="eastAsia" w:ascii="仿宋_GB2312" w:hAnsi="仿宋_GB2312" w:eastAsia="仿宋_GB2312" w:cs="仿宋_GB2312"/>
          <w:b/>
          <w:bCs/>
          <w:color w:val="000000" w:themeColor="text1"/>
          <w:highlight w:val="none"/>
          <w14:textFill>
            <w14:solidFill>
              <w14:schemeClr w14:val="tx1"/>
            </w14:solidFill>
          </w14:textFill>
        </w:rPr>
        <w:t>因仲裁</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或诉讼</w:t>
      </w:r>
      <w:r>
        <w:rPr>
          <w:rFonts w:hint="eastAsia" w:ascii="仿宋_GB2312" w:hAnsi="仿宋_GB2312" w:eastAsia="仿宋_GB2312" w:cs="仿宋_GB2312"/>
          <w:b/>
          <w:bCs/>
          <w:color w:val="000000" w:themeColor="text1"/>
          <w:highlight w:val="none"/>
          <w14:textFill>
            <w14:solidFill>
              <w14:schemeClr w14:val="tx1"/>
            </w14:solidFill>
          </w14:textFill>
        </w:rPr>
        <w:t>产生的各项</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合理</w:t>
      </w:r>
      <w:r>
        <w:rPr>
          <w:rFonts w:hint="eastAsia" w:ascii="仿宋_GB2312" w:hAnsi="仿宋_GB2312" w:eastAsia="仿宋_GB2312" w:cs="仿宋_GB2312"/>
          <w:b/>
          <w:bCs/>
          <w:color w:val="000000" w:themeColor="text1"/>
          <w:highlight w:val="none"/>
          <w14:textFill>
            <w14:solidFill>
              <w14:schemeClr w14:val="tx1"/>
            </w14:solidFill>
          </w14:textFill>
        </w:rPr>
        <w:t>费用由</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双方自行</w:t>
      </w:r>
      <w:r>
        <w:rPr>
          <w:rFonts w:hint="eastAsia" w:ascii="仿宋_GB2312" w:hAnsi="仿宋_GB2312" w:eastAsia="仿宋_GB2312" w:cs="仿宋_GB2312"/>
          <w:b/>
          <w:bCs/>
          <w:color w:val="000000" w:themeColor="text1"/>
          <w:highlight w:val="none"/>
          <w14:textFill>
            <w14:solidFill>
              <w14:schemeClr w14:val="tx1"/>
            </w14:solidFill>
          </w14:textFill>
        </w:rPr>
        <w:t>承担，包括但不限于</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案件受理费、</w:t>
      </w:r>
      <w:r>
        <w:rPr>
          <w:rFonts w:hint="eastAsia" w:ascii="仿宋_GB2312" w:hAnsi="仿宋_GB2312" w:eastAsia="仿宋_GB2312" w:cs="仿宋_GB2312"/>
          <w:b/>
          <w:bCs/>
          <w:color w:val="000000" w:themeColor="text1"/>
          <w:highlight w:val="none"/>
          <w14:textFill>
            <w14:solidFill>
              <w14:schemeClr w14:val="tx1"/>
            </w14:solidFill>
          </w14:textFill>
        </w:rPr>
        <w:t>仲裁费、律师费、保全费、保全保险费、差旅费、公证费及鉴定费等因仲裁</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或诉讼</w:t>
      </w:r>
      <w:r>
        <w:rPr>
          <w:rFonts w:hint="eastAsia" w:ascii="仿宋_GB2312" w:hAnsi="仿宋_GB2312" w:eastAsia="仿宋_GB2312" w:cs="仿宋_GB2312"/>
          <w:b/>
          <w:bCs/>
          <w:color w:val="000000" w:themeColor="text1"/>
          <w:highlight w:val="none"/>
          <w14:textFill>
            <w14:solidFill>
              <w14:schemeClr w14:val="tx1"/>
            </w14:solidFill>
          </w14:textFill>
        </w:rPr>
        <w:t>引发的费用。</w:t>
      </w:r>
    </w:p>
    <w:p w14:paraId="20C5BD87">
      <w:pPr>
        <w:pStyle w:val="15"/>
        <w:numPr>
          <w:ilvl w:val="0"/>
          <w:numId w:val="4"/>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74" w:name="_Toc11188"/>
      <w:r>
        <w:rPr>
          <w:rFonts w:hint="eastAsia" w:ascii="仿宋_GB2312" w:hAnsi="仿宋_GB2312" w:eastAsia="仿宋_GB2312" w:cs="仿宋_GB2312"/>
          <w:b/>
          <w:bCs/>
          <w:color w:val="000000" w:themeColor="text1"/>
          <w:highlight w:val="none"/>
          <w14:textFill>
            <w14:solidFill>
              <w14:schemeClr w14:val="tx1"/>
            </w14:solidFill>
          </w14:textFill>
        </w:rPr>
        <w:t>保密义务</w:t>
      </w:r>
      <w:bookmarkEnd w:id="74"/>
    </w:p>
    <w:p w14:paraId="4B7D5387">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8.1除乙方为执行合同所雇人员外，在未经甲方书面许可的情况下，乙方不得将合同中的规定、有关规格、计划、图纸、式样、样本或甲方为上述内容向乙方提供的资料向本协议以外的任何第三方披露。乙方须在对外保密的前提下，对其雇用人员提供相关资料仅限于执行合同必须提供的范围之内。</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在未经甲方书面许可的情况下，乙方不得把设备中存储的信息向第三方披露，如出现私自把设备中存储的信息向第三方披露，乙方应向甲方偿付暂定合同总额20％的违约金，并赔偿由此给甲方造成的一切损失。</w:t>
      </w:r>
    </w:p>
    <w:p w14:paraId="1197233E">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8.2除合同另有约定以外，本合同列明的所有资料始终为甲方财产，若甲方要求，乙方应于其合同义务履行完毕以后退还甲方相应资料（包括所有副本）。</w:t>
      </w:r>
    </w:p>
    <w:p w14:paraId="042EAEB6">
      <w:pPr>
        <w:pStyle w:val="15"/>
        <w:numPr>
          <w:ilvl w:val="0"/>
          <w:numId w:val="4"/>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75" w:name="_Toc31132"/>
      <w:r>
        <w:rPr>
          <w:rFonts w:hint="eastAsia" w:ascii="仿宋_GB2312" w:hAnsi="仿宋_GB2312" w:eastAsia="仿宋_GB2312" w:cs="仿宋_GB2312"/>
          <w:b/>
          <w:bCs/>
          <w:color w:val="000000" w:themeColor="text1"/>
          <w:highlight w:val="none"/>
          <w14:textFill>
            <w14:solidFill>
              <w14:schemeClr w14:val="tx1"/>
            </w14:solidFill>
          </w14:textFill>
        </w:rPr>
        <w:t>其它条款</w:t>
      </w:r>
      <w:bookmarkEnd w:id="75"/>
    </w:p>
    <w:p w14:paraId="7F058145">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依照本合同约定所应承担的违约金，甲方有权在与乙方当期结算款中扣除，若甲方未在当期与乙方的结算款中扣除，并不代表甲方放弃该部分违约金的求偿权利，甲方仍有权在任何时间要求乙方承担相应违约责任。</w:t>
      </w:r>
    </w:p>
    <w:p w14:paraId="4A054CAE">
      <w:pPr>
        <w:pStyle w:val="15"/>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76" w:name="_Toc7207"/>
      <w:r>
        <w:rPr>
          <w:rFonts w:hint="eastAsia" w:ascii="仿宋_GB2312" w:hAnsi="仿宋_GB2312" w:eastAsia="仿宋_GB2312" w:cs="仿宋_GB2312"/>
          <w:color w:val="000000" w:themeColor="text1"/>
          <w:highlight w:val="none"/>
          <w14:textFill>
            <w14:solidFill>
              <w14:schemeClr w14:val="tx1"/>
            </w14:solidFill>
          </w14:textFill>
        </w:rPr>
        <w:t>9.1本合同与甲方招标文件、乙方投标文件有相抵触之处，均以本合同条款为准。</w:t>
      </w:r>
    </w:p>
    <w:p w14:paraId="2385CB3D">
      <w:pPr>
        <w:pStyle w:val="15"/>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9.2本合同附件是本合同有效组成部分，与本合同具有同等效力。</w:t>
      </w:r>
    </w:p>
    <w:p w14:paraId="051A6080">
      <w:pPr>
        <w:pStyle w:val="15"/>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9.3本合同未尽事宜，按《中华人民共和国民法典》有关规定执行。</w:t>
      </w:r>
    </w:p>
    <w:p w14:paraId="6D562E3B">
      <w:pPr>
        <w:pStyle w:val="15"/>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9.4其他约定</w:t>
      </w:r>
      <w:permStart w:id="107"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  </w:t>
      </w:r>
      <w:permEnd w:id="107"/>
      <w:r>
        <w:rPr>
          <w:rFonts w:hint="eastAsia" w:ascii="仿宋_GB2312" w:hAnsi="仿宋_GB2312" w:eastAsia="仿宋_GB2312" w:cs="仿宋_GB2312"/>
          <w:color w:val="000000" w:themeColor="text1"/>
          <w:highlight w:val="none"/>
          <w14:textFill>
            <w14:solidFill>
              <w14:schemeClr w14:val="tx1"/>
            </w14:solidFill>
          </w14:textFill>
        </w:rPr>
        <w:t>。</w:t>
      </w:r>
    </w:p>
    <w:p w14:paraId="4EADF961">
      <w:pPr>
        <w:pStyle w:val="15"/>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以下无正文</w:t>
      </w:r>
      <w:bookmarkEnd w:id="76"/>
      <w:r>
        <w:rPr>
          <w:rFonts w:hint="eastAsia" w:ascii="仿宋_GB2312" w:hAnsi="仿宋_GB2312" w:eastAsia="仿宋_GB2312" w:cs="仿宋_GB2312"/>
          <w:color w:val="000000" w:themeColor="text1"/>
          <w:highlight w:val="none"/>
          <w14:textFill>
            <w14:solidFill>
              <w14:schemeClr w14:val="tx1"/>
            </w14:solidFill>
          </w14:textFill>
        </w:rPr>
        <w:t>，手写条款无效。</w:t>
      </w:r>
    </w:p>
    <w:p w14:paraId="2775A5BE">
      <w:pPr>
        <w:pStyle w:val="6"/>
        <w:rPr>
          <w:color w:val="000000" w:themeColor="text1"/>
          <w:highlight w:val="none"/>
          <w14:textFill>
            <w14:solidFill>
              <w14:schemeClr w14:val="tx1"/>
            </w14:solidFill>
          </w14:textFill>
        </w:rPr>
      </w:pPr>
    </w:p>
    <w:p w14:paraId="6E6538C9">
      <w:pPr>
        <w:spacing w:line="400" w:lineRule="exact"/>
        <w:ind w:firstLine="57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甲方（盖章）：                        乙方（公章）：                    </w:t>
      </w:r>
    </w:p>
    <w:p w14:paraId="74C1248D">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3B1DC343">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4012ED7B">
      <w:pPr>
        <w:autoSpaceDE w:val="0"/>
        <w:autoSpaceDN w:val="0"/>
        <w:adjustRightInd w:val="0"/>
        <w:spacing w:line="400" w:lineRule="atLeast"/>
        <w:ind w:firstLine="960" w:firstLineChars="4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24DEDBBC">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w:t>
      </w:r>
    </w:p>
    <w:p w14:paraId="42D75542"/>
    <w:sectPr>
      <w:headerReference r:id="rId16" w:type="default"/>
      <w:footerReference r:id="rId17" w:type="default"/>
      <w:pgSz w:w="11906" w:h="16838"/>
      <w:pgMar w:top="1440" w:right="1800" w:bottom="1440" w:left="1800" w:header="850" w:footer="975"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3970B">
    <w:pPr>
      <w:pStyle w:val="8"/>
      <w:jc w:val="center"/>
      <w:rPr>
        <w:rFonts w:ascii="仿宋" w:hAnsi="仿宋" w:eastAsia="仿宋" w:cs="仿宋"/>
        <w:sz w:val="24"/>
        <w:szCs w:val="36"/>
      </w:rPr>
    </w:pPr>
  </w:p>
  <w:p w14:paraId="74ADCF04">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4B27B">
    <w:pPr>
      <w:pStyle w:val="8"/>
      <w:jc w:val="center"/>
      <w:rPr>
        <w:rFonts w:ascii="仿宋" w:hAnsi="仿宋" w:eastAsia="仿宋" w:cs="仿宋"/>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3CFE8">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A09C3">
    <w:pPr>
      <w:pStyle w:val="8"/>
      <w:jc w:val="center"/>
      <w:rPr>
        <w:rFonts w:ascii="仿宋" w:hAnsi="仿宋" w:eastAsia="仿宋" w:cs="仿宋"/>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F0D4E">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6F41E4">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456F41E4">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5398A">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A7FEF3">
                          <w:pPr>
                            <w:pStyle w:val="8"/>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3A7FEF3">
                    <w:pPr>
                      <w:pStyle w:val="8"/>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C007C">
    <w:pPr>
      <w:pStyle w:val="8"/>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D5B776">
                          <w:pPr>
                            <w:pStyle w:val="8"/>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17D5B776">
                    <w:pPr>
                      <w:pStyle w:val="8"/>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029FD">
    <w:pPr>
      <w:pStyle w:val="8"/>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490649">
                          <w:pPr>
                            <w:pStyle w:val="8"/>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77490649">
                    <w:pPr>
                      <w:pStyle w:val="8"/>
                    </w:pPr>
                    <w:r>
                      <w:fldChar w:fldCharType="begin"/>
                    </w:r>
                    <w:r>
                      <w:instrText xml:space="preserve"> PAGE  \* MERGEFORMAT </w:instrText>
                    </w:r>
                    <w:r>
                      <w:fldChar w:fldCharType="separate"/>
                    </w:r>
                    <w:r>
                      <w:t>10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4E64A">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3360"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7" name="图片 7"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247E0C1D">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FFBB6">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1CDF1">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5408"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03E5D442">
    <w:pPr>
      <w:pStyle w:val="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F80E4">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4384"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2" name="图片 2"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062F3059">
    <w:pPr>
      <w:pStyle w:val="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7DBE9">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6432"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4" name="图片 4"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66700F69">
    <w:pPr>
      <w:pStyle w:val="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135C7">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8480"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1" name="图片 1"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78394C68">
    <w:pPr>
      <w:pStyle w:val="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5B619">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9504"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11" name="图片 11"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66B620F3">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ACCE70"/>
    <w:multiLevelType w:val="singleLevel"/>
    <w:tmpl w:val="EFACCE70"/>
    <w:lvl w:ilvl="0" w:tentative="0">
      <w:start w:val="1"/>
      <w:numFmt w:val="chineseCounting"/>
      <w:suff w:val="nothing"/>
      <w:lvlText w:val="%1、"/>
      <w:lvlJc w:val="left"/>
      <w:rPr>
        <w:rFonts w:hint="eastAsia"/>
      </w:rPr>
    </w:lvl>
  </w:abstractNum>
  <w:abstractNum w:abstractNumId="1">
    <w:nsid w:val="12050C0F"/>
    <w:multiLevelType w:val="singleLevel"/>
    <w:tmpl w:val="12050C0F"/>
    <w:lvl w:ilvl="0" w:tentative="0">
      <w:start w:val="1"/>
      <w:numFmt w:val="chineseCounting"/>
      <w:suff w:val="nothing"/>
      <w:lvlText w:val="%1、"/>
      <w:lvlJc w:val="left"/>
      <w:rPr>
        <w:rFonts w:hint="eastAsia"/>
      </w:rPr>
    </w:lvl>
  </w:abstractNum>
  <w:abstractNum w:abstractNumId="2">
    <w:nsid w:val="17E12B1E"/>
    <w:multiLevelType w:val="singleLevel"/>
    <w:tmpl w:val="17E12B1E"/>
    <w:lvl w:ilvl="0" w:tentative="0">
      <w:start w:val="6"/>
      <w:numFmt w:val="chineseCounting"/>
      <w:suff w:val="nothing"/>
      <w:lvlText w:val="%1、"/>
      <w:lvlJc w:val="left"/>
      <w:pPr>
        <w:ind w:left="480" w:firstLine="0"/>
      </w:pPr>
      <w:rPr>
        <w:rFonts w:hint="eastAsia"/>
      </w:rPr>
    </w:lvl>
  </w:abstractNum>
  <w:abstractNum w:abstractNumId="3">
    <w:nsid w:val="5A99D076"/>
    <w:multiLevelType w:val="singleLevel"/>
    <w:tmpl w:val="5A99D076"/>
    <w:lvl w:ilvl="0" w:tentative="0">
      <w:start w:val="2"/>
      <w:numFmt w:val="decimal"/>
      <w:lvlText w:val="%1."/>
      <w:lvlJc w:val="left"/>
      <w:pPr>
        <w:tabs>
          <w:tab w:val="left" w:pos="312"/>
        </w:tabs>
        <w:ind w:left="480" w:firstLine="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dit="readOnly" w:enforcement="1" w:cryptProviderType="rsaFull" w:cryptAlgorithmClass="hash" w:cryptAlgorithmType="typeAny" w:cryptAlgorithmSid="4" w:cryptSpinCount="0" w:hash="V9PZfMItmcs2e9bmcm9lKj5RNUY=" w:salt="H3Vrc1mB9we0NspLp0WtK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zNjM5MWI5OTJlOWQxZDdiYTBmZGI3NTczYTVlNTUifQ=="/>
  </w:docVars>
  <w:rsids>
    <w:rsidRoot w:val="00000000"/>
    <w:rsid w:val="00184692"/>
    <w:rsid w:val="04055F85"/>
    <w:rsid w:val="04065D5F"/>
    <w:rsid w:val="05151136"/>
    <w:rsid w:val="056416ED"/>
    <w:rsid w:val="067D6A53"/>
    <w:rsid w:val="07C2038F"/>
    <w:rsid w:val="0A670558"/>
    <w:rsid w:val="12136C9B"/>
    <w:rsid w:val="12207FF2"/>
    <w:rsid w:val="135B05EF"/>
    <w:rsid w:val="158F6749"/>
    <w:rsid w:val="16B73590"/>
    <w:rsid w:val="1B026957"/>
    <w:rsid w:val="1B2A3E26"/>
    <w:rsid w:val="1ECA00AE"/>
    <w:rsid w:val="20D14525"/>
    <w:rsid w:val="20F77967"/>
    <w:rsid w:val="26E3163E"/>
    <w:rsid w:val="270A06DB"/>
    <w:rsid w:val="27CD2998"/>
    <w:rsid w:val="286D547B"/>
    <w:rsid w:val="28A103D8"/>
    <w:rsid w:val="29B614EA"/>
    <w:rsid w:val="2B1742E9"/>
    <w:rsid w:val="2B917631"/>
    <w:rsid w:val="2E3A7BAD"/>
    <w:rsid w:val="315A79FB"/>
    <w:rsid w:val="31D47343"/>
    <w:rsid w:val="33EB2E5A"/>
    <w:rsid w:val="35130B5A"/>
    <w:rsid w:val="35132246"/>
    <w:rsid w:val="368C7394"/>
    <w:rsid w:val="371E6028"/>
    <w:rsid w:val="39866FA0"/>
    <w:rsid w:val="3A4716E5"/>
    <w:rsid w:val="3D5A68DF"/>
    <w:rsid w:val="3EA857F7"/>
    <w:rsid w:val="3ECA792C"/>
    <w:rsid w:val="3FBC61E2"/>
    <w:rsid w:val="3FD57050"/>
    <w:rsid w:val="41377C3A"/>
    <w:rsid w:val="423E2453"/>
    <w:rsid w:val="43A713E9"/>
    <w:rsid w:val="43CB7A7F"/>
    <w:rsid w:val="44F967BF"/>
    <w:rsid w:val="45320CB0"/>
    <w:rsid w:val="45690478"/>
    <w:rsid w:val="46145A86"/>
    <w:rsid w:val="48F46C68"/>
    <w:rsid w:val="4B0A68C3"/>
    <w:rsid w:val="4EF80C84"/>
    <w:rsid w:val="52AD3B01"/>
    <w:rsid w:val="52FF2348"/>
    <w:rsid w:val="58684C41"/>
    <w:rsid w:val="58E42340"/>
    <w:rsid w:val="5A494D19"/>
    <w:rsid w:val="5BEB7F51"/>
    <w:rsid w:val="5C0F59C6"/>
    <w:rsid w:val="5CBF153B"/>
    <w:rsid w:val="5ED525B4"/>
    <w:rsid w:val="63605B14"/>
    <w:rsid w:val="68202B5E"/>
    <w:rsid w:val="684A3CC2"/>
    <w:rsid w:val="69B12878"/>
    <w:rsid w:val="6AF2716B"/>
    <w:rsid w:val="72247F25"/>
    <w:rsid w:val="73B756C8"/>
    <w:rsid w:val="745D14CD"/>
    <w:rsid w:val="76C54263"/>
    <w:rsid w:val="76FA7269"/>
    <w:rsid w:val="77334195"/>
    <w:rsid w:val="776B45BD"/>
    <w:rsid w:val="7A31316B"/>
    <w:rsid w:val="7CE773DA"/>
    <w:rsid w:val="7D6F6E0D"/>
    <w:rsid w:val="7EE06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4"/>
    <w:next w:val="1"/>
    <w:autoRedefine/>
    <w:qFormat/>
    <w:uiPriority w:val="0"/>
    <w:pPr>
      <w:keepNext/>
      <w:keepLines/>
      <w:spacing w:before="120" w:after="120" w:line="240" w:lineRule="auto"/>
      <w:ind w:firstLine="200"/>
      <w:jc w:val="left"/>
      <w:outlineLvl w:val="1"/>
    </w:pPr>
    <w:rPr>
      <w:rFonts w:eastAsia="仿宋_GB2312"/>
      <w:b/>
      <w:bCs/>
      <w:sz w:val="28"/>
      <w:szCs w:val="32"/>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rPr>
      <w:szCs w:val="28"/>
    </w:rPr>
  </w:style>
  <w:style w:type="paragraph" w:styleId="4">
    <w:name w:val="Block Text"/>
    <w:basedOn w:val="1"/>
    <w:autoRedefine/>
    <w:qFormat/>
    <w:uiPriority w:val="0"/>
    <w:pPr>
      <w:spacing w:line="360" w:lineRule="auto"/>
      <w:ind w:left="-340" w:leftChars="-162" w:right="27" w:rightChars="13" w:firstLine="480" w:firstLineChars="200"/>
    </w:pPr>
    <w:rPr>
      <w:rFonts w:ascii="宋体" w:hAnsi="宋体"/>
      <w:sz w:val="24"/>
    </w:rPr>
  </w:style>
  <w:style w:type="paragraph" w:styleId="5">
    <w:name w:val="annotation text"/>
    <w:basedOn w:val="1"/>
    <w:autoRedefine/>
    <w:qFormat/>
    <w:uiPriority w:val="0"/>
    <w:pPr>
      <w:jc w:val="left"/>
    </w:pPr>
  </w:style>
  <w:style w:type="paragraph" w:styleId="6">
    <w:name w:val="Plain Text"/>
    <w:basedOn w:val="1"/>
    <w:autoRedefine/>
    <w:qFormat/>
    <w:uiPriority w:val="0"/>
    <w:rPr>
      <w:rFonts w:ascii="黑体" w:hAnsi="Courier New" w:eastAsia="黑体"/>
      <w:szCs w:val="20"/>
    </w:rPr>
  </w:style>
  <w:style w:type="paragraph" w:styleId="7">
    <w:name w:val="Body Text Indent 2"/>
    <w:basedOn w:val="1"/>
    <w:autoRedefine/>
    <w:qFormat/>
    <w:uiPriority w:val="0"/>
    <w:pPr>
      <w:ind w:firstLine="540" w:firstLineChars="180"/>
    </w:pPr>
    <w:rPr>
      <w:rFonts w:ascii="仿宋_GB2312" w:eastAsia="仿宋_GB2312"/>
      <w:sz w:val="30"/>
      <w:szCs w:val="24"/>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autoRedefine/>
    <w:qFormat/>
    <w:uiPriority w:val="0"/>
  </w:style>
  <w:style w:type="paragraph" w:styleId="11">
    <w:name w:val="toc 2"/>
    <w:basedOn w:val="1"/>
    <w:next w:val="1"/>
    <w:autoRedefine/>
    <w:qFormat/>
    <w:uiPriority w:val="0"/>
    <w:pPr>
      <w:ind w:left="420" w:leftChars="200"/>
    </w:p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6">
    <w:name w:val="Table Text"/>
    <w:basedOn w:val="1"/>
    <w:semiHidden/>
    <w:qFormat/>
    <w:uiPriority w:val="0"/>
    <w:rPr>
      <w:rFonts w:ascii="宋体" w:hAnsi="宋体" w:eastAsia="宋体" w:cs="宋体"/>
      <w:sz w:val="19"/>
      <w:szCs w:val="1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glossaryDocument" Target="glossary/document.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6562ef6-109c-4dbd-8ee3-f68ac2077afd}"/>
        <w:style w:val=""/>
        <w:category>
          <w:name w:val="常规"/>
          <w:gallery w:val="placeholder"/>
        </w:category>
        <w:types>
          <w:type w:val="bbPlcHdr"/>
        </w:types>
        <w:behaviors>
          <w:behavior w:val="content"/>
        </w:behaviors>
        <w:description w:val=""/>
        <w:guid w:val="{e6562ef6-109c-4dbd-8ee3-f68ac2077afd}"/>
      </w:docPartPr>
      <w:docPartBody>
        <w:p w14:paraId="6EE12112">
          <w:r>
            <w:rPr>
              <w:color w:val="808080"/>
            </w:rPr>
            <w:t>单击此处输入文字。</w:t>
          </w:r>
        </w:p>
      </w:docPartBody>
    </w:docPart>
    <w:docPart>
      <w:docPartPr>
        <w:name w:val="{2a8edc03-82ed-4100-807b-6f268d6c2fc2}"/>
        <w:style w:val=""/>
        <w:category>
          <w:name w:val="常规"/>
          <w:gallery w:val="placeholder"/>
        </w:category>
        <w:types>
          <w:type w:val="bbPlcHdr"/>
        </w:types>
        <w:behaviors>
          <w:behavior w:val="content"/>
        </w:behaviors>
        <w:description w:val=""/>
        <w:guid w:val="{2a8edc03-82ed-4100-807b-6f268d6c2fc2}"/>
      </w:docPartPr>
      <w:docPartBody>
        <w:p w14:paraId="1CC24EF5">
          <w:r>
            <w:rPr>
              <w:color w:val="808080"/>
            </w:rPr>
            <w:t>单击此处输入文字。</w:t>
          </w:r>
        </w:p>
      </w:docPartBody>
    </w:docPart>
    <w:docPart>
      <w:docPartPr>
        <w:name w:val="{34b5fcfb-a985-4886-97ac-ba4cb2558ec0}"/>
        <w:style w:val=""/>
        <w:category>
          <w:name w:val="常规"/>
          <w:gallery w:val="placeholder"/>
        </w:category>
        <w:types>
          <w:type w:val="bbPlcHdr"/>
        </w:types>
        <w:behaviors>
          <w:behavior w:val="content"/>
        </w:behaviors>
        <w:description w:val=""/>
        <w:guid w:val="{34b5fcfb-a985-4886-97ac-ba4cb2558ec0}"/>
      </w:docPartPr>
      <w:docPartBody>
        <w:p w14:paraId="52EB96AF">
          <w:r>
            <w:rPr>
              <w:color w:val="808080"/>
            </w:rPr>
            <w:t>单击此处输入文字。</w:t>
          </w:r>
        </w:p>
      </w:docPartBody>
    </w:docPart>
    <w:docPart>
      <w:docPartPr>
        <w:name w:val="{275ea211-f55d-407c-9b70-f9fd6d23af4a}"/>
        <w:style w:val=""/>
        <w:category>
          <w:name w:val="常规"/>
          <w:gallery w:val="placeholder"/>
        </w:category>
        <w:types>
          <w:type w:val="bbPlcHdr"/>
        </w:types>
        <w:behaviors>
          <w:behavior w:val="content"/>
        </w:behaviors>
        <w:description w:val=""/>
        <w:guid w:val="{275ea211-f55d-407c-9b70-f9fd6d23af4a}"/>
      </w:docPartPr>
      <w:docPartBody>
        <w:p w14:paraId="41723CCD">
          <w:r>
            <w:rPr>
              <w:color w:val="808080"/>
            </w:rPr>
            <w:t>单击此处输入文字。</w:t>
          </w:r>
        </w:p>
      </w:docPartBody>
    </w:docPart>
    <w:docPart>
      <w:docPartPr>
        <w:name w:val="{9b785203-ae91-4eff-8569-9e8ec6e9eebb}"/>
        <w:style w:val=""/>
        <w:category>
          <w:name w:val="常规"/>
          <w:gallery w:val="placeholder"/>
        </w:category>
        <w:types>
          <w:type w:val="bbPlcHdr"/>
        </w:types>
        <w:behaviors>
          <w:behavior w:val="content"/>
        </w:behaviors>
        <w:description w:val=""/>
        <w:guid w:val="{9b785203-ae91-4eff-8569-9e8ec6e9eebb}"/>
      </w:docPartPr>
      <w:docPartBody>
        <w:p w14:paraId="1B925AA8">
          <w:r>
            <w:rPr>
              <w:color w:val="808080"/>
            </w:rPr>
            <w:t>单击此处输入文字。</w:t>
          </w:r>
        </w:p>
      </w:docPartBody>
    </w:docPart>
    <w:docPart>
      <w:docPartPr>
        <w:name w:val="{418d76ac-2bdd-49d7-be10-21020f8c5e93}"/>
        <w:style w:val=""/>
        <w:category>
          <w:name w:val="常规"/>
          <w:gallery w:val="placeholder"/>
        </w:category>
        <w:types>
          <w:type w:val="bbPlcHdr"/>
        </w:types>
        <w:behaviors>
          <w:behavior w:val="content"/>
        </w:behaviors>
        <w:description w:val=""/>
        <w:guid w:val="{418d76ac-2bdd-49d7-be10-21020f8c5e93}"/>
      </w:docPartPr>
      <w:docPartBody>
        <w:p w14:paraId="052DF2C1">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11348</Words>
  <Characters>11803</Characters>
  <Lines>0</Lines>
  <Paragraphs>0</Paragraphs>
  <TotalTime>5</TotalTime>
  <ScaleCrop>false</ScaleCrop>
  <LinksUpToDate>false</LinksUpToDate>
  <CharactersWithSpaces>13901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2023-11-10T07:20:00Z</dcterms:created>
  <dc:creator>周轶群</dc:creator>
  <cp:lastModifiedBy>Ida</cp:lastModifiedBy>
  <dcterms:modified xsi:type="dcterms:W3CDTF">2024-11-12T08:52:00Z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56FC282930F74B298604C56473906CDF_13</vt:lpwstr>
  </property>
</Properties>
</file>