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ascii="宋体" w:hAnsi="宋体" w:eastAsia="宋体"/>
          <w:highlight w:val="none"/>
          <w:u w:val="single"/>
        </w:rPr>
        <w:t>ZJLQ-FG-</w:t>
      </w:r>
      <w:r>
        <w:rPr>
          <w:rFonts w:hint="eastAsia" w:ascii="宋体" w:hAnsi="宋体" w:eastAsia="宋体"/>
          <w:highlight w:val="none"/>
          <w:u w:val="single"/>
          <w:lang w:val="en-US" w:eastAsia="zh-CN"/>
        </w:rPr>
        <w:t>拉萨营造林项目一片区</w:t>
      </w:r>
      <w:r>
        <w:rPr>
          <w:rFonts w:hint="eastAsia" w:ascii="宋体" w:hAnsi="宋体" w:eastAsia="宋体"/>
          <w:highlight w:val="none"/>
          <w:u w:val="single"/>
        </w:rPr>
        <w:t>-00</w:t>
      </w:r>
      <w:r>
        <w:rPr>
          <w:rFonts w:hint="eastAsia" w:ascii="宋体" w:hAnsi="宋体" w:eastAsia="宋体"/>
          <w:highlight w:val="none"/>
          <w:u w:val="single"/>
          <w:lang w:val="en-US" w:eastAsia="zh-CN"/>
        </w:rPr>
        <w:t>2</w:t>
      </w:r>
      <w:r>
        <w:rPr>
          <w:rFonts w:hint="eastAsia" w:eastAsia="仿宋_GB2312"/>
          <w:bCs/>
          <w:color w:val="000000"/>
          <w:sz w:val="28"/>
          <w:szCs w:val="28"/>
          <w:highlight w:val="none"/>
          <w:u w:val="single"/>
        </w:rPr>
        <w:t xml:space="preserve">   </w:t>
      </w:r>
      <w:permEnd w:id="0"/>
    </w:p>
    <w:p>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pPr>
        <w:pStyle w:val="2"/>
        <w:rPr>
          <w:rFonts w:hint="eastAsia"/>
          <w:highlight w:val="none"/>
        </w:rPr>
      </w:pPr>
    </w:p>
    <w:p>
      <w:pPr>
        <w:pStyle w:val="2"/>
        <w:rPr>
          <w:rFonts w:hint="eastAsia"/>
          <w:highlight w:val="none"/>
        </w:rPr>
      </w:pPr>
    </w:p>
    <w:p>
      <w:pPr>
        <w:pStyle w:val="2"/>
        <w:rPr>
          <w:rFonts w:hint="eastAsia"/>
          <w:highlight w:val="none"/>
        </w:rPr>
      </w:pPr>
    </w:p>
    <w:p>
      <w:pPr>
        <w:spacing w:line="360" w:lineRule="auto"/>
        <w:jc w:val="center"/>
        <w:rPr>
          <w:rFonts w:hint="eastAsia" w:ascii="华文中宋" w:hAnsi="华文中宋" w:eastAsia="华文中宋" w:cs="华文中宋"/>
          <w:b/>
          <w:sz w:val="52"/>
          <w:szCs w:val="52"/>
          <w:highlight w:val="none"/>
        </w:rPr>
      </w:pPr>
      <w:permStart w:id="2" w:edGrp="everyone"/>
      <w:r>
        <w:rPr>
          <w:rFonts w:hint="eastAsia" w:ascii="华文中宋" w:hAnsi="华文中宋" w:eastAsia="华文中宋" w:cs="华文中宋"/>
          <w:b/>
          <w:sz w:val="52"/>
          <w:szCs w:val="52"/>
          <w:highlight w:val="none"/>
        </w:rPr>
        <w:t>【网围栏】</w:t>
      </w:r>
      <w:permEnd w:id="2"/>
      <w:r>
        <w:rPr>
          <w:rFonts w:hint="eastAsia" w:ascii="华文中宋" w:hAnsi="华文中宋" w:eastAsia="华文中宋" w:cs="华文中宋"/>
          <w:b/>
          <w:sz w:val="52"/>
          <w:szCs w:val="52"/>
          <w:highlight w:val="none"/>
        </w:rPr>
        <w:t>采购与供应合同</w:t>
      </w:r>
    </w:p>
    <w:p>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4">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spacing w:line="360" w:lineRule="auto"/>
        <w:rPr>
          <w:rFonts w:hint="eastAsia" w:ascii="宋体" w:hAnsi="宋体" w:cs="宋体"/>
          <w:b/>
          <w:sz w:val="28"/>
          <w:szCs w:val="28"/>
          <w:highlight w:val="none"/>
        </w:rPr>
      </w:pPr>
    </w:p>
    <w:p>
      <w:pPr>
        <w:pStyle w:val="4"/>
        <w:spacing w:after="120"/>
        <w:ind w:firstLine="560"/>
        <w:rPr>
          <w:rFonts w:hint="eastAsia" w:ascii="宋体" w:hAnsi="宋体" w:cs="宋体"/>
          <w:b/>
          <w:sz w:val="28"/>
          <w:szCs w:val="28"/>
          <w:highlight w:val="none"/>
        </w:rPr>
      </w:pPr>
    </w:p>
    <w:p>
      <w:pPr>
        <w:pStyle w:val="4"/>
        <w:spacing w:after="120"/>
        <w:ind w:firstLine="560"/>
        <w:rPr>
          <w:rFonts w:hint="eastAsia" w:ascii="宋体" w:hAnsi="宋体" w:cs="宋体"/>
          <w:b/>
          <w:sz w:val="28"/>
          <w:szCs w:val="28"/>
          <w:highlight w:val="none"/>
        </w:rPr>
      </w:pPr>
    </w:p>
    <w:p>
      <w:pPr>
        <w:spacing w:line="360" w:lineRule="auto"/>
        <w:rPr>
          <w:rFonts w:hint="eastAsia" w:ascii="仿宋_GB2312" w:hAnsi="仿宋_GB2312" w:eastAsia="仿宋_GB2312" w:cs="仿宋_GB2312"/>
          <w:b/>
          <w:bCs/>
          <w:sz w:val="28"/>
          <w:szCs w:val="28"/>
          <w:highlight w:val="none"/>
        </w:rPr>
      </w:pPr>
    </w:p>
    <w:p>
      <w:pPr>
        <w:spacing w:line="360" w:lineRule="auto"/>
        <w:ind w:left="1964" w:leftChars="266" w:hanging="1405" w:hangingChars="500"/>
        <w:rPr>
          <w:rFonts w:hint="eastAsia" w:ascii="仿宋_GB2312" w:hAnsi="仿宋_GB2312" w:eastAsia="仿宋_GB2312" w:cs="仿宋_GB2312"/>
          <w:b/>
          <w:color w:val="000000"/>
          <w:sz w:val="28"/>
          <w:szCs w:val="28"/>
          <w:highlight w:val="none"/>
          <w:lang w:val="en-US" w:eastAsia="zh-CN"/>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拉萨南北山2024、2025年度（山南段）营</w:t>
      </w:r>
    </w:p>
    <w:p>
      <w:pPr>
        <w:spacing w:line="360" w:lineRule="auto"/>
        <w:ind w:left="1964" w:leftChars="266" w:hanging="1405" w:hangingChars="500"/>
        <w:rPr>
          <w:rFonts w:hint="eastAsia" w:ascii="仿宋_GB2312" w:hAnsi="仿宋_GB2312" w:eastAsia="仿宋_GB2312" w:cs="仿宋_GB2312"/>
          <w:sz w:val="28"/>
          <w:szCs w:val="28"/>
          <w:highlight w:val="none"/>
        </w:rPr>
      </w:pPr>
      <w:r>
        <w:rPr>
          <w:rFonts w:hint="eastAsia" w:ascii="仿宋_GB2312" w:hAnsi="仿宋_GB2312" w:eastAsia="仿宋_GB2312" w:cs="仿宋_GB2312"/>
          <w:b/>
          <w:color w:val="000000"/>
          <w:sz w:val="28"/>
          <w:szCs w:val="28"/>
          <w:highlight w:val="none"/>
          <w:lang w:val="en-US" w:eastAsia="zh-CN"/>
        </w:rPr>
        <w:t>造林先造后补工程贡嘎县巩固提升工程一片区项目</w:t>
      </w:r>
      <w:r>
        <w:rPr>
          <w:rFonts w:hint="eastAsia" w:ascii="仿宋_GB2312" w:hAnsi="仿宋_GB2312" w:eastAsia="仿宋_GB2312" w:cs="仿宋_GB2312"/>
          <w:b/>
          <w:color w:val="000000"/>
          <w:sz w:val="28"/>
          <w:szCs w:val="28"/>
          <w:highlight w:val="none"/>
        </w:rPr>
        <w:t xml:space="preserve"> 】</w:t>
      </w:r>
    </w:p>
    <w:p>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 xml:space="preserve">中建路桥集团有限公司 </w:t>
      </w:r>
      <w:r>
        <w:rPr>
          <w:rFonts w:hint="eastAsia" w:ascii="仿宋_GB2312" w:hAnsi="仿宋_GB2312" w:eastAsia="仿宋_GB2312" w:cs="仿宋_GB2312"/>
          <w:b/>
          <w:color w:val="000000"/>
          <w:sz w:val="28"/>
          <w:szCs w:val="28"/>
          <w:highlight w:val="none"/>
          <w:u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bookmarkEnd w:id="0"/>
    <w:p>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p>
    <w:permEnd w:id="3"/>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pPr>
            <w:pStyle w:val="4"/>
            <w:rPr>
              <w:highlight w:val="none"/>
            </w:rPr>
          </w:pPr>
        </w:p>
        <w:p>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pPr>
            <w:pStyle w:val="4"/>
            <w:rPr>
              <w:highlight w:val="none"/>
            </w:rPr>
          </w:pPr>
        </w:p>
        <w:p>
          <w:pPr>
            <w:pStyle w:val="8"/>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2</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4</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5</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6</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8</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10</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11</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12</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13</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16</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20</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23</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23</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24</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25</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27</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27</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28</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29</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29</w:t>
          </w:r>
          <w:r>
            <w:rPr>
              <w:highlight w:val="none"/>
            </w:rPr>
            <w:fldChar w:fldCharType="end"/>
          </w:r>
          <w:r>
            <w:rPr>
              <w:highlight w:val="none"/>
            </w:rPr>
            <w:fldChar w:fldCharType="end"/>
          </w:r>
        </w:p>
        <w:p>
          <w:pPr>
            <w:pStyle w:val="8"/>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29</w:t>
          </w:r>
          <w:r>
            <w:rPr>
              <w:highlight w:val="none"/>
            </w:rPr>
            <w:fldChar w:fldCharType="end"/>
          </w:r>
          <w:r>
            <w:rPr>
              <w:highlight w:val="none"/>
            </w:rPr>
            <w:fldChar w:fldCharType="end"/>
          </w:r>
        </w:p>
        <w:p>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31405"/>
      <w:bookmarkStart w:id="3" w:name="_Toc5953"/>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pPr>
        <w:pStyle w:val="11"/>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集团有限公司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
    </w:p>
    <w:p>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乙方（卖方）：</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ermEnd w:id="6"/>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640"/>
      <w:bookmarkStart w:id="5" w:name="_Toc17203"/>
      <w:bookmarkStart w:id="6" w:name="_Toc29946"/>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拉萨南北山2024、2025年度（山南段）营造林先造后补工程贡嘎巩固提升工程一片区项目</w:t>
      </w:r>
      <w:permEnd w:id="7"/>
      <w:r>
        <w:rPr>
          <w:rFonts w:hint="eastAsia" w:ascii="仿宋_GB2312" w:hAnsi="仿宋_GB2312" w:eastAsia="仿宋_GB2312" w:cs="仿宋_GB2312"/>
          <w:color w:val="000000" w:themeColor="text1"/>
          <w:highlight w:val="none"/>
          <w14:textFill>
            <w14:solidFill>
              <w14:schemeClr w14:val="tx1"/>
            </w14:solidFill>
          </w14:textFill>
        </w:rPr>
        <w:t>；</w:t>
      </w:r>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西藏自治区山南市贡嘎县</w:t>
      </w:r>
      <w:permEnd w:id="8"/>
      <w:r>
        <w:rPr>
          <w:rFonts w:hint="eastAsia" w:ascii="仿宋_GB2312" w:hAnsi="仿宋_GB2312" w:eastAsia="仿宋_GB2312" w:cs="仿宋_GB2312"/>
          <w:color w:val="000000" w:themeColor="text1"/>
          <w:highlight w:val="none"/>
          <w14:textFill>
            <w14:solidFill>
              <w14:schemeClr w14:val="tx1"/>
            </w14:solidFill>
          </w14:textFill>
        </w:rPr>
        <w:t>；</w:t>
      </w:r>
    </w:p>
    <w:p>
      <w:pPr>
        <w:pStyle w:val="11"/>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6010"/>
      <w:bookmarkStart w:id="8" w:name="_Toc2931"/>
      <w:bookmarkStart w:id="9" w:name="_Toc23103"/>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1050"/>
        <w:gridCol w:w="876"/>
        <w:gridCol w:w="438"/>
        <w:gridCol w:w="936"/>
        <w:gridCol w:w="835"/>
        <w:gridCol w:w="975"/>
        <w:gridCol w:w="547"/>
        <w:gridCol w:w="1101"/>
        <w:gridCol w:w="808"/>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7"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17" w:type="pct"/>
            <w:shd w:val="clear" w:color="auto" w:fill="auto"/>
            <w:vAlign w:val="center"/>
          </w:tcPr>
          <w:p>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15" w:type="pct"/>
            <w:shd w:val="clear" w:color="auto" w:fill="auto"/>
            <w:vAlign w:val="center"/>
          </w:tcPr>
          <w:p>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258"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39"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91"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73"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22"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7"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5"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02" w:type="pct"/>
            <w:shd w:val="clear" w:color="auto" w:fill="auto"/>
            <w:vAlign w:val="center"/>
          </w:tcPr>
          <w:p>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7"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617"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网围栏</w:t>
            </w:r>
          </w:p>
        </w:tc>
        <w:tc>
          <w:tcPr>
            <w:tcW w:w="515"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p>
        </w:tc>
        <w:tc>
          <w:tcPr>
            <w:tcW w:w="258"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w:t>
            </w:r>
          </w:p>
        </w:tc>
        <w:tc>
          <w:tcPr>
            <w:tcW w:w="539"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40472.00 </w:t>
            </w:r>
          </w:p>
        </w:tc>
        <w:tc>
          <w:tcPr>
            <w:tcW w:w="491"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2" w:type="pct"/>
            <w:shd w:val="clear" w:color="auto" w:fill="auto"/>
            <w:vAlign w:val="center"/>
          </w:tcPr>
          <w:p>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7"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617"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网围栏大门</w:t>
            </w:r>
          </w:p>
        </w:tc>
        <w:tc>
          <w:tcPr>
            <w:tcW w:w="515"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p>
        </w:tc>
        <w:tc>
          <w:tcPr>
            <w:tcW w:w="258" w:type="pct"/>
            <w:shd w:val="clear" w:color="auto" w:fill="auto"/>
            <w:noWrap/>
            <w:vAlign w:val="center"/>
          </w:tcPr>
          <w:p>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座</w:t>
            </w:r>
          </w:p>
        </w:tc>
        <w:tc>
          <w:tcPr>
            <w:tcW w:w="539"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20.00 </w:t>
            </w:r>
          </w:p>
        </w:tc>
        <w:tc>
          <w:tcPr>
            <w:tcW w:w="491"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2"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7"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617"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钢管立柱</w:t>
            </w:r>
          </w:p>
        </w:tc>
        <w:tc>
          <w:tcPr>
            <w:tcW w:w="515"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p>
        </w:tc>
        <w:tc>
          <w:tcPr>
            <w:tcW w:w="258" w:type="pct"/>
            <w:shd w:val="clear" w:color="auto" w:fill="auto"/>
            <w:noWrap/>
            <w:vAlign w:val="center"/>
          </w:tcPr>
          <w:p>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根</w:t>
            </w:r>
          </w:p>
        </w:tc>
        <w:tc>
          <w:tcPr>
            <w:tcW w:w="539"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13577.00 </w:t>
            </w:r>
          </w:p>
        </w:tc>
        <w:tc>
          <w:tcPr>
            <w:tcW w:w="491"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2"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7"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17"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5"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58" w:type="pct"/>
            <w:shd w:val="clear" w:color="auto" w:fill="auto"/>
            <w:noWrap/>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54069</w:t>
            </w:r>
          </w:p>
        </w:tc>
        <w:tc>
          <w:tcPr>
            <w:tcW w:w="491"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2"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9"/>
    </w:tbl>
    <w:p>
      <w:pPr>
        <w:pStyle w:val="11"/>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pPr>
        <w:pStyle w:val="11"/>
        <w:numPr>
          <w:ilvl w:val="0"/>
          <w:numId w:val="2"/>
        </w:numPr>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permStart w:id="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1.1  </w:t>
      </w:r>
      <w:permEnd w:id="10"/>
      <w:r>
        <w:rPr>
          <w:rFonts w:hint="eastAsia" w:ascii="仿宋_GB2312" w:hAnsi="仿宋_GB2312" w:eastAsia="仿宋_GB2312" w:cs="仿宋_GB2312"/>
          <w:color w:val="000000" w:themeColor="text1"/>
          <w:highlight w:val="none"/>
          <w14:textFill>
            <w14:solidFill>
              <w14:schemeClr w14:val="tx1"/>
            </w14:solidFill>
          </w14:textFill>
        </w:rPr>
        <w:t>条</w:t>
      </w:r>
    </w:p>
    <w:p>
      <w:pPr>
        <w:pStyle w:val="11"/>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pPr>
        <w:pStyle w:val="11"/>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pPr>
        <w:pStyle w:val="11"/>
        <w:numPr>
          <w:ilvl w:val="0"/>
          <w:numId w:val="0"/>
        </w:numPr>
        <w:spacing w:before="120" w:beforeLines="50" w:after="120" w:afterLines="50" w:line="400" w:lineRule="atLeast"/>
        <w:ind w:firstLine="482" w:firstLineChars="200"/>
        <w:outlineLvl w:val="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1"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                             </w:t>
      </w:r>
      <w:permEnd w:id="11"/>
    </w:p>
    <w:p>
      <w:pPr>
        <w:pStyle w:val="11"/>
        <w:numPr>
          <w:ilvl w:val="0"/>
          <w:numId w:val="2"/>
        </w:numPr>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乙方所供物资必须为</w:t>
      </w:r>
      <w:permStart w:id="12"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ermEnd w:id="12"/>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pPr>
        <w:pStyle w:val="11"/>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 w:name="_Toc13168"/>
      <w:bookmarkStart w:id="12" w:name="_Toc23444"/>
      <w:bookmarkStart w:id="13" w:name="_Toc15703"/>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1"/>
      <w:bookmarkEnd w:id="12"/>
      <w:bookmarkEnd w:id="13"/>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1.2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3"/>
      <w:r>
        <w:rPr>
          <w:rFonts w:hint="eastAsia" w:ascii="仿宋_GB2312" w:hAnsi="仿宋_GB2312" w:eastAsia="仿宋_GB2312" w:cs="仿宋_GB2312"/>
          <w:color w:val="000000" w:themeColor="text1"/>
          <w:highlight w:val="none"/>
          <w14:textFill>
            <w14:solidFill>
              <w14:schemeClr w14:val="tx1"/>
            </w14:solidFill>
          </w14:textFill>
        </w:rPr>
        <w:t>种交货方式；</w:t>
      </w:r>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pPr>
        <w:pStyle w:val="11"/>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pPr>
        <w:pStyle w:val="11"/>
        <w:spacing w:line="400" w:lineRule="atLeast"/>
        <w:ind w:firstLine="482" w:firstLineChars="20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1.3其他</w:t>
      </w:r>
      <w:permStart w:id="14"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
    <w:permEnd w:id="14"/>
    <w:p>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5"/>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1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施工现场甲方指定地点</w:t>
      </w:r>
      <w:permEnd w:id="16"/>
      <w:r>
        <w:rPr>
          <w:rFonts w:hint="eastAsia" w:ascii="仿宋_GB2312" w:hAnsi="仿宋_GB2312" w:eastAsia="仿宋_GB2312" w:cs="仿宋_GB2312"/>
          <w:color w:val="000000" w:themeColor="text1"/>
          <w:highlight w:val="none"/>
          <w:u w:val="single"/>
          <w14:textFill>
            <w14:solidFill>
              <w14:schemeClr w14:val="tx1"/>
            </w14:solidFill>
          </w14:textFill>
        </w:rPr>
        <w:t>。</w:t>
      </w:r>
    </w:p>
    <w:p>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1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合同货物清单内容</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highlight w:val="none"/>
          <w14:textFill>
            <w14:solidFill>
              <w14:schemeClr w14:val="tx1"/>
            </w14:solidFill>
          </w14:textFill>
        </w:rPr>
        <w:t>。</w:t>
      </w:r>
    </w:p>
    <w:p>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18"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季富通</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19"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15294242783</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0"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1"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3"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4"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4"/>
      <w:r>
        <w:rPr>
          <w:rFonts w:hint="eastAsia" w:ascii="仿宋_GB2312" w:hAnsi="仿宋_GB2312" w:eastAsia="仿宋_GB2312" w:cs="仿宋_GB2312"/>
          <w:color w:val="000000" w:themeColor="text1"/>
          <w:highlight w:val="none"/>
          <w14:textFill>
            <w14:solidFill>
              <w14:schemeClr w14:val="tx1"/>
            </w14:solidFill>
          </w14:textFill>
        </w:rPr>
        <w:t>。</w:t>
      </w:r>
    </w:p>
    <w:p>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pPr>
        <w:pStyle w:val="11"/>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5"/>
      <w:r>
        <w:rPr>
          <w:rFonts w:hint="eastAsia" w:ascii="仿宋_GB2312" w:hAnsi="仿宋_GB2312" w:eastAsia="仿宋_GB2312" w:cs="仿宋_GB2312"/>
          <w:b/>
          <w:bCs/>
          <w:color w:val="000000" w:themeColor="text1"/>
          <w:highlight w:val="none"/>
          <w14:textFill>
            <w14:solidFill>
              <w14:schemeClr w14:val="tx1"/>
            </w14:solidFill>
          </w14:textFill>
        </w:rPr>
        <w:t>。</w:t>
      </w:r>
    </w:p>
    <w:p>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pPr>
        <w:pStyle w:val="11"/>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24" w:edGrp="everyone"/>
      <w:r>
        <w:rPr>
          <w:rFonts w:hint="eastAsia" w:ascii="仿宋_GB2312" w:hAnsi="仿宋_GB2312" w:eastAsia="仿宋_GB2312" w:cs="仿宋_GB2312"/>
          <w:color w:val="auto"/>
          <w:sz w:val="24"/>
          <w:szCs w:val="24"/>
          <w:highlight w:val="none"/>
          <w:u w:val="single"/>
        </w:rPr>
        <w:t xml:space="preserve">    /  </w:t>
      </w:r>
      <w:permEnd w:id="24"/>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25" w:edGrp="everyone"/>
      <w:r>
        <w:rPr>
          <w:rFonts w:hint="eastAsia" w:ascii="仿宋_GB2312" w:hAnsi="仿宋_GB2312" w:eastAsia="仿宋_GB2312" w:cs="仿宋_GB2312"/>
          <w:color w:val="auto"/>
          <w:sz w:val="24"/>
          <w:szCs w:val="24"/>
          <w:highlight w:val="none"/>
          <w:u w:val="single"/>
        </w:rPr>
        <w:t xml:space="preserve">   / </w:t>
      </w:r>
      <w:permEnd w:id="25"/>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pPr>
        <w:pStyle w:val="11"/>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
    <w:p>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26" w:edGrp="everyone"/>
      <w:r>
        <w:rPr>
          <w:rFonts w:hint="eastAsia" w:ascii="仿宋_GB2312" w:hAnsi="仿宋_GB2312" w:eastAsia="仿宋_GB2312" w:cs="仿宋_GB2312"/>
          <w:color w:val="auto"/>
          <w:highlight w:val="none"/>
          <w:u w:val="single"/>
        </w:rPr>
        <w:t xml:space="preserve">   /  </w:t>
      </w:r>
      <w:permEnd w:id="26"/>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6" w:name="_Toc15437"/>
      <w:bookmarkStart w:id="17" w:name="_Toc29361"/>
      <w:bookmarkStart w:id="18" w:name="_Toc12447"/>
      <w:r>
        <w:rPr>
          <w:rFonts w:hint="eastAsia" w:ascii="仿宋_GB2312" w:hAnsi="仿宋_GB2312" w:eastAsia="仿宋_GB2312" w:cs="仿宋_GB2312"/>
          <w:b/>
          <w:bCs/>
          <w:color w:val="auto"/>
          <w:highlight w:val="none"/>
        </w:rPr>
        <w:t>货物质量</w:t>
      </w:r>
      <w:bookmarkEnd w:id="16"/>
      <w:bookmarkEnd w:id="17"/>
      <w:bookmarkEnd w:id="18"/>
    </w:p>
    <w:p>
      <w:pPr>
        <w:pStyle w:val="11"/>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1.1按照国家标准执行（标准代号、标准编号及标准名称为</w:t>
      </w:r>
      <w:permStart w:id="27" w:edGrp="everyone"/>
      <w:r>
        <w:rPr>
          <w:rFonts w:hint="eastAsia" w:ascii="仿宋_GB2312" w:hAnsi="仿宋_GB2312" w:eastAsia="仿宋_GB2312" w:cs="仿宋_GB2312"/>
          <w:color w:val="auto"/>
          <w:highlight w:val="none"/>
          <w:u w:val="single"/>
          <w:lang w:eastAsia="zh-CN"/>
        </w:rPr>
        <w:t>《</w:t>
      </w:r>
      <w:r>
        <w:rPr>
          <w:rFonts w:hint="eastAsia" w:ascii="仿宋_GB2312" w:hAnsi="仿宋_GB2312" w:eastAsia="仿宋_GB2312" w:cs="仿宋_GB2312"/>
          <w:color w:val="auto"/>
          <w:highlight w:val="none"/>
          <w:u w:val="single"/>
          <w:lang w:val="en-US" w:eastAsia="zh-CN"/>
        </w:rPr>
        <w:t>JBT7138-2010编结网围栏》</w:t>
      </w:r>
      <w:r>
        <w:rPr>
          <w:rFonts w:hint="eastAsia" w:ascii="仿宋_GB2312" w:hAnsi="仿宋_GB2312" w:eastAsia="仿宋_GB2312" w:cs="仿宋_GB2312"/>
          <w:color w:val="auto"/>
          <w:highlight w:val="none"/>
          <w:u w:val="single"/>
        </w:rPr>
        <w:t xml:space="preserve"> </w:t>
      </w:r>
      <w:permEnd w:id="27"/>
      <w:r>
        <w:rPr>
          <w:rFonts w:hint="eastAsia" w:ascii="仿宋_GB2312" w:hAnsi="仿宋_GB2312" w:eastAsia="仿宋_GB2312" w:cs="仿宋_GB2312"/>
          <w:color w:val="auto"/>
          <w:highlight w:val="none"/>
        </w:rPr>
        <w:t>）。</w:t>
      </w:r>
    </w:p>
    <w:p>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28" w:edGrp="everyone"/>
      <w:r>
        <w:rPr>
          <w:rFonts w:hint="eastAsia" w:ascii="仿宋_GB2312" w:hAnsi="仿宋_GB2312" w:eastAsia="仿宋_GB2312" w:cs="仿宋_GB2312"/>
          <w:color w:val="auto"/>
          <w:highlight w:val="none"/>
          <w:u w:val="single"/>
          <w:lang w:val="en-US" w:eastAsia="zh-CN"/>
        </w:rPr>
        <w:t>网围栏网片采用镀锌铅丝网，丝径≥3.2mm,孔径16cmx16cm,高 2m，单片长3m;镀锌铅丝网采用钢绞线或电焊结与围栏立柱固定。刺钢丝材质要求与网面相同。地锚长度0.6m，材质与三角钢相同。小立柱采用</w:t>
      </w:r>
      <w:r>
        <w:rPr>
          <w:rFonts w:hint="eastAsia" w:ascii="微软雅黑" w:hAnsi="微软雅黑" w:eastAsia="微软雅黑" w:cs="微软雅黑"/>
          <w:color w:val="auto"/>
          <w:highlight w:val="none"/>
          <w:u w:val="single"/>
          <w:lang w:val="en-US" w:eastAsia="zh-CN"/>
        </w:rPr>
        <w:t>∅</w:t>
      </w:r>
      <w:r>
        <w:rPr>
          <w:rFonts w:hint="eastAsia" w:ascii="仿宋_GB2312" w:hAnsi="仿宋_GB2312" w:eastAsia="仿宋_GB2312" w:cs="仿宋_GB2312"/>
          <w:color w:val="auto"/>
          <w:highlight w:val="none"/>
          <w:u w:val="single"/>
          <w:lang w:val="en-US" w:eastAsia="zh-CN"/>
        </w:rPr>
        <w:t>40,o=2mm钢管，壁厚2mm，高2.5m，基础埋深0.5m，柱距3m。详见图纸</w:t>
      </w:r>
      <w:bookmarkStart w:id="129" w:name="_GoBack"/>
      <w:bookmarkEnd w:id="129"/>
      <w:r>
        <w:rPr>
          <w:rFonts w:hint="eastAsia" w:ascii="仿宋_GB2312" w:hAnsi="仿宋_GB2312" w:eastAsia="仿宋_GB2312" w:cs="仿宋_GB2312"/>
          <w:color w:val="auto"/>
          <w:highlight w:val="none"/>
        </w:rPr>
        <w:t xml:space="preserve"> </w:t>
      </w:r>
      <w:permEnd w:id="28"/>
      <w:r>
        <w:rPr>
          <w:rFonts w:hint="eastAsia" w:ascii="仿宋_GB2312" w:hAnsi="仿宋_GB2312" w:eastAsia="仿宋_GB2312" w:cs="仿宋_GB2312"/>
          <w:color w:val="auto"/>
          <w:highlight w:val="none"/>
        </w:rPr>
        <w:t>）。</w:t>
      </w:r>
    </w:p>
    <w:p>
      <w:pPr>
        <w:pStyle w:val="11"/>
        <w:spacing w:line="400" w:lineRule="atLeast"/>
        <w:ind w:firstLine="480" w:firstLineChars="200"/>
        <w:outlineLvl w:val="1"/>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permStart w:id="29"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u w:val="single"/>
        </w:rPr>
        <w:t xml:space="preserve">/                  </w:t>
      </w:r>
      <w:permEnd w:id="29"/>
      <w:r>
        <w:rPr>
          <w:rFonts w:hint="eastAsia" w:ascii="仿宋_GB2312" w:hAnsi="仿宋_GB2312" w:eastAsia="仿宋_GB2312" w:cs="仿宋_GB2312"/>
          <w:color w:val="auto"/>
          <w:highlight w:val="none"/>
        </w:rPr>
        <w:t>。</w:t>
      </w:r>
    </w:p>
    <w:p>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permStart w:id="30" w:edGrp="everyone"/>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permEnd w:id="30"/>
      <w:r>
        <w:rPr>
          <w:rFonts w:hint="eastAsia" w:ascii="仿宋_GB2312" w:hAnsi="仿宋_GB2312" w:eastAsia="仿宋_GB2312" w:cs="仿宋_GB2312"/>
          <w:color w:val="auto"/>
          <w:highlight w:val="none"/>
          <w:u w:val="single"/>
        </w:rPr>
        <w:t>。</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3、货物质量保修期：</w:t>
      </w:r>
      <w:r>
        <w:rPr>
          <w:rFonts w:hint="eastAsia" w:ascii="仿宋_GB2312" w:hAnsi="仿宋_GB2312" w:eastAsia="仿宋_GB2312" w:cs="仿宋_GB2312"/>
          <w:color w:val="auto"/>
          <w:highlight w:val="none"/>
        </w:rPr>
        <w:t>按下列第</w:t>
      </w:r>
      <w:r>
        <w:rPr>
          <w:rFonts w:hint="eastAsia" w:ascii="仿宋_GB2312" w:hAnsi="仿宋_GB2312" w:eastAsia="仿宋_GB2312" w:cs="仿宋_GB2312"/>
          <w:color w:val="auto"/>
          <w:highlight w:val="none"/>
          <w:u w:val="single"/>
        </w:rPr>
        <w:t xml:space="preserve"> </w:t>
      </w:r>
      <w:permStart w:id="31"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3.3</w:t>
      </w:r>
      <w:r>
        <w:rPr>
          <w:rFonts w:hint="eastAsia" w:ascii="仿宋_GB2312" w:hAnsi="仿宋_GB2312" w:eastAsia="仿宋_GB2312" w:cs="仿宋_GB2312"/>
          <w:color w:val="auto"/>
          <w:highlight w:val="none"/>
          <w:u w:val="single"/>
        </w:rPr>
        <w:t xml:space="preserve"> </w:t>
      </w:r>
      <w:permEnd w:id="31"/>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项执行（如货物明示或设计的质量保修期/缺陷责任期较长的，以较长者为准）：</w:t>
      </w:r>
    </w:p>
    <w:p>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3.1质量保修期无</w:t>
      </w:r>
    </w:p>
    <w:p>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3.2质量保修期为</w:t>
      </w:r>
      <w:permStart w:id="32" w:edGrp="everyone"/>
      <w:r>
        <w:rPr>
          <w:rFonts w:hint="eastAsia" w:ascii="仿宋_GB2312" w:hAnsi="仿宋_GB2312" w:eastAsia="仿宋_GB2312" w:cs="仿宋_GB2312"/>
          <w:color w:val="auto"/>
          <w:highlight w:val="none"/>
          <w:u w:val="single"/>
        </w:rPr>
        <w:t xml:space="preserve">  /   </w:t>
      </w:r>
      <w:permEnd w:id="32"/>
      <w:r>
        <w:rPr>
          <w:rFonts w:hint="eastAsia" w:ascii="仿宋_GB2312" w:hAnsi="仿宋_GB2312" w:eastAsia="仿宋_GB2312" w:cs="仿宋_GB2312"/>
          <w:color w:val="auto"/>
          <w:highlight w:val="none"/>
        </w:rPr>
        <w:t>个月，自货物进场验收合格之日起算；</w:t>
      </w:r>
    </w:p>
    <w:p>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3.3质量保修期为</w:t>
      </w:r>
      <w:permStart w:id="33"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12</w:t>
      </w:r>
      <w:r>
        <w:rPr>
          <w:rFonts w:hint="eastAsia" w:ascii="仿宋_GB2312" w:hAnsi="仿宋_GB2312" w:eastAsia="仿宋_GB2312" w:cs="仿宋_GB2312"/>
          <w:color w:val="auto"/>
          <w:highlight w:val="none"/>
          <w:u w:val="single"/>
        </w:rPr>
        <w:t xml:space="preserve">  </w:t>
      </w:r>
      <w:permEnd w:id="33"/>
      <w:r>
        <w:rPr>
          <w:rFonts w:hint="eastAsia" w:ascii="仿宋_GB2312" w:hAnsi="仿宋_GB2312" w:eastAsia="仿宋_GB2312" w:cs="仿宋_GB2312"/>
          <w:color w:val="auto"/>
          <w:highlight w:val="none"/>
        </w:rPr>
        <w:t>个月，从工程（送货地工程）竣工验收合格之日（以业主颁发竣工证书所载日期为准）起计算；</w:t>
      </w:r>
    </w:p>
    <w:p>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9" w:name="_Toc12481"/>
      <w:bookmarkStart w:id="20" w:name="_Toc22036"/>
      <w:bookmarkStart w:id="21" w:name="_Toc3621"/>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9"/>
      <w:bookmarkEnd w:id="20"/>
      <w:bookmarkEnd w:id="21"/>
    </w:p>
    <w:p>
      <w:pPr>
        <w:pStyle w:val="11"/>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auto"/>
          <w:highlight w:val="none"/>
        </w:rPr>
        <w:t>货物进场需由甲方物资管理人员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不少于2人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bookmarkStart w:id="22" w:name="_Hlk127189311"/>
      <w:r>
        <w:rPr>
          <w:rFonts w:hint="eastAsia" w:ascii="仿宋_GB2312" w:hAnsi="仿宋_GB2312" w:eastAsia="仿宋_GB2312" w:cs="仿宋_GB2312"/>
          <w:color w:val="auto"/>
          <w:highlight w:val="none"/>
        </w:rPr>
        <w:t>现场责任</w:t>
      </w:r>
      <w:bookmarkEnd w:id="22"/>
      <w:r>
        <w:rPr>
          <w:rFonts w:hint="eastAsia" w:ascii="仿宋_GB2312" w:hAnsi="仿宋_GB2312" w:eastAsia="仿宋_GB2312" w:cs="仿宋_GB2312"/>
          <w:color w:val="auto"/>
          <w:highlight w:val="none"/>
        </w:rPr>
        <w:t>工程师、分包单位和乙方发货联系人共同完成现场验收，现场验收不代表货物质量合格，质量是否合格需要进一步复核确定。</w:t>
      </w:r>
    </w:p>
    <w:p>
      <w:pPr>
        <w:pStyle w:val="11"/>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pPr>
        <w:pStyle w:val="1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highlight w:val="none"/>
        </w:rPr>
        <w:t>甲乙双方在交货现场以</w:t>
      </w:r>
      <w:permStart w:id="34" w:edGrp="everyone"/>
      <w:r>
        <w:rPr>
          <w:rFonts w:hint="eastAsia" w:ascii="仿宋_GB2312" w:hAnsi="仿宋_GB2312" w:eastAsia="仿宋_GB2312" w:cs="仿宋_GB2312"/>
          <w:highlight w:val="none"/>
          <w:lang w:eastAsia="zh-CN"/>
        </w:rPr>
        <w:t>□</w:t>
      </w:r>
      <w:permEnd w:id="34"/>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5" w:edGrp="everyone"/>
      <w:r>
        <w:rPr>
          <w:rFonts w:hint="eastAsia" w:ascii="仿宋_GB2312" w:hAnsi="仿宋_GB2312" w:eastAsia="仿宋_GB2312" w:cs="仿宋_GB2312"/>
          <w:highlight w:val="none"/>
        </w:rPr>
        <w:t>□</w:t>
      </w:r>
      <w:permEnd w:id="35"/>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6" w:edGrp="everyone"/>
      <w:r>
        <w:rPr>
          <w:rFonts w:hint="eastAsia" w:ascii="仿宋_GB2312" w:hAnsi="仿宋_GB2312" w:eastAsia="仿宋_GB2312" w:cs="仿宋_GB2312"/>
          <w:highlight w:val="none"/>
        </w:rPr>
        <w:sym w:font="Wingdings 2" w:char="0052"/>
      </w:r>
      <w:r>
        <w:rPr>
          <w:rFonts w:hint="eastAsia" w:ascii="仿宋_GB2312" w:hAnsi="仿宋_GB2312" w:eastAsia="仿宋_GB2312" w:cs="仿宋_GB2312"/>
          <w:highlight w:val="none"/>
        </w:rPr>
        <w:t xml:space="preserve"> </w:t>
      </w:r>
      <w:permEnd w:id="36"/>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7" w:edGrp="everyone"/>
      <w:r>
        <w:rPr>
          <w:rFonts w:hint="eastAsia" w:ascii="仿宋_GB2312" w:hAnsi="仿宋_GB2312" w:eastAsia="仿宋_GB2312" w:cs="仿宋_GB2312"/>
          <w:highlight w:val="none"/>
        </w:rPr>
        <w:t xml:space="preserve">□ </w:t>
      </w:r>
      <w:permEnd w:id="37"/>
      <w:r>
        <w:rPr>
          <w:rFonts w:hint="eastAsia" w:ascii="仿宋_GB2312" w:hAnsi="仿宋_GB2312" w:eastAsia="仿宋_GB2312" w:cs="仿宋_GB2312"/>
          <w:highlight w:val="none"/>
        </w:rPr>
        <w:t>其他计量方式</w:t>
      </w:r>
      <w:permStart w:id="38" w:edGrp="everyone"/>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w:t>
      </w:r>
      <w:r>
        <w:rPr>
          <w:rFonts w:hint="eastAsia" w:ascii="仿宋_GB2312" w:hAnsi="仿宋_GB2312" w:eastAsia="仿宋_GB2312" w:cs="仿宋_GB2312"/>
          <w:highlight w:val="none"/>
          <w:u w:val="single"/>
        </w:rPr>
        <w:t xml:space="preserve">     </w:t>
      </w:r>
      <w:permEnd w:id="38"/>
      <w:r>
        <w:rPr>
          <w:rFonts w:hint="eastAsia" w:ascii="仿宋_GB2312" w:hAnsi="仿宋_GB2312" w:eastAsia="仿宋_GB2312" w:cs="仿宋_GB2312"/>
          <w:highlight w:val="none"/>
        </w:rPr>
        <w:t>进行数量验收，乙方应对在甲方工地现场的数量验收数据进行确认。</w:t>
      </w:r>
    </w:p>
    <w:p>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none"/>
          <w:lang w:val="en-US" w:eastAsia="zh-CN"/>
        </w:rPr>
        <w:t>。</w:t>
      </w:r>
    </w:p>
    <w:p>
      <w:pPr>
        <w:pStyle w:val="11"/>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pPr>
        <w:pStyle w:val="1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pPr>
        <w:pStyle w:val="11"/>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pPr>
        <w:spacing w:line="400" w:lineRule="exact"/>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4.2送样要求：</w:t>
      </w:r>
      <w:r>
        <w:rPr>
          <w:rFonts w:hint="eastAsia" w:ascii="仿宋_GB2312" w:hAnsi="仿宋_GB2312" w:eastAsia="仿宋_GB2312" w:cs="仿宋_GB2312"/>
          <w:sz w:val="24"/>
          <w:szCs w:val="24"/>
          <w:highlight w:val="none"/>
        </w:rPr>
        <w:t>对于甲方要求提前送样的货物,乙方应按照甲方要求送审材料样品，样品送审内容包括但不限于材料样品本身，还包括提供样品材料的</w:t>
      </w:r>
      <w:permStart w:id="39" w:edGrp="everyone"/>
      <w:r>
        <w:rPr>
          <w:rFonts w:hint="eastAsia" w:ascii="仿宋_GB2312" w:hAnsi="仿宋_GB2312" w:eastAsia="仿宋_GB2312" w:cs="仿宋_GB2312"/>
          <w:sz w:val="24"/>
          <w:szCs w:val="24"/>
          <w:highlight w:val="none"/>
          <w:u w:val="single"/>
        </w:rPr>
        <w:t>质量、外观、品牌、商标、规格、型号、花色、标识、生产厂家、产品生产许可证、产品质量证明书、出厂合格证、产品检验报告</w:t>
      </w:r>
      <w:permEnd w:id="39"/>
      <w:r>
        <w:rPr>
          <w:rFonts w:hint="eastAsia" w:ascii="仿宋_GB2312" w:hAnsi="仿宋_GB2312" w:eastAsia="仿宋_GB2312" w:cs="仿宋_GB2312"/>
          <w:sz w:val="24"/>
          <w:szCs w:val="24"/>
          <w:highlight w:val="none"/>
        </w:rPr>
        <w:t>等相关的技术质量资料。一旦甲、乙双方签约后且材料的样品得到甲方、业主及监理认可并且封存样品后，未经甲方、业主及监理同意，乙方不得作任何变更。</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23"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23"/>
      <w:r>
        <w:rPr>
          <w:rFonts w:hint="eastAsia" w:ascii="仿宋_GB2312" w:hAnsi="仿宋_GB2312" w:eastAsia="仿宋_GB2312" w:cs="仿宋_GB2312"/>
          <w:color w:val="000000" w:themeColor="text1"/>
          <w:highlight w:val="none"/>
          <w14:textFill>
            <w14:solidFill>
              <w14:schemeClr w14:val="tx1"/>
            </w14:solidFill>
          </w14:textFill>
        </w:rPr>
        <w:t>。</w:t>
      </w:r>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双方共同认可的</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0"/>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b/>
          <w:bCs/>
          <w:color w:val="000000" w:themeColor="text1"/>
          <w:highlight w:val="none"/>
          <w14:textFill>
            <w14:solidFill>
              <w14:schemeClr w14:val="tx1"/>
            </w14:solidFill>
          </w14:textFill>
        </w:rPr>
        <w:t>支付中予以扣除，乙方对此不持</w:t>
      </w:r>
      <w:r>
        <w:rPr>
          <w:rFonts w:hint="eastAsia" w:ascii="仿宋_GB2312" w:hAnsi="仿宋_GB2312" w:eastAsia="仿宋_GB2312" w:cs="仿宋_GB2312"/>
          <w:b/>
          <w:bCs/>
          <w:highlight w:val="none"/>
        </w:rPr>
        <w:t>异议。</w:t>
      </w:r>
    </w:p>
    <w:p>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4" w:name="_Toc22166"/>
      <w:bookmarkStart w:id="25" w:name="_Toc23953"/>
      <w:bookmarkStart w:id="26" w:name="_Toc24231"/>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41"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80</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1"/>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highlight w:val="none"/>
          <w14:textFill>
            <w14:solidFill>
              <w14:schemeClr w14:val="tx1"/>
            </w14:solidFill>
          </w14:textFill>
        </w:rPr>
        <w:t>。</w:t>
      </w:r>
    </w:p>
    <w:p>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4"/>
      <w:bookmarkEnd w:id="25"/>
      <w:bookmarkEnd w:id="26"/>
    </w:p>
    <w:p>
      <w:pPr>
        <w:pStyle w:val="1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pPr>
        <w:pStyle w:val="1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pPr>
        <w:pStyle w:val="11"/>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pPr>
                                  <w:pStyle w:val="11"/>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pPr>
                            <w:pStyle w:val="11"/>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pStyle w:val="1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pStyle w:val="1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sRhRnbsAAADb&#10;AAAADwAAAGRycy9kb3ducmV2LnhtbEVPz2vCMBS+D/wfwht4m2krFOmMgpOBDnbQbfdn82yqzUvX&#10;RNv+98th4PHj+71cD7YRd+p87VhBOktAEJdO11wp+P56f1mA8AFZY+OYFIzkYb2aPC2x0K7nA92P&#10;oRIxhH2BCkwIbSGlLw1Z9DPXEkfu7DqLIcKukrrDPobbRmZJkkuLNccGgy29GSqvx5tVsM8/5pfx&#10;tC1/fJ997q6/5rC5bJSaPqfJK4hAQ3iI/907rSCL6+OX+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hRnbsAAADb&#10;AAAADwAAAAAAAAABACAAAAAiAAAAZHJzL2Rvd25yZXYueG1sUEsBAhQAFAAAAAgAh07iQDMvBZ47&#10;AAAAOQAAABAAAAAAAAAAAQAgAAAACgEAAGRycy9zaGFwZXhtbC54bWxQSwUGAAAAAAYABgBbAQAA&#10;tAMAAAAA&#10;" adj="-1620000">
                  <v:fill on="f" focussize="0,0"/>
                  <v:stroke weight="1pt" color="#000000 [3200]" miterlimit="8" joinstyle="miter" startarrow="open"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43"/>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4"/>
      <w:r>
        <w:rPr>
          <w:rFonts w:hint="eastAsia" w:ascii="仿宋_GB2312" w:hAnsi="仿宋_GB2312" w:eastAsia="仿宋_GB2312" w:cs="仿宋_GB2312"/>
          <w:color w:val="000000" w:themeColor="text1"/>
          <w:highlight w:val="none"/>
          <w14:textFill>
            <w14:solidFill>
              <w14:schemeClr w14:val="tx1"/>
            </w14:solidFill>
          </w14:textFill>
        </w:rPr>
        <w:t>。</w:t>
      </w:r>
    </w:p>
    <w:p>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7"/>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5"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建设南大街70号、0311-86028814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平安大街支行13001618601050504927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pPr>
              <w:rPr>
                <w:highlight w:val="none"/>
              </w:rPr>
            </w:pPr>
          </w:p>
        </w:tc>
        <w:tc>
          <w:tcPr>
            <w:tcW w:w="6143" w:type="dxa"/>
            <w:tcBorders>
              <w:bottom w:val="double" w:color="auto" w:sz="4" w:space="0"/>
              <w:right w:val="single" w:color="auto" w:sz="12" w:space="0"/>
            </w:tcBorders>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pPr>
              <w:pStyle w:val="11"/>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5"/>
    </w:tbl>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8" w:name="_Toc27325"/>
      <w:bookmarkStart w:id="29" w:name="_Toc32138"/>
      <w:bookmarkStart w:id="30" w:name="_Toc21859"/>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8"/>
      <w:bookmarkEnd w:id="29"/>
      <w:bookmarkEnd w:id="30"/>
    </w:p>
    <w:p>
      <w:pPr>
        <w:pStyle w:val="11"/>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highlight w:val="none"/>
          <w14:textFill>
            <w14:solidFill>
              <w14:schemeClr w14:val="tx1"/>
            </w14:solidFill>
          </w14:textFill>
        </w:rPr>
        <w:t>条付款条件：</w:t>
      </w:r>
    </w:p>
    <w:p>
      <w:pPr>
        <w:pStyle w:val="11"/>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7"/>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8"/>
      <w:r>
        <w:rPr>
          <w:rFonts w:hint="eastAsia" w:ascii="仿宋_GB2312" w:hAnsi="仿宋_GB2312" w:eastAsia="仿宋_GB2312" w:cs="仿宋_GB2312"/>
          <w:color w:val="000000" w:themeColor="text1"/>
          <w:highlight w:val="none"/>
          <w14:textFill>
            <w14:solidFill>
              <w14:schemeClr w14:val="tx1"/>
            </w14:solidFill>
          </w14:textFill>
        </w:rPr>
        <w:t>%，</w:t>
      </w:r>
      <w:permStart w:id="4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%，余下</w:t>
      </w:r>
      <w:permStart w:id="5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1"/>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60  </w:t>
      </w:r>
      <w:permEnd w:id="52"/>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3"/>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4"/>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5"/>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5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8"/>
      <w:r>
        <w:rPr>
          <w:rFonts w:hint="eastAsia" w:ascii="仿宋_GB2312" w:hAnsi="仿宋_GB2312" w:eastAsia="仿宋_GB2312" w:cs="仿宋_GB2312"/>
          <w:color w:val="000000" w:themeColor="text1"/>
          <w:highlight w:val="none"/>
          <w14:textFill>
            <w14:solidFill>
              <w14:schemeClr w14:val="tx1"/>
            </w14:solidFill>
          </w14:textFill>
        </w:rPr>
        <w:t>（身份证号：</w:t>
      </w:r>
      <w:permStart w:id="5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0"/>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10000</w:t>
      </w:r>
      <w:permEnd w:id="61"/>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2"/>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4"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中建路桥集团第六工程有限公司</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1305 0165 5272 0000 0297</w:t>
      </w:r>
      <w:permEnd w:id="6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建行邢台青青家园支行</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pPr>
        <w:pStyle w:val="11"/>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67"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90 </w:t>
      </w:r>
      <w:permEnd w:id="67"/>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bookmarkStart w:id="31" w:name="_Toc10245"/>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32" w:name="_Toc12208"/>
      <w:bookmarkStart w:id="33" w:name="_Toc2466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6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付晓军 </w:t>
      </w:r>
      <w:permEnd w:id="6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15081741749</w:t>
      </w:r>
      <w:permEnd w:id="69"/>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张海萍  </w:t>
      </w:r>
      <w:permEnd w:id="70"/>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71"/>
    </w:p>
    <w:p>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72"/>
    </w:p>
    <w:p>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zjlq6bgsh@163.com</w:t>
      </w:r>
      <w:permEnd w:id="73"/>
    </w:p>
    <w:p>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pPr>
        <w:pStyle w:val="11"/>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highlight w:val="none"/>
          <w14:textFill>
            <w14:solidFill>
              <w14:schemeClr w14:val="tx1"/>
            </w14:solidFill>
          </w14:textFill>
        </w:rPr>
        <w:t>。</w:t>
      </w:r>
    </w:p>
    <w:p>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1"/>
      <w:bookmarkEnd w:id="32"/>
      <w:bookmarkEnd w:id="33"/>
    </w:p>
    <w:p>
      <w:pPr>
        <w:pStyle w:val="11"/>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西藏山南市贡嘎县拉萨营造林一片区项目经理部</w:t>
      </w:r>
      <w:permEnd w:id="75"/>
      <w:r>
        <w:rPr>
          <w:rFonts w:hint="eastAsia" w:ascii="仿宋_GB2312" w:hAnsi="仿宋_GB2312" w:eastAsia="仿宋_GB2312" w:cs="仿宋_GB2312"/>
          <w:color w:val="000000" w:themeColor="text1"/>
          <w:highlight w:val="none"/>
          <w14:textFill>
            <w14:solidFill>
              <w14:schemeClr w14:val="tx1"/>
            </w14:solidFill>
          </w14:textFill>
        </w:rPr>
        <w:t>；</w:t>
      </w:r>
    </w:p>
    <w:p>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付晓军，15081741749</w:t>
      </w:r>
      <w:permEnd w:id="76"/>
      <w:r>
        <w:rPr>
          <w:rFonts w:hint="eastAsia" w:ascii="仿宋_GB2312" w:hAnsi="仿宋_GB2312" w:eastAsia="仿宋_GB2312" w:cs="仿宋_GB2312"/>
          <w:color w:val="000000" w:themeColor="text1"/>
          <w:highlight w:val="none"/>
          <w14:textFill>
            <w14:solidFill>
              <w14:schemeClr w14:val="tx1"/>
            </w14:solidFill>
          </w14:textFill>
        </w:rPr>
        <w:t>；邮箱：</w:t>
      </w:r>
      <w:permStart w:id="7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highlight w:val="none"/>
          <w14:textFill>
            <w14:solidFill>
              <w14:schemeClr w14:val="tx1"/>
            </w14:solidFill>
          </w14:textFill>
        </w:rPr>
        <w:t>；</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7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highlight w:val="none"/>
          <w14:textFill>
            <w14:solidFill>
              <w14:schemeClr w14:val="tx1"/>
            </w14:solidFill>
          </w14:textFill>
        </w:rPr>
        <w:t>；</w:t>
      </w:r>
    </w:p>
    <w:p>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highlight w:val="none"/>
          <w14:textFill>
            <w14:solidFill>
              <w14:schemeClr w14:val="tx1"/>
            </w14:solidFill>
          </w14:textFill>
        </w:rPr>
        <w:t>；邮箱：</w:t>
      </w:r>
      <w:permStart w:id="8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highlight w:val="none"/>
          <w14:textFill>
            <w14:solidFill>
              <w14:schemeClr w14:val="tx1"/>
            </w14:solidFill>
          </w14:textFill>
        </w:rPr>
        <w:t>；</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4" w:name="_Toc4701"/>
      <w:bookmarkStart w:id="35" w:name="_Toc26478"/>
      <w:bookmarkStart w:id="36" w:name="_Toc21843"/>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4"/>
      <w:bookmarkEnd w:id="35"/>
      <w:bookmarkEnd w:id="36"/>
    </w:p>
    <w:p>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8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1.2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highlight w:val="none"/>
          <w14:textFill>
            <w14:solidFill>
              <w14:schemeClr w14:val="tx1"/>
            </w14:solidFill>
          </w14:textFill>
        </w:rPr>
        <w:t>条；</w:t>
      </w:r>
    </w:p>
    <w:p>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7" w:name="_Toc31827_WPSOffice_Level1"/>
      <w:bookmarkStart w:id="38" w:name="_Toc15785_WPSOffice_Level1"/>
      <w:bookmarkStart w:id="39" w:name="_Toc21939"/>
      <w:bookmarkStart w:id="40" w:name="_Toc7989"/>
      <w:bookmarkStart w:id="41" w:name="_Toc6851_WPSOffice_Level1"/>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pPr>
        <w:pStyle w:val="11"/>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2"/>
      <w:r>
        <w:rPr>
          <w:rFonts w:hint="eastAsia" w:ascii="仿宋_GB2312" w:hAnsi="仿宋_GB2312" w:eastAsia="仿宋_GB2312" w:cs="仿宋_GB2312"/>
          <w:color w:val="000000" w:themeColor="text1"/>
          <w:highlight w:val="none"/>
          <w14:textFill>
            <w14:solidFill>
              <w14:schemeClr w14:val="tx1"/>
            </w14:solidFill>
          </w14:textFill>
        </w:rPr>
        <w:t>份，甲方执</w:t>
      </w:r>
      <w:permStart w:id="83"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83"/>
      <w:r>
        <w:rPr>
          <w:rFonts w:hint="eastAsia" w:ascii="仿宋_GB2312" w:hAnsi="仿宋_GB2312" w:eastAsia="仿宋_GB2312" w:cs="仿宋_GB2312"/>
          <w:color w:val="000000" w:themeColor="text1"/>
          <w:highlight w:val="none"/>
          <w14:textFill>
            <w14:solidFill>
              <w14:schemeClr w14:val="tx1"/>
            </w14:solidFill>
          </w14:textFill>
        </w:rPr>
        <w:t>份，乙方执</w:t>
      </w:r>
      <w:permStart w:id="84"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84"/>
      <w:r>
        <w:rPr>
          <w:rFonts w:hint="eastAsia" w:ascii="仿宋_GB2312" w:hAnsi="仿宋_GB2312" w:eastAsia="仿宋_GB2312" w:cs="仿宋_GB2312"/>
          <w:color w:val="000000" w:themeColor="text1"/>
          <w:highlight w:val="none"/>
          <w14:textFill>
            <w14:solidFill>
              <w14:schemeClr w14:val="tx1"/>
            </w14:solidFill>
          </w14:textFill>
        </w:rPr>
        <w:t>份。</w:t>
      </w:r>
    </w:p>
    <w:p>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7"/>
      <w:bookmarkEnd w:id="38"/>
      <w:bookmarkEnd w:id="39"/>
      <w:bookmarkEnd w:id="40"/>
      <w:bookmarkEnd w:id="41"/>
      <w:bookmarkStart w:id="42" w:name="_Toc6163_WPSOffice_Level1"/>
      <w:bookmarkStart w:id="43" w:name="_Toc8898_WPSOffice_Level1"/>
      <w:bookmarkStart w:id="44" w:name="_Toc19595_WPSOffice_Level1"/>
    </w:p>
    <w:p>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5" w:name="_Toc31108"/>
      <w:bookmarkStart w:id="46" w:name="_Toc23374"/>
      <w:bookmarkStart w:id="47" w:name="_Toc2377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2"/>
      <w:bookmarkEnd w:id="43"/>
      <w:bookmarkEnd w:id="44"/>
      <w:bookmarkEnd w:id="45"/>
      <w:bookmarkEnd w:id="46"/>
      <w:bookmarkEnd w:id="47"/>
    </w:p>
    <w:p>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8" w:name="_Toc3383_WPSOffice_Level1"/>
      <w:bookmarkStart w:id="49" w:name="_Toc16133_WPSOffice_Level1"/>
      <w:bookmarkStart w:id="50" w:name="_Toc5250_WPSOffice_Level1"/>
      <w:bookmarkStart w:id="51" w:name="_Toc27542"/>
      <w:bookmarkStart w:id="52" w:name="_Toc14040"/>
      <w:bookmarkStart w:id="53"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8"/>
      <w:bookmarkEnd w:id="49"/>
      <w:bookmarkEnd w:id="50"/>
      <w:bookmarkEnd w:id="51"/>
      <w:bookmarkEnd w:id="5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3"/>
    </w:p>
    <w:p>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4" w:name="_Toc22730_WPSOffice_Level1"/>
      <w:bookmarkStart w:id="55" w:name="_Toc19768_WPSOffice_Level1"/>
      <w:bookmarkStart w:id="56" w:name="_Toc641_WPSOffice_Level1"/>
      <w:bookmarkStart w:id="57" w:name="_Toc3486"/>
      <w:bookmarkStart w:id="58" w:name="_Toc26596"/>
      <w:bookmarkStart w:id="59" w:name="_Toc66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4"/>
      <w:bookmarkEnd w:id="55"/>
      <w:bookmarkEnd w:id="5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7"/>
      <w:bookmarkEnd w:id="58"/>
      <w:bookmarkEnd w:id="59"/>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60" w:name="_Toc24584_WPSOffice_Level1"/>
      <w:bookmarkStart w:id="61" w:name="_Toc19161_WPSOffice_Level1"/>
      <w:bookmarkStart w:id="62" w:name="_Toc8260_WPSOffice_Level1"/>
      <w:bookmarkStart w:id="63" w:name="_Toc6994"/>
      <w:bookmarkStart w:id="64" w:name="_Toc459"/>
      <w:bookmarkStart w:id="65" w:name="_Toc25961"/>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60"/>
      <w:bookmarkEnd w:id="61"/>
      <w:bookmarkEnd w:id="62"/>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3"/>
      <w:bookmarkEnd w:id="64"/>
      <w:bookmarkEnd w:id="65"/>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p>
    <w:p>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6" w:name="_Toc25426"/>
      <w:bookmarkStart w:id="67" w:name="_Toc31445"/>
      <w:bookmarkStart w:id="68" w:name="_Toc7321"/>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6"/>
      <w:bookmarkEnd w:id="67"/>
      <w:bookmarkEnd w:id="68"/>
    </w:p>
    <w:p>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拉萨南北山2024、2025年度（山南段）营造林先造后补工程贡嘎巩固提升工程一片区</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6"/>
    </w:p>
    <w:tbl>
      <w:tblPr>
        <w:tblStyle w:val="9"/>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7" w:edGrp="everyone"/>
          </w:p>
        </w:tc>
        <w:tc>
          <w:tcPr>
            <w:tcW w:w="4560" w:type="dxa"/>
            <w:tcBorders>
              <w:left w:val="single" w:color="000000" w:sz="4" w:space="0"/>
            </w:tcBorders>
            <w:vAlign w:val="center"/>
          </w:tcPr>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7"/>
    </w:tbl>
    <w:p>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9"/>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8" w:edGrp="everyone"/>
          </w:p>
        </w:tc>
        <w:tc>
          <w:tcPr>
            <w:tcW w:w="4530" w:type="dxa"/>
            <w:tcBorders>
              <w:left w:val="single" w:color="000000" w:sz="4" w:space="0"/>
            </w:tcBorders>
            <w:vAlign w:val="center"/>
          </w:tcPr>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8"/>
    </w:tbl>
    <w:p>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9" w:name="_Toc4519"/>
      <w:bookmarkStart w:id="70" w:name="_Toc21254"/>
      <w:bookmarkStart w:id="71" w:name="_Toc16973"/>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9"/>
      <w:bookmarkEnd w:id="70"/>
      <w:bookmarkEnd w:id="71"/>
    </w:p>
    <w:p>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72" w:name="_Hlk126830603"/>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72"/>
      <w:permEnd w:id="100"/>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拉萨南北山2024、2025年度（山南段）营造林先造后补工程贡嘎巩固提升工程一片区</w:t>
      </w:r>
      <w:permEnd w:id="10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3"/>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9"/>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3"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3"/>
    <w:tbl>
      <w:tblPr>
        <w:tblStyle w:val="9"/>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4"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4"/>
    </w:tbl>
    <w:p>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5"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5"/>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76" w:name="_Toc15118"/>
      <w:bookmarkStart w:id="77" w:name="_Toc11293"/>
      <w:bookmarkStart w:id="78" w:name="_Toc20069"/>
    </w:p>
    <w:p>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6"/>
      <w:bookmarkEnd w:id="77"/>
      <w:bookmarkEnd w:id="78"/>
    </w:p>
    <w:p>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79" w:name="_Hlk126826529"/>
      <w:permStart w:id="10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79"/>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4"/>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5"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5"/>
    </w:p>
    <w:p>
      <w:pPr>
        <w:pStyle w:val="5"/>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拉萨</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中建总公司、中建交通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pPr>
        <w:pStyle w:val="11"/>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8"/>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9"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《生产安全事故报告和调查处理条例》(493号令)</w:t>
      </w:r>
      <w:permEnd w:id="109"/>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80"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80"/>
    </w:p>
    <w:p>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81" w:name="_Toc9726"/>
      <w:bookmarkStart w:id="82" w:name="_Toc24322"/>
      <w:bookmarkStart w:id="83" w:name="_Toc776"/>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81"/>
      <w:bookmarkEnd w:id="82"/>
      <w:bookmarkEnd w:id="83"/>
    </w:p>
    <w:p>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4"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4"/>
    </w:p>
    <w:p>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10" w:edGrp="everyone"/>
      <w:bookmarkStart w:id="85" w:name="_Hlk127190139"/>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85"/>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10"/>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1"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11"/>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6"/>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7"/>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8"/>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9"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9"/>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0"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90"/>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pPr>
        <w:pStyle w:val="11"/>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pStyle w:val="11"/>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pStyle w:val="11"/>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91" w:name="_Toc1869"/>
      <w:bookmarkStart w:id="92" w:name="_Hlk127794870"/>
      <w:bookmarkStart w:id="93" w:name="_Toc18674"/>
      <w:bookmarkStart w:id="94"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91"/>
      <w:bookmarkEnd w:id="92"/>
      <w:bookmarkEnd w:id="93"/>
    </w:p>
    <w:p>
      <w:pPr>
        <w:pStyle w:val="11"/>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5" w:name="_Toc3066"/>
      <w:bookmarkStart w:id="96" w:name="_Toc11168"/>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4"/>
      <w:bookmarkEnd w:id="95"/>
      <w:bookmarkEnd w:id="96"/>
    </w:p>
    <w:p>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7" w:name="_Toc965"/>
      <w:bookmarkStart w:id="98" w:name="_Toc1717"/>
      <w:bookmarkStart w:id="99" w:name="_Toc13486"/>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7"/>
      <w:bookmarkEnd w:id="98"/>
      <w:bookmarkEnd w:id="99"/>
    </w:p>
    <w:p>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12"/>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pPr>
        <w:pStyle w:val="11"/>
        <w:spacing w:line="400" w:lineRule="atLeast"/>
        <w:ind w:firstLine="480" w:firstLineChars="200"/>
        <w:rPr>
          <w:rFonts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0" w:name="_Hlk126834115"/>
      <w:bookmarkStart w:id="101"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2"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color w:val="000000" w:themeColor="text1"/>
          <w:highlight w:val="none"/>
          <w14:textFill>
            <w14:solidFill>
              <w14:schemeClr w14:val="tx1"/>
            </w14:solidFill>
          </w14:textFill>
        </w:rPr>
        <w:t>数据，一经发现处以罚款2万元/次。</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100"/>
      <w:r>
        <w:rPr>
          <w:rFonts w:hint="eastAsia" w:ascii="仿宋_GB2312" w:hAnsi="仿宋_GB2312" w:eastAsia="仿宋_GB2312" w:cs="仿宋_GB2312"/>
          <w:color w:val="000000" w:themeColor="text1"/>
          <w:highlight w:val="none"/>
          <w14:textFill>
            <w14:solidFill>
              <w14:schemeClr w14:val="tx1"/>
            </w14:solidFill>
          </w14:textFill>
        </w:rPr>
        <w:t>。</w:t>
      </w:r>
      <w:bookmarkEnd w:id="101"/>
      <w:bookmarkEnd w:id="102"/>
    </w:p>
    <w:p>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3" w:name="_Toc20335"/>
      <w:bookmarkStart w:id="104" w:name="_Toc19191"/>
      <w:bookmarkStart w:id="105" w:name="_Toc1152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pPr>
        <w:pStyle w:val="11"/>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pPr>
        <w:pStyle w:val="11"/>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pPr>
        <w:pStyle w:val="11"/>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3"/>
      <w:bookmarkEnd w:id="104"/>
      <w:bookmarkEnd w:id="105"/>
    </w:p>
    <w:p>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6" w:name="_Toc13562"/>
      <w:bookmarkStart w:id="107" w:name="_Toc12864"/>
      <w:bookmarkStart w:id="108" w:name="_Toc13471"/>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6"/>
      <w:bookmarkEnd w:id="107"/>
      <w:bookmarkEnd w:id="108"/>
    </w:p>
    <w:p>
      <w:pPr>
        <w:pStyle w:val="11"/>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pPr>
        <w:pStyle w:val="11"/>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bookmarkStart w:id="109" w:name="_Toc29083"/>
      <w:bookmarkStart w:id="110" w:name="_Toc28560"/>
      <w:bookmarkStart w:id="111" w:name="_Toc23441"/>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pPr>
        <w:pStyle w:val="11"/>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工程建设单位、监理单位及相关部门出台的相关规定文件、市场准入制度造成合同不能执行，甲方不承担任何责任。</w:t>
      </w:r>
    </w:p>
    <w:p>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9"/>
      <w:bookmarkEnd w:id="110"/>
      <w:bookmarkEnd w:id="111"/>
    </w:p>
    <w:p>
      <w:pPr>
        <w:pStyle w:val="11"/>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2"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pPr>
        <w:pStyle w:val="11"/>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2"/>
      <w:r>
        <w:rPr>
          <w:rFonts w:hint="eastAsia" w:ascii="仿宋_GB2312" w:hAnsi="仿宋_GB2312" w:eastAsia="仿宋_GB2312" w:cs="仿宋_GB2312"/>
          <w:b/>
          <w:bCs/>
          <w:color w:val="000000" w:themeColor="text1"/>
          <w:highlight w:val="none"/>
          <w14:textFill>
            <w14:solidFill>
              <w14:schemeClr w14:val="tx1"/>
            </w14:solidFill>
          </w14:textFill>
        </w:rPr>
        <w:t>。</w:t>
      </w:r>
    </w:p>
    <w:p>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3" w:name="_Toc16580"/>
      <w:bookmarkStart w:id="114" w:name="_Toc24603"/>
      <w:bookmarkStart w:id="115" w:name="_Toc17777"/>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3"/>
      <w:bookmarkEnd w:id="114"/>
      <w:bookmarkEnd w:id="115"/>
    </w:p>
    <w:p>
      <w:pPr>
        <w:pStyle w:val="11"/>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不可抗力的确认和通知</w:t>
      </w:r>
    </w:p>
    <w:p>
      <w:pPr>
        <w:pStyle w:val="11"/>
        <w:numPr>
          <w:ilvl w:val="255"/>
          <w:numId w:val="0"/>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pPr>
        <w:pStyle w:val="11"/>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应立即通知</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，并在力所能及的条件下迅速采取措施，尽力减少损失，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应协助</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采取措施。若因</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未能尽力挽救，导致损失扩大的，由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承担全部责任。</w:t>
      </w:r>
    </w:p>
    <w:p>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应向</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提交清理和修复费用的正式报告及有关资料。</w:t>
      </w:r>
    </w:p>
    <w:p>
      <w:pPr>
        <w:pStyle w:val="11"/>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施工设备的损坏由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和</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承担各自人员伤亡和财产的损失；</w:t>
      </w:r>
    </w:p>
    <w:p>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履行合同约定的义务，已经引起或将引起工期延误的，应当顺延工期，由此导致</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停工的费用损失由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要求赶工的，由此增加的赶工费用由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在停工期间按照</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要求照管和清理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工程的费用由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pPr>
        <w:pStyle w:val="11"/>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6" w:name="_Toc9310"/>
      <w:bookmarkStart w:id="117" w:name="_Toc10852"/>
      <w:bookmarkStart w:id="118" w:name="_Toc18501"/>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6"/>
      <w:bookmarkEnd w:id="117"/>
      <w:bookmarkEnd w:id="118"/>
    </w:p>
    <w:p>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pPr>
        <w:spacing w:line="400" w:lineRule="exact"/>
        <w:ind w:firstLine="422" w:firstLineChars="2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119" w:name="_Hlk126830485"/>
      <w:bookmarkStart w:id="120" w:name="_Hlk126770481"/>
      <w:bookmarkStart w:id="121" w:name="_Toc11207"/>
      <w:bookmarkStart w:id="122" w:name="_Toc31739"/>
      <w:bookmarkStart w:id="123" w:name="_Toc18393"/>
      <w:r>
        <w:rPr>
          <w:rFonts w:hint="eastAsia" w:ascii="仿宋_GB2312" w:hAnsi="仿宋_GB2312" w:eastAsia="仿宋_GB2312" w:cs="仿宋_GB2312"/>
          <w:b/>
          <w:bCs/>
          <w:color w:val="000000" w:themeColor="text1"/>
          <w:highlight w:val="none"/>
          <w14:textFill>
            <w14:solidFill>
              <w14:schemeClr w14:val="tx1"/>
            </w14:solidFill>
          </w14:textFill>
        </w:rPr>
        <w:t>2、</w:t>
      </w:r>
      <w:bookmarkStart w:id="124"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争议仲裁或诉讼：</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因本合同引起或与之相关任何争议、纠纷或权利主张，和解不成且已超过和解期的,按以下第</w:t>
      </w:r>
      <w:permStart w:id="113" w:edGrp="everyone"/>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 xml:space="preserve"> 2.1.1</w:t>
      </w:r>
      <w:permEnd w:id="113"/>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种方式解决。</w:t>
      </w:r>
    </w:p>
    <w:p>
      <w:pPr>
        <w:pStyle w:val="11"/>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2.1.1双方约定向甲方住所地有管辖权的人民法院提起诉讼。</w:t>
      </w:r>
    </w:p>
    <w:p>
      <w:pPr>
        <w:pStyle w:val="11"/>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2.1.2双方约定向合同签订地人民法院提起诉讼。</w:t>
      </w:r>
    </w:p>
    <w:p>
      <w:pPr>
        <w:pStyle w:val="11"/>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2.2.3提交河北省石家庄市仲裁委员会裁决。</w:t>
      </w:r>
    </w:p>
    <w:p>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19"/>
      <w:bookmarkEnd w:id="124"/>
      <w:r>
        <w:rPr>
          <w:rFonts w:hint="eastAsia" w:ascii="仿宋_GB2312" w:hAnsi="仿宋_GB2312" w:eastAsia="仿宋_GB2312" w:cs="仿宋_GB2312"/>
          <w:b/>
          <w:bCs/>
          <w:color w:val="000000" w:themeColor="text1"/>
          <w:highlight w:val="none"/>
          <w14:textFill>
            <w14:solidFill>
              <w14:schemeClr w14:val="tx1"/>
            </w14:solidFill>
          </w14:textFill>
        </w:rPr>
        <w:t>。</w:t>
      </w:r>
      <w:bookmarkEnd w:id="120"/>
    </w:p>
    <w:p>
      <w:pPr>
        <w:pStyle w:val="11"/>
        <w:spacing w:line="400" w:lineRule="atLeast"/>
        <w:ind w:firstLine="482" w:firstLineChars="200"/>
        <w:jc w:val="both"/>
        <w:rPr>
          <w:rFonts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引发的费用。</w:t>
      </w:r>
    </w:p>
    <w:p>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21"/>
      <w:bookmarkEnd w:id="122"/>
      <w:bookmarkEnd w:id="123"/>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5"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6" w:name="_Toc14038"/>
      <w:bookmarkStart w:id="127" w:name="_Toc384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5"/>
      <w:bookmarkEnd w:id="126"/>
      <w:bookmarkEnd w:id="127"/>
    </w:p>
    <w:p>
      <w:pPr>
        <w:pStyle w:val="11"/>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4"/>
      <w:r>
        <w:rPr>
          <w:rFonts w:hint="eastAsia" w:ascii="仿宋_GB2312" w:hAnsi="仿宋_GB2312" w:eastAsia="仿宋_GB2312" w:cs="仿宋_GB2312"/>
          <w:color w:val="000000" w:themeColor="text1"/>
          <w:highlight w:val="none"/>
          <w14:textFill>
            <w14:solidFill>
              <w14:schemeClr w14:val="tx1"/>
            </w14:solidFill>
          </w14:textFill>
        </w:rPr>
        <w:t>。</w:t>
      </w:r>
    </w:p>
    <w:p>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28"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8"/>
    </w:p>
    <w:p>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pPr>
        <w:pStyle w:val="11"/>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pPr>
        <w:rPr>
          <w:rFonts w:ascii="仿宋_GB2312" w:hAnsi="仿宋_GB2312" w:eastAsia="仿宋_GB2312" w:cs="仿宋_GB2312"/>
          <w:color w:val="000000" w:themeColor="text1"/>
          <w:sz w:val="24"/>
          <w:highlight w:val="none"/>
          <w14:textFill>
            <w14:solidFill>
              <w14:schemeClr w14:val="tx1"/>
            </w14:solidFill>
          </w14:textFill>
        </w:rPr>
      </w:pPr>
    </w:p>
    <w:p>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 w:hAnsi="仿宋" w:eastAsia="仿宋" w:cs="仿宋"/>
        <w:sz w:val="24"/>
        <w:szCs w:val="36"/>
      </w:rPr>
    </w:pPr>
    <w:r>
      <w:rPr>
        <w:rFonts w:hint="eastAsia" w:ascii="仿宋" w:hAnsi="仿宋" w:eastAsia="仿宋" w:cs="仿宋"/>
        <w:sz w:val="24"/>
        <w:szCs w:val="36"/>
      </w:rPr>
      <w:t>中建三局第*建设工程有限责任公司</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jc w:val="left"/>
      <w:rPr>
        <w:b/>
        <w:bCs/>
      </w:rPr>
    </w:pPr>
    <w:r>
      <w:rPr>
        <w:b/>
        <w:bCs/>
      </w:rPr>
      <w:t>CSCEC</w:t>
    </w:r>
    <w:r>
      <w:t xml:space="preserve">  </w:t>
    </w:r>
    <w:r>
      <w:rPr>
        <w:rFonts w:hint="eastAsia"/>
        <w:b/>
        <w:bCs/>
      </w:rPr>
      <w:t xml:space="preserve">                                                                                 中建</w:t>
    </w:r>
  </w:p>
  <w:p>
    <w:pPr>
      <w:pStyle w:val="7"/>
    </w:pP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9">
    <w:nsid w:val="1C870535"/>
    <w:multiLevelType w:val="singleLevel"/>
    <w:tmpl w:val="1C870535"/>
    <w:lvl w:ilvl="0" w:tentative="0">
      <w:start w:val="1"/>
      <w:numFmt w:val="decimal"/>
      <w:suff w:val="nothing"/>
      <w:lvlText w:val="%1、"/>
      <w:lvlJc w:val="left"/>
      <w:rPr>
        <w:rFonts w:hint="default"/>
        <w:b/>
        <w:bCs/>
      </w:rPr>
    </w:lvl>
  </w:abstractNum>
  <w:abstractNum w:abstractNumId="10">
    <w:nsid w:val="1D9874AA"/>
    <w:multiLevelType w:val="singleLevel"/>
    <w:tmpl w:val="1D9874AA"/>
    <w:lvl w:ilvl="0" w:tentative="0">
      <w:start w:val="1"/>
      <w:numFmt w:val="chineseCounting"/>
      <w:suff w:val="nothing"/>
      <w:lvlText w:val="%1、"/>
      <w:lvlJc w:val="left"/>
      <w:rPr>
        <w:rFonts w:hint="eastAsia"/>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9"/>
  </w:num>
  <w:num w:numId="4">
    <w:abstractNumId w:val="5"/>
  </w:num>
  <w:num w:numId="5">
    <w:abstractNumId w:val="7"/>
  </w:num>
  <w:num w:numId="6">
    <w:abstractNumId w:val="12"/>
  </w:num>
  <w:num w:numId="7">
    <w:abstractNumId w:val="8"/>
  </w:num>
  <w:num w:numId="8">
    <w:abstractNumId w:val="10"/>
  </w:num>
  <w:num w:numId="9">
    <w:abstractNumId w:val="11"/>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enforcement="1" w:cryptProviderType="rsaFull" w:cryptAlgorithmClass="hash" w:cryptAlgorithmType="typeAny" w:cryptAlgorithmSid="4" w:cryptSpinCount="0" w:hash="7BK3LkcHf8r3ooaAC279d9O477o=" w:salt="w0hhe7KdXLyLHaSC1AxFC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MjgwZDZjN2JkMTI1OWQyMGI2NzRlMGJjODFhNDIifQ=="/>
    <w:docVar w:name="KSO_WPS_MARK_KEY" w:val="80586ee7-e1da-4f76-87c6-541ca0d38344"/>
  </w:docVars>
  <w:rsids>
    <w:rsidRoot w:val="00000000"/>
    <w:rsid w:val="02005B8D"/>
    <w:rsid w:val="0560216C"/>
    <w:rsid w:val="07677F35"/>
    <w:rsid w:val="07E22A1E"/>
    <w:rsid w:val="087D170E"/>
    <w:rsid w:val="0C2C12C5"/>
    <w:rsid w:val="0CDB347F"/>
    <w:rsid w:val="0DB8731C"/>
    <w:rsid w:val="0F5D461F"/>
    <w:rsid w:val="10122848"/>
    <w:rsid w:val="11A93B4C"/>
    <w:rsid w:val="14926CC5"/>
    <w:rsid w:val="15064E11"/>
    <w:rsid w:val="15F405EB"/>
    <w:rsid w:val="161401DB"/>
    <w:rsid w:val="194A79C2"/>
    <w:rsid w:val="199F06C1"/>
    <w:rsid w:val="1DCE5781"/>
    <w:rsid w:val="1E8C6B08"/>
    <w:rsid w:val="1E9811D0"/>
    <w:rsid w:val="20677AD3"/>
    <w:rsid w:val="20D34741"/>
    <w:rsid w:val="24E6773E"/>
    <w:rsid w:val="25AB6412"/>
    <w:rsid w:val="27001DCB"/>
    <w:rsid w:val="27044385"/>
    <w:rsid w:val="2809000E"/>
    <w:rsid w:val="281C1F8A"/>
    <w:rsid w:val="282D2989"/>
    <w:rsid w:val="29143B49"/>
    <w:rsid w:val="2B6B0C1C"/>
    <w:rsid w:val="2CF52523"/>
    <w:rsid w:val="2CFF55C1"/>
    <w:rsid w:val="2F363C4A"/>
    <w:rsid w:val="2F642E8E"/>
    <w:rsid w:val="2FD92135"/>
    <w:rsid w:val="2FF75092"/>
    <w:rsid w:val="305C516C"/>
    <w:rsid w:val="329F4483"/>
    <w:rsid w:val="33134E71"/>
    <w:rsid w:val="35966615"/>
    <w:rsid w:val="37A442EA"/>
    <w:rsid w:val="38C55C94"/>
    <w:rsid w:val="3A58061F"/>
    <w:rsid w:val="3DDE2C63"/>
    <w:rsid w:val="42915752"/>
    <w:rsid w:val="4493311A"/>
    <w:rsid w:val="47857C94"/>
    <w:rsid w:val="4B7613B8"/>
    <w:rsid w:val="4C03387D"/>
    <w:rsid w:val="4D7E765F"/>
    <w:rsid w:val="4DAC7892"/>
    <w:rsid w:val="4F461FE7"/>
    <w:rsid w:val="4F8151E4"/>
    <w:rsid w:val="55C3101A"/>
    <w:rsid w:val="57206CE0"/>
    <w:rsid w:val="57415D69"/>
    <w:rsid w:val="5D403159"/>
    <w:rsid w:val="5E361890"/>
    <w:rsid w:val="5E4E17D8"/>
    <w:rsid w:val="5EE82A63"/>
    <w:rsid w:val="637A221F"/>
    <w:rsid w:val="66576686"/>
    <w:rsid w:val="66F260F2"/>
    <w:rsid w:val="697275C4"/>
    <w:rsid w:val="69F85DC8"/>
    <w:rsid w:val="6ADE3093"/>
    <w:rsid w:val="6BFE7C2B"/>
    <w:rsid w:val="6C537AB1"/>
    <w:rsid w:val="6D441D97"/>
    <w:rsid w:val="6EEF5F38"/>
    <w:rsid w:val="6FA504B7"/>
    <w:rsid w:val="70C90AD8"/>
    <w:rsid w:val="721414BF"/>
    <w:rsid w:val="733C129F"/>
    <w:rsid w:val="7474679E"/>
    <w:rsid w:val="75723680"/>
    <w:rsid w:val="75F93477"/>
    <w:rsid w:val="784A2271"/>
    <w:rsid w:val="7C8A307B"/>
    <w:rsid w:val="7D4E22FA"/>
    <w:rsid w:val="7E55487E"/>
    <w:rsid w:val="7F4C316E"/>
    <w:rsid w:val="7F4C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Cs w:val="28"/>
    </w:rPr>
  </w:style>
  <w:style w:type="paragraph" w:styleId="3">
    <w:name w:val="annotation text"/>
    <w:basedOn w:val="1"/>
    <w:qFormat/>
    <w:uiPriority w:val="0"/>
    <w:pPr>
      <w:jc w:val="left"/>
    </w:pPr>
  </w:style>
  <w:style w:type="paragraph" w:styleId="4">
    <w:name w:val="Plain Text"/>
    <w:basedOn w:val="1"/>
    <w:qFormat/>
    <w:uiPriority w:val="0"/>
    <w:rPr>
      <w:rFonts w:ascii="黑体" w:hAnsi="Courier New" w:eastAsia="黑体" w:cs="Times New Roman"/>
      <w:szCs w:val="20"/>
    </w:rPr>
  </w:style>
  <w:style w:type="paragraph" w:styleId="5">
    <w:name w:val="Body Text Indent 2"/>
    <w:basedOn w:val="1"/>
    <w:qFormat/>
    <w:uiPriority w:val="0"/>
    <w:pPr>
      <w:ind w:firstLine="540" w:firstLineChars="180"/>
    </w:pPr>
    <w:rPr>
      <w:rFonts w:ascii="仿宋_GB2312" w:hAnsi="Calibri" w:eastAsia="仿宋_GB2312" w:cs="Times New Roman"/>
      <w:sz w:val="30"/>
      <w:szCs w:val="24"/>
    </w:rPr>
  </w:style>
  <w:style w:type="paragraph" w:styleId="6">
    <w:name w:val="footer"/>
    <w:basedOn w:val="1"/>
    <w:qFormat/>
    <w:uiPriority w:val="99"/>
    <w:pPr>
      <w:tabs>
        <w:tab w:val="center" w:pos="4153"/>
        <w:tab w:val="right" w:pos="8306"/>
      </w:tabs>
      <w:snapToGrid w:val="0"/>
      <w:jc w:val="left"/>
    </w:pPr>
    <w:rPr>
      <w:rFonts w:ascii="Calibri" w:hAnsi="Calibri"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8">
    <w:name w:val="toc 1"/>
    <w:basedOn w:val="1"/>
    <w:next w:val="1"/>
    <w:qFormat/>
    <w:uiPriority w:val="0"/>
    <w:rPr>
      <w:rFonts w:ascii="Calibri" w:hAnsi="Calibri" w:eastAsia="宋体" w:cs="Times New Roman"/>
    </w:rPr>
  </w:style>
  <w:style w:type="paragraph" w:customStyle="1" w:styleId="1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2">
    <w:name w:val="。"/>
    <w:basedOn w:val="1"/>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21907</Words>
  <Characters>22706</Characters>
  <Lines>0</Lines>
  <Paragraphs>0</Paragraphs>
  <TotalTime>20</TotalTime>
  <ScaleCrop>false</ScaleCrop>
  <LinksUpToDate>false</LinksUpToDate>
  <CharactersWithSpaces>25025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季富通</cp:lastModifiedBy>
  <dcterms:modified xsi:type="dcterms:W3CDTF">2024-12-25T02:24:36Z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30019D8101584DED9F9105C93A3B0518_12</vt:lpwstr>
  </property>
</Properties>
</file>