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46831">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实训基地项目</w:t>
      </w:r>
      <w:r>
        <w:rPr>
          <w:rFonts w:hint="eastAsia" w:ascii="宋体" w:hAnsi="宋体" w:eastAsia="宋体"/>
          <w:highlight w:val="none"/>
          <w:u w:val="single"/>
        </w:rPr>
        <w:t>-001</w:t>
      </w:r>
      <w:r>
        <w:rPr>
          <w:rFonts w:hint="eastAsia" w:eastAsia="仿宋_GB2312"/>
          <w:bCs/>
          <w:color w:val="000000"/>
          <w:sz w:val="28"/>
          <w:szCs w:val="28"/>
          <w:highlight w:val="none"/>
          <w:u w:val="single"/>
        </w:rPr>
        <w:t xml:space="preserve"> </w:t>
      </w:r>
      <w:permEnd w:id="0"/>
    </w:p>
    <w:p w14:paraId="59B6A75F">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50612A7C">
      <w:pPr>
        <w:spacing w:line="360" w:lineRule="auto"/>
        <w:jc w:val="left"/>
        <w:rPr>
          <w:rFonts w:hint="eastAsia" w:ascii="仿宋_GB2312" w:hAnsi="仿宋_GB2312" w:eastAsia="仿宋_GB2312" w:cs="仿宋_GB2312"/>
          <w:sz w:val="28"/>
          <w:szCs w:val="28"/>
          <w:highlight w:val="none"/>
        </w:rPr>
      </w:pPr>
      <w:r>
        <w:rPr>
          <w:highlight w:val="none"/>
        </w:rPr>
        <w:pict>
          <v:shape id="_x0000_s1029" o:spid="_x0000_s1029"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46DCEF69">
      <w:pPr>
        <w:pStyle w:val="6"/>
        <w:rPr>
          <w:rFonts w:hint="eastAsia"/>
          <w:highlight w:val="none"/>
        </w:rPr>
      </w:pPr>
    </w:p>
    <w:p w14:paraId="2496C394">
      <w:pPr>
        <w:pStyle w:val="6"/>
        <w:rPr>
          <w:rFonts w:hint="eastAsia"/>
          <w:highlight w:val="none"/>
        </w:rPr>
      </w:pPr>
    </w:p>
    <w:p w14:paraId="764E2235">
      <w:pPr>
        <w:pStyle w:val="6"/>
        <w:rPr>
          <w:rFonts w:hint="eastAsia"/>
          <w:highlight w:val="none"/>
        </w:rPr>
      </w:pPr>
    </w:p>
    <w:p w14:paraId="0F14C997">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商品混凝土</w:t>
      </w:r>
      <w:r>
        <w:rPr>
          <w:rFonts w:hint="eastAsia" w:ascii="华文中宋" w:hAnsi="华文中宋" w:eastAsia="华文中宋" w:cs="华文中宋"/>
          <w:b/>
          <w:sz w:val="52"/>
          <w:szCs w:val="52"/>
          <w:highlight w:val="none"/>
        </w:rPr>
        <w:t>】采购与供应合同</w:t>
      </w:r>
    </w:p>
    <w:p w14:paraId="02D5B51B">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5">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3A6DB439">
      <w:pPr>
        <w:spacing w:line="360" w:lineRule="auto"/>
        <w:jc w:val="center"/>
        <w:rPr>
          <w:rFonts w:hint="eastAsia" w:ascii="宋体" w:hAnsi="宋体" w:cs="宋体"/>
          <w:b/>
          <w:sz w:val="28"/>
          <w:szCs w:val="28"/>
          <w:highlight w:val="none"/>
        </w:rPr>
      </w:pPr>
    </w:p>
    <w:p w14:paraId="108F7FA4">
      <w:pPr>
        <w:spacing w:line="360" w:lineRule="auto"/>
        <w:jc w:val="center"/>
        <w:rPr>
          <w:rFonts w:hint="eastAsia" w:ascii="宋体" w:hAnsi="宋体" w:cs="宋体"/>
          <w:b/>
          <w:sz w:val="28"/>
          <w:szCs w:val="28"/>
          <w:highlight w:val="none"/>
        </w:rPr>
      </w:pPr>
    </w:p>
    <w:p w14:paraId="3C7947F1">
      <w:pPr>
        <w:spacing w:line="360" w:lineRule="auto"/>
        <w:jc w:val="center"/>
        <w:rPr>
          <w:rFonts w:hint="eastAsia" w:ascii="宋体" w:hAnsi="宋体" w:cs="宋体"/>
          <w:b/>
          <w:sz w:val="28"/>
          <w:szCs w:val="28"/>
          <w:highlight w:val="none"/>
        </w:rPr>
      </w:pPr>
    </w:p>
    <w:p w14:paraId="51289F36">
      <w:pPr>
        <w:spacing w:line="360" w:lineRule="auto"/>
        <w:jc w:val="center"/>
        <w:rPr>
          <w:rFonts w:hint="eastAsia" w:ascii="宋体" w:hAnsi="宋体" w:cs="宋体"/>
          <w:b/>
          <w:sz w:val="28"/>
          <w:szCs w:val="28"/>
          <w:highlight w:val="none"/>
        </w:rPr>
      </w:pPr>
    </w:p>
    <w:p w14:paraId="73D0B6A8">
      <w:pPr>
        <w:spacing w:line="360" w:lineRule="auto"/>
        <w:rPr>
          <w:rFonts w:hint="eastAsia" w:ascii="宋体" w:hAnsi="宋体" w:cs="宋体"/>
          <w:b/>
          <w:sz w:val="28"/>
          <w:szCs w:val="28"/>
          <w:highlight w:val="none"/>
        </w:rPr>
      </w:pPr>
    </w:p>
    <w:p w14:paraId="69E74FE1">
      <w:pPr>
        <w:pStyle w:val="8"/>
        <w:spacing w:after="120"/>
        <w:rPr>
          <w:rFonts w:hint="eastAsia" w:ascii="宋体" w:hAnsi="宋体" w:cs="宋体"/>
          <w:b/>
          <w:sz w:val="28"/>
          <w:szCs w:val="28"/>
          <w:highlight w:val="none"/>
        </w:rPr>
      </w:pPr>
    </w:p>
    <w:p w14:paraId="153677C7">
      <w:pPr>
        <w:spacing w:line="360" w:lineRule="auto"/>
        <w:rPr>
          <w:rFonts w:hint="eastAsia" w:ascii="仿宋_GB2312" w:hAnsi="仿宋_GB2312" w:eastAsia="仿宋_GB2312" w:cs="仿宋_GB2312"/>
          <w:b/>
          <w:bCs/>
          <w:sz w:val="28"/>
          <w:szCs w:val="28"/>
          <w:highlight w:val="none"/>
        </w:rPr>
      </w:pPr>
    </w:p>
    <w:p w14:paraId="552A50EC">
      <w:pPr>
        <w:spacing w:line="360" w:lineRule="auto"/>
        <w:ind w:firstLine="562" w:firstLineChars="200"/>
        <w:rPr>
          <w:rFonts w:hint="eastAsia" w:ascii="仿宋_GB2312" w:hAnsi="仿宋_GB2312" w:eastAsia="仿宋_GB2312" w:cs="仿宋_GB2312"/>
          <w:sz w:val="28"/>
          <w:szCs w:val="28"/>
          <w:highlight w:val="none"/>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日照市公共实训基地项目</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1CD3EF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装配式建筑</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color w:val="000000"/>
          <w:sz w:val="28"/>
          <w:szCs w:val="28"/>
          <w:highlight w:val="none"/>
        </w:rPr>
        <w:t>】</w:t>
      </w:r>
    </w:p>
    <w:p w14:paraId="48C17FC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0380B14E">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31D1A2E">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ermEnd w:id="2"/>
    </w:p>
    <w:bookmarkEnd w:id="0"/>
    <w:p w14:paraId="3F0EC5BE">
      <w:pPr>
        <w:wordWrap w:val="0"/>
        <w:spacing w:line="640" w:lineRule="exact"/>
        <w:ind w:right="1280" w:firstLine="1257" w:firstLineChars="393"/>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5" w:type="first"/>
          <w:headerReference r:id="rId3" w:type="default"/>
          <w:pgSz w:w="11906" w:h="16838"/>
          <w:pgMar w:top="1440" w:right="1800" w:bottom="1440" w:left="1800" w:header="851" w:footer="992" w:gutter="0"/>
          <w:cols w:space="425" w:num="1"/>
          <w:docGrid w:type="lines" w:linePitch="312" w:charSpace="0"/>
        </w:sectPr>
      </w:pPr>
      <w:permStart w:id="3" w:edGrp="everyone"/>
    </w:p>
    <w:permEnd w:id="3"/>
    <w:sdt>
      <w:sdtPr>
        <w:rPr>
          <w:rFonts w:hint="eastAsia" w:ascii="宋体" w:hAnsi="宋体" w:eastAsia="宋体" w:cs="宋体"/>
          <w:color w:val="000000"/>
          <w:kern w:val="0"/>
          <w:sz w:val="24"/>
          <w:szCs w:val="24"/>
          <w:highlight w:val="none"/>
        </w:rPr>
        <w:id w:val="147481835"/>
        <w15:color w:val="DBDBDB"/>
        <w:docPartObj>
          <w:docPartGallery w:val="Table of Contents"/>
          <w:docPartUnique/>
        </w:docPartObj>
      </w:sdtPr>
      <w:sdtEndPr>
        <w:rPr>
          <w:rFonts w:hint="eastAsia" w:ascii="仿宋" w:hAnsi="仿宋" w:eastAsia="仿宋" w:cs="仿宋"/>
          <w:b/>
          <w:bCs/>
          <w:color w:val="000000" w:themeColor="text1"/>
          <w:kern w:val="0"/>
          <w:sz w:val="24"/>
          <w:szCs w:val="24"/>
          <w:highlight w:val="none"/>
          <w14:textFill>
            <w14:solidFill>
              <w14:schemeClr w14:val="tx1"/>
            </w14:solidFill>
          </w14:textFill>
        </w:rPr>
      </w:sdtEndPr>
      <w:sdtContent>
        <w:p w14:paraId="2A4E75C2">
          <w:pPr>
            <w:pStyle w:val="8"/>
            <w:rPr>
              <w:highlight w:val="none"/>
            </w:rPr>
          </w:pPr>
        </w:p>
        <w:p w14:paraId="14256D9C">
          <w:pPr>
            <w:pStyle w:val="8"/>
            <w:spacing w:line="400" w:lineRule="exact"/>
            <w:jc w:val="center"/>
            <w:rPr>
              <w:rFonts w:hAnsi="黑体" w:cs="黑体"/>
              <w:b/>
              <w:bCs/>
              <w:color w:val="000000" w:themeColor="text1"/>
              <w:sz w:val="36"/>
              <w:szCs w:val="36"/>
              <w:highlight w:val="none"/>
              <w14:textFill>
                <w14:solidFill>
                  <w14:schemeClr w14:val="tx1"/>
                </w14:solidFill>
              </w14:textFill>
            </w:rPr>
          </w:pPr>
          <w:permStart w:id="4" w:edGrp="everyone"/>
          <w:r>
            <w:rPr>
              <w:rFonts w:hint="eastAsia" w:hAnsi="黑体" w:cs="黑体"/>
              <w:b/>
              <w:bCs/>
              <w:color w:val="000000" w:themeColor="text1"/>
              <w:sz w:val="36"/>
              <w:szCs w:val="36"/>
              <w:highlight w:val="none"/>
              <w14:textFill>
                <w14:solidFill>
                  <w14:schemeClr w14:val="tx1"/>
                </w14:solidFill>
              </w14:textFill>
            </w:rPr>
            <w:t>目  录</w:t>
          </w:r>
        </w:p>
        <w:p w14:paraId="7ECBBE64">
          <w:pPr>
            <w:pStyle w:val="8"/>
            <w:rPr>
              <w:highlight w:val="none"/>
            </w:rPr>
          </w:pPr>
        </w:p>
        <w:p w14:paraId="167BB7BD">
          <w:pPr>
            <w:pStyle w:val="12"/>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"_Toc4600"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_Toc4600 \h </w:instrText>
          </w:r>
          <w:r>
            <w:rPr>
              <w:highlight w:val="none"/>
            </w:rPr>
            <w:fldChar w:fldCharType="separate"/>
          </w:r>
          <w:r>
            <w:rPr>
              <w:highlight w:val="none"/>
            </w:rPr>
            <w:t>1</w:t>
          </w:r>
          <w:r>
            <w:rPr>
              <w:highlight w:val="none"/>
            </w:rPr>
            <w:fldChar w:fldCharType="end"/>
          </w:r>
          <w:r>
            <w:rPr>
              <w:highlight w:val="none"/>
            </w:rPr>
            <w:fldChar w:fldCharType="end"/>
          </w:r>
        </w:p>
        <w:p w14:paraId="24908AE7">
          <w:pPr>
            <w:pStyle w:val="12"/>
            <w:tabs>
              <w:tab w:val="right" w:leader="dot" w:pos="8306"/>
            </w:tabs>
            <w:spacing w:line="312" w:lineRule="auto"/>
            <w:rPr>
              <w:highlight w:val="none"/>
            </w:rPr>
          </w:pPr>
          <w:r>
            <w:rPr>
              <w:highlight w:val="none"/>
            </w:rPr>
            <w:fldChar w:fldCharType="begin"/>
          </w:r>
          <w:r>
            <w:rPr>
              <w:highlight w:val="none"/>
            </w:rPr>
            <w:instrText xml:space="preserve"> HYPERLINK \l "_Toc22768" </w:instrText>
          </w:r>
          <w:r>
            <w:rPr>
              <w:highlight w:val="none"/>
            </w:rPr>
            <w:fldChar w:fldCharType="separate"/>
          </w:r>
          <w:r>
            <w:rPr>
              <w:rFonts w:hint="eastAsia" w:ascii="仿宋_GB2312" w:hAnsi="仿宋_GB2312" w:eastAsia="仿宋_GB2312" w:cs="仿宋_GB2312"/>
              <w:bCs/>
              <w:sz w:val="28"/>
              <w:szCs w:val="28"/>
              <w:highlight w:val="none"/>
            </w:rPr>
            <w:t>一、工程概况</w:t>
          </w:r>
          <w:r>
            <w:rPr>
              <w:highlight w:val="none"/>
            </w:rPr>
            <w:tab/>
          </w:r>
          <w:r>
            <w:rPr>
              <w:highlight w:val="none"/>
            </w:rPr>
            <w:fldChar w:fldCharType="begin"/>
          </w:r>
          <w:r>
            <w:rPr>
              <w:highlight w:val="none"/>
            </w:rPr>
            <w:instrText xml:space="preserve"> PAGEREF _Toc22768 \h </w:instrText>
          </w:r>
          <w:r>
            <w:rPr>
              <w:highlight w:val="none"/>
            </w:rPr>
            <w:fldChar w:fldCharType="separate"/>
          </w:r>
          <w:r>
            <w:rPr>
              <w:highlight w:val="none"/>
            </w:rPr>
            <w:t>1</w:t>
          </w:r>
          <w:r>
            <w:rPr>
              <w:highlight w:val="none"/>
            </w:rPr>
            <w:fldChar w:fldCharType="end"/>
          </w:r>
          <w:r>
            <w:rPr>
              <w:highlight w:val="none"/>
            </w:rPr>
            <w:fldChar w:fldCharType="end"/>
          </w:r>
        </w:p>
        <w:p w14:paraId="287D6D5F">
          <w:pPr>
            <w:pStyle w:val="12"/>
            <w:tabs>
              <w:tab w:val="right" w:leader="dot" w:pos="8306"/>
            </w:tabs>
            <w:spacing w:line="312" w:lineRule="auto"/>
            <w:rPr>
              <w:highlight w:val="none"/>
            </w:rPr>
          </w:pPr>
          <w:r>
            <w:rPr>
              <w:highlight w:val="none"/>
            </w:rPr>
            <w:fldChar w:fldCharType="begin"/>
          </w:r>
          <w:r>
            <w:rPr>
              <w:highlight w:val="none"/>
            </w:rPr>
            <w:instrText xml:space="preserve"> HYPERLINK \l "_Toc13582" </w:instrText>
          </w:r>
          <w:r>
            <w:rPr>
              <w:highlight w:val="none"/>
            </w:rPr>
            <w:fldChar w:fldCharType="separate"/>
          </w:r>
          <w:r>
            <w:rPr>
              <w:rFonts w:hint="eastAsia" w:ascii="仿宋_GB2312" w:hAnsi="仿宋_GB2312" w:eastAsia="仿宋_GB2312" w:cs="仿宋_GB2312"/>
              <w:bCs/>
              <w:sz w:val="28"/>
              <w:szCs w:val="28"/>
              <w:highlight w:val="none"/>
            </w:rPr>
            <w:t>二、货物清单</w:t>
          </w:r>
          <w:r>
            <w:rPr>
              <w:highlight w:val="none"/>
            </w:rPr>
            <w:tab/>
          </w:r>
          <w:r>
            <w:rPr>
              <w:highlight w:val="none"/>
            </w:rPr>
            <w:fldChar w:fldCharType="begin"/>
          </w:r>
          <w:r>
            <w:rPr>
              <w:highlight w:val="none"/>
            </w:rPr>
            <w:instrText xml:space="preserve"> PAGEREF _Toc13582 \h </w:instrText>
          </w:r>
          <w:r>
            <w:rPr>
              <w:highlight w:val="none"/>
            </w:rPr>
            <w:fldChar w:fldCharType="separate"/>
          </w:r>
          <w:r>
            <w:rPr>
              <w:highlight w:val="none"/>
            </w:rPr>
            <w:t>1</w:t>
          </w:r>
          <w:r>
            <w:rPr>
              <w:highlight w:val="none"/>
            </w:rPr>
            <w:fldChar w:fldCharType="end"/>
          </w:r>
          <w:r>
            <w:rPr>
              <w:highlight w:val="none"/>
            </w:rPr>
            <w:fldChar w:fldCharType="end"/>
          </w:r>
        </w:p>
        <w:p w14:paraId="5DD692D5">
          <w:pPr>
            <w:pStyle w:val="12"/>
            <w:tabs>
              <w:tab w:val="right" w:leader="dot" w:pos="8306"/>
            </w:tabs>
            <w:spacing w:line="312" w:lineRule="auto"/>
            <w:rPr>
              <w:highlight w:val="none"/>
            </w:rPr>
          </w:pPr>
          <w:r>
            <w:rPr>
              <w:highlight w:val="none"/>
            </w:rPr>
            <w:fldChar w:fldCharType="begin"/>
          </w:r>
          <w:r>
            <w:rPr>
              <w:highlight w:val="none"/>
            </w:rPr>
            <w:instrText xml:space="preserve"> HYPERLINK \l "_Toc16980" </w:instrText>
          </w:r>
          <w:r>
            <w:rPr>
              <w:highlight w:val="none"/>
            </w:rPr>
            <w:fldChar w:fldCharType="separate"/>
          </w:r>
          <w:r>
            <w:rPr>
              <w:rFonts w:hint="eastAsia" w:ascii="仿宋_GB2312" w:hAnsi="仿宋_GB2312" w:eastAsia="仿宋_GB2312" w:cs="仿宋_GB2312"/>
              <w:bCs/>
              <w:sz w:val="28"/>
              <w:szCs w:val="28"/>
              <w:highlight w:val="none"/>
            </w:rPr>
            <w:t>三、货物供应</w:t>
          </w:r>
          <w:r>
            <w:rPr>
              <w:highlight w:val="none"/>
            </w:rPr>
            <w:tab/>
          </w:r>
          <w:r>
            <w:rPr>
              <w:highlight w:val="none"/>
            </w:rPr>
            <w:fldChar w:fldCharType="begin"/>
          </w:r>
          <w:r>
            <w:rPr>
              <w:highlight w:val="none"/>
            </w:rPr>
            <w:instrText xml:space="preserve"> PAGEREF _Toc16980 \h </w:instrText>
          </w:r>
          <w:r>
            <w:rPr>
              <w:highlight w:val="none"/>
            </w:rPr>
            <w:fldChar w:fldCharType="separate"/>
          </w:r>
          <w:r>
            <w:rPr>
              <w:highlight w:val="none"/>
            </w:rPr>
            <w:t>3</w:t>
          </w:r>
          <w:r>
            <w:rPr>
              <w:highlight w:val="none"/>
            </w:rPr>
            <w:fldChar w:fldCharType="end"/>
          </w:r>
          <w:r>
            <w:rPr>
              <w:highlight w:val="none"/>
            </w:rPr>
            <w:fldChar w:fldCharType="end"/>
          </w:r>
        </w:p>
        <w:p w14:paraId="72A2E5A8">
          <w:pPr>
            <w:pStyle w:val="12"/>
            <w:tabs>
              <w:tab w:val="right" w:leader="dot" w:pos="8306"/>
            </w:tabs>
            <w:spacing w:line="312" w:lineRule="auto"/>
            <w:rPr>
              <w:highlight w:val="none"/>
            </w:rPr>
          </w:pPr>
          <w:r>
            <w:rPr>
              <w:highlight w:val="none"/>
            </w:rPr>
            <w:fldChar w:fldCharType="begin"/>
          </w:r>
          <w:r>
            <w:rPr>
              <w:highlight w:val="none"/>
            </w:rPr>
            <w:instrText xml:space="preserve"> HYPERLINK \l "_Toc22420" </w:instrText>
          </w:r>
          <w:r>
            <w:rPr>
              <w:highlight w:val="none"/>
            </w:rPr>
            <w:fldChar w:fldCharType="separate"/>
          </w:r>
          <w:r>
            <w:rPr>
              <w:rFonts w:hint="eastAsia" w:ascii="仿宋_GB2312" w:hAnsi="仿宋_GB2312" w:eastAsia="仿宋_GB2312" w:cs="仿宋_GB2312"/>
              <w:bCs/>
              <w:sz w:val="28"/>
              <w:szCs w:val="28"/>
              <w:highlight w:val="none"/>
            </w:rPr>
            <w:t>四、货物质量</w:t>
          </w:r>
          <w:r>
            <w:rPr>
              <w:highlight w:val="none"/>
            </w:rPr>
            <w:tab/>
          </w:r>
          <w:r>
            <w:rPr>
              <w:highlight w:val="none"/>
            </w:rPr>
            <w:fldChar w:fldCharType="begin"/>
          </w:r>
          <w:r>
            <w:rPr>
              <w:highlight w:val="none"/>
            </w:rPr>
            <w:instrText xml:space="preserve"> PAGEREF _Toc22420 \h </w:instrText>
          </w:r>
          <w:r>
            <w:rPr>
              <w:highlight w:val="none"/>
            </w:rPr>
            <w:fldChar w:fldCharType="separate"/>
          </w:r>
          <w:r>
            <w:rPr>
              <w:highlight w:val="none"/>
            </w:rPr>
            <w:t>6</w:t>
          </w:r>
          <w:r>
            <w:rPr>
              <w:highlight w:val="none"/>
            </w:rPr>
            <w:fldChar w:fldCharType="end"/>
          </w:r>
          <w:r>
            <w:rPr>
              <w:highlight w:val="none"/>
            </w:rPr>
            <w:fldChar w:fldCharType="end"/>
          </w:r>
        </w:p>
        <w:p w14:paraId="0351BA64">
          <w:pPr>
            <w:pStyle w:val="12"/>
            <w:tabs>
              <w:tab w:val="right" w:leader="dot" w:pos="8306"/>
            </w:tabs>
            <w:spacing w:line="312" w:lineRule="auto"/>
            <w:rPr>
              <w:highlight w:val="none"/>
            </w:rPr>
          </w:pPr>
          <w:r>
            <w:rPr>
              <w:highlight w:val="none"/>
            </w:rPr>
            <w:fldChar w:fldCharType="begin"/>
          </w:r>
          <w:r>
            <w:rPr>
              <w:highlight w:val="none"/>
            </w:rPr>
            <w:instrText xml:space="preserve"> HYPERLINK \l "_Toc15057" </w:instrText>
          </w:r>
          <w:r>
            <w:rPr>
              <w:highlight w:val="none"/>
            </w:rPr>
            <w:fldChar w:fldCharType="separate"/>
          </w:r>
          <w:r>
            <w:rPr>
              <w:rFonts w:hint="eastAsia" w:ascii="仿宋_GB2312" w:hAnsi="仿宋_GB2312" w:eastAsia="仿宋_GB2312" w:cs="仿宋_GB2312"/>
              <w:bCs/>
              <w:sz w:val="28"/>
              <w:szCs w:val="28"/>
              <w:highlight w:val="none"/>
            </w:rPr>
            <w:t>五、货物验收</w:t>
          </w:r>
          <w:r>
            <w:rPr>
              <w:highlight w:val="none"/>
            </w:rPr>
            <w:tab/>
          </w:r>
          <w:r>
            <w:rPr>
              <w:highlight w:val="none"/>
            </w:rPr>
            <w:fldChar w:fldCharType="begin"/>
          </w:r>
          <w:r>
            <w:rPr>
              <w:highlight w:val="none"/>
            </w:rPr>
            <w:instrText xml:space="preserve"> PAGEREF _Toc15057 \h </w:instrText>
          </w:r>
          <w:r>
            <w:rPr>
              <w:highlight w:val="none"/>
            </w:rPr>
            <w:fldChar w:fldCharType="separate"/>
          </w:r>
          <w:r>
            <w:rPr>
              <w:highlight w:val="none"/>
            </w:rPr>
            <w:t>10</w:t>
          </w:r>
          <w:r>
            <w:rPr>
              <w:highlight w:val="none"/>
            </w:rPr>
            <w:fldChar w:fldCharType="end"/>
          </w:r>
          <w:r>
            <w:rPr>
              <w:highlight w:val="none"/>
            </w:rPr>
            <w:fldChar w:fldCharType="end"/>
          </w:r>
        </w:p>
        <w:p w14:paraId="73663888">
          <w:pPr>
            <w:pStyle w:val="12"/>
            <w:tabs>
              <w:tab w:val="right" w:leader="dot" w:pos="8306"/>
            </w:tabs>
            <w:spacing w:line="312" w:lineRule="auto"/>
            <w:rPr>
              <w:highlight w:val="none"/>
            </w:rPr>
          </w:pPr>
          <w:r>
            <w:rPr>
              <w:highlight w:val="none"/>
            </w:rPr>
            <w:fldChar w:fldCharType="begin"/>
          </w:r>
          <w:r>
            <w:rPr>
              <w:highlight w:val="none"/>
            </w:rPr>
            <w:instrText xml:space="preserve"> HYPERLINK \l "_Toc22928" </w:instrText>
          </w:r>
          <w:r>
            <w:rPr>
              <w:highlight w:val="none"/>
            </w:rPr>
            <w:fldChar w:fldCharType="separate"/>
          </w:r>
          <w:r>
            <w:rPr>
              <w:rFonts w:hint="eastAsia" w:ascii="仿宋_GB2312" w:hAnsi="仿宋_GB2312" w:eastAsia="仿宋_GB2312" w:cs="仿宋_GB2312"/>
              <w:bCs/>
              <w:sz w:val="28"/>
              <w:szCs w:val="28"/>
              <w:highlight w:val="none"/>
            </w:rPr>
            <w:t>六、货物结算</w:t>
          </w:r>
          <w:r>
            <w:rPr>
              <w:highlight w:val="none"/>
            </w:rPr>
            <w:tab/>
          </w:r>
          <w:r>
            <w:rPr>
              <w:highlight w:val="none"/>
            </w:rPr>
            <w:fldChar w:fldCharType="begin"/>
          </w:r>
          <w:r>
            <w:rPr>
              <w:highlight w:val="none"/>
            </w:rPr>
            <w:instrText xml:space="preserve"> PAGEREF _Toc22928 \h </w:instrText>
          </w:r>
          <w:r>
            <w:rPr>
              <w:highlight w:val="none"/>
            </w:rPr>
            <w:fldChar w:fldCharType="separate"/>
          </w:r>
          <w:r>
            <w:rPr>
              <w:highlight w:val="none"/>
            </w:rPr>
            <w:t>16</w:t>
          </w:r>
          <w:r>
            <w:rPr>
              <w:highlight w:val="none"/>
            </w:rPr>
            <w:fldChar w:fldCharType="end"/>
          </w:r>
          <w:r>
            <w:rPr>
              <w:highlight w:val="none"/>
            </w:rPr>
            <w:fldChar w:fldCharType="end"/>
          </w:r>
        </w:p>
        <w:p w14:paraId="10063C58">
          <w:pPr>
            <w:pStyle w:val="12"/>
            <w:tabs>
              <w:tab w:val="right" w:leader="dot" w:pos="8306"/>
            </w:tabs>
            <w:spacing w:line="312" w:lineRule="auto"/>
            <w:rPr>
              <w:highlight w:val="none"/>
            </w:rPr>
          </w:pPr>
          <w:r>
            <w:rPr>
              <w:highlight w:val="none"/>
            </w:rPr>
            <w:fldChar w:fldCharType="begin"/>
          </w:r>
          <w:r>
            <w:rPr>
              <w:highlight w:val="none"/>
            </w:rPr>
            <w:instrText xml:space="preserve"> HYPERLINK \l "_Toc20382" </w:instrText>
          </w:r>
          <w:r>
            <w:rPr>
              <w:highlight w:val="none"/>
            </w:rPr>
            <w:fldChar w:fldCharType="separate"/>
          </w:r>
          <w:r>
            <w:rPr>
              <w:rFonts w:hint="eastAsia" w:ascii="仿宋_GB2312" w:hAnsi="仿宋_GB2312" w:eastAsia="仿宋_GB2312" w:cs="仿宋_GB2312"/>
              <w:bCs/>
              <w:sz w:val="28"/>
              <w:szCs w:val="28"/>
              <w:highlight w:val="none"/>
            </w:rPr>
            <w:t>七、货物付款</w:t>
          </w:r>
          <w:r>
            <w:rPr>
              <w:highlight w:val="none"/>
            </w:rPr>
            <w:tab/>
          </w:r>
          <w:r>
            <w:rPr>
              <w:highlight w:val="none"/>
            </w:rPr>
            <w:fldChar w:fldCharType="begin"/>
          </w:r>
          <w:r>
            <w:rPr>
              <w:highlight w:val="none"/>
            </w:rPr>
            <w:instrText xml:space="preserve"> PAGEREF _Toc20382 \h </w:instrText>
          </w:r>
          <w:r>
            <w:rPr>
              <w:highlight w:val="none"/>
            </w:rPr>
            <w:fldChar w:fldCharType="separate"/>
          </w:r>
          <w:r>
            <w:rPr>
              <w:highlight w:val="none"/>
            </w:rPr>
            <w:t>17</w:t>
          </w:r>
          <w:r>
            <w:rPr>
              <w:highlight w:val="none"/>
            </w:rPr>
            <w:fldChar w:fldCharType="end"/>
          </w:r>
          <w:r>
            <w:rPr>
              <w:highlight w:val="none"/>
            </w:rPr>
            <w:fldChar w:fldCharType="end"/>
          </w:r>
        </w:p>
        <w:p w14:paraId="3D0443A6">
          <w:pPr>
            <w:pStyle w:val="12"/>
            <w:tabs>
              <w:tab w:val="right" w:leader="dot" w:pos="8306"/>
            </w:tabs>
            <w:spacing w:line="312" w:lineRule="auto"/>
            <w:rPr>
              <w:highlight w:val="none"/>
            </w:rPr>
          </w:pPr>
          <w:r>
            <w:rPr>
              <w:highlight w:val="none"/>
            </w:rPr>
            <w:fldChar w:fldCharType="begin"/>
          </w:r>
          <w:r>
            <w:rPr>
              <w:highlight w:val="none"/>
            </w:rPr>
            <w:instrText xml:space="preserve"> HYPERLINK \l "_Toc13188" </w:instrText>
          </w:r>
          <w:r>
            <w:rPr>
              <w:highlight w:val="none"/>
            </w:rPr>
            <w:fldChar w:fldCharType="separate"/>
          </w:r>
          <w:r>
            <w:rPr>
              <w:rFonts w:hint="eastAsia" w:ascii="仿宋_GB2312" w:hAnsi="仿宋_GB2312" w:eastAsia="仿宋_GB2312" w:cs="仿宋_GB2312"/>
              <w:bCs/>
              <w:sz w:val="28"/>
              <w:szCs w:val="28"/>
              <w:highlight w:val="none"/>
            </w:rPr>
            <w:t>八、通知与送达</w:t>
          </w:r>
          <w:r>
            <w:rPr>
              <w:highlight w:val="none"/>
            </w:rPr>
            <w:tab/>
          </w:r>
          <w:r>
            <w:rPr>
              <w:highlight w:val="none"/>
            </w:rPr>
            <w:fldChar w:fldCharType="begin"/>
          </w:r>
          <w:r>
            <w:rPr>
              <w:highlight w:val="none"/>
            </w:rPr>
            <w:instrText xml:space="preserve"> PAGEREF _Toc13188 \h </w:instrText>
          </w:r>
          <w:r>
            <w:rPr>
              <w:highlight w:val="none"/>
            </w:rPr>
            <w:fldChar w:fldCharType="separate"/>
          </w:r>
          <w:r>
            <w:rPr>
              <w:highlight w:val="none"/>
            </w:rPr>
            <w:t>19</w:t>
          </w:r>
          <w:r>
            <w:rPr>
              <w:highlight w:val="none"/>
            </w:rPr>
            <w:fldChar w:fldCharType="end"/>
          </w:r>
          <w:r>
            <w:rPr>
              <w:highlight w:val="none"/>
            </w:rPr>
            <w:fldChar w:fldCharType="end"/>
          </w:r>
        </w:p>
        <w:p w14:paraId="76843363">
          <w:pPr>
            <w:pStyle w:val="12"/>
            <w:tabs>
              <w:tab w:val="right" w:leader="dot" w:pos="8306"/>
            </w:tabs>
            <w:spacing w:line="312" w:lineRule="auto"/>
            <w:rPr>
              <w:highlight w:val="none"/>
            </w:rPr>
          </w:pPr>
          <w:r>
            <w:rPr>
              <w:highlight w:val="none"/>
            </w:rPr>
            <w:fldChar w:fldCharType="begin"/>
          </w:r>
          <w:r>
            <w:rPr>
              <w:highlight w:val="none"/>
            </w:rPr>
            <w:instrText xml:space="preserve"> HYPERLINK \l "_Toc16081" </w:instrText>
          </w:r>
          <w:r>
            <w:rPr>
              <w:highlight w:val="none"/>
            </w:rPr>
            <w:fldChar w:fldCharType="separate"/>
          </w:r>
          <w:r>
            <w:rPr>
              <w:rFonts w:hint="eastAsia" w:ascii="仿宋_GB2312" w:hAnsi="仿宋_GB2312" w:eastAsia="仿宋_GB2312" w:cs="仿宋_GB2312"/>
              <w:bCs/>
              <w:sz w:val="28"/>
              <w:szCs w:val="28"/>
              <w:highlight w:val="none"/>
            </w:rPr>
            <w:t>九、合同生效</w:t>
          </w:r>
          <w:r>
            <w:rPr>
              <w:highlight w:val="none"/>
            </w:rPr>
            <w:tab/>
          </w:r>
          <w:r>
            <w:rPr>
              <w:highlight w:val="none"/>
            </w:rPr>
            <w:fldChar w:fldCharType="begin"/>
          </w:r>
          <w:r>
            <w:rPr>
              <w:highlight w:val="none"/>
            </w:rPr>
            <w:instrText xml:space="preserve"> PAGEREF _Toc16081 \h </w:instrText>
          </w:r>
          <w:r>
            <w:rPr>
              <w:highlight w:val="none"/>
            </w:rPr>
            <w:fldChar w:fldCharType="separate"/>
          </w:r>
          <w:r>
            <w:rPr>
              <w:highlight w:val="none"/>
            </w:rPr>
            <w:t>20</w:t>
          </w:r>
          <w:r>
            <w:rPr>
              <w:highlight w:val="none"/>
            </w:rPr>
            <w:fldChar w:fldCharType="end"/>
          </w:r>
          <w:r>
            <w:rPr>
              <w:highlight w:val="none"/>
            </w:rPr>
            <w:fldChar w:fldCharType="end"/>
          </w:r>
        </w:p>
        <w:p w14:paraId="319D02C3">
          <w:pPr>
            <w:pStyle w:val="12"/>
            <w:tabs>
              <w:tab w:val="right" w:leader="dot" w:pos="8306"/>
            </w:tabs>
            <w:spacing w:line="312" w:lineRule="auto"/>
            <w:rPr>
              <w:highlight w:val="none"/>
            </w:rPr>
          </w:pPr>
          <w:r>
            <w:rPr>
              <w:highlight w:val="none"/>
            </w:rPr>
            <w:fldChar w:fldCharType="begin"/>
          </w:r>
          <w:r>
            <w:rPr>
              <w:highlight w:val="none"/>
            </w:rPr>
            <w:instrText xml:space="preserve"> HYPERLINK \l "_Toc13743" </w:instrText>
          </w:r>
          <w:r>
            <w:rPr>
              <w:highlight w:val="none"/>
            </w:rPr>
            <w:fldChar w:fldCharType="separate"/>
          </w:r>
          <w:r>
            <w:rPr>
              <w:rFonts w:hint="eastAsia" w:ascii="仿宋_GB2312" w:hAnsi="仿宋_GB2312" w:eastAsia="仿宋_GB2312" w:cs="仿宋_GB2312"/>
              <w:bCs/>
              <w:sz w:val="28"/>
              <w:szCs w:val="28"/>
              <w:highlight w:val="none"/>
            </w:rPr>
            <w:t>附件一 授权委托书</w:t>
          </w:r>
          <w:r>
            <w:rPr>
              <w:highlight w:val="none"/>
            </w:rPr>
            <w:tab/>
          </w:r>
          <w:r>
            <w:rPr>
              <w:highlight w:val="none"/>
            </w:rPr>
            <w:fldChar w:fldCharType="begin"/>
          </w:r>
          <w:r>
            <w:rPr>
              <w:highlight w:val="none"/>
            </w:rPr>
            <w:instrText xml:space="preserve"> PAGEREF _Toc13743 \h </w:instrText>
          </w:r>
          <w:r>
            <w:rPr>
              <w:highlight w:val="none"/>
            </w:rPr>
            <w:fldChar w:fldCharType="separate"/>
          </w:r>
          <w:r>
            <w:rPr>
              <w:highlight w:val="none"/>
            </w:rPr>
            <w:t>22</w:t>
          </w:r>
          <w:r>
            <w:rPr>
              <w:highlight w:val="none"/>
            </w:rPr>
            <w:fldChar w:fldCharType="end"/>
          </w:r>
          <w:r>
            <w:rPr>
              <w:highlight w:val="none"/>
            </w:rPr>
            <w:fldChar w:fldCharType="end"/>
          </w:r>
        </w:p>
        <w:p w14:paraId="24C2E2FE">
          <w:pPr>
            <w:pStyle w:val="12"/>
            <w:tabs>
              <w:tab w:val="right" w:leader="dot" w:pos="8306"/>
            </w:tabs>
            <w:spacing w:line="312" w:lineRule="auto"/>
            <w:rPr>
              <w:highlight w:val="none"/>
            </w:rPr>
          </w:pPr>
          <w:r>
            <w:rPr>
              <w:highlight w:val="none"/>
            </w:rPr>
            <w:fldChar w:fldCharType="begin"/>
          </w:r>
          <w:r>
            <w:rPr>
              <w:highlight w:val="none"/>
            </w:rPr>
            <w:instrText xml:space="preserve"> HYPERLINK \l "_Toc4231" </w:instrText>
          </w:r>
          <w:r>
            <w:rPr>
              <w:highlight w:val="none"/>
            </w:rPr>
            <w:fldChar w:fldCharType="separate"/>
          </w:r>
          <w:r>
            <w:rPr>
              <w:rFonts w:hint="eastAsia" w:ascii="仿宋_GB2312" w:hAnsi="仿宋_GB2312" w:eastAsia="仿宋_GB2312" w:cs="仿宋_GB2312"/>
              <w:bCs/>
              <w:sz w:val="28"/>
              <w:szCs w:val="28"/>
              <w:highlight w:val="none"/>
            </w:rPr>
            <w:t>附件二 项目部合规权限告知书</w:t>
          </w:r>
          <w:r>
            <w:rPr>
              <w:highlight w:val="none"/>
            </w:rPr>
            <w:tab/>
          </w:r>
          <w:r>
            <w:rPr>
              <w:highlight w:val="none"/>
            </w:rPr>
            <w:fldChar w:fldCharType="begin"/>
          </w:r>
          <w:r>
            <w:rPr>
              <w:highlight w:val="none"/>
            </w:rPr>
            <w:instrText xml:space="preserve"> PAGEREF _Toc4231 \h </w:instrText>
          </w:r>
          <w:r>
            <w:rPr>
              <w:highlight w:val="none"/>
            </w:rPr>
            <w:fldChar w:fldCharType="separate"/>
          </w:r>
          <w:r>
            <w:rPr>
              <w:highlight w:val="none"/>
            </w:rPr>
            <w:t>23</w:t>
          </w:r>
          <w:r>
            <w:rPr>
              <w:highlight w:val="none"/>
            </w:rPr>
            <w:fldChar w:fldCharType="end"/>
          </w:r>
          <w:r>
            <w:rPr>
              <w:highlight w:val="none"/>
            </w:rPr>
            <w:fldChar w:fldCharType="end"/>
          </w:r>
        </w:p>
        <w:p w14:paraId="62291368">
          <w:pPr>
            <w:pStyle w:val="12"/>
            <w:tabs>
              <w:tab w:val="right" w:leader="dot" w:pos="8306"/>
            </w:tabs>
            <w:spacing w:line="312" w:lineRule="auto"/>
            <w:rPr>
              <w:highlight w:val="none"/>
            </w:rPr>
          </w:pPr>
          <w:r>
            <w:rPr>
              <w:highlight w:val="none"/>
            </w:rPr>
            <w:fldChar w:fldCharType="begin"/>
          </w:r>
          <w:r>
            <w:rPr>
              <w:highlight w:val="none"/>
            </w:rPr>
            <w:instrText xml:space="preserve"> HYPERLINK \l "_Toc26388" </w:instrText>
          </w:r>
          <w:r>
            <w:rPr>
              <w:highlight w:val="none"/>
            </w:rPr>
            <w:fldChar w:fldCharType="separate"/>
          </w:r>
          <w:r>
            <w:rPr>
              <w:rFonts w:hint="eastAsia" w:ascii="仿宋_GB2312" w:hAnsi="仿宋_GB2312" w:eastAsia="仿宋_GB2312" w:cs="仿宋_GB2312"/>
              <w:bCs/>
              <w:sz w:val="28"/>
              <w:szCs w:val="28"/>
              <w:highlight w:val="none"/>
            </w:rPr>
            <w:t>附件三 安全管理协议书</w:t>
          </w:r>
          <w:r>
            <w:rPr>
              <w:highlight w:val="none"/>
            </w:rPr>
            <w:tab/>
          </w:r>
          <w:r>
            <w:rPr>
              <w:highlight w:val="none"/>
            </w:rPr>
            <w:fldChar w:fldCharType="begin"/>
          </w:r>
          <w:r>
            <w:rPr>
              <w:highlight w:val="none"/>
            </w:rPr>
            <w:instrText xml:space="preserve"> PAGEREF _Toc26388 \h </w:instrText>
          </w:r>
          <w:r>
            <w:rPr>
              <w:highlight w:val="none"/>
            </w:rPr>
            <w:fldChar w:fldCharType="separate"/>
          </w:r>
          <w:r>
            <w:rPr>
              <w:highlight w:val="none"/>
            </w:rPr>
            <w:t>26</w:t>
          </w:r>
          <w:r>
            <w:rPr>
              <w:highlight w:val="none"/>
            </w:rPr>
            <w:fldChar w:fldCharType="end"/>
          </w:r>
          <w:r>
            <w:rPr>
              <w:highlight w:val="none"/>
            </w:rPr>
            <w:fldChar w:fldCharType="end"/>
          </w:r>
        </w:p>
        <w:p w14:paraId="5BD57A43">
          <w:pPr>
            <w:pStyle w:val="12"/>
            <w:tabs>
              <w:tab w:val="right" w:leader="dot" w:pos="8306"/>
            </w:tabs>
            <w:spacing w:line="312" w:lineRule="auto"/>
            <w:rPr>
              <w:highlight w:val="none"/>
            </w:rPr>
          </w:pPr>
          <w:r>
            <w:rPr>
              <w:highlight w:val="none"/>
            </w:rPr>
            <w:fldChar w:fldCharType="begin"/>
          </w:r>
          <w:r>
            <w:rPr>
              <w:highlight w:val="none"/>
            </w:rPr>
            <w:instrText xml:space="preserve"> HYPERLINK \l "_Toc24289" </w:instrText>
          </w:r>
          <w:r>
            <w:rPr>
              <w:highlight w:val="none"/>
            </w:rPr>
            <w:fldChar w:fldCharType="separate"/>
          </w:r>
          <w:r>
            <w:rPr>
              <w:rFonts w:hint="eastAsia" w:ascii="仿宋_GB2312" w:hAnsi="仿宋_GB2312" w:eastAsia="仿宋_GB2312" w:cs="仿宋_GB2312"/>
              <w:bCs/>
              <w:sz w:val="28"/>
              <w:szCs w:val="28"/>
              <w:highlight w:val="none"/>
            </w:rPr>
            <w:t>附件四 商品混凝土需方验收人员一览表</w:t>
          </w:r>
          <w:r>
            <w:rPr>
              <w:highlight w:val="none"/>
            </w:rPr>
            <w:tab/>
          </w:r>
          <w:r>
            <w:rPr>
              <w:highlight w:val="none"/>
            </w:rPr>
            <w:fldChar w:fldCharType="begin"/>
          </w:r>
          <w:r>
            <w:rPr>
              <w:highlight w:val="none"/>
            </w:rPr>
            <w:instrText xml:space="preserve"> PAGEREF _Toc24289 \h </w:instrText>
          </w:r>
          <w:r>
            <w:rPr>
              <w:highlight w:val="none"/>
            </w:rPr>
            <w:fldChar w:fldCharType="separate"/>
          </w:r>
          <w:r>
            <w:rPr>
              <w:highlight w:val="none"/>
            </w:rPr>
            <w:t>30</w:t>
          </w:r>
          <w:r>
            <w:rPr>
              <w:highlight w:val="none"/>
            </w:rPr>
            <w:fldChar w:fldCharType="end"/>
          </w:r>
          <w:r>
            <w:rPr>
              <w:highlight w:val="none"/>
            </w:rPr>
            <w:fldChar w:fldCharType="end"/>
          </w:r>
        </w:p>
        <w:p w14:paraId="76DFA31B">
          <w:pPr>
            <w:pStyle w:val="12"/>
            <w:tabs>
              <w:tab w:val="right" w:leader="dot" w:pos="8306"/>
            </w:tabs>
            <w:spacing w:line="312" w:lineRule="auto"/>
            <w:rPr>
              <w:highlight w:val="none"/>
            </w:rPr>
          </w:pPr>
          <w:r>
            <w:rPr>
              <w:highlight w:val="none"/>
            </w:rPr>
            <w:fldChar w:fldCharType="begin"/>
          </w:r>
          <w:r>
            <w:rPr>
              <w:highlight w:val="none"/>
            </w:rPr>
            <w:instrText xml:space="preserve"> HYPERLINK \l "_Toc13072" </w:instrText>
          </w:r>
          <w:r>
            <w:rPr>
              <w:highlight w:val="none"/>
            </w:rPr>
            <w:fldChar w:fldCharType="separate"/>
          </w:r>
          <w:r>
            <w:rPr>
              <w:rFonts w:hint="eastAsia" w:ascii="仿宋_GB2312" w:hAnsi="仿宋_GB2312" w:eastAsia="仿宋_GB2312" w:cs="仿宋_GB2312"/>
              <w:bCs/>
              <w:sz w:val="28"/>
              <w:szCs w:val="28"/>
              <w:highlight w:val="none"/>
            </w:rPr>
            <w:t>附件五 廉洁从业共建协议</w:t>
          </w:r>
          <w:r>
            <w:rPr>
              <w:highlight w:val="none"/>
            </w:rPr>
            <w:tab/>
          </w:r>
          <w:r>
            <w:rPr>
              <w:highlight w:val="none"/>
            </w:rPr>
            <w:fldChar w:fldCharType="begin"/>
          </w:r>
          <w:r>
            <w:rPr>
              <w:highlight w:val="none"/>
            </w:rPr>
            <w:instrText xml:space="preserve"> PAGEREF _Toc13072 \h </w:instrText>
          </w:r>
          <w:r>
            <w:rPr>
              <w:highlight w:val="none"/>
            </w:rPr>
            <w:fldChar w:fldCharType="separate"/>
          </w:r>
          <w:r>
            <w:rPr>
              <w:highlight w:val="none"/>
            </w:rPr>
            <w:t>31</w:t>
          </w:r>
          <w:r>
            <w:rPr>
              <w:highlight w:val="none"/>
            </w:rPr>
            <w:fldChar w:fldCharType="end"/>
          </w:r>
          <w:r>
            <w:rPr>
              <w:highlight w:val="none"/>
            </w:rPr>
            <w:fldChar w:fldCharType="end"/>
          </w:r>
        </w:p>
        <w:p w14:paraId="237202AC">
          <w:pPr>
            <w:pStyle w:val="12"/>
            <w:tabs>
              <w:tab w:val="right" w:leader="dot" w:pos="8306"/>
            </w:tabs>
            <w:spacing w:line="312" w:lineRule="auto"/>
            <w:rPr>
              <w:highlight w:val="none"/>
            </w:rPr>
          </w:pPr>
          <w:r>
            <w:rPr>
              <w:highlight w:val="none"/>
            </w:rPr>
            <w:fldChar w:fldCharType="begin"/>
          </w:r>
          <w:r>
            <w:rPr>
              <w:highlight w:val="none"/>
            </w:rPr>
            <w:instrText xml:space="preserve"> HYPERLINK \l "_Toc14827" </w:instrText>
          </w:r>
          <w:r>
            <w:rPr>
              <w:highlight w:val="none"/>
            </w:rPr>
            <w:fldChar w:fldCharType="separate"/>
          </w:r>
          <w:r>
            <w:rPr>
              <w:rFonts w:hint="eastAsia" w:ascii="仿宋_GB2312" w:hAnsi="仿宋_GB2312" w:eastAsia="仿宋_GB2312" w:cs="仿宋_GB2312"/>
              <w:bCs/>
              <w:sz w:val="28"/>
              <w:szCs w:val="28"/>
              <w:highlight w:val="none"/>
            </w:rPr>
            <w:t>附件六 商品混凝土进场验收验证记录表</w:t>
          </w:r>
          <w:r>
            <w:rPr>
              <w:highlight w:val="none"/>
            </w:rPr>
            <w:tab/>
          </w:r>
          <w:r>
            <w:rPr>
              <w:highlight w:val="none"/>
            </w:rPr>
            <w:fldChar w:fldCharType="begin"/>
          </w:r>
          <w:r>
            <w:rPr>
              <w:highlight w:val="none"/>
            </w:rPr>
            <w:instrText xml:space="preserve"> PAGEREF _Toc14827 \h </w:instrText>
          </w:r>
          <w:r>
            <w:rPr>
              <w:highlight w:val="none"/>
            </w:rPr>
            <w:fldChar w:fldCharType="separate"/>
          </w:r>
          <w:r>
            <w:rPr>
              <w:highlight w:val="none"/>
            </w:rPr>
            <w:t>34</w:t>
          </w:r>
          <w:r>
            <w:rPr>
              <w:highlight w:val="none"/>
            </w:rPr>
            <w:fldChar w:fldCharType="end"/>
          </w:r>
          <w:r>
            <w:rPr>
              <w:highlight w:val="none"/>
            </w:rPr>
            <w:fldChar w:fldCharType="end"/>
          </w:r>
        </w:p>
        <w:p w14:paraId="6C39C5B5">
          <w:pPr>
            <w:pStyle w:val="12"/>
            <w:tabs>
              <w:tab w:val="right" w:leader="dot" w:pos="8306"/>
            </w:tabs>
            <w:spacing w:line="312" w:lineRule="auto"/>
            <w:rPr>
              <w:highlight w:val="none"/>
            </w:rPr>
          </w:pPr>
          <w:r>
            <w:rPr>
              <w:highlight w:val="none"/>
            </w:rPr>
            <w:fldChar w:fldCharType="begin"/>
          </w:r>
          <w:r>
            <w:rPr>
              <w:highlight w:val="none"/>
            </w:rPr>
            <w:instrText xml:space="preserve"> HYPERLINK \l "_Toc14480"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_Toc14480 \h </w:instrText>
          </w:r>
          <w:r>
            <w:rPr>
              <w:highlight w:val="none"/>
            </w:rPr>
            <w:fldChar w:fldCharType="separate"/>
          </w:r>
          <w:r>
            <w:rPr>
              <w:highlight w:val="none"/>
            </w:rPr>
            <w:t>35</w:t>
          </w:r>
          <w:r>
            <w:rPr>
              <w:highlight w:val="none"/>
            </w:rPr>
            <w:fldChar w:fldCharType="end"/>
          </w:r>
          <w:r>
            <w:rPr>
              <w:highlight w:val="none"/>
            </w:rPr>
            <w:fldChar w:fldCharType="end"/>
          </w:r>
        </w:p>
        <w:p w14:paraId="7B2580A9">
          <w:pPr>
            <w:pStyle w:val="12"/>
            <w:tabs>
              <w:tab w:val="right" w:leader="dot" w:pos="8306"/>
            </w:tabs>
            <w:spacing w:line="312" w:lineRule="auto"/>
            <w:rPr>
              <w:highlight w:val="none"/>
            </w:rPr>
          </w:pPr>
          <w:r>
            <w:rPr>
              <w:highlight w:val="none"/>
            </w:rPr>
            <w:fldChar w:fldCharType="begin"/>
          </w:r>
          <w:r>
            <w:rPr>
              <w:highlight w:val="none"/>
            </w:rPr>
            <w:instrText xml:space="preserve"> HYPERLINK \l "_Toc27311" </w:instrText>
          </w:r>
          <w:r>
            <w:rPr>
              <w:highlight w:val="none"/>
            </w:rPr>
            <w:fldChar w:fldCharType="separate"/>
          </w:r>
          <w:r>
            <w:rPr>
              <w:rFonts w:hint="eastAsia" w:ascii="仿宋_GB2312" w:hAnsi="仿宋_GB2312" w:eastAsia="仿宋_GB2312" w:cs="仿宋_GB2312"/>
              <w:bCs/>
              <w:sz w:val="28"/>
              <w:szCs w:val="28"/>
              <w:highlight w:val="none"/>
            </w:rPr>
            <w:t>一、货物合同附随义务</w:t>
          </w:r>
          <w:r>
            <w:rPr>
              <w:highlight w:val="none"/>
            </w:rPr>
            <w:tab/>
          </w:r>
          <w:r>
            <w:rPr>
              <w:highlight w:val="none"/>
            </w:rPr>
            <w:fldChar w:fldCharType="begin"/>
          </w:r>
          <w:r>
            <w:rPr>
              <w:highlight w:val="none"/>
            </w:rPr>
            <w:instrText xml:space="preserve"> PAGEREF _Toc27311 \h </w:instrText>
          </w:r>
          <w:r>
            <w:rPr>
              <w:highlight w:val="none"/>
            </w:rPr>
            <w:fldChar w:fldCharType="separate"/>
          </w:r>
          <w:r>
            <w:rPr>
              <w:highlight w:val="none"/>
            </w:rPr>
            <w:t>35</w:t>
          </w:r>
          <w:r>
            <w:rPr>
              <w:highlight w:val="none"/>
            </w:rPr>
            <w:fldChar w:fldCharType="end"/>
          </w:r>
          <w:r>
            <w:rPr>
              <w:highlight w:val="none"/>
            </w:rPr>
            <w:fldChar w:fldCharType="end"/>
          </w:r>
        </w:p>
        <w:p w14:paraId="7E59AC55">
          <w:pPr>
            <w:pStyle w:val="12"/>
            <w:tabs>
              <w:tab w:val="right" w:leader="dot" w:pos="8306"/>
            </w:tabs>
            <w:spacing w:line="312" w:lineRule="auto"/>
            <w:rPr>
              <w:highlight w:val="none"/>
            </w:rPr>
          </w:pPr>
          <w:r>
            <w:rPr>
              <w:highlight w:val="none"/>
            </w:rPr>
            <w:fldChar w:fldCharType="begin"/>
          </w:r>
          <w:r>
            <w:rPr>
              <w:highlight w:val="none"/>
            </w:rPr>
            <w:instrText xml:space="preserve"> HYPERLINK \l "_Toc21274" </w:instrText>
          </w:r>
          <w:r>
            <w:rPr>
              <w:highlight w:val="none"/>
            </w:rPr>
            <w:fldChar w:fldCharType="separate"/>
          </w:r>
          <w:r>
            <w:rPr>
              <w:rFonts w:hint="eastAsia" w:ascii="仿宋_GB2312" w:hAnsi="仿宋_GB2312" w:eastAsia="仿宋_GB2312" w:cs="仿宋_GB2312"/>
              <w:bCs/>
              <w:sz w:val="28"/>
              <w:szCs w:val="28"/>
              <w:highlight w:val="none"/>
            </w:rPr>
            <w:t>二、货物违约责任</w:t>
          </w:r>
          <w:r>
            <w:rPr>
              <w:highlight w:val="none"/>
            </w:rPr>
            <w:tab/>
          </w:r>
          <w:r>
            <w:rPr>
              <w:highlight w:val="none"/>
            </w:rPr>
            <w:fldChar w:fldCharType="begin"/>
          </w:r>
          <w:r>
            <w:rPr>
              <w:highlight w:val="none"/>
            </w:rPr>
            <w:instrText xml:space="preserve"> PAGEREF _Toc21274 \h </w:instrText>
          </w:r>
          <w:r>
            <w:rPr>
              <w:highlight w:val="none"/>
            </w:rPr>
            <w:fldChar w:fldCharType="separate"/>
          </w:r>
          <w:r>
            <w:rPr>
              <w:highlight w:val="none"/>
            </w:rPr>
            <w:t>36</w:t>
          </w:r>
          <w:r>
            <w:rPr>
              <w:highlight w:val="none"/>
            </w:rPr>
            <w:fldChar w:fldCharType="end"/>
          </w:r>
          <w:r>
            <w:rPr>
              <w:highlight w:val="none"/>
            </w:rPr>
            <w:fldChar w:fldCharType="end"/>
          </w:r>
        </w:p>
        <w:p w14:paraId="46FDB8DB">
          <w:pPr>
            <w:pStyle w:val="12"/>
            <w:tabs>
              <w:tab w:val="right" w:leader="dot" w:pos="8306"/>
            </w:tabs>
            <w:spacing w:line="312" w:lineRule="auto"/>
            <w:rPr>
              <w:highlight w:val="none"/>
            </w:rPr>
          </w:pPr>
          <w:r>
            <w:rPr>
              <w:highlight w:val="none"/>
            </w:rPr>
            <w:fldChar w:fldCharType="begin"/>
          </w:r>
          <w:r>
            <w:rPr>
              <w:highlight w:val="none"/>
            </w:rPr>
            <w:instrText xml:space="preserve"> HYPERLINK \l "_Toc17076" </w:instrText>
          </w:r>
          <w:r>
            <w:rPr>
              <w:highlight w:val="none"/>
            </w:rPr>
            <w:fldChar w:fldCharType="separate"/>
          </w:r>
          <w:r>
            <w:rPr>
              <w:rFonts w:hint="eastAsia" w:ascii="仿宋_GB2312" w:hAnsi="仿宋_GB2312" w:eastAsia="仿宋_GB2312" w:cs="仿宋_GB2312"/>
              <w:bCs/>
              <w:sz w:val="28"/>
              <w:szCs w:val="28"/>
              <w:highlight w:val="none"/>
            </w:rPr>
            <w:t>三、货物缺陷索赔</w:t>
          </w:r>
          <w:r>
            <w:rPr>
              <w:highlight w:val="none"/>
            </w:rPr>
            <w:tab/>
          </w:r>
          <w:r>
            <w:rPr>
              <w:highlight w:val="none"/>
            </w:rPr>
            <w:fldChar w:fldCharType="begin"/>
          </w:r>
          <w:r>
            <w:rPr>
              <w:highlight w:val="none"/>
            </w:rPr>
            <w:instrText xml:space="preserve"> PAGEREF _Toc17076 \h </w:instrText>
          </w:r>
          <w:r>
            <w:rPr>
              <w:highlight w:val="none"/>
            </w:rPr>
            <w:fldChar w:fldCharType="separate"/>
          </w:r>
          <w:r>
            <w:rPr>
              <w:highlight w:val="none"/>
            </w:rPr>
            <w:t>38</w:t>
          </w:r>
          <w:r>
            <w:rPr>
              <w:highlight w:val="none"/>
            </w:rPr>
            <w:fldChar w:fldCharType="end"/>
          </w:r>
          <w:r>
            <w:rPr>
              <w:highlight w:val="none"/>
            </w:rPr>
            <w:fldChar w:fldCharType="end"/>
          </w:r>
        </w:p>
        <w:p w14:paraId="7BFBE579">
          <w:pPr>
            <w:pStyle w:val="12"/>
            <w:tabs>
              <w:tab w:val="right" w:leader="dot" w:pos="8306"/>
            </w:tabs>
            <w:spacing w:line="312" w:lineRule="auto"/>
            <w:rPr>
              <w:highlight w:val="none"/>
            </w:rPr>
          </w:pPr>
          <w:r>
            <w:rPr>
              <w:highlight w:val="none"/>
            </w:rPr>
            <w:fldChar w:fldCharType="begin"/>
          </w:r>
          <w:r>
            <w:rPr>
              <w:highlight w:val="none"/>
            </w:rPr>
            <w:instrText xml:space="preserve"> HYPERLINK \l "_Toc18889" </w:instrText>
          </w:r>
          <w:r>
            <w:rPr>
              <w:highlight w:val="none"/>
            </w:rPr>
            <w:fldChar w:fldCharType="separate"/>
          </w:r>
          <w:r>
            <w:rPr>
              <w:rFonts w:hint="eastAsia" w:ascii="仿宋_GB2312" w:hAnsi="仿宋_GB2312" w:eastAsia="仿宋_GB2312" w:cs="仿宋_GB2312"/>
              <w:bCs/>
              <w:sz w:val="28"/>
              <w:szCs w:val="28"/>
              <w:highlight w:val="none"/>
            </w:rPr>
            <w:t>四、合同变更</w:t>
          </w:r>
          <w:r>
            <w:rPr>
              <w:highlight w:val="none"/>
            </w:rPr>
            <w:tab/>
          </w:r>
          <w:r>
            <w:rPr>
              <w:highlight w:val="none"/>
            </w:rPr>
            <w:fldChar w:fldCharType="begin"/>
          </w:r>
          <w:r>
            <w:rPr>
              <w:highlight w:val="none"/>
            </w:rPr>
            <w:instrText xml:space="preserve"> PAGEREF _Toc18889 \h </w:instrText>
          </w:r>
          <w:r>
            <w:rPr>
              <w:highlight w:val="none"/>
            </w:rPr>
            <w:fldChar w:fldCharType="separate"/>
          </w:r>
          <w:r>
            <w:rPr>
              <w:highlight w:val="none"/>
            </w:rPr>
            <w:t>39</w:t>
          </w:r>
          <w:r>
            <w:rPr>
              <w:highlight w:val="none"/>
            </w:rPr>
            <w:fldChar w:fldCharType="end"/>
          </w:r>
          <w:r>
            <w:rPr>
              <w:highlight w:val="none"/>
            </w:rPr>
            <w:fldChar w:fldCharType="end"/>
          </w:r>
        </w:p>
        <w:p w14:paraId="22537130">
          <w:pPr>
            <w:pStyle w:val="12"/>
            <w:tabs>
              <w:tab w:val="right" w:leader="dot" w:pos="8306"/>
            </w:tabs>
            <w:spacing w:line="312" w:lineRule="auto"/>
            <w:rPr>
              <w:highlight w:val="none"/>
            </w:rPr>
          </w:pPr>
          <w:r>
            <w:rPr>
              <w:highlight w:val="none"/>
            </w:rPr>
            <w:fldChar w:fldCharType="begin"/>
          </w:r>
          <w:r>
            <w:rPr>
              <w:highlight w:val="none"/>
            </w:rPr>
            <w:instrText xml:space="preserve"> HYPERLINK \l "_Toc399" </w:instrText>
          </w:r>
          <w:r>
            <w:rPr>
              <w:highlight w:val="none"/>
            </w:rPr>
            <w:fldChar w:fldCharType="separate"/>
          </w:r>
          <w:r>
            <w:rPr>
              <w:rFonts w:hint="eastAsia" w:ascii="仿宋_GB2312" w:hAnsi="仿宋_GB2312" w:eastAsia="仿宋_GB2312" w:cs="仿宋_GB2312"/>
              <w:bCs/>
              <w:sz w:val="28"/>
              <w:szCs w:val="28"/>
              <w:highlight w:val="none"/>
            </w:rPr>
            <w:t>五、合同解除</w:t>
          </w:r>
          <w:r>
            <w:rPr>
              <w:highlight w:val="none"/>
            </w:rPr>
            <w:tab/>
          </w:r>
          <w:r>
            <w:rPr>
              <w:highlight w:val="none"/>
            </w:rPr>
            <w:fldChar w:fldCharType="begin"/>
          </w:r>
          <w:r>
            <w:rPr>
              <w:highlight w:val="none"/>
            </w:rPr>
            <w:instrText xml:space="preserve"> PAGEREF _Toc399 \h </w:instrText>
          </w:r>
          <w:r>
            <w:rPr>
              <w:highlight w:val="none"/>
            </w:rPr>
            <w:fldChar w:fldCharType="separate"/>
          </w:r>
          <w:r>
            <w:rPr>
              <w:highlight w:val="none"/>
            </w:rPr>
            <w:t>39</w:t>
          </w:r>
          <w:r>
            <w:rPr>
              <w:highlight w:val="none"/>
            </w:rPr>
            <w:fldChar w:fldCharType="end"/>
          </w:r>
          <w:r>
            <w:rPr>
              <w:highlight w:val="none"/>
            </w:rPr>
            <w:fldChar w:fldCharType="end"/>
          </w:r>
        </w:p>
        <w:p w14:paraId="1C63AD42">
          <w:pPr>
            <w:pStyle w:val="12"/>
            <w:tabs>
              <w:tab w:val="right" w:leader="dot" w:pos="8306"/>
            </w:tabs>
            <w:spacing w:line="312" w:lineRule="auto"/>
            <w:rPr>
              <w:highlight w:val="none"/>
            </w:rPr>
          </w:pPr>
          <w:r>
            <w:rPr>
              <w:highlight w:val="none"/>
            </w:rPr>
            <w:fldChar w:fldCharType="begin"/>
          </w:r>
          <w:r>
            <w:rPr>
              <w:highlight w:val="none"/>
            </w:rPr>
            <w:instrText xml:space="preserve"> HYPERLINK \l "_Toc18207" </w:instrText>
          </w:r>
          <w:r>
            <w:rPr>
              <w:highlight w:val="none"/>
            </w:rPr>
            <w:fldChar w:fldCharType="separate"/>
          </w:r>
          <w:r>
            <w:rPr>
              <w:rFonts w:hint="eastAsia" w:ascii="仿宋_GB2312" w:hAnsi="仿宋_GB2312" w:eastAsia="仿宋_GB2312" w:cs="仿宋_GB2312"/>
              <w:bCs/>
              <w:sz w:val="28"/>
              <w:szCs w:val="28"/>
              <w:highlight w:val="none"/>
            </w:rPr>
            <w:t>六、不可抗力</w:t>
          </w:r>
          <w:r>
            <w:rPr>
              <w:highlight w:val="none"/>
            </w:rPr>
            <w:tab/>
          </w:r>
          <w:r>
            <w:rPr>
              <w:highlight w:val="none"/>
            </w:rPr>
            <w:fldChar w:fldCharType="begin"/>
          </w:r>
          <w:r>
            <w:rPr>
              <w:highlight w:val="none"/>
            </w:rPr>
            <w:instrText xml:space="preserve"> PAGEREF _Toc18207 \h </w:instrText>
          </w:r>
          <w:r>
            <w:rPr>
              <w:highlight w:val="none"/>
            </w:rPr>
            <w:fldChar w:fldCharType="separate"/>
          </w:r>
          <w:r>
            <w:rPr>
              <w:highlight w:val="none"/>
            </w:rPr>
            <w:t>40</w:t>
          </w:r>
          <w:r>
            <w:rPr>
              <w:highlight w:val="none"/>
            </w:rPr>
            <w:fldChar w:fldCharType="end"/>
          </w:r>
          <w:r>
            <w:rPr>
              <w:highlight w:val="none"/>
            </w:rPr>
            <w:fldChar w:fldCharType="end"/>
          </w:r>
        </w:p>
        <w:p w14:paraId="1732D52B">
          <w:pPr>
            <w:pStyle w:val="12"/>
            <w:tabs>
              <w:tab w:val="right" w:leader="dot" w:pos="8306"/>
            </w:tabs>
            <w:spacing w:line="312" w:lineRule="auto"/>
            <w:rPr>
              <w:highlight w:val="none"/>
            </w:rPr>
          </w:pPr>
          <w:r>
            <w:rPr>
              <w:highlight w:val="none"/>
            </w:rPr>
            <w:fldChar w:fldCharType="begin"/>
          </w:r>
          <w:r>
            <w:rPr>
              <w:highlight w:val="none"/>
            </w:rPr>
            <w:instrText xml:space="preserve"> HYPERLINK \l "_Toc29685" </w:instrText>
          </w:r>
          <w:r>
            <w:rPr>
              <w:highlight w:val="none"/>
            </w:rPr>
            <w:fldChar w:fldCharType="separate"/>
          </w:r>
          <w:r>
            <w:rPr>
              <w:rFonts w:hint="eastAsia" w:ascii="仿宋_GB2312" w:hAnsi="仿宋_GB2312" w:eastAsia="仿宋_GB2312" w:cs="仿宋_GB2312"/>
              <w:bCs/>
              <w:sz w:val="28"/>
              <w:szCs w:val="28"/>
              <w:highlight w:val="none"/>
            </w:rPr>
            <w:t>七、争议解决</w:t>
          </w:r>
          <w:r>
            <w:rPr>
              <w:highlight w:val="none"/>
            </w:rPr>
            <w:tab/>
          </w:r>
          <w:r>
            <w:rPr>
              <w:highlight w:val="none"/>
            </w:rPr>
            <w:fldChar w:fldCharType="begin"/>
          </w:r>
          <w:r>
            <w:rPr>
              <w:highlight w:val="none"/>
            </w:rPr>
            <w:instrText xml:space="preserve"> PAGEREF _Toc29685 \h </w:instrText>
          </w:r>
          <w:r>
            <w:rPr>
              <w:highlight w:val="none"/>
            </w:rPr>
            <w:fldChar w:fldCharType="separate"/>
          </w:r>
          <w:r>
            <w:rPr>
              <w:highlight w:val="none"/>
            </w:rPr>
            <w:t>41</w:t>
          </w:r>
          <w:r>
            <w:rPr>
              <w:highlight w:val="none"/>
            </w:rPr>
            <w:fldChar w:fldCharType="end"/>
          </w:r>
          <w:r>
            <w:rPr>
              <w:highlight w:val="none"/>
            </w:rPr>
            <w:fldChar w:fldCharType="end"/>
          </w:r>
        </w:p>
        <w:p w14:paraId="22493023">
          <w:pPr>
            <w:pStyle w:val="12"/>
            <w:tabs>
              <w:tab w:val="right" w:leader="dot" w:pos="8306"/>
            </w:tabs>
            <w:spacing w:line="312" w:lineRule="auto"/>
            <w:rPr>
              <w:highlight w:val="none"/>
            </w:rPr>
          </w:pPr>
          <w:r>
            <w:rPr>
              <w:highlight w:val="none"/>
            </w:rPr>
            <w:fldChar w:fldCharType="begin"/>
          </w:r>
          <w:r>
            <w:rPr>
              <w:highlight w:val="none"/>
            </w:rPr>
            <w:instrText xml:space="preserve"> HYPERLINK \l "_Toc26705" </w:instrText>
          </w:r>
          <w:r>
            <w:rPr>
              <w:highlight w:val="none"/>
            </w:rPr>
            <w:fldChar w:fldCharType="separate"/>
          </w:r>
          <w:r>
            <w:rPr>
              <w:rFonts w:hint="eastAsia" w:ascii="仿宋_GB2312" w:hAnsi="仿宋_GB2312" w:eastAsia="仿宋_GB2312" w:cs="仿宋_GB2312"/>
              <w:bCs/>
              <w:sz w:val="28"/>
              <w:szCs w:val="28"/>
              <w:highlight w:val="none"/>
            </w:rPr>
            <w:t>八、保密义务</w:t>
          </w:r>
          <w:r>
            <w:rPr>
              <w:highlight w:val="none"/>
            </w:rPr>
            <w:tab/>
          </w:r>
          <w:r>
            <w:rPr>
              <w:highlight w:val="none"/>
            </w:rPr>
            <w:fldChar w:fldCharType="begin"/>
          </w:r>
          <w:r>
            <w:rPr>
              <w:highlight w:val="none"/>
            </w:rPr>
            <w:instrText xml:space="preserve"> PAGEREF _Toc26705 \h </w:instrText>
          </w:r>
          <w:r>
            <w:rPr>
              <w:highlight w:val="none"/>
            </w:rPr>
            <w:fldChar w:fldCharType="separate"/>
          </w:r>
          <w:r>
            <w:rPr>
              <w:highlight w:val="none"/>
            </w:rPr>
            <w:t>41</w:t>
          </w:r>
          <w:r>
            <w:rPr>
              <w:highlight w:val="none"/>
            </w:rPr>
            <w:fldChar w:fldCharType="end"/>
          </w:r>
          <w:r>
            <w:rPr>
              <w:highlight w:val="none"/>
            </w:rPr>
            <w:fldChar w:fldCharType="end"/>
          </w:r>
        </w:p>
        <w:p w14:paraId="6F0726D3">
          <w:pPr>
            <w:pStyle w:val="12"/>
            <w:tabs>
              <w:tab w:val="right" w:leader="dot" w:pos="8306"/>
            </w:tabs>
            <w:spacing w:line="312" w:lineRule="auto"/>
            <w:rPr>
              <w:highlight w:val="none"/>
            </w:rPr>
          </w:pPr>
          <w:r>
            <w:rPr>
              <w:highlight w:val="none"/>
            </w:rPr>
            <w:fldChar w:fldCharType="begin"/>
          </w:r>
          <w:r>
            <w:rPr>
              <w:highlight w:val="none"/>
            </w:rPr>
            <w:instrText xml:space="preserve"> HYPERLINK \l "_Toc84" </w:instrText>
          </w:r>
          <w:r>
            <w:rPr>
              <w:highlight w:val="none"/>
            </w:rPr>
            <w:fldChar w:fldCharType="separate"/>
          </w:r>
          <w:r>
            <w:rPr>
              <w:rFonts w:hint="eastAsia" w:ascii="仿宋_GB2312" w:hAnsi="仿宋_GB2312" w:eastAsia="仿宋_GB2312" w:cs="仿宋_GB2312"/>
              <w:bCs/>
              <w:sz w:val="28"/>
              <w:szCs w:val="28"/>
              <w:highlight w:val="none"/>
            </w:rPr>
            <w:t>九、其他条款</w:t>
          </w:r>
          <w:r>
            <w:rPr>
              <w:highlight w:val="none"/>
            </w:rPr>
            <w:tab/>
          </w:r>
          <w:r>
            <w:rPr>
              <w:highlight w:val="none"/>
            </w:rPr>
            <w:fldChar w:fldCharType="begin"/>
          </w:r>
          <w:r>
            <w:rPr>
              <w:highlight w:val="none"/>
            </w:rPr>
            <w:instrText xml:space="preserve"> PAGEREF _Toc84 \h </w:instrText>
          </w:r>
          <w:r>
            <w:rPr>
              <w:highlight w:val="none"/>
            </w:rPr>
            <w:fldChar w:fldCharType="separate"/>
          </w:r>
          <w:r>
            <w:rPr>
              <w:highlight w:val="none"/>
            </w:rPr>
            <w:t>42</w:t>
          </w:r>
          <w:r>
            <w:rPr>
              <w:highlight w:val="none"/>
            </w:rPr>
            <w:fldChar w:fldCharType="end"/>
          </w:r>
          <w:r>
            <w:rPr>
              <w:highlight w:val="none"/>
            </w:rPr>
            <w:fldChar w:fldCharType="end"/>
          </w:r>
        </w:p>
        <w:p w14:paraId="6A9493C1">
          <w:pPr>
            <w:pStyle w:val="17"/>
            <w:rPr>
              <w:rFonts w:ascii="仿宋" w:hAnsi="仿宋" w:eastAsia="仿宋" w:cs="仿宋"/>
              <w:color w:val="000000" w:themeColor="text1"/>
              <w:highlight w:val="none"/>
              <w14:textFill>
                <w14:solidFill>
                  <w14:schemeClr w14:val="tx1"/>
                </w14:solidFill>
              </w14:textFill>
            </w:rPr>
            <w:sectPr>
              <w:headerReference r:id="rId6" w:type="first"/>
              <w:footerReference r:id="rId8" w:type="first"/>
              <w:footerReference r:id="rId7"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11956929">
      <w:pPr>
        <w:pStyle w:val="17"/>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4600"/>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116A28BC">
      <w:pPr>
        <w:pStyle w:val="17"/>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bookmarkStart w:id="3" w:name="_Hlk127188610"/>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bookmarkStart w:id="4" w:name="_Hlk126825485"/>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bookmarkEnd w:id="4"/>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p w14:paraId="5587CCFA">
      <w:pPr>
        <w:pStyle w:val="17"/>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6"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6"/>
      <w:r>
        <w:rPr>
          <w:rFonts w:ascii="仿宋_GB2312" w:hAnsi="仿宋_GB2312" w:eastAsia="仿宋_GB2312" w:cs="仿宋_GB2312"/>
          <w:color w:val="000000" w:themeColor="text1"/>
          <w:highlight w:val="none"/>
          <w:u w:val="single"/>
          <w14:textFill>
            <w14:solidFill>
              <w14:schemeClr w14:val="tx1"/>
            </w14:solidFill>
          </w14:textFill>
        </w:rPr>
        <w:t xml:space="preserve"> </w:t>
      </w:r>
    </w:p>
    <w:bookmarkEnd w:id="3"/>
    <w:p w14:paraId="21F8C88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根据《中华人民共和国民法典》及有关法律规定，遵循平等、自愿、公平和诚实信用的原则，在对本合同进行充分理解的基础上，双方经友好协商一致，订立本合同并共同遵守。      </w:t>
      </w:r>
    </w:p>
    <w:p w14:paraId="09E06CDE">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22768"/>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5"/>
    </w:p>
    <w:p w14:paraId="6E8B2A42">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日照市公共实训基地项目</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47559249">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山东省日照市</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4D1AB90B">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13582"/>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6"/>
    </w:p>
    <w:tbl>
      <w:tblPr>
        <w:tblStyle w:val="13"/>
        <w:tblW w:w="10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1"/>
        <w:gridCol w:w="1134"/>
        <w:gridCol w:w="665"/>
        <w:gridCol w:w="1319"/>
        <w:gridCol w:w="850"/>
        <w:gridCol w:w="1122"/>
        <w:gridCol w:w="1134"/>
        <w:gridCol w:w="851"/>
        <w:gridCol w:w="1134"/>
        <w:gridCol w:w="709"/>
      </w:tblGrid>
      <w:tr w14:paraId="05BA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7" w:type="dxa"/>
            <w:shd w:val="clear" w:color="auto" w:fill="auto"/>
            <w:vAlign w:val="center"/>
          </w:tcPr>
          <w:p w14:paraId="129BCC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361" w:type="dxa"/>
            <w:shd w:val="clear" w:color="auto" w:fill="auto"/>
            <w:vAlign w:val="center"/>
          </w:tcPr>
          <w:p w14:paraId="61FAB71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1134" w:type="dxa"/>
            <w:shd w:val="clear" w:color="auto" w:fill="auto"/>
            <w:vAlign w:val="center"/>
          </w:tcPr>
          <w:p w14:paraId="2A858C9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3116BC1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665" w:type="dxa"/>
            <w:shd w:val="clear" w:color="auto" w:fill="auto"/>
            <w:vAlign w:val="center"/>
          </w:tcPr>
          <w:p w14:paraId="6FE7F8C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3E6D5F4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1319" w:type="dxa"/>
            <w:shd w:val="clear" w:color="auto" w:fill="auto"/>
            <w:vAlign w:val="center"/>
          </w:tcPr>
          <w:p w14:paraId="24EA48C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计量规则</w:t>
            </w:r>
          </w:p>
        </w:tc>
        <w:tc>
          <w:tcPr>
            <w:tcW w:w="850" w:type="dxa"/>
            <w:shd w:val="clear" w:color="auto" w:fill="auto"/>
            <w:vAlign w:val="center"/>
          </w:tcPr>
          <w:p w14:paraId="46E0942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73E8B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1122" w:type="dxa"/>
            <w:shd w:val="clear" w:color="auto" w:fill="auto"/>
            <w:vAlign w:val="center"/>
          </w:tcPr>
          <w:p w14:paraId="7C8FC0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705DAA7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47CA62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134" w:type="dxa"/>
            <w:shd w:val="clear" w:color="auto" w:fill="auto"/>
            <w:vAlign w:val="center"/>
          </w:tcPr>
          <w:p w14:paraId="1289875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5D0AC7C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E3239C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851" w:type="dxa"/>
            <w:shd w:val="clear" w:color="auto" w:fill="auto"/>
            <w:vAlign w:val="center"/>
          </w:tcPr>
          <w:p w14:paraId="6FB3159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96AF01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1134" w:type="dxa"/>
            <w:shd w:val="clear" w:color="auto" w:fill="auto"/>
            <w:vAlign w:val="center"/>
          </w:tcPr>
          <w:p w14:paraId="2C7AEF3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含增值税</w:t>
            </w:r>
          </w:p>
          <w:p w14:paraId="203BAA5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4A1C53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709" w:type="dxa"/>
            <w:shd w:val="clear" w:color="auto" w:fill="auto"/>
            <w:vAlign w:val="center"/>
          </w:tcPr>
          <w:p w14:paraId="2C908DA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2A2E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7" w:type="dxa"/>
            <w:shd w:val="clear" w:color="auto" w:fill="auto"/>
            <w:vAlign w:val="center"/>
          </w:tcPr>
          <w:p w14:paraId="37D0CE9D">
            <w:pPr>
              <w:widowControl/>
              <w:spacing w:line="400" w:lineRule="atLeast"/>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1361" w:type="dxa"/>
            <w:shd w:val="clear" w:color="auto" w:fill="auto"/>
            <w:vAlign w:val="center"/>
          </w:tcPr>
          <w:p w14:paraId="04C64727">
            <w:pPr>
              <w:widowControl/>
              <w:spacing w:line="400" w:lineRule="atLeast"/>
              <w:jc w:val="both"/>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商品混凝土</w:t>
            </w:r>
          </w:p>
        </w:tc>
        <w:tc>
          <w:tcPr>
            <w:tcW w:w="1134" w:type="dxa"/>
            <w:shd w:val="clear" w:color="auto" w:fill="auto"/>
            <w:vAlign w:val="center"/>
          </w:tcPr>
          <w:p w14:paraId="6740C6A3">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C15</w:t>
            </w:r>
          </w:p>
        </w:tc>
        <w:tc>
          <w:tcPr>
            <w:tcW w:w="665" w:type="dxa"/>
            <w:shd w:val="clear" w:color="auto" w:fill="auto"/>
            <w:vAlign w:val="center"/>
          </w:tcPr>
          <w:p w14:paraId="4C70CD48">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m</w:t>
            </w:r>
            <w:r>
              <w:rPr>
                <w:rStyle w:val="18"/>
                <w:rFonts w:hint="default" w:ascii="仿宋_GB2312" w:hAnsi="仿宋_GB2312" w:eastAsia="仿宋_GB2312" w:cs="仿宋_GB2312"/>
                <w:color w:val="000000" w:themeColor="text1"/>
                <w:sz w:val="18"/>
                <w:szCs w:val="18"/>
                <w:highlight w:val="none"/>
                <w:lang w:bidi="ar"/>
                <w14:textFill>
                  <w14:solidFill>
                    <w14:schemeClr w14:val="tx1"/>
                  </w14:solidFill>
                </w14:textFill>
              </w:rPr>
              <w:t>3</w:t>
            </w:r>
          </w:p>
        </w:tc>
        <w:tc>
          <w:tcPr>
            <w:tcW w:w="1319" w:type="dxa"/>
            <w:shd w:val="clear" w:color="auto" w:fill="auto"/>
            <w:vAlign w:val="center"/>
          </w:tcPr>
          <w:p w14:paraId="3E222CD2">
            <w:pPr>
              <w:widowControl/>
              <w:spacing w:line="400" w:lineRule="atLeast"/>
              <w:jc w:val="center"/>
              <w:textAlignment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验收过磅数量</w:t>
            </w:r>
          </w:p>
        </w:tc>
        <w:tc>
          <w:tcPr>
            <w:tcW w:w="850" w:type="dxa"/>
            <w:shd w:val="clear" w:color="auto" w:fill="auto"/>
            <w:noWrap/>
            <w:vAlign w:val="center"/>
          </w:tcPr>
          <w:p w14:paraId="7BC51C94">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1281.23</w:t>
            </w:r>
          </w:p>
        </w:tc>
        <w:tc>
          <w:tcPr>
            <w:tcW w:w="1122" w:type="dxa"/>
            <w:shd w:val="clear" w:color="auto" w:fill="auto"/>
            <w:noWrap/>
            <w:vAlign w:val="center"/>
          </w:tcPr>
          <w:p w14:paraId="469931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10B259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78CAB2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41EF85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c>
          <w:tcPr>
            <w:tcW w:w="709" w:type="dxa"/>
            <w:shd w:val="clear" w:color="auto" w:fill="auto"/>
            <w:vAlign w:val="center"/>
          </w:tcPr>
          <w:p w14:paraId="382122A1">
            <w:pPr>
              <w:spacing w:line="500" w:lineRule="exact"/>
              <w:jc w:val="left"/>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3E05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7" w:type="dxa"/>
            <w:shd w:val="clear" w:color="auto" w:fill="auto"/>
            <w:vAlign w:val="center"/>
          </w:tcPr>
          <w:p w14:paraId="0FE04402">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1361" w:type="dxa"/>
            <w:shd w:val="clear" w:color="auto" w:fill="auto"/>
            <w:vAlign w:val="center"/>
          </w:tcPr>
          <w:p w14:paraId="7638003E">
            <w:pPr>
              <w:widowControl/>
              <w:spacing w:line="400" w:lineRule="atLeast"/>
              <w:jc w:val="both"/>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商品混凝土</w:t>
            </w:r>
          </w:p>
        </w:tc>
        <w:tc>
          <w:tcPr>
            <w:tcW w:w="1134" w:type="dxa"/>
            <w:shd w:val="clear" w:color="auto" w:fill="auto"/>
            <w:vAlign w:val="center"/>
          </w:tcPr>
          <w:p w14:paraId="44FF8B4C">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C20</w:t>
            </w:r>
          </w:p>
        </w:tc>
        <w:tc>
          <w:tcPr>
            <w:tcW w:w="665" w:type="dxa"/>
            <w:shd w:val="clear" w:color="auto" w:fill="auto"/>
            <w:noWrap/>
            <w:vAlign w:val="center"/>
          </w:tcPr>
          <w:p w14:paraId="01B34DAA">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m</w:t>
            </w:r>
            <w:r>
              <w:rPr>
                <w:rStyle w:val="18"/>
                <w:rFonts w:hint="default" w:ascii="仿宋_GB2312" w:hAnsi="仿宋_GB2312" w:eastAsia="仿宋_GB2312" w:cs="仿宋_GB2312"/>
                <w:color w:val="000000" w:themeColor="text1"/>
                <w:sz w:val="18"/>
                <w:szCs w:val="18"/>
                <w:highlight w:val="none"/>
                <w:lang w:bidi="ar"/>
                <w14:textFill>
                  <w14:solidFill>
                    <w14:schemeClr w14:val="tx1"/>
                  </w14:solidFill>
                </w14:textFill>
              </w:rPr>
              <w:t>3</w:t>
            </w:r>
          </w:p>
        </w:tc>
        <w:tc>
          <w:tcPr>
            <w:tcW w:w="1319" w:type="dxa"/>
            <w:shd w:val="clear" w:color="auto" w:fill="auto"/>
            <w:vAlign w:val="center"/>
          </w:tcPr>
          <w:p w14:paraId="7682882D">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验收过磅数量</w:t>
            </w:r>
          </w:p>
        </w:tc>
        <w:tc>
          <w:tcPr>
            <w:tcW w:w="850" w:type="dxa"/>
            <w:shd w:val="clear" w:color="auto" w:fill="auto"/>
            <w:noWrap/>
            <w:vAlign w:val="center"/>
          </w:tcPr>
          <w:p w14:paraId="1266C0E7">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7.83</w:t>
            </w:r>
          </w:p>
        </w:tc>
        <w:tc>
          <w:tcPr>
            <w:tcW w:w="1122" w:type="dxa"/>
            <w:shd w:val="clear" w:color="auto" w:fill="auto"/>
            <w:noWrap/>
            <w:vAlign w:val="center"/>
          </w:tcPr>
          <w:p w14:paraId="67091B8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5F8A08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508AD0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37D62A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17C3F30A">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54D2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67" w:type="dxa"/>
            <w:shd w:val="clear" w:color="auto" w:fill="auto"/>
            <w:vAlign w:val="center"/>
          </w:tcPr>
          <w:p w14:paraId="4FBA7632">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3</w:t>
            </w:r>
          </w:p>
        </w:tc>
        <w:tc>
          <w:tcPr>
            <w:tcW w:w="1361" w:type="dxa"/>
            <w:shd w:val="clear" w:color="auto" w:fill="auto"/>
            <w:vAlign w:val="center"/>
          </w:tcPr>
          <w:p w14:paraId="230497CF">
            <w:pPr>
              <w:widowControl/>
              <w:spacing w:line="400" w:lineRule="atLeast"/>
              <w:jc w:val="both"/>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商品混凝土</w:t>
            </w:r>
          </w:p>
        </w:tc>
        <w:tc>
          <w:tcPr>
            <w:tcW w:w="1134" w:type="dxa"/>
            <w:shd w:val="clear" w:color="auto" w:fill="auto"/>
            <w:vAlign w:val="center"/>
          </w:tcPr>
          <w:p w14:paraId="10B65B0C">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C25</w:t>
            </w:r>
          </w:p>
        </w:tc>
        <w:tc>
          <w:tcPr>
            <w:tcW w:w="665" w:type="dxa"/>
            <w:shd w:val="clear" w:color="auto" w:fill="auto"/>
            <w:noWrap/>
            <w:vAlign w:val="center"/>
          </w:tcPr>
          <w:p w14:paraId="2DE29F98">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m</w:t>
            </w:r>
            <w:r>
              <w:rPr>
                <w:rStyle w:val="18"/>
                <w:rFonts w:hint="default" w:ascii="仿宋_GB2312" w:hAnsi="仿宋_GB2312" w:eastAsia="仿宋_GB2312" w:cs="仿宋_GB2312"/>
                <w:color w:val="000000" w:themeColor="text1"/>
                <w:sz w:val="18"/>
                <w:szCs w:val="18"/>
                <w:highlight w:val="none"/>
                <w:lang w:bidi="ar"/>
                <w14:textFill>
                  <w14:solidFill>
                    <w14:schemeClr w14:val="tx1"/>
                  </w14:solidFill>
                </w14:textFill>
              </w:rPr>
              <w:t>3</w:t>
            </w:r>
          </w:p>
        </w:tc>
        <w:tc>
          <w:tcPr>
            <w:tcW w:w="1319" w:type="dxa"/>
            <w:shd w:val="clear" w:color="auto" w:fill="auto"/>
            <w:vAlign w:val="center"/>
          </w:tcPr>
          <w:p w14:paraId="13E1DF82">
            <w:pPr>
              <w:widowControl/>
              <w:spacing w:line="400" w:lineRule="atLeast"/>
              <w:jc w:val="center"/>
              <w:textAlignment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验收过磅数量</w:t>
            </w:r>
          </w:p>
        </w:tc>
        <w:tc>
          <w:tcPr>
            <w:tcW w:w="850" w:type="dxa"/>
            <w:shd w:val="clear" w:color="auto" w:fill="auto"/>
            <w:noWrap/>
            <w:vAlign w:val="center"/>
          </w:tcPr>
          <w:p w14:paraId="72360FF8">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297.87</w:t>
            </w:r>
          </w:p>
        </w:tc>
        <w:tc>
          <w:tcPr>
            <w:tcW w:w="1122" w:type="dxa"/>
            <w:shd w:val="clear" w:color="auto" w:fill="auto"/>
            <w:noWrap/>
            <w:vAlign w:val="center"/>
          </w:tcPr>
          <w:p w14:paraId="3B3817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6900D4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291565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59F5A1A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4BA7F661">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6A84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67" w:type="dxa"/>
            <w:shd w:val="clear" w:color="auto" w:fill="auto"/>
            <w:vAlign w:val="center"/>
          </w:tcPr>
          <w:p w14:paraId="10139871">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4</w:t>
            </w:r>
          </w:p>
        </w:tc>
        <w:tc>
          <w:tcPr>
            <w:tcW w:w="1361" w:type="dxa"/>
            <w:shd w:val="clear" w:color="auto" w:fill="auto"/>
            <w:vAlign w:val="center"/>
          </w:tcPr>
          <w:p w14:paraId="56493F27">
            <w:pPr>
              <w:widowControl/>
              <w:spacing w:line="400" w:lineRule="atLeast"/>
              <w:jc w:val="both"/>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商品混凝土</w:t>
            </w:r>
          </w:p>
        </w:tc>
        <w:tc>
          <w:tcPr>
            <w:tcW w:w="1134" w:type="dxa"/>
            <w:shd w:val="clear" w:color="auto" w:fill="auto"/>
            <w:vAlign w:val="center"/>
          </w:tcPr>
          <w:p w14:paraId="479B665F">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C30</w:t>
            </w:r>
          </w:p>
        </w:tc>
        <w:tc>
          <w:tcPr>
            <w:tcW w:w="665" w:type="dxa"/>
            <w:shd w:val="clear" w:color="auto" w:fill="auto"/>
            <w:noWrap/>
            <w:vAlign w:val="center"/>
          </w:tcPr>
          <w:p w14:paraId="6118255C">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m</w:t>
            </w:r>
            <w:r>
              <w:rPr>
                <w:rStyle w:val="18"/>
                <w:rFonts w:hint="default" w:ascii="仿宋_GB2312" w:hAnsi="仿宋_GB2312" w:eastAsia="仿宋_GB2312" w:cs="仿宋_GB2312"/>
                <w:color w:val="000000" w:themeColor="text1"/>
                <w:sz w:val="18"/>
                <w:szCs w:val="18"/>
                <w:highlight w:val="none"/>
                <w:lang w:bidi="ar"/>
                <w14:textFill>
                  <w14:solidFill>
                    <w14:schemeClr w14:val="tx1"/>
                  </w14:solidFill>
                </w14:textFill>
              </w:rPr>
              <w:t>3</w:t>
            </w:r>
          </w:p>
        </w:tc>
        <w:tc>
          <w:tcPr>
            <w:tcW w:w="1319" w:type="dxa"/>
            <w:shd w:val="clear" w:color="auto" w:fill="auto"/>
            <w:vAlign w:val="center"/>
          </w:tcPr>
          <w:p w14:paraId="0D9E364D">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验收过磅数量</w:t>
            </w:r>
          </w:p>
        </w:tc>
        <w:tc>
          <w:tcPr>
            <w:tcW w:w="850" w:type="dxa"/>
            <w:shd w:val="clear" w:color="auto" w:fill="auto"/>
            <w:noWrap/>
            <w:vAlign w:val="center"/>
          </w:tcPr>
          <w:p w14:paraId="7CD19B70">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3742.35</w:t>
            </w:r>
          </w:p>
        </w:tc>
        <w:tc>
          <w:tcPr>
            <w:tcW w:w="1122" w:type="dxa"/>
            <w:shd w:val="clear" w:color="auto" w:fill="auto"/>
            <w:noWrap/>
            <w:vAlign w:val="center"/>
          </w:tcPr>
          <w:p w14:paraId="433D69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5FB8A10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502E7D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46353D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0EDDFBB3">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4DC6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67" w:type="dxa"/>
            <w:shd w:val="clear" w:color="auto" w:fill="auto"/>
            <w:vAlign w:val="center"/>
          </w:tcPr>
          <w:p w14:paraId="509358FD">
            <w:pPr>
              <w:widowControl/>
              <w:spacing w:line="400" w:lineRule="atLeas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361" w:type="dxa"/>
            <w:shd w:val="clear" w:color="auto" w:fill="auto"/>
            <w:vAlign w:val="center"/>
          </w:tcPr>
          <w:p w14:paraId="52483D8A">
            <w:pPr>
              <w:widowControl/>
              <w:spacing w:line="400" w:lineRule="atLeast"/>
              <w:jc w:val="both"/>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商品混凝土</w:t>
            </w:r>
          </w:p>
        </w:tc>
        <w:tc>
          <w:tcPr>
            <w:tcW w:w="1134" w:type="dxa"/>
            <w:shd w:val="clear" w:color="auto" w:fill="auto"/>
            <w:vAlign w:val="center"/>
          </w:tcPr>
          <w:p w14:paraId="1B1666EB">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C35</w:t>
            </w:r>
          </w:p>
        </w:tc>
        <w:tc>
          <w:tcPr>
            <w:tcW w:w="665" w:type="dxa"/>
            <w:shd w:val="clear" w:color="auto" w:fill="auto"/>
            <w:noWrap/>
            <w:vAlign w:val="center"/>
          </w:tcPr>
          <w:p w14:paraId="4C571A98">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m</w:t>
            </w:r>
            <w:r>
              <w:rPr>
                <w:rStyle w:val="18"/>
                <w:rFonts w:hint="default" w:ascii="仿宋_GB2312" w:hAnsi="仿宋_GB2312" w:eastAsia="仿宋_GB2312" w:cs="仿宋_GB2312"/>
                <w:color w:val="000000" w:themeColor="text1"/>
                <w:sz w:val="18"/>
                <w:szCs w:val="18"/>
                <w:highlight w:val="none"/>
                <w:lang w:bidi="ar"/>
                <w14:textFill>
                  <w14:solidFill>
                    <w14:schemeClr w14:val="tx1"/>
                  </w14:solidFill>
                </w14:textFill>
              </w:rPr>
              <w:t>3</w:t>
            </w:r>
          </w:p>
        </w:tc>
        <w:tc>
          <w:tcPr>
            <w:tcW w:w="1319" w:type="dxa"/>
            <w:shd w:val="clear" w:color="auto" w:fill="auto"/>
            <w:vAlign w:val="center"/>
          </w:tcPr>
          <w:p w14:paraId="30418E0B">
            <w:pPr>
              <w:widowControl/>
              <w:spacing w:line="400" w:lineRule="atLeast"/>
              <w:jc w:val="center"/>
              <w:textAlignment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验收过磅数量</w:t>
            </w:r>
          </w:p>
        </w:tc>
        <w:tc>
          <w:tcPr>
            <w:tcW w:w="850" w:type="dxa"/>
            <w:shd w:val="clear" w:color="auto" w:fill="auto"/>
            <w:noWrap/>
            <w:vAlign w:val="center"/>
          </w:tcPr>
          <w:p w14:paraId="1BD41502">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2391.37</w:t>
            </w:r>
          </w:p>
        </w:tc>
        <w:tc>
          <w:tcPr>
            <w:tcW w:w="1122" w:type="dxa"/>
            <w:shd w:val="clear" w:color="auto" w:fill="auto"/>
            <w:noWrap/>
            <w:vAlign w:val="center"/>
          </w:tcPr>
          <w:p w14:paraId="2262FD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583F39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6FAC41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27CDBC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5AD634ED">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0801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7" w:type="dxa"/>
            <w:shd w:val="clear" w:color="auto" w:fill="auto"/>
            <w:vAlign w:val="center"/>
          </w:tcPr>
          <w:p w14:paraId="7D7E40F3">
            <w:pPr>
              <w:widowControl/>
              <w:spacing w:line="400" w:lineRule="atLeas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1361" w:type="dxa"/>
            <w:shd w:val="clear" w:color="auto" w:fill="auto"/>
            <w:vAlign w:val="center"/>
          </w:tcPr>
          <w:p w14:paraId="5F0141DF">
            <w:pPr>
              <w:widowControl/>
              <w:spacing w:line="400" w:lineRule="atLeast"/>
              <w:jc w:val="both"/>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商品混凝土</w:t>
            </w:r>
          </w:p>
        </w:tc>
        <w:tc>
          <w:tcPr>
            <w:tcW w:w="1134" w:type="dxa"/>
            <w:shd w:val="clear" w:color="auto" w:fill="auto"/>
            <w:vAlign w:val="center"/>
          </w:tcPr>
          <w:p w14:paraId="3CD95A1D">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C</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35p8</w:t>
            </w:r>
          </w:p>
        </w:tc>
        <w:tc>
          <w:tcPr>
            <w:tcW w:w="665" w:type="dxa"/>
            <w:shd w:val="clear" w:color="auto" w:fill="auto"/>
            <w:noWrap/>
            <w:vAlign w:val="center"/>
          </w:tcPr>
          <w:p w14:paraId="03906EC7">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m</w:t>
            </w:r>
            <w:r>
              <w:rPr>
                <w:rStyle w:val="18"/>
                <w:rFonts w:hint="default" w:ascii="仿宋_GB2312" w:hAnsi="仿宋_GB2312" w:eastAsia="仿宋_GB2312" w:cs="仿宋_GB2312"/>
                <w:color w:val="000000" w:themeColor="text1"/>
                <w:sz w:val="18"/>
                <w:szCs w:val="18"/>
                <w:highlight w:val="none"/>
                <w:lang w:bidi="ar"/>
                <w14:textFill>
                  <w14:solidFill>
                    <w14:schemeClr w14:val="tx1"/>
                  </w14:solidFill>
                </w14:textFill>
              </w:rPr>
              <w:t>3</w:t>
            </w:r>
          </w:p>
        </w:tc>
        <w:tc>
          <w:tcPr>
            <w:tcW w:w="1319" w:type="dxa"/>
            <w:shd w:val="clear" w:color="auto" w:fill="auto"/>
            <w:vAlign w:val="center"/>
          </w:tcPr>
          <w:p w14:paraId="1A00CA21">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验收过磅数量</w:t>
            </w:r>
          </w:p>
        </w:tc>
        <w:tc>
          <w:tcPr>
            <w:tcW w:w="850" w:type="dxa"/>
            <w:shd w:val="clear" w:color="auto" w:fill="auto"/>
            <w:noWrap/>
            <w:vAlign w:val="center"/>
          </w:tcPr>
          <w:p w14:paraId="0D2FAABE">
            <w:pPr>
              <w:widowControl/>
              <w:spacing w:line="400" w:lineRule="atLeas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9174.7</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122" w:type="dxa"/>
            <w:shd w:val="clear" w:color="auto" w:fill="auto"/>
            <w:noWrap/>
            <w:vAlign w:val="center"/>
          </w:tcPr>
          <w:p w14:paraId="63C2074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65546EE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69B050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29E31E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1BCBC7C5">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37F8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67" w:type="dxa"/>
            <w:shd w:val="clear" w:color="auto" w:fill="auto"/>
            <w:vAlign w:val="center"/>
          </w:tcPr>
          <w:p w14:paraId="1284F811">
            <w:pPr>
              <w:widowControl/>
              <w:spacing w:line="400" w:lineRule="atLeas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1361" w:type="dxa"/>
            <w:shd w:val="clear" w:color="auto" w:fill="auto"/>
            <w:vAlign w:val="center"/>
          </w:tcPr>
          <w:p w14:paraId="4B55E243">
            <w:pPr>
              <w:widowControl/>
              <w:spacing w:line="400" w:lineRule="atLeast"/>
              <w:jc w:val="both"/>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商品混凝土</w:t>
            </w:r>
          </w:p>
        </w:tc>
        <w:tc>
          <w:tcPr>
            <w:tcW w:w="1134" w:type="dxa"/>
            <w:shd w:val="clear" w:color="auto" w:fill="auto"/>
            <w:vAlign w:val="center"/>
          </w:tcPr>
          <w:p w14:paraId="55F99373">
            <w:pPr>
              <w:widowControl/>
              <w:spacing w:line="400" w:lineRule="atLeas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C4</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0</w:t>
            </w:r>
          </w:p>
        </w:tc>
        <w:tc>
          <w:tcPr>
            <w:tcW w:w="665" w:type="dxa"/>
            <w:shd w:val="clear" w:color="auto" w:fill="auto"/>
            <w:noWrap/>
            <w:vAlign w:val="center"/>
          </w:tcPr>
          <w:p w14:paraId="5B38D3FE">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m</w:t>
            </w:r>
            <w:r>
              <w:rPr>
                <w:rStyle w:val="18"/>
                <w:rFonts w:hint="default" w:ascii="仿宋_GB2312" w:hAnsi="仿宋_GB2312" w:eastAsia="仿宋_GB2312" w:cs="仿宋_GB2312"/>
                <w:color w:val="000000" w:themeColor="text1"/>
                <w:sz w:val="18"/>
                <w:szCs w:val="18"/>
                <w:highlight w:val="none"/>
                <w:lang w:bidi="ar"/>
                <w14:textFill>
                  <w14:solidFill>
                    <w14:schemeClr w14:val="tx1"/>
                  </w14:solidFill>
                </w14:textFill>
              </w:rPr>
              <w:t>3</w:t>
            </w:r>
          </w:p>
        </w:tc>
        <w:tc>
          <w:tcPr>
            <w:tcW w:w="1319" w:type="dxa"/>
            <w:shd w:val="clear" w:color="auto" w:fill="auto"/>
            <w:vAlign w:val="center"/>
          </w:tcPr>
          <w:p w14:paraId="1BB45597">
            <w:pPr>
              <w:widowControl/>
              <w:spacing w:line="400" w:lineRule="atLeast"/>
              <w:jc w:val="center"/>
              <w:textAlignment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验收过磅数量</w:t>
            </w:r>
          </w:p>
        </w:tc>
        <w:tc>
          <w:tcPr>
            <w:tcW w:w="850" w:type="dxa"/>
            <w:shd w:val="clear" w:color="auto" w:fill="auto"/>
            <w:noWrap/>
            <w:vAlign w:val="center"/>
          </w:tcPr>
          <w:p w14:paraId="10092164">
            <w:pPr>
              <w:widowControl/>
              <w:spacing w:line="400" w:lineRule="atLeas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146.4</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1122" w:type="dxa"/>
            <w:shd w:val="clear" w:color="auto" w:fill="auto"/>
            <w:noWrap/>
            <w:vAlign w:val="center"/>
          </w:tcPr>
          <w:p w14:paraId="20EAE7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5E0E2BB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1A12F0E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6CB67C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6FAAEE08">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4B92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7" w:type="dxa"/>
            <w:shd w:val="clear" w:color="auto" w:fill="auto"/>
            <w:vAlign w:val="center"/>
          </w:tcPr>
          <w:p w14:paraId="088E3954">
            <w:pPr>
              <w:widowControl/>
              <w:spacing w:line="400" w:lineRule="atLeas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1361" w:type="dxa"/>
            <w:shd w:val="clear" w:color="auto" w:fill="auto"/>
            <w:vAlign w:val="center"/>
          </w:tcPr>
          <w:p w14:paraId="72AC6872">
            <w:pPr>
              <w:widowControl/>
              <w:spacing w:line="400" w:lineRule="atLeast"/>
              <w:jc w:val="both"/>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商品混凝土</w:t>
            </w:r>
          </w:p>
        </w:tc>
        <w:tc>
          <w:tcPr>
            <w:tcW w:w="1134" w:type="dxa"/>
            <w:shd w:val="clear" w:color="auto" w:fill="auto"/>
            <w:vAlign w:val="center"/>
          </w:tcPr>
          <w:p w14:paraId="78665FD9">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C40p8</w:t>
            </w:r>
          </w:p>
        </w:tc>
        <w:tc>
          <w:tcPr>
            <w:tcW w:w="665" w:type="dxa"/>
            <w:shd w:val="clear" w:color="auto" w:fill="auto"/>
            <w:noWrap/>
            <w:vAlign w:val="center"/>
          </w:tcPr>
          <w:p w14:paraId="563C6A30">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m</w:t>
            </w:r>
            <w:r>
              <w:rPr>
                <w:rStyle w:val="18"/>
                <w:rFonts w:hint="default" w:ascii="仿宋_GB2312" w:hAnsi="仿宋_GB2312" w:eastAsia="仿宋_GB2312" w:cs="仿宋_GB2312"/>
                <w:color w:val="000000" w:themeColor="text1"/>
                <w:sz w:val="18"/>
                <w:szCs w:val="18"/>
                <w:highlight w:val="none"/>
                <w:lang w:bidi="ar"/>
                <w14:textFill>
                  <w14:solidFill>
                    <w14:schemeClr w14:val="tx1"/>
                  </w14:solidFill>
                </w14:textFill>
              </w:rPr>
              <w:t>3</w:t>
            </w:r>
          </w:p>
        </w:tc>
        <w:tc>
          <w:tcPr>
            <w:tcW w:w="1319" w:type="dxa"/>
            <w:shd w:val="clear" w:color="auto" w:fill="auto"/>
            <w:vAlign w:val="center"/>
          </w:tcPr>
          <w:p w14:paraId="3997EDEC">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验收过磅数量</w:t>
            </w:r>
          </w:p>
        </w:tc>
        <w:tc>
          <w:tcPr>
            <w:tcW w:w="850" w:type="dxa"/>
            <w:shd w:val="clear" w:color="auto" w:fill="auto"/>
            <w:noWrap/>
            <w:vAlign w:val="center"/>
          </w:tcPr>
          <w:p w14:paraId="1F508412">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173.09</w:t>
            </w:r>
          </w:p>
        </w:tc>
        <w:tc>
          <w:tcPr>
            <w:tcW w:w="1122" w:type="dxa"/>
            <w:shd w:val="clear" w:color="auto" w:fill="auto"/>
            <w:noWrap/>
            <w:vAlign w:val="center"/>
          </w:tcPr>
          <w:p w14:paraId="5478AC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3E4467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1" w:type="dxa"/>
            <w:shd w:val="clear" w:color="auto" w:fill="auto"/>
            <w:noWrap/>
            <w:vAlign w:val="center"/>
          </w:tcPr>
          <w:p w14:paraId="4A29F47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2C48A4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09" w:type="dxa"/>
            <w:shd w:val="clear" w:color="auto" w:fill="auto"/>
            <w:noWrap/>
            <w:vAlign w:val="center"/>
          </w:tcPr>
          <w:p w14:paraId="51C9A4A3">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0482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846" w:type="dxa"/>
            <w:gridSpan w:val="11"/>
            <w:shd w:val="clear" w:color="auto" w:fill="auto"/>
            <w:vAlign w:val="center"/>
          </w:tcPr>
          <w:p w14:paraId="3C05487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不含增值税总价（暂定）</w:t>
            </w:r>
            <w:r>
              <w:rPr>
                <w:rFonts w:hint="eastAsia" w:ascii="仿宋_GB2312" w:hAnsi="仿宋_GB2312" w:eastAsia="仿宋_GB2312" w:cs="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 ）；</w:t>
            </w:r>
          </w:p>
        </w:tc>
      </w:tr>
      <w:tr w14:paraId="3454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846" w:type="dxa"/>
            <w:gridSpan w:val="11"/>
            <w:shd w:val="clear" w:color="auto" w:fill="auto"/>
            <w:vAlign w:val="center"/>
          </w:tcPr>
          <w:p w14:paraId="6052FD6F">
            <w:pPr>
              <w:widowControl/>
              <w:jc w:val="left"/>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lang w:val="en-US" w:eastAsia="zh-CN"/>
                <w14:textFill>
                  <w14:solidFill>
                    <w14:schemeClr w14:val="tx1"/>
                  </w14:solidFill>
                </w14:textFill>
              </w:rPr>
              <w:t>税额合计(暂定）：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7B8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46" w:type="dxa"/>
            <w:gridSpan w:val="11"/>
            <w:shd w:val="clear" w:color="auto" w:fill="auto"/>
            <w:vAlign w:val="center"/>
          </w:tcPr>
          <w:p w14:paraId="66CA5973">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含增值税总价（暂定）</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58A6EE9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说明：乙方主要原材生产厂家、产地、品牌如下</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704"/>
        <w:gridCol w:w="1704"/>
        <w:gridCol w:w="1705"/>
        <w:gridCol w:w="1705"/>
      </w:tblGrid>
      <w:tr w14:paraId="08198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1B638BE8">
            <w:pPr>
              <w:jc w:val="center"/>
              <w:rPr>
                <w:rFonts w:ascii="仿宋" w:hAnsi="仿宋" w:eastAsia="仿宋"/>
                <w:b/>
                <w:bCs/>
                <w:sz w:val="24"/>
                <w:szCs w:val="24"/>
                <w:highlight w:val="none"/>
              </w:rPr>
            </w:pPr>
            <w:permStart w:id="10" w:edGrp="everyone"/>
            <w:r>
              <w:rPr>
                <w:rFonts w:hint="eastAsia" w:ascii="仿宋" w:hAnsi="仿宋" w:eastAsia="仿宋"/>
                <w:b/>
                <w:bCs/>
                <w:sz w:val="24"/>
                <w:szCs w:val="24"/>
                <w:highlight w:val="none"/>
              </w:rPr>
              <w:t>原材料名称</w:t>
            </w:r>
          </w:p>
        </w:tc>
        <w:tc>
          <w:tcPr>
            <w:tcW w:w="1812" w:type="dxa"/>
            <w:vAlign w:val="center"/>
          </w:tcPr>
          <w:p w14:paraId="599A49EF">
            <w:pPr>
              <w:jc w:val="center"/>
              <w:rPr>
                <w:rFonts w:ascii="仿宋" w:hAnsi="仿宋" w:eastAsia="仿宋"/>
                <w:b/>
                <w:bCs/>
                <w:sz w:val="24"/>
                <w:szCs w:val="24"/>
                <w:highlight w:val="none"/>
              </w:rPr>
            </w:pPr>
            <w:r>
              <w:rPr>
                <w:rFonts w:hint="eastAsia" w:ascii="仿宋" w:hAnsi="仿宋" w:eastAsia="仿宋"/>
                <w:b/>
                <w:bCs/>
                <w:sz w:val="24"/>
                <w:szCs w:val="24"/>
                <w:highlight w:val="none"/>
              </w:rPr>
              <w:t>生产厂家</w:t>
            </w:r>
          </w:p>
        </w:tc>
        <w:tc>
          <w:tcPr>
            <w:tcW w:w="1812" w:type="dxa"/>
            <w:vAlign w:val="center"/>
          </w:tcPr>
          <w:p w14:paraId="268C6BEC">
            <w:pPr>
              <w:jc w:val="center"/>
              <w:rPr>
                <w:rFonts w:ascii="仿宋" w:hAnsi="仿宋" w:eastAsia="仿宋"/>
                <w:b/>
                <w:bCs/>
                <w:sz w:val="24"/>
                <w:szCs w:val="24"/>
                <w:highlight w:val="none"/>
              </w:rPr>
            </w:pPr>
            <w:r>
              <w:rPr>
                <w:rFonts w:hint="eastAsia" w:ascii="仿宋" w:hAnsi="仿宋" w:eastAsia="仿宋"/>
                <w:b/>
                <w:bCs/>
                <w:sz w:val="24"/>
                <w:szCs w:val="24"/>
                <w:highlight w:val="none"/>
              </w:rPr>
              <w:t>产地</w:t>
            </w:r>
          </w:p>
        </w:tc>
        <w:tc>
          <w:tcPr>
            <w:tcW w:w="1812" w:type="dxa"/>
            <w:vAlign w:val="center"/>
          </w:tcPr>
          <w:p w14:paraId="4FEE8CCC">
            <w:pPr>
              <w:jc w:val="center"/>
              <w:rPr>
                <w:rFonts w:ascii="仿宋" w:hAnsi="仿宋" w:eastAsia="仿宋"/>
                <w:b/>
                <w:bCs/>
                <w:sz w:val="24"/>
                <w:szCs w:val="24"/>
                <w:highlight w:val="none"/>
              </w:rPr>
            </w:pPr>
            <w:r>
              <w:rPr>
                <w:rFonts w:hint="eastAsia" w:ascii="仿宋" w:hAnsi="仿宋" w:eastAsia="仿宋"/>
                <w:b/>
                <w:bCs/>
                <w:sz w:val="24"/>
                <w:szCs w:val="24"/>
                <w:highlight w:val="none"/>
              </w:rPr>
              <w:t>品牌</w:t>
            </w:r>
          </w:p>
        </w:tc>
        <w:tc>
          <w:tcPr>
            <w:tcW w:w="1812" w:type="dxa"/>
            <w:vAlign w:val="center"/>
          </w:tcPr>
          <w:p w14:paraId="58517EFB">
            <w:pPr>
              <w:jc w:val="center"/>
              <w:rPr>
                <w:rFonts w:ascii="仿宋" w:hAnsi="仿宋" w:eastAsia="仿宋"/>
                <w:b/>
                <w:bCs/>
                <w:sz w:val="24"/>
                <w:szCs w:val="24"/>
                <w:highlight w:val="none"/>
              </w:rPr>
            </w:pPr>
            <w:r>
              <w:rPr>
                <w:rFonts w:hint="eastAsia" w:ascii="仿宋" w:hAnsi="仿宋" w:eastAsia="仿宋"/>
                <w:b/>
                <w:bCs/>
                <w:sz w:val="24"/>
                <w:szCs w:val="24"/>
                <w:highlight w:val="none"/>
              </w:rPr>
              <w:t>备注</w:t>
            </w:r>
          </w:p>
        </w:tc>
      </w:tr>
      <w:tr w14:paraId="2022D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1177FCD5">
            <w:pPr>
              <w:jc w:val="center"/>
              <w:rPr>
                <w:rFonts w:ascii="仿宋" w:hAnsi="仿宋" w:eastAsia="仿宋"/>
                <w:sz w:val="24"/>
                <w:szCs w:val="24"/>
                <w:highlight w:val="none"/>
              </w:rPr>
            </w:pPr>
            <w:r>
              <w:rPr>
                <w:rFonts w:hint="eastAsia" w:ascii="仿宋" w:hAnsi="仿宋" w:eastAsia="仿宋"/>
                <w:sz w:val="24"/>
                <w:szCs w:val="24"/>
                <w:highlight w:val="none"/>
              </w:rPr>
              <w:t>水泥</w:t>
            </w:r>
          </w:p>
        </w:tc>
        <w:tc>
          <w:tcPr>
            <w:tcW w:w="1812" w:type="dxa"/>
            <w:vAlign w:val="center"/>
          </w:tcPr>
          <w:p w14:paraId="35377987">
            <w:pPr>
              <w:jc w:val="center"/>
              <w:rPr>
                <w:rFonts w:ascii="仿宋" w:hAnsi="仿宋" w:eastAsia="仿宋"/>
                <w:sz w:val="24"/>
                <w:szCs w:val="24"/>
                <w:highlight w:val="none"/>
              </w:rPr>
            </w:pPr>
          </w:p>
        </w:tc>
        <w:tc>
          <w:tcPr>
            <w:tcW w:w="1812" w:type="dxa"/>
            <w:vAlign w:val="center"/>
          </w:tcPr>
          <w:p w14:paraId="5CA74C4E">
            <w:pPr>
              <w:jc w:val="center"/>
              <w:rPr>
                <w:rFonts w:ascii="仿宋" w:hAnsi="仿宋" w:eastAsia="仿宋"/>
                <w:sz w:val="24"/>
                <w:szCs w:val="24"/>
                <w:highlight w:val="none"/>
              </w:rPr>
            </w:pPr>
          </w:p>
        </w:tc>
        <w:tc>
          <w:tcPr>
            <w:tcW w:w="1812" w:type="dxa"/>
            <w:vAlign w:val="center"/>
          </w:tcPr>
          <w:p w14:paraId="3A6D50FA">
            <w:pPr>
              <w:jc w:val="center"/>
              <w:rPr>
                <w:rFonts w:ascii="仿宋" w:hAnsi="仿宋" w:eastAsia="仿宋"/>
                <w:sz w:val="24"/>
                <w:szCs w:val="24"/>
                <w:highlight w:val="none"/>
              </w:rPr>
            </w:pPr>
          </w:p>
        </w:tc>
        <w:tc>
          <w:tcPr>
            <w:tcW w:w="1812" w:type="dxa"/>
            <w:vAlign w:val="center"/>
          </w:tcPr>
          <w:p w14:paraId="260DE854">
            <w:pPr>
              <w:jc w:val="center"/>
              <w:rPr>
                <w:rFonts w:ascii="仿宋" w:hAnsi="仿宋" w:eastAsia="仿宋"/>
                <w:sz w:val="24"/>
                <w:szCs w:val="24"/>
                <w:highlight w:val="none"/>
              </w:rPr>
            </w:pPr>
          </w:p>
        </w:tc>
      </w:tr>
      <w:tr w14:paraId="551D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5422DCBE">
            <w:pPr>
              <w:jc w:val="center"/>
              <w:rPr>
                <w:rFonts w:ascii="仿宋" w:hAnsi="仿宋" w:eastAsia="仿宋"/>
                <w:sz w:val="24"/>
                <w:szCs w:val="24"/>
                <w:highlight w:val="none"/>
              </w:rPr>
            </w:pPr>
            <w:r>
              <w:rPr>
                <w:rFonts w:hint="eastAsia" w:ascii="仿宋" w:hAnsi="仿宋" w:eastAsia="仿宋"/>
                <w:sz w:val="24"/>
                <w:szCs w:val="24"/>
                <w:highlight w:val="none"/>
              </w:rPr>
              <w:t>外加剂</w:t>
            </w:r>
          </w:p>
        </w:tc>
        <w:tc>
          <w:tcPr>
            <w:tcW w:w="1812" w:type="dxa"/>
            <w:vAlign w:val="center"/>
          </w:tcPr>
          <w:p w14:paraId="3269780F">
            <w:pPr>
              <w:jc w:val="center"/>
              <w:rPr>
                <w:rFonts w:ascii="仿宋" w:hAnsi="仿宋" w:eastAsia="仿宋"/>
                <w:sz w:val="24"/>
                <w:szCs w:val="24"/>
                <w:highlight w:val="none"/>
              </w:rPr>
            </w:pPr>
          </w:p>
        </w:tc>
        <w:tc>
          <w:tcPr>
            <w:tcW w:w="1812" w:type="dxa"/>
            <w:vAlign w:val="center"/>
          </w:tcPr>
          <w:p w14:paraId="7C765900">
            <w:pPr>
              <w:jc w:val="center"/>
              <w:rPr>
                <w:rFonts w:ascii="仿宋" w:hAnsi="仿宋" w:eastAsia="仿宋"/>
                <w:sz w:val="24"/>
                <w:szCs w:val="24"/>
                <w:highlight w:val="none"/>
              </w:rPr>
            </w:pPr>
          </w:p>
        </w:tc>
        <w:tc>
          <w:tcPr>
            <w:tcW w:w="1812" w:type="dxa"/>
            <w:vAlign w:val="center"/>
          </w:tcPr>
          <w:p w14:paraId="37BF4091">
            <w:pPr>
              <w:jc w:val="center"/>
              <w:rPr>
                <w:rFonts w:ascii="仿宋" w:hAnsi="仿宋" w:eastAsia="仿宋"/>
                <w:sz w:val="24"/>
                <w:szCs w:val="24"/>
                <w:highlight w:val="none"/>
              </w:rPr>
            </w:pPr>
          </w:p>
        </w:tc>
        <w:tc>
          <w:tcPr>
            <w:tcW w:w="1812" w:type="dxa"/>
            <w:vAlign w:val="center"/>
          </w:tcPr>
          <w:p w14:paraId="6BC4860D">
            <w:pPr>
              <w:jc w:val="center"/>
              <w:rPr>
                <w:rFonts w:ascii="仿宋" w:hAnsi="仿宋" w:eastAsia="仿宋"/>
                <w:sz w:val="24"/>
                <w:szCs w:val="24"/>
                <w:highlight w:val="none"/>
              </w:rPr>
            </w:pPr>
          </w:p>
        </w:tc>
      </w:tr>
      <w:tr w14:paraId="4DEE3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446F8DF0">
            <w:pPr>
              <w:jc w:val="center"/>
              <w:rPr>
                <w:rFonts w:ascii="仿宋" w:hAnsi="仿宋" w:eastAsia="仿宋"/>
                <w:sz w:val="24"/>
                <w:szCs w:val="24"/>
                <w:highlight w:val="none"/>
              </w:rPr>
            </w:pPr>
            <w:r>
              <w:rPr>
                <w:rFonts w:hint="eastAsia" w:ascii="仿宋" w:hAnsi="仿宋" w:eastAsia="仿宋"/>
                <w:sz w:val="24"/>
                <w:szCs w:val="24"/>
                <w:highlight w:val="none"/>
              </w:rPr>
              <w:t>中砂</w:t>
            </w:r>
          </w:p>
        </w:tc>
        <w:tc>
          <w:tcPr>
            <w:tcW w:w="1812" w:type="dxa"/>
            <w:vAlign w:val="center"/>
          </w:tcPr>
          <w:p w14:paraId="4A80498A">
            <w:pPr>
              <w:jc w:val="center"/>
              <w:rPr>
                <w:rFonts w:ascii="仿宋" w:hAnsi="仿宋" w:eastAsia="仿宋"/>
                <w:sz w:val="24"/>
                <w:szCs w:val="24"/>
                <w:highlight w:val="none"/>
              </w:rPr>
            </w:pPr>
          </w:p>
        </w:tc>
        <w:tc>
          <w:tcPr>
            <w:tcW w:w="1812" w:type="dxa"/>
            <w:vAlign w:val="center"/>
          </w:tcPr>
          <w:p w14:paraId="0DA73581">
            <w:pPr>
              <w:jc w:val="center"/>
              <w:rPr>
                <w:rFonts w:ascii="仿宋" w:hAnsi="仿宋" w:eastAsia="仿宋"/>
                <w:sz w:val="24"/>
                <w:szCs w:val="24"/>
                <w:highlight w:val="none"/>
              </w:rPr>
            </w:pPr>
          </w:p>
        </w:tc>
        <w:tc>
          <w:tcPr>
            <w:tcW w:w="1812" w:type="dxa"/>
            <w:vAlign w:val="center"/>
          </w:tcPr>
          <w:p w14:paraId="7CCEE039">
            <w:pPr>
              <w:jc w:val="center"/>
              <w:rPr>
                <w:rFonts w:ascii="仿宋" w:hAnsi="仿宋" w:eastAsia="仿宋"/>
                <w:sz w:val="24"/>
                <w:szCs w:val="24"/>
                <w:highlight w:val="none"/>
              </w:rPr>
            </w:pPr>
          </w:p>
        </w:tc>
        <w:tc>
          <w:tcPr>
            <w:tcW w:w="1812" w:type="dxa"/>
            <w:vAlign w:val="center"/>
          </w:tcPr>
          <w:p w14:paraId="7F0344BB">
            <w:pPr>
              <w:jc w:val="center"/>
              <w:rPr>
                <w:rFonts w:ascii="仿宋" w:hAnsi="仿宋" w:eastAsia="仿宋"/>
                <w:sz w:val="24"/>
                <w:szCs w:val="24"/>
                <w:highlight w:val="none"/>
              </w:rPr>
            </w:pPr>
          </w:p>
        </w:tc>
      </w:tr>
      <w:tr w14:paraId="3FFEB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7C57534F">
            <w:pPr>
              <w:jc w:val="center"/>
              <w:rPr>
                <w:rFonts w:ascii="仿宋" w:hAnsi="仿宋" w:eastAsia="仿宋"/>
                <w:sz w:val="24"/>
                <w:szCs w:val="24"/>
                <w:highlight w:val="none"/>
              </w:rPr>
            </w:pPr>
            <w:r>
              <w:rPr>
                <w:rFonts w:hint="eastAsia" w:ascii="仿宋" w:hAnsi="仿宋" w:eastAsia="仿宋"/>
                <w:sz w:val="24"/>
                <w:szCs w:val="24"/>
                <w:highlight w:val="none"/>
              </w:rPr>
              <w:t>碎石</w:t>
            </w:r>
          </w:p>
        </w:tc>
        <w:tc>
          <w:tcPr>
            <w:tcW w:w="1812" w:type="dxa"/>
            <w:vAlign w:val="center"/>
          </w:tcPr>
          <w:p w14:paraId="1C870775">
            <w:pPr>
              <w:jc w:val="center"/>
              <w:rPr>
                <w:rFonts w:ascii="仿宋" w:hAnsi="仿宋" w:eastAsia="仿宋"/>
                <w:sz w:val="24"/>
                <w:szCs w:val="24"/>
                <w:highlight w:val="none"/>
              </w:rPr>
            </w:pPr>
          </w:p>
        </w:tc>
        <w:tc>
          <w:tcPr>
            <w:tcW w:w="1812" w:type="dxa"/>
            <w:vAlign w:val="center"/>
          </w:tcPr>
          <w:p w14:paraId="689D5F5F">
            <w:pPr>
              <w:jc w:val="center"/>
              <w:rPr>
                <w:rFonts w:ascii="仿宋" w:hAnsi="仿宋" w:eastAsia="仿宋"/>
                <w:sz w:val="24"/>
                <w:szCs w:val="24"/>
                <w:highlight w:val="none"/>
              </w:rPr>
            </w:pPr>
          </w:p>
        </w:tc>
        <w:tc>
          <w:tcPr>
            <w:tcW w:w="1812" w:type="dxa"/>
            <w:vAlign w:val="center"/>
          </w:tcPr>
          <w:p w14:paraId="2FE058F8">
            <w:pPr>
              <w:jc w:val="center"/>
              <w:rPr>
                <w:rFonts w:ascii="仿宋" w:hAnsi="仿宋" w:eastAsia="仿宋"/>
                <w:sz w:val="24"/>
                <w:szCs w:val="24"/>
                <w:highlight w:val="none"/>
              </w:rPr>
            </w:pPr>
          </w:p>
        </w:tc>
        <w:tc>
          <w:tcPr>
            <w:tcW w:w="1812" w:type="dxa"/>
            <w:vAlign w:val="center"/>
          </w:tcPr>
          <w:p w14:paraId="4C544823">
            <w:pPr>
              <w:jc w:val="center"/>
              <w:rPr>
                <w:rFonts w:ascii="仿宋" w:hAnsi="仿宋" w:eastAsia="仿宋"/>
                <w:sz w:val="24"/>
                <w:szCs w:val="24"/>
                <w:highlight w:val="none"/>
              </w:rPr>
            </w:pPr>
          </w:p>
        </w:tc>
      </w:tr>
      <w:tr w14:paraId="26FA3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4BC71F60">
            <w:pPr>
              <w:jc w:val="center"/>
              <w:rPr>
                <w:rFonts w:ascii="仿宋" w:hAnsi="仿宋" w:eastAsia="仿宋"/>
                <w:sz w:val="24"/>
                <w:szCs w:val="24"/>
                <w:highlight w:val="none"/>
              </w:rPr>
            </w:pPr>
            <w:r>
              <w:rPr>
                <w:rFonts w:ascii="仿宋" w:hAnsi="仿宋" w:eastAsia="仿宋"/>
                <w:sz w:val="24"/>
                <w:szCs w:val="24"/>
                <w:highlight w:val="none"/>
              </w:rPr>
              <w:t>…</w:t>
            </w:r>
          </w:p>
        </w:tc>
        <w:tc>
          <w:tcPr>
            <w:tcW w:w="1812" w:type="dxa"/>
            <w:vAlign w:val="center"/>
          </w:tcPr>
          <w:p w14:paraId="78B2AA27">
            <w:pPr>
              <w:jc w:val="center"/>
              <w:rPr>
                <w:rFonts w:ascii="仿宋" w:hAnsi="仿宋" w:eastAsia="仿宋"/>
                <w:sz w:val="24"/>
                <w:szCs w:val="24"/>
                <w:highlight w:val="none"/>
              </w:rPr>
            </w:pPr>
          </w:p>
        </w:tc>
        <w:tc>
          <w:tcPr>
            <w:tcW w:w="1812" w:type="dxa"/>
            <w:vAlign w:val="center"/>
          </w:tcPr>
          <w:p w14:paraId="58E9ACE1">
            <w:pPr>
              <w:jc w:val="center"/>
              <w:rPr>
                <w:rFonts w:ascii="仿宋" w:hAnsi="仿宋" w:eastAsia="仿宋"/>
                <w:sz w:val="24"/>
                <w:szCs w:val="24"/>
                <w:highlight w:val="none"/>
              </w:rPr>
            </w:pPr>
          </w:p>
        </w:tc>
        <w:tc>
          <w:tcPr>
            <w:tcW w:w="1812" w:type="dxa"/>
            <w:vAlign w:val="center"/>
          </w:tcPr>
          <w:p w14:paraId="62690B63">
            <w:pPr>
              <w:jc w:val="center"/>
              <w:rPr>
                <w:rFonts w:ascii="仿宋" w:hAnsi="仿宋" w:eastAsia="仿宋"/>
                <w:sz w:val="24"/>
                <w:szCs w:val="24"/>
                <w:highlight w:val="none"/>
              </w:rPr>
            </w:pPr>
          </w:p>
        </w:tc>
        <w:tc>
          <w:tcPr>
            <w:tcW w:w="1812" w:type="dxa"/>
            <w:vAlign w:val="center"/>
          </w:tcPr>
          <w:p w14:paraId="3586ECFF">
            <w:pPr>
              <w:jc w:val="center"/>
              <w:rPr>
                <w:rFonts w:ascii="仿宋" w:hAnsi="仿宋" w:eastAsia="仿宋"/>
                <w:sz w:val="24"/>
                <w:szCs w:val="24"/>
                <w:highlight w:val="none"/>
              </w:rPr>
            </w:pPr>
          </w:p>
        </w:tc>
      </w:tr>
      <w:permEnd w:id="10"/>
    </w:tbl>
    <w:p w14:paraId="5A440E67">
      <w:pPr>
        <w:pStyle w:val="17"/>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1"/>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条</w:t>
      </w:r>
    </w:p>
    <w:p w14:paraId="5E14DDDB">
      <w:pPr>
        <w:pStyle w:val="17"/>
        <w:numPr>
          <w:ilvl w:val="255"/>
          <w:numId w:val="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1.1本合同为固定单价合同；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通泵洗泵用水（热水）费、卸货前损耗费、用于工程前所需进行的检验试验费、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、码放费、现场倒运费用、保险费、仓储费、驻厂监造费、运输造成的道路污染的清理及维修费用、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资料费、财务费、机械设备费、生产加工费、电费、水费、场地建设费、场地使用费、环境保护费、人工费、维修费、配合比设计及验证费、安全文明施工费、食宿费、措施费、技术指导服务费、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2694CCE4">
      <w:pPr>
        <w:pStyle w:val="17"/>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1.2本合同为组合单价合同；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本合同不适用本条款</w:t>
      </w:r>
      <w:r>
        <w:rPr>
          <w:rFonts w:hint="eastAsia" w:ascii="仿宋_GB2312" w:hAnsi="仿宋_GB2312" w:eastAsia="仿宋_GB2312" w:cs="仿宋_GB2312"/>
          <w:color w:val="000000" w:themeColor="text1"/>
          <w:highlight w:val="none"/>
          <w14:textFill>
            <w14:solidFill>
              <w14:schemeClr w14:val="tx1"/>
            </w14:solidFill>
          </w14:textFill>
        </w:rPr>
        <w:t>。</w:t>
      </w:r>
    </w:p>
    <w:p w14:paraId="1238CC60">
      <w:pPr>
        <w:pStyle w:val="17"/>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1.3本合同为浮动单价合同；</w:t>
      </w:r>
    </w:p>
    <w:p w14:paraId="63DE2BD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1.3.1结算单价：以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 w:edGrp="everyone"/>
      <w:r>
        <w:rPr>
          <w:rFonts w:hint="eastAsia" w:ascii="仿宋_GB2312" w:hAnsi="仿宋_GB2312" w:eastAsia="仿宋_GB2312" w:cs="仿宋_GB2312"/>
          <w:color w:val="000000" w:themeColor="text1"/>
          <w:highlight w:val="none"/>
          <w:u w:val="single"/>
          <w14:textFill>
            <w14:solidFill>
              <w14:schemeClr w14:val="tx1"/>
            </w14:solidFill>
          </w14:textFill>
        </w:rPr>
        <w:t>供货</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当</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期  </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市建筑工程信息价》</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ermEnd w:id="12"/>
      <w:r>
        <w:rPr>
          <w:rFonts w:hint="eastAsia" w:ascii="仿宋_GB2312" w:hAnsi="仿宋_GB2312" w:eastAsia="仿宋_GB2312" w:cs="仿宋_GB2312"/>
          <w:color w:val="000000" w:themeColor="text1"/>
          <w:highlight w:val="none"/>
          <w14:textFill>
            <w14:solidFill>
              <w14:schemeClr w14:val="tx1"/>
            </w14:solidFill>
          </w14:textFill>
        </w:rPr>
        <w:t>中对应标号混凝土</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不含增值税信息价 </w:t>
      </w:r>
      <w:r>
        <w:rPr>
          <w:rFonts w:hint="eastAsia" w:ascii="仿宋_GB2312" w:hAnsi="仿宋_GB2312" w:eastAsia="仿宋_GB2312" w:cs="仿宋_GB2312"/>
          <w:color w:val="000000" w:themeColor="text1"/>
          <w:highlight w:val="none"/>
          <w14:textFill>
            <w14:solidFill>
              <w14:schemeClr w14:val="tx1"/>
            </w14:solidFill>
          </w14:textFill>
        </w:rPr>
        <w:t>下浮</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ermEnd w:id="13"/>
      <w:r>
        <w:rPr>
          <w:rFonts w:hint="eastAsia" w:ascii="仿宋_GB2312" w:hAnsi="仿宋_GB2312" w:eastAsia="仿宋_GB2312" w:cs="仿宋_GB2312"/>
          <w:color w:val="000000" w:themeColor="text1"/>
          <w:highlight w:val="none"/>
          <w14:textFill>
            <w14:solidFill>
              <w14:schemeClr w14:val="tx1"/>
            </w14:solidFill>
          </w14:textFill>
        </w:rPr>
        <w:t>作为结算单价，</w:t>
      </w:r>
      <w:permStart w:id="14" w:edGrp="everyone"/>
      <w:r>
        <w:rPr>
          <w:rFonts w:hint="eastAsia" w:ascii="仿宋_GB2312" w:hAnsi="仿宋_GB2312" w:eastAsia="仿宋_GB2312" w:cs="仿宋_GB2312"/>
          <w:color w:val="000000" w:themeColor="text1"/>
          <w:highlight w:val="none"/>
          <w14:textFill>
            <w14:solidFill>
              <w14:schemeClr w14:val="tx1"/>
            </w14:solidFill>
          </w14:textFill>
        </w:rPr>
        <w:t>下浮后单价</w:t>
      </w:r>
      <w:r>
        <w:rPr>
          <w:rFonts w:hint="eastAsia" w:ascii="仿宋_GB2312" w:hAnsi="仿宋_GB2312" w:eastAsia="仿宋_GB2312" w:cs="仿宋_GB2312"/>
          <w:color w:val="000000" w:themeColor="text1"/>
          <w:highlight w:val="none"/>
          <w:u w:val="single"/>
          <w14:textFill>
            <w14:solidFill>
              <w14:schemeClr w14:val="tx1"/>
            </w14:solidFill>
          </w14:textFill>
        </w:rPr>
        <w:t>含泵送、不含增值税（</w:t>
      </w:r>
      <w:r>
        <w:rPr>
          <w:rFonts w:hint="eastAsia" w:ascii="仿宋_GB2312" w:hAnsi="仿宋_GB2312" w:eastAsia="仿宋_GB2312" w:cs="仿宋_GB2312"/>
          <w:color w:val="000000" w:themeColor="text1"/>
          <w:highlight w:val="none"/>
          <w14:textFill>
            <w14:solidFill>
              <w14:schemeClr w14:val="tx1"/>
            </w14:solidFill>
          </w14:textFill>
        </w:rPr>
        <w:t>税率为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ermEnd w:id="14"/>
      <w:r>
        <w:rPr>
          <w:rFonts w:hint="eastAsia" w:ascii="仿宋_GB2312" w:hAnsi="仿宋_GB2312" w:eastAsia="仿宋_GB2312" w:cs="仿宋_GB2312"/>
          <w:color w:val="000000" w:themeColor="text1"/>
          <w:highlight w:val="none"/>
          <w14:textFill>
            <w14:solidFill>
              <w14:schemeClr w14:val="tx1"/>
            </w14:solidFill>
          </w14:textFill>
        </w:rPr>
        <w:t>。特殊加价部份是在同标号商品砼基础上加对应的单价。</w:t>
      </w:r>
    </w:p>
    <w:p w14:paraId="44FA224C">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1.3.2单价包干内容：</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泵送费、通泵洗泵用水（热水）费、卸货前损耗费、用于工程前所需进行的检验试验费、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、码放费、现场倒运费用、保险费、仓储费、驻厂监造费、运输造成的道路污染的清理及维修费用、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资料费、财务费、机械设备费、生产加工费、电费、水费、场地建设费、场地使用费、环境保护费、人工费、维修费、配合比设计及验证费、安全文明施工费、食宿费、措施费、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6BB259C5">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1.4其他：</w:t>
      </w:r>
      <w:permStart w:id="1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w:t>
      </w:r>
    </w:p>
    <w:p w14:paraId="506FDEF6">
      <w:pPr>
        <w:pStyle w:val="17"/>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 xml:space="preserve">合同工程量： </w:t>
      </w:r>
    </w:p>
    <w:p w14:paraId="7E3847D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乙方不得以合同暂定数量或合同暂定总金额为依据要求甲方支付任何款项，否则按合同所约定的第二部分第二条违约条款承担违约责任</w:t>
      </w:r>
      <w:r>
        <w:rPr>
          <w:rFonts w:hint="eastAsia" w:ascii="仿宋_GB2312" w:hAnsi="仿宋_GB2312" w:eastAsia="仿宋_GB2312" w:cs="仿宋_GB2312"/>
          <w:color w:val="000000" w:themeColor="text1"/>
          <w:highlight w:val="none"/>
          <w14:textFill>
            <w14:solidFill>
              <w14:schemeClr w14:val="tx1"/>
            </w14:solidFill>
          </w14:textFill>
        </w:rPr>
        <w:t>。</w:t>
      </w:r>
    </w:p>
    <w:p w14:paraId="16884A29">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6980"/>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7"/>
    </w:p>
    <w:p w14:paraId="29E87AF8">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78F66019">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530B69B7">
      <w:pPr>
        <w:pStyle w:val="17"/>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744FB378">
      <w:pPr>
        <w:pStyle w:val="17"/>
        <w:spacing w:line="400" w:lineRule="atLeast"/>
        <w:ind w:firstLine="480" w:firstLineChars="20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1.3其他：</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permEnd w:id="17"/>
    <w:p w14:paraId="50640360">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1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照第二部分第二条违约条款承担相应违约责任。乙方不得因甲方更改需用计划及要求乙方延期交货而向甲方提出索赔。根据工程项目施工需要，甲方对所采购物资的数量和送货时间如有变更，及时书面通知乙方，乙方按变更后的数量和送货时间供货，新增或减少的物资价格不变。</w:t>
      </w:r>
      <w:r>
        <w:rPr>
          <w:rFonts w:hint="eastAsia" w:ascii="仿宋_GB2312" w:hAnsi="仿宋_GB2312" w:eastAsia="仿宋_GB2312" w:cs="仿宋_GB2312"/>
          <w:color w:val="000000" w:themeColor="text1"/>
          <w:highlight w:val="none"/>
          <w14:textFill>
            <w14:solidFill>
              <w14:schemeClr w14:val="tx1"/>
            </w14:solidFill>
          </w14:textFill>
        </w:rPr>
        <w:t>乙方承诺供应甲方零星混凝土，满足现场生产建设需求。乙方保证混凝土连续浇筑，间隔时间不能超过</w:t>
      </w:r>
      <w:permStart w:id="1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0.5</w:t>
      </w:r>
      <w:permEnd w:id="19"/>
      <w:r>
        <w:rPr>
          <w:rFonts w:hint="eastAsia" w:ascii="仿宋_GB2312" w:hAnsi="仿宋_GB2312" w:eastAsia="仿宋_GB2312" w:cs="仿宋_GB2312"/>
          <w:color w:val="000000" w:themeColor="text1"/>
          <w:highlight w:val="none"/>
          <w14:textFill>
            <w14:solidFill>
              <w14:schemeClr w14:val="tx1"/>
            </w14:solidFill>
          </w14:textFill>
        </w:rPr>
        <w:t>小时。如因乙方原因造成混凝土冷缝等质量问题，乙方承担由此导致的拆除、返工、修复及业主处罚损失等相关费用。</w:t>
      </w:r>
    </w:p>
    <w:p w14:paraId="16F3C6F7">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3、乙方实际货物生产地点：</w:t>
      </w:r>
      <w:permStart w:id="2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20"/>
      <w:r>
        <w:rPr>
          <w:rFonts w:hint="eastAsia" w:ascii="仿宋_GB2312" w:hAnsi="仿宋_GB2312" w:eastAsia="仿宋_GB2312" w:cs="仿宋_GB2312"/>
          <w:b/>
          <w:bCs/>
          <w:color w:val="000000" w:themeColor="text1"/>
          <w:highlight w:val="none"/>
          <w14:textFill>
            <w14:solidFill>
              <w14:schemeClr w14:val="tx1"/>
            </w14:solidFill>
          </w14:textFill>
        </w:rPr>
        <w:t>货物送达地点：</w:t>
      </w:r>
      <w:permStart w:id="2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4"/>
          <w:szCs w:val="24"/>
          <w:highlight w:val="none"/>
          <w:u w:val="single"/>
          <w:lang w:val="en-US" w:eastAsia="zh-CN"/>
          <w14:textFill>
            <w14:solidFill>
              <w14:schemeClr w14:val="tx1"/>
            </w14:solidFill>
          </w14:textFill>
        </w:rPr>
        <w:t>山东省日照市山海路以南，临沂路以东，日照市公共实训基地项目工地指定位置</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21"/>
      <w:r>
        <w:rPr>
          <w:rFonts w:hint="eastAsia" w:ascii="仿宋_GB2312" w:hAnsi="仿宋_GB2312" w:eastAsia="仿宋_GB2312" w:cs="仿宋_GB2312"/>
          <w:b/>
          <w:bCs/>
          <w:color w:val="000000" w:themeColor="text1"/>
          <w:highlight w:val="none"/>
          <w14:textFill>
            <w14:solidFill>
              <w14:schemeClr w14:val="tx1"/>
            </w14:solidFill>
          </w14:textFill>
        </w:rPr>
        <w:t>。</w:t>
      </w:r>
    </w:p>
    <w:p w14:paraId="1AF157AD">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2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商品混凝土</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highlight w:val="none"/>
          <w14:textFill>
            <w14:solidFill>
              <w14:schemeClr w14:val="tx1"/>
            </w14:solidFill>
          </w14:textFill>
        </w:rPr>
        <w:t>。</w:t>
      </w:r>
    </w:p>
    <w:p w14:paraId="2149E6FC">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066212F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王航</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17734271423</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337963325@qq.com</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6AD5689F">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6"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1AFE7239">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8"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8"/>
      <w:r>
        <w:rPr>
          <w:rFonts w:hint="eastAsia" w:ascii="仿宋_GB2312" w:hAnsi="仿宋_GB2312" w:eastAsia="仿宋_GB2312" w:cs="仿宋_GB2312"/>
          <w:color w:val="000000" w:themeColor="text1"/>
          <w:highlight w:val="none"/>
          <w14:textFill>
            <w14:solidFill>
              <w14:schemeClr w14:val="tx1"/>
            </w14:solidFill>
          </w14:textFill>
        </w:rPr>
        <w:t>。</w:t>
      </w:r>
    </w:p>
    <w:p w14:paraId="586375F0">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2DEBA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6.1乙方须组织专用的运输工具将货物运至甲方指定的地点（工程所在地或甲方指定的其他地点），并应当和甲方共同协商，合理安排送货路线、停车地点。</w:t>
      </w:r>
    </w:p>
    <w:p w14:paraId="799EF94C">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运送过程中，运送车辆应保持产品拌和物的均匀性、和易性，不得产生离析、分层、泌水现象，否则将给予退回。</w:t>
      </w:r>
    </w:p>
    <w:p w14:paraId="45927E2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产品从搅拌站到工地的运输计划要考虑到从产品搅拌开始到运送到工地的时间、工地的输送设备、气候条件等。车辆调度计划应考虑到浇筑场所运输和停留时间。产品从搅拌站卸出后到浇筑完毕的延续时间不得超过</w:t>
      </w:r>
      <w:permStart w:id="29" w:edGrp="everyone"/>
      <w:r>
        <w:rPr>
          <w:rFonts w:hint="eastAsia" w:ascii="仿宋_GB2312" w:hAnsi="仿宋_GB2312" w:eastAsia="仿宋_GB2312" w:cs="仿宋_GB2312"/>
          <w:color w:val="000000" w:themeColor="text1"/>
          <w:highlight w:val="none"/>
          <w14:textFill>
            <w14:solidFill>
              <w14:schemeClr w14:val="tx1"/>
            </w14:solidFill>
          </w14:textFill>
        </w:rPr>
        <w:t>180</w:t>
      </w:r>
      <w:permEnd w:id="29"/>
      <w:r>
        <w:rPr>
          <w:rFonts w:hint="eastAsia" w:ascii="仿宋_GB2312" w:hAnsi="仿宋_GB2312" w:eastAsia="仿宋_GB2312" w:cs="仿宋_GB2312"/>
          <w:color w:val="000000" w:themeColor="text1"/>
          <w:highlight w:val="none"/>
          <w14:textFill>
            <w14:solidFill>
              <w14:schemeClr w14:val="tx1"/>
            </w14:solidFill>
          </w14:textFill>
        </w:rPr>
        <w:t>分钟，超过</w:t>
      </w:r>
      <w:permStart w:id="30" w:edGrp="everyone"/>
      <w:r>
        <w:rPr>
          <w:rFonts w:hint="eastAsia" w:ascii="仿宋_GB2312" w:hAnsi="仿宋_GB2312" w:eastAsia="仿宋_GB2312" w:cs="仿宋_GB2312"/>
          <w:color w:val="000000" w:themeColor="text1"/>
          <w:highlight w:val="none"/>
          <w14:textFill>
            <w14:solidFill>
              <w14:schemeClr w14:val="tx1"/>
            </w14:solidFill>
          </w14:textFill>
        </w:rPr>
        <w:t>180</w:t>
      </w:r>
      <w:permEnd w:id="30"/>
      <w:r>
        <w:rPr>
          <w:rFonts w:hint="eastAsia" w:ascii="仿宋_GB2312" w:hAnsi="仿宋_GB2312" w:eastAsia="仿宋_GB2312" w:cs="仿宋_GB2312"/>
          <w:color w:val="000000" w:themeColor="text1"/>
          <w:highlight w:val="none"/>
          <w14:textFill>
            <w14:solidFill>
              <w14:schemeClr w14:val="tx1"/>
            </w14:solidFill>
          </w14:textFill>
        </w:rPr>
        <w:t>分钟后不得使用，因</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方原因所造成损失由</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方承担。</w:t>
      </w:r>
    </w:p>
    <w:p w14:paraId="26C6AD5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运输产品的容器和管道在冬季应有保温措施，夏季气温超过35℃时，应有隔热措施。</w:t>
      </w:r>
    </w:p>
    <w:p w14:paraId="07F21EB6">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6.5</w:t>
      </w:r>
      <w:r>
        <w:rPr>
          <w:rFonts w:hint="eastAsia" w:ascii="仿宋_GB2312" w:hAnsi="仿宋_GB2312" w:eastAsia="仿宋_GB2312" w:cs="仿宋_GB2312"/>
          <w:color w:val="000000" w:themeColor="text1"/>
          <w:highlight w:val="none"/>
          <w14:textFill>
            <w14:solidFill>
              <w14:schemeClr w14:val="tx1"/>
            </w14:solidFill>
          </w14:textFill>
        </w:rPr>
        <w:t>不论何时何地均严禁加水，即：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方司机及其他人员在运送产品过程中严禁加水，并且还应拒绝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方操作人员可能因工作不便而自行加水，并且及时将情况报</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方工地负责人。</w:t>
      </w:r>
    </w:p>
    <w:p w14:paraId="0584F5B6">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6.6</w:t>
      </w:r>
      <w:r>
        <w:rPr>
          <w:rFonts w:hint="eastAsia" w:ascii="仿宋_GB2312" w:hAnsi="仿宋_GB2312" w:eastAsia="仿宋_GB2312" w:cs="仿宋_GB2312"/>
          <w:color w:val="000000" w:themeColor="text1"/>
          <w:highlight w:val="none"/>
          <w14:textFill>
            <w14:solidFill>
              <w14:schemeClr w14:val="tx1"/>
            </w14:solidFill>
          </w14:textFill>
        </w:rPr>
        <w:t>搅拌站与现场必须保持密切联系，现场必须派驻一名调度员和一名质量员，随时根据浇注进度及道路情况调整车辆密度，并根据实际情况适时调整运输车辆数量，确保现场混凝土浇注连续进行。因交通禁行时段无法连续浇筑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方应采取技术措施或其它保证措施予以保障。</w:t>
      </w:r>
    </w:p>
    <w:p w14:paraId="1CAA12E6">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供货速度必须满足现场要求，大体积混凝土需连续浇注，混凝土运输罐车到达率必须满足买方提出的要求，满足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方浇筑混凝土的速度要求。</w:t>
      </w:r>
    </w:p>
    <w:p w14:paraId="220E91FE">
      <w:pPr>
        <w:pStyle w:val="17"/>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其他注意事项</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p>
    <w:p w14:paraId="199AF1B8">
      <w:pPr>
        <w:pStyle w:val="17"/>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6.9货物的装车、运输、车辆返回全过程出现的安全事故或其它任何意外均由乙方承担责任。装车和运输途中的物资品质发生变化或丢失由乙方负责，由此造成的损失由乙方承担。</w:t>
      </w:r>
    </w:p>
    <w:p w14:paraId="1545AE79">
      <w:pPr>
        <w:pStyle w:val="17"/>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6.10乙方应对运输人员进行安全管理和安全教育，运输人员遵守交通法规。</w:t>
      </w:r>
    </w:p>
    <w:p w14:paraId="30A81102">
      <w:pPr>
        <w:pStyle w:val="17"/>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2CF396A1">
      <w:pPr>
        <w:pStyle w:val="17"/>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19E909DC">
      <w:pPr>
        <w:pStyle w:val="17"/>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6E6B1709">
      <w:pPr>
        <w:pStyle w:val="17"/>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6.11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4C1CB57B">
      <w:pPr>
        <w:pStyle w:val="17"/>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6.12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53DFF5E9">
      <w:pPr>
        <w:pStyle w:val="17"/>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6.13</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2FD42B0B">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0CAC0460">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3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31"/>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permStart w:id="3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32"/>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F52AAC2">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4E4441B">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3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3"/>
      <w:r>
        <w:rPr>
          <w:rFonts w:hint="eastAsia" w:ascii="仿宋_GB2312" w:hAnsi="仿宋_GB2312" w:eastAsia="仿宋_GB2312" w:cs="仿宋_GB2312"/>
          <w:color w:val="000000" w:themeColor="text1"/>
          <w:highlight w:val="none"/>
          <w14:textFill>
            <w14:solidFill>
              <w14:schemeClr w14:val="tx1"/>
            </w14:solidFill>
          </w14:textFill>
        </w:rPr>
        <w:t>。</w:t>
      </w:r>
    </w:p>
    <w:p w14:paraId="1D3A5187">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8247D0E">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ascii="仿宋_GB2312" w:hAnsi="仿宋_GB2312" w:eastAsia="仿宋_GB2312" w:cs="仿宋_GB2312"/>
          <w:b/>
          <w:bCs/>
          <w:color w:val="000000" w:themeColor="text1"/>
          <w:highlight w:val="none"/>
          <w14:textFill>
            <w14:solidFill>
              <w14:schemeClr w14:val="tx1"/>
            </w14:solidFill>
          </w14:textFill>
        </w:rPr>
        <w:t>0</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技术交底</w:t>
      </w:r>
      <w:r>
        <w:rPr>
          <w:rFonts w:hint="eastAsia" w:ascii="仿宋_GB2312" w:hAnsi="仿宋_GB2312" w:eastAsia="仿宋_GB2312" w:cs="仿宋_GB2312"/>
          <w:color w:val="000000" w:themeColor="text1"/>
          <w:highlight w:val="none"/>
          <w14:textFill>
            <w14:solidFill>
              <w14:schemeClr w14:val="tx1"/>
            </w14:solidFill>
          </w14:textFill>
        </w:rPr>
        <w:t>：在浇注大量或关键部位的混凝土时，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方须派专人到现场协助解决混凝土的供应。</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方应提供大体积混凝土施工的技术咨询及服务，并针对其配合比和混凝土特性在施工前向</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方作详细的书面技术交底，并对其负责。首次或特殊混凝土浇筑前，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方对项目部进行专项技术交底，明确使用要求，特殊混凝土浇筑时，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方应派驻专业人员开展现场指导。</w:t>
      </w:r>
    </w:p>
    <w:p w14:paraId="67DFE213">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 w:name="_Toc22420"/>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9"/>
    </w:p>
    <w:p w14:paraId="2799CF33">
      <w:pPr>
        <w:pStyle w:val="2"/>
        <w:keepNext w:val="0"/>
        <w:keepLines w:val="0"/>
        <w:spacing w:line="240" w:lineRule="auto"/>
        <w:ind w:firstLine="482"/>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.1产品必须满足以下标准及要求</w:t>
      </w:r>
      <w:r>
        <w:rPr>
          <w:rFonts w:hint="eastAsia" w:ascii="仿宋_GB2312" w:hAnsi="仿宋" w:eastAsia="仿宋_GB2312"/>
          <w:b w:val="0"/>
          <w:bCs w:val="0"/>
          <w:sz w:val="24"/>
          <w:szCs w:val="24"/>
          <w:highlight w:val="none"/>
        </w:rPr>
        <w:t>，且满足中华人民共和国国家、地方及行业最新颁布的相关标准及技术规范，如果规范、标准、要求适用于同一种情况，则以标准高者为准。</w:t>
      </w:r>
    </w:p>
    <w:p w14:paraId="65E4D0E4">
      <w:pPr>
        <w:pStyle w:val="2"/>
        <w:keepNext w:val="0"/>
        <w:keepLines w:val="0"/>
        <w:spacing w:line="240" w:lineRule="auto"/>
        <w:ind w:firstLine="482"/>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.2产品技术标准和技术要求</w:t>
      </w:r>
      <w:r>
        <w:rPr>
          <w:rFonts w:hint="eastAsia" w:ascii="仿宋_GB2312" w:hAnsi="仿宋" w:eastAsia="仿宋_GB2312"/>
          <w:b w:val="0"/>
          <w:bCs w:val="0"/>
          <w:sz w:val="24"/>
          <w:szCs w:val="24"/>
          <w:highlight w:val="none"/>
        </w:rPr>
        <w:t>：</w:t>
      </w:r>
    </w:p>
    <w:p w14:paraId="013BC89E">
      <w:pPr>
        <w:rPr>
          <w:rFonts w:hint="eastAsia"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.2.1施工图纸设计要求</w:t>
      </w:r>
      <w:r>
        <w:rPr>
          <w:rFonts w:hint="eastAsia" w:ascii="仿宋_GB2312" w:hAnsi="仿宋" w:eastAsia="仿宋_GB2312"/>
          <w:b w:val="0"/>
          <w:bCs w:val="0"/>
          <w:sz w:val="24"/>
          <w:szCs w:val="24"/>
          <w:highlight w:val="none"/>
        </w:rPr>
        <w:t>：</w:t>
      </w:r>
      <w:permStart w:id="34" w:edGrp="everyone"/>
    </w:p>
    <w:p w14:paraId="4D029994">
      <w:pPr>
        <w:rPr>
          <w:rFonts w:hint="default" w:ascii="仿宋_GB2312" w:hAnsi="仿宋" w:eastAsia="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 w:eastAsia="仿宋_GB2312"/>
          <w:b w:val="0"/>
          <w:bCs w:val="0"/>
          <w:color w:val="000000" w:themeColor="text1"/>
          <w:sz w:val="24"/>
          <w:szCs w:val="24"/>
          <w:highlight w:val="none"/>
          <w:lang w:val="en-US" w:eastAsia="zh-CN"/>
          <w14:textFill>
            <w14:solidFill>
              <w14:schemeClr w14:val="tx1"/>
            </w14:solidFill>
          </w14:textFill>
        </w:rPr>
        <w:t>一、混凝土材料基本要求</w:t>
      </w:r>
    </w:p>
    <w:p w14:paraId="37047FD3">
      <w:pPr>
        <w:pStyle w:val="3"/>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before="0" w:line="24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处于严寒和寒冷地区的二b类环境中混凝土应使用引气剂，并可采用图纸中混凝土材料的基本要求规定的括号中的有关参数。</w:t>
      </w:r>
    </w:p>
    <w:p w14:paraId="2E65FE45">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防水砼中水泥用量不少于320kg/m³，且应符合GB50108-2008中相关要求。</w:t>
      </w:r>
    </w:p>
    <w:p w14:paraId="6B42A079">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混凝土内掺外加剂时，外加剂供应提供详细的实验数据，且实验数据必须符合国家及本省对外加剂的技术要求，供应方还应提供详细的施工方案和施工要求，保证外加剂的正确使用。</w:t>
      </w:r>
    </w:p>
    <w:p w14:paraId="72F825D0">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施工时，严格控制水灰比，加强养护，采取合理的施工工序，严格按施工规范施工。</w:t>
      </w:r>
    </w:p>
    <w:p w14:paraId="4658D3EA">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超长结构处理</w:t>
      </w:r>
    </w:p>
    <w:p w14:paraId="3B789331">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用矿渣水泥，要求配置混凝土所用水泥的水化热≤250KJ/Kg（7天），如采用普硅水泥，须掺加矿粉和粉煤灰，粉煤灰质量等级在二级以上。应严格控制水泥用量。控制砂含泥量小于1%，砂的细度模数在2.3以上，石子连续级配，含泥量小于1%。</w:t>
      </w:r>
    </w:p>
    <w:p w14:paraId="230A8E0B">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选用优质粉煤灰掺合料I级，宜采用高强减水剂，严禁采用早强剂，不宜采用多功能超塑化剂。掺合料和外加剂用量应通过试验确定，质量应符合有关规范规定。</w:t>
      </w:r>
    </w:p>
    <w:p w14:paraId="756680F0">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为加强地下室底板、外墙、顶板和超长上部结构的屋面梁板的防裂性能，应采用补偿收缩混凝土，膨胀剂和抗裂纤维的产品选择和掺量确定原则：</w:t>
      </w:r>
    </w:p>
    <w:p w14:paraId="72B9D39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膨胀剂应选择符合《混凝土膨胀剂》（GB/T23439-2017）II型指标要求的产品，膨胀剂的掺量应事先进行配合比试验确定，施工单位要注意加强养护。II型指标产品暂定掺量为：底板、地梁、承台、超长上部结构的屋面层梁和板：胶凝材料用量的6%；地下室外墙、顶板板、顶板梁：胶凝材料用量的8%；后浇带（混凝土强度等级提高一级）：胶凝材料用量的10%。膨胀剂的应用和质量检测应符合《混凝土外加剂应用技术规范》（GB50109-2013）要求。</w:t>
      </w:r>
    </w:p>
    <w:p w14:paraId="00B4CD12">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b、抗裂纤维采用聚丙烯防裂纤维的合成纤维材料，应事先进行配合比试验确定具体掺量，暂定掺量为：</w:t>
      </w:r>
    </w:p>
    <w:p w14:paraId="740C0815">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下室底板、承台、地梁、超长上部结构的屋面层梁和板：0.9kg/m³，地下室内外墙、顶板板、顶板梁：1.2kg/m³，聚丙烯防裂纤维的合成纤维材料应选择原料纯度高、亲水性强和分散性好的产品且产品必须符合《水泥混凝土和砂浆用合成纤维》（GB/T21120-2007）的要求，同时施工、检查和验收按照《纤维混凝土应用技术规程》（JGJ/T221-2010）执行。因此，要求：施工现场层必须进行现场抽样检测，底板、外墙、顶板各20个检测点（具体位置由现场监理工程师明确），检测结果须通报建设单位和设计单位并获得认可后方可继续施工，如果现场检测结果不符合设计要求，须返工重做。</w:t>
      </w:r>
    </w:p>
    <w:p w14:paraId="2F6C0D58">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严格控制砼坍落度160±20mm，混凝土浇筑应在低温情况下浇筑，降低砼入模温度。</w:t>
      </w:r>
    </w:p>
    <w:p w14:paraId="625D6453">
      <w:pPr>
        <w:keepNext w:val="0"/>
        <w:keepLines w:val="0"/>
        <w:pageBreakBefore w:val="0"/>
        <w:widowControl w:val="0"/>
        <w:numPr>
          <w:ilvl w:val="0"/>
          <w:numId w:val="6"/>
        </w:numPr>
        <w:kinsoku/>
        <w:wordWrap/>
        <w:overflowPunct/>
        <w:topLinePunct w:val="0"/>
        <w:autoSpaceDE/>
        <w:autoSpaceDN/>
        <w:bidi w:val="0"/>
        <w:adjustRightInd/>
        <w:snapToGrid/>
        <w:ind w:left="0" w:leftChars="0" w:firstLine="480" w:firstLineChars="200"/>
        <w:jc w:val="left"/>
        <w:textAlignment w:val="auto"/>
        <w:rPr>
          <w:rFonts w:ascii="仿宋_GB2312" w:hAnsi="仿宋" w:eastAsia="仿宋_GB2312"/>
          <w:b w:val="0"/>
          <w:bCs w:val="0"/>
          <w:color w:val="FF0000"/>
          <w:sz w:val="24"/>
          <w:szCs w:val="24"/>
          <w:highlight w:val="none"/>
        </w:rPr>
      </w:pPr>
      <w:r>
        <w:rPr>
          <w:rFonts w:hint="eastAsia" w:ascii="宋体" w:hAnsi="宋体" w:eastAsia="宋体" w:cs="宋体"/>
          <w:b w:val="0"/>
          <w:bCs w:val="0"/>
          <w:sz w:val="24"/>
          <w:szCs w:val="24"/>
          <w:lang w:val="en-US" w:eastAsia="zh-CN"/>
        </w:rPr>
        <w:t>混凝土配合比除满足设计强度等级和抗渗标号外，还应达到《混凝土外加剂应用技术规范》中对补偿收缩砼限制膨胀率的规定。</w:t>
      </w:r>
    </w:p>
    <w:permEnd w:id="34"/>
    <w:p w14:paraId="5999D2E6">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按照图纸要求，各项原材料及产品性能指标应满足以下要求，包含但不限于最小水泥用量、水胶比、碱含量与水溶性氯离子含量等：</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76"/>
        <w:gridCol w:w="1656"/>
        <w:gridCol w:w="1176"/>
        <w:gridCol w:w="1136"/>
        <w:gridCol w:w="990"/>
        <w:gridCol w:w="883"/>
        <w:gridCol w:w="883"/>
      </w:tblGrid>
      <w:tr w14:paraId="6AB1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Pr>
          <w:p w14:paraId="4AAC6CF2">
            <w:pPr>
              <w:rPr>
                <w:rFonts w:ascii="仿宋_GB2312" w:hAnsi="仿宋" w:eastAsia="仿宋_GB2312"/>
                <w:sz w:val="24"/>
                <w:szCs w:val="24"/>
                <w:highlight w:val="none"/>
              </w:rPr>
            </w:pPr>
            <w:permStart w:id="35" w:edGrp="everyone"/>
            <w:r>
              <w:rPr>
                <w:rFonts w:hint="eastAsia" w:ascii="仿宋_GB2312" w:hAnsi="仿宋" w:eastAsia="仿宋_GB2312"/>
                <w:sz w:val="24"/>
                <w:szCs w:val="24"/>
                <w:highlight w:val="none"/>
              </w:rPr>
              <w:t>序号</w:t>
            </w:r>
          </w:p>
        </w:tc>
        <w:tc>
          <w:tcPr>
            <w:tcW w:w="1164" w:type="dxa"/>
          </w:tcPr>
          <w:p w14:paraId="41345707">
            <w:pPr>
              <w:rPr>
                <w:rFonts w:ascii="仿宋_GB2312" w:hAnsi="仿宋" w:eastAsia="仿宋_GB2312"/>
                <w:sz w:val="24"/>
                <w:szCs w:val="24"/>
                <w:highlight w:val="none"/>
              </w:rPr>
            </w:pPr>
            <w:r>
              <w:rPr>
                <w:rFonts w:hint="eastAsia" w:ascii="仿宋_GB2312" w:hAnsi="仿宋" w:eastAsia="仿宋_GB2312"/>
                <w:sz w:val="24"/>
                <w:szCs w:val="24"/>
                <w:highlight w:val="none"/>
              </w:rPr>
              <w:t>材料名称</w:t>
            </w:r>
          </w:p>
        </w:tc>
        <w:tc>
          <w:tcPr>
            <w:tcW w:w="1516" w:type="dxa"/>
          </w:tcPr>
          <w:p w14:paraId="3CCF68D9">
            <w:pPr>
              <w:rPr>
                <w:rFonts w:ascii="仿宋_GB2312" w:hAnsi="仿宋" w:eastAsia="仿宋_GB2312"/>
                <w:sz w:val="24"/>
                <w:szCs w:val="24"/>
                <w:highlight w:val="none"/>
              </w:rPr>
            </w:pPr>
            <w:r>
              <w:rPr>
                <w:rFonts w:hint="eastAsia" w:ascii="仿宋_GB2312" w:hAnsi="仿宋" w:eastAsia="仿宋_GB2312"/>
                <w:sz w:val="24"/>
                <w:szCs w:val="24"/>
                <w:highlight w:val="none"/>
              </w:rPr>
              <w:t>最小水泥用量</w:t>
            </w:r>
          </w:p>
        </w:tc>
        <w:tc>
          <w:tcPr>
            <w:tcW w:w="894" w:type="dxa"/>
          </w:tcPr>
          <w:p w14:paraId="11F1E8BF">
            <w:pPr>
              <w:rPr>
                <w:rFonts w:ascii="仿宋_GB2312" w:hAnsi="仿宋" w:eastAsia="仿宋_GB2312"/>
                <w:sz w:val="24"/>
                <w:szCs w:val="24"/>
                <w:highlight w:val="none"/>
              </w:rPr>
            </w:pPr>
            <w:r>
              <w:rPr>
                <w:rFonts w:hint="eastAsia" w:ascii="仿宋_GB2312" w:hAnsi="仿宋" w:eastAsia="仿宋_GB2312"/>
                <w:sz w:val="24"/>
                <w:szCs w:val="24"/>
                <w:highlight w:val="none"/>
              </w:rPr>
              <w:t>水胶比</w:t>
            </w:r>
          </w:p>
        </w:tc>
        <w:tc>
          <w:tcPr>
            <w:tcW w:w="1064" w:type="dxa"/>
          </w:tcPr>
          <w:p w14:paraId="57CE2DB2">
            <w:pPr>
              <w:rPr>
                <w:rFonts w:ascii="仿宋_GB2312" w:hAnsi="仿宋" w:eastAsia="仿宋_GB2312"/>
                <w:sz w:val="24"/>
                <w:szCs w:val="24"/>
                <w:highlight w:val="none"/>
              </w:rPr>
            </w:pPr>
            <w:r>
              <w:rPr>
                <w:rFonts w:hint="eastAsia" w:ascii="仿宋_GB2312" w:hAnsi="仿宋" w:eastAsia="仿宋_GB2312"/>
                <w:sz w:val="24"/>
                <w:szCs w:val="24"/>
                <w:highlight w:val="none"/>
              </w:rPr>
              <w:t>碱含量</w:t>
            </w:r>
          </w:p>
        </w:tc>
        <w:tc>
          <w:tcPr>
            <w:tcW w:w="1064" w:type="dxa"/>
          </w:tcPr>
          <w:p w14:paraId="167B69C8">
            <w:pPr>
              <w:rPr>
                <w:rFonts w:ascii="仿宋_GB2312" w:hAnsi="仿宋" w:eastAsia="仿宋_GB2312"/>
                <w:sz w:val="24"/>
                <w:szCs w:val="24"/>
                <w:highlight w:val="none"/>
              </w:rPr>
            </w:pPr>
            <w:r>
              <w:rPr>
                <w:rFonts w:hint="eastAsia" w:ascii="仿宋_GB2312" w:hAnsi="仿宋" w:eastAsia="仿宋_GB2312"/>
                <w:sz w:val="24"/>
                <w:szCs w:val="24"/>
                <w:highlight w:val="none"/>
              </w:rPr>
              <w:t>水溶性氯离子含量</w:t>
            </w:r>
          </w:p>
        </w:tc>
        <w:tc>
          <w:tcPr>
            <w:tcW w:w="1064" w:type="dxa"/>
          </w:tcPr>
          <w:p w14:paraId="20133B6B">
            <w:pPr>
              <w:rPr>
                <w:rFonts w:ascii="仿宋_GB2312" w:hAnsi="仿宋" w:eastAsia="仿宋_GB2312"/>
                <w:sz w:val="24"/>
                <w:szCs w:val="24"/>
                <w:highlight w:val="none"/>
              </w:rPr>
            </w:pPr>
            <w:r>
              <w:rPr>
                <w:rFonts w:ascii="仿宋_GB2312" w:hAnsi="仿宋" w:eastAsia="仿宋_GB2312"/>
                <w:sz w:val="24"/>
                <w:szCs w:val="24"/>
                <w:highlight w:val="none"/>
              </w:rPr>
              <w:t>…</w:t>
            </w:r>
          </w:p>
        </w:tc>
        <w:tc>
          <w:tcPr>
            <w:tcW w:w="1064" w:type="dxa"/>
          </w:tcPr>
          <w:p w14:paraId="6A9420E0">
            <w:pPr>
              <w:rPr>
                <w:rFonts w:ascii="仿宋_GB2312" w:hAnsi="仿宋" w:eastAsia="仿宋_GB2312"/>
                <w:sz w:val="24"/>
                <w:szCs w:val="24"/>
                <w:highlight w:val="none"/>
              </w:rPr>
            </w:pPr>
            <w:r>
              <w:rPr>
                <w:rFonts w:hint="eastAsia" w:ascii="仿宋_GB2312" w:hAnsi="仿宋" w:eastAsia="仿宋_GB2312"/>
                <w:sz w:val="24"/>
                <w:szCs w:val="24"/>
                <w:highlight w:val="none"/>
              </w:rPr>
              <w:t>备注</w:t>
            </w:r>
          </w:p>
        </w:tc>
      </w:tr>
      <w:tr w14:paraId="69EA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vAlign w:val="top"/>
          </w:tcPr>
          <w:p w14:paraId="6B33F3AA">
            <w:pPr>
              <w:rPr>
                <w:rFonts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rPr>
              <w:t>1</w:t>
            </w:r>
          </w:p>
        </w:tc>
        <w:tc>
          <w:tcPr>
            <w:tcW w:w="1164" w:type="dxa"/>
            <w:shd w:val="clear" w:color="auto" w:fill="auto"/>
            <w:vAlign w:val="top"/>
          </w:tcPr>
          <w:p w14:paraId="15577B95">
            <w:pPr>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最低C20</w:t>
            </w:r>
          </w:p>
        </w:tc>
        <w:tc>
          <w:tcPr>
            <w:tcW w:w="1516" w:type="dxa"/>
            <w:shd w:val="clear" w:color="auto" w:fill="auto"/>
            <w:vAlign w:val="top"/>
          </w:tcPr>
          <w:p w14:paraId="131F1F19">
            <w:pPr>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符合GB50108-2008和图纸要求</w:t>
            </w:r>
          </w:p>
        </w:tc>
        <w:tc>
          <w:tcPr>
            <w:tcW w:w="894" w:type="dxa"/>
            <w:shd w:val="clear" w:color="auto" w:fill="auto"/>
            <w:vAlign w:val="top"/>
          </w:tcPr>
          <w:p w14:paraId="0F42A75D">
            <w:pPr>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color w:val="FF0000"/>
                <w:sz w:val="24"/>
                <w:szCs w:val="24"/>
                <w:highlight w:val="none"/>
                <w:lang w:val="en-US" w:eastAsia="zh-CN"/>
              </w:rPr>
              <w:t>≤0.6</w:t>
            </w:r>
          </w:p>
        </w:tc>
        <w:tc>
          <w:tcPr>
            <w:tcW w:w="1064" w:type="dxa"/>
            <w:shd w:val="clear" w:color="auto" w:fill="auto"/>
            <w:vAlign w:val="top"/>
          </w:tcPr>
          <w:p w14:paraId="4EC2D92F">
            <w:pPr>
              <w:rPr>
                <w:rFonts w:hint="eastAsia" w:ascii="仿宋_GB2312" w:hAnsi="仿宋" w:eastAsia="仿宋_GB2312" w:cstheme="minorBidi"/>
                <w:kern w:val="2"/>
                <w:sz w:val="24"/>
                <w:szCs w:val="24"/>
                <w:highlight w:val="none"/>
                <w:lang w:val="en-US" w:eastAsia="zh-CN" w:bidi="ar-SA"/>
              </w:rPr>
            </w:pPr>
            <w:r>
              <w:rPr>
                <w:rFonts w:hint="eastAsia" w:ascii="仿宋_GB2312" w:hAnsi="仿宋" w:eastAsia="仿宋_GB2312"/>
                <w:color w:val="FF0000"/>
                <w:sz w:val="24"/>
                <w:szCs w:val="24"/>
                <w:highlight w:val="none"/>
                <w:lang w:val="en-US" w:eastAsia="zh-CN"/>
              </w:rPr>
              <w:t>不限制</w:t>
            </w:r>
          </w:p>
        </w:tc>
        <w:tc>
          <w:tcPr>
            <w:tcW w:w="1064" w:type="dxa"/>
            <w:shd w:val="clear" w:color="auto" w:fill="auto"/>
            <w:vAlign w:val="top"/>
          </w:tcPr>
          <w:p w14:paraId="58F29991">
            <w:pPr>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≤0.30%</w:t>
            </w:r>
          </w:p>
        </w:tc>
        <w:tc>
          <w:tcPr>
            <w:tcW w:w="1064" w:type="dxa"/>
            <w:shd w:val="clear" w:color="auto" w:fill="auto"/>
            <w:vAlign w:val="top"/>
          </w:tcPr>
          <w:p w14:paraId="2301FB9F">
            <w:pPr>
              <w:rPr>
                <w:rFonts w:ascii="仿宋_GB2312" w:hAnsi="仿宋" w:eastAsia="仿宋_GB2312" w:cstheme="minorBidi"/>
                <w:kern w:val="2"/>
                <w:sz w:val="24"/>
                <w:szCs w:val="24"/>
                <w:highlight w:val="none"/>
                <w:lang w:val="en-US" w:eastAsia="zh-CN" w:bidi="ar-SA"/>
              </w:rPr>
            </w:pPr>
            <w:r>
              <w:rPr>
                <w:rFonts w:hint="eastAsia" w:ascii="仿宋_GB2312" w:hAnsi="仿宋" w:eastAsia="仿宋_GB2312"/>
                <w:sz w:val="21"/>
                <w:szCs w:val="21"/>
                <w:highlight w:val="none"/>
                <w:lang w:val="en-US" w:eastAsia="zh-CN"/>
              </w:rPr>
              <w:t>一类环境</w:t>
            </w:r>
          </w:p>
        </w:tc>
        <w:tc>
          <w:tcPr>
            <w:tcW w:w="1064" w:type="dxa"/>
            <w:shd w:val="clear" w:color="auto" w:fill="auto"/>
            <w:vAlign w:val="top"/>
          </w:tcPr>
          <w:p w14:paraId="00D7BD2B">
            <w:pPr>
              <w:rPr>
                <w:rFonts w:hint="default" w:ascii="仿宋_GB2312" w:hAnsi="仿宋" w:eastAsia="仿宋_GB2312" w:cstheme="minorBidi"/>
                <w:kern w:val="2"/>
                <w:sz w:val="24"/>
                <w:szCs w:val="24"/>
                <w:highlight w:val="none"/>
                <w:lang w:val="en-US" w:eastAsia="zh-CN" w:bidi="ar-SA"/>
              </w:rPr>
            </w:pPr>
          </w:p>
        </w:tc>
      </w:tr>
      <w:tr w14:paraId="5B5E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vAlign w:val="top"/>
          </w:tcPr>
          <w:p w14:paraId="40D3D065">
            <w:pPr>
              <w:rPr>
                <w:rFonts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rPr>
              <w:t>2</w:t>
            </w:r>
          </w:p>
        </w:tc>
        <w:tc>
          <w:tcPr>
            <w:tcW w:w="1164" w:type="dxa"/>
            <w:shd w:val="clear" w:color="auto" w:fill="auto"/>
            <w:vAlign w:val="top"/>
          </w:tcPr>
          <w:p w14:paraId="4842ABE5">
            <w:pPr>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最低C25</w:t>
            </w:r>
          </w:p>
        </w:tc>
        <w:tc>
          <w:tcPr>
            <w:tcW w:w="1516" w:type="dxa"/>
            <w:shd w:val="clear" w:color="auto" w:fill="auto"/>
            <w:vAlign w:val="top"/>
          </w:tcPr>
          <w:p w14:paraId="6CCE8958">
            <w:pPr>
              <w:rPr>
                <w:rFonts w:hint="eastAsia"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符合GB50108-2008和图纸要求</w:t>
            </w:r>
          </w:p>
        </w:tc>
        <w:tc>
          <w:tcPr>
            <w:tcW w:w="894" w:type="dxa"/>
            <w:shd w:val="clear" w:color="auto" w:fill="auto"/>
            <w:vAlign w:val="top"/>
          </w:tcPr>
          <w:p w14:paraId="1293847A">
            <w:pPr>
              <w:rPr>
                <w:rFonts w:ascii="仿宋_GB2312" w:hAnsi="仿宋" w:eastAsia="仿宋_GB2312" w:cstheme="minorBidi"/>
                <w:kern w:val="2"/>
                <w:sz w:val="24"/>
                <w:szCs w:val="24"/>
                <w:highlight w:val="none"/>
                <w:lang w:val="en-US" w:eastAsia="zh-CN" w:bidi="ar-SA"/>
              </w:rPr>
            </w:pPr>
            <w:r>
              <w:rPr>
                <w:rFonts w:hint="eastAsia" w:ascii="仿宋_GB2312" w:hAnsi="仿宋" w:eastAsia="仿宋_GB2312"/>
                <w:color w:val="FF0000"/>
                <w:sz w:val="24"/>
                <w:szCs w:val="24"/>
                <w:highlight w:val="none"/>
                <w:lang w:val="en-US" w:eastAsia="zh-CN"/>
              </w:rPr>
              <w:t>≤0.6</w:t>
            </w:r>
          </w:p>
        </w:tc>
        <w:tc>
          <w:tcPr>
            <w:tcW w:w="1064" w:type="dxa"/>
            <w:shd w:val="clear" w:color="auto" w:fill="auto"/>
            <w:vAlign w:val="top"/>
          </w:tcPr>
          <w:p w14:paraId="20C83A71">
            <w:pPr>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3.0kg/m³</w:t>
            </w:r>
          </w:p>
        </w:tc>
        <w:tc>
          <w:tcPr>
            <w:tcW w:w="1064" w:type="dxa"/>
            <w:shd w:val="clear" w:color="auto" w:fill="auto"/>
            <w:vAlign w:val="top"/>
          </w:tcPr>
          <w:p w14:paraId="06ECCA85">
            <w:pPr>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≤0.20%</w:t>
            </w:r>
          </w:p>
        </w:tc>
        <w:tc>
          <w:tcPr>
            <w:tcW w:w="1064" w:type="dxa"/>
            <w:shd w:val="clear" w:color="auto" w:fill="auto"/>
            <w:vAlign w:val="top"/>
          </w:tcPr>
          <w:p w14:paraId="02F97BD0">
            <w:pPr>
              <w:rPr>
                <w:rFonts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二a</w:t>
            </w:r>
          </w:p>
        </w:tc>
        <w:tc>
          <w:tcPr>
            <w:tcW w:w="1064" w:type="dxa"/>
            <w:shd w:val="clear" w:color="auto" w:fill="auto"/>
            <w:vAlign w:val="top"/>
          </w:tcPr>
          <w:p w14:paraId="728D721A">
            <w:pPr>
              <w:rPr>
                <w:rFonts w:hint="default" w:ascii="仿宋_GB2312" w:hAnsi="仿宋" w:eastAsia="仿宋_GB2312" w:cstheme="minorBidi"/>
                <w:kern w:val="2"/>
                <w:sz w:val="24"/>
                <w:szCs w:val="24"/>
                <w:highlight w:val="none"/>
                <w:lang w:val="en-US" w:eastAsia="zh-CN" w:bidi="ar-SA"/>
              </w:rPr>
            </w:pPr>
          </w:p>
        </w:tc>
      </w:tr>
      <w:tr w14:paraId="617D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auto"/>
            <w:vAlign w:val="top"/>
          </w:tcPr>
          <w:p w14:paraId="5D595B29">
            <w:pPr>
              <w:rPr>
                <w:rFonts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rPr>
              <w:t>3</w:t>
            </w:r>
          </w:p>
        </w:tc>
        <w:tc>
          <w:tcPr>
            <w:tcW w:w="1164" w:type="dxa"/>
            <w:shd w:val="clear" w:color="auto" w:fill="auto"/>
            <w:vAlign w:val="top"/>
          </w:tcPr>
          <w:p w14:paraId="4118D458">
            <w:pPr>
              <w:jc w:val="left"/>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最低C30(C25)</w:t>
            </w:r>
          </w:p>
        </w:tc>
        <w:tc>
          <w:tcPr>
            <w:tcW w:w="1516" w:type="dxa"/>
            <w:shd w:val="clear" w:color="auto" w:fill="auto"/>
            <w:vAlign w:val="top"/>
          </w:tcPr>
          <w:p w14:paraId="4D0A2801">
            <w:pPr>
              <w:rPr>
                <w:rFonts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符合GB50108-2008和图纸要求</w:t>
            </w:r>
          </w:p>
        </w:tc>
        <w:tc>
          <w:tcPr>
            <w:tcW w:w="894" w:type="dxa"/>
            <w:shd w:val="clear" w:color="auto" w:fill="auto"/>
            <w:vAlign w:val="top"/>
          </w:tcPr>
          <w:p w14:paraId="0B04AED0">
            <w:pPr>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≤0.50（0.55）</w:t>
            </w:r>
          </w:p>
        </w:tc>
        <w:tc>
          <w:tcPr>
            <w:tcW w:w="1064" w:type="dxa"/>
            <w:shd w:val="clear" w:color="auto" w:fill="auto"/>
            <w:vAlign w:val="top"/>
          </w:tcPr>
          <w:p w14:paraId="7BC47DC1">
            <w:pPr>
              <w:rPr>
                <w:rFonts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3.0kg/m³</w:t>
            </w:r>
          </w:p>
        </w:tc>
        <w:tc>
          <w:tcPr>
            <w:tcW w:w="1064" w:type="dxa"/>
            <w:shd w:val="clear" w:color="auto" w:fill="auto"/>
            <w:vAlign w:val="top"/>
          </w:tcPr>
          <w:p w14:paraId="104C8D4F">
            <w:pPr>
              <w:rPr>
                <w:rFonts w:hint="default"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≤0.10%</w:t>
            </w:r>
          </w:p>
        </w:tc>
        <w:tc>
          <w:tcPr>
            <w:tcW w:w="1064" w:type="dxa"/>
            <w:shd w:val="clear" w:color="auto" w:fill="auto"/>
            <w:vAlign w:val="top"/>
          </w:tcPr>
          <w:p w14:paraId="0D005E5A">
            <w:pPr>
              <w:rPr>
                <w:rFonts w:ascii="仿宋_GB2312" w:hAnsi="仿宋" w:eastAsia="仿宋_GB2312" w:cstheme="minorBidi"/>
                <w:kern w:val="2"/>
                <w:sz w:val="24"/>
                <w:szCs w:val="24"/>
                <w:highlight w:val="none"/>
                <w:lang w:val="en-US" w:eastAsia="zh-CN" w:bidi="ar-SA"/>
              </w:rPr>
            </w:pPr>
            <w:r>
              <w:rPr>
                <w:rFonts w:hint="eastAsia" w:ascii="仿宋_GB2312" w:hAnsi="仿宋" w:eastAsia="仿宋_GB2312"/>
                <w:sz w:val="24"/>
                <w:szCs w:val="24"/>
                <w:highlight w:val="none"/>
                <w:lang w:val="en-US" w:eastAsia="zh-CN"/>
              </w:rPr>
              <w:t>二b</w:t>
            </w:r>
          </w:p>
        </w:tc>
        <w:tc>
          <w:tcPr>
            <w:tcW w:w="1064" w:type="dxa"/>
            <w:shd w:val="clear" w:color="auto" w:fill="auto"/>
            <w:vAlign w:val="top"/>
          </w:tcPr>
          <w:p w14:paraId="00A145FD">
            <w:pPr>
              <w:rPr>
                <w:rFonts w:hint="default" w:ascii="仿宋_GB2312" w:hAnsi="仿宋" w:eastAsia="仿宋_GB2312" w:cstheme="minorBidi"/>
                <w:kern w:val="2"/>
                <w:sz w:val="24"/>
                <w:szCs w:val="24"/>
                <w:highlight w:val="none"/>
                <w:lang w:val="en-US" w:eastAsia="zh-CN" w:bidi="ar-SA"/>
              </w:rPr>
            </w:pPr>
          </w:p>
        </w:tc>
      </w:tr>
      <w:permEnd w:id="35"/>
    </w:tbl>
    <w:p w14:paraId="377CF838">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.3国家标准/行业标准/企业标准：</w:t>
      </w:r>
    </w:p>
    <w:p w14:paraId="2DA0F842">
      <w:pPr>
        <w:ind w:firstLine="480" w:firstLineChars="200"/>
        <w:rPr>
          <w:rFonts w:ascii="仿宋_GB2312" w:hAnsi="仿宋" w:eastAsia="仿宋_GB2312"/>
          <w:sz w:val="24"/>
          <w:szCs w:val="24"/>
          <w:highlight w:val="none"/>
        </w:rPr>
      </w:pPr>
      <w:permStart w:id="36" w:edGrp="everyone"/>
      <w:r>
        <w:rPr>
          <w:rFonts w:hint="eastAsia" w:ascii="仿宋_GB2312" w:hAnsi="仿宋" w:eastAsia="仿宋_GB2312"/>
          <w:sz w:val="24"/>
          <w:szCs w:val="24"/>
          <w:highlight w:val="none"/>
        </w:rPr>
        <w:t>《建筑用砂》GB/T14684-2011</w:t>
      </w:r>
    </w:p>
    <w:p w14:paraId="7F0D5E53">
      <w:pPr>
        <w:widowControl/>
        <w:ind w:firstLine="480" w:firstLineChars="200"/>
        <w:jc w:val="left"/>
        <w:rPr>
          <w:rFonts w:ascii="仿宋_GB2312" w:hAnsi="仿宋" w:eastAsia="仿宋_GB2312"/>
          <w:sz w:val="24"/>
          <w:szCs w:val="24"/>
          <w:highlight w:val="none"/>
        </w:rPr>
      </w:pPr>
      <w:r>
        <w:rPr>
          <w:rFonts w:hint="eastAsia" w:ascii="仿宋_GB2312" w:hAnsi="仿宋" w:eastAsia="仿宋_GB2312"/>
          <w:sz w:val="24"/>
          <w:szCs w:val="24"/>
          <w:highlight w:val="none"/>
        </w:rPr>
        <w:t>《建设用卵石、碎石》（GB/T 14685-2011）</w:t>
      </w:r>
    </w:p>
    <w:p w14:paraId="55199061">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《混凝土外加剂匀质性试验方法》 (GB/T 8077-2012)</w:t>
      </w:r>
    </w:p>
    <w:p w14:paraId="751A48C6">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《混凝土外加剂应用技术规范》 (GB50119-2013)</w:t>
      </w:r>
    </w:p>
    <w:p w14:paraId="7C80D78F">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《混凝土结构设计规范》</w:t>
      </w:r>
      <w:r>
        <w:rPr>
          <w:rFonts w:hint="eastAsia" w:ascii="仿宋_GB2312" w:hAnsi="仿宋" w:eastAsia="仿宋_GB2312"/>
          <w:sz w:val="24"/>
          <w:szCs w:val="24"/>
          <w:highlight w:val="none"/>
          <w:lang w:eastAsia="zh-CN"/>
        </w:rPr>
        <w:t>（</w:t>
      </w:r>
      <w:r>
        <w:rPr>
          <w:rFonts w:hint="eastAsia" w:ascii="仿宋_GB2312" w:hAnsi="仿宋" w:eastAsia="仿宋_GB2312"/>
          <w:sz w:val="24"/>
          <w:szCs w:val="24"/>
          <w:highlight w:val="none"/>
          <w:lang w:val="en-US" w:eastAsia="zh-CN"/>
        </w:rPr>
        <w:t>2015年版</w:t>
      </w:r>
      <w:r>
        <w:rPr>
          <w:rFonts w:hint="eastAsia" w:ascii="仿宋_GB2312" w:hAnsi="仿宋" w:eastAsia="仿宋_GB2312"/>
          <w:sz w:val="24"/>
          <w:szCs w:val="24"/>
          <w:highlight w:val="none"/>
          <w:lang w:eastAsia="zh-CN"/>
        </w:rPr>
        <w:t>）</w:t>
      </w:r>
      <w:r>
        <w:rPr>
          <w:rFonts w:hint="eastAsia" w:ascii="仿宋_GB2312" w:hAnsi="仿宋" w:eastAsia="仿宋_GB2312"/>
          <w:sz w:val="24"/>
          <w:szCs w:val="24"/>
          <w:highlight w:val="none"/>
        </w:rPr>
        <w:t>（GB50010-2010）</w:t>
      </w:r>
    </w:p>
    <w:p w14:paraId="0CB2FFFF">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《混凝土结构工程施工质量验收规范》(GB50204-2015)</w:t>
      </w:r>
    </w:p>
    <w:p w14:paraId="1557BB15">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《混凝土结构耐久性设计</w:t>
      </w:r>
      <w:r>
        <w:rPr>
          <w:rFonts w:hint="eastAsia" w:ascii="仿宋_GB2312" w:hAnsi="仿宋" w:eastAsia="仿宋_GB2312"/>
          <w:sz w:val="24"/>
          <w:szCs w:val="24"/>
          <w:highlight w:val="none"/>
          <w:lang w:val="en-US" w:eastAsia="zh-CN"/>
        </w:rPr>
        <w:t>标准</w:t>
      </w:r>
      <w:r>
        <w:rPr>
          <w:rFonts w:hint="eastAsia" w:ascii="仿宋_GB2312" w:hAnsi="仿宋" w:eastAsia="仿宋_GB2312"/>
          <w:sz w:val="24"/>
          <w:szCs w:val="24"/>
          <w:highlight w:val="none"/>
        </w:rPr>
        <w:t>》(GB/T50476-20</w:t>
      </w:r>
      <w:r>
        <w:rPr>
          <w:rFonts w:hint="eastAsia" w:ascii="仿宋_GB2312" w:hAnsi="仿宋" w:eastAsia="仿宋_GB2312"/>
          <w:sz w:val="24"/>
          <w:szCs w:val="24"/>
          <w:highlight w:val="none"/>
          <w:lang w:val="en-US" w:eastAsia="zh-CN"/>
        </w:rPr>
        <w:t>19</w:t>
      </w:r>
      <w:r>
        <w:rPr>
          <w:rFonts w:hint="eastAsia" w:ascii="仿宋_GB2312" w:hAnsi="仿宋" w:eastAsia="仿宋_GB2312"/>
          <w:sz w:val="24"/>
          <w:szCs w:val="24"/>
          <w:highlight w:val="none"/>
        </w:rPr>
        <w:t>)</w:t>
      </w:r>
    </w:p>
    <w:p w14:paraId="33F4F96D">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《混凝土强度检验评定标准》(GB/T50107-2010)</w:t>
      </w:r>
    </w:p>
    <w:p w14:paraId="7559DCC8">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《混凝土质量控制标准》(GB50164-2011)</w:t>
      </w:r>
    </w:p>
    <w:p w14:paraId="6832122D">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《普通混凝土配合比设计规程》(JGJ55-2011)</w:t>
      </w:r>
    </w:p>
    <w:p w14:paraId="74F752B9">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《混凝土用水标准》(JGJ63-2006)</w:t>
      </w:r>
    </w:p>
    <w:p w14:paraId="14294111">
      <w:pPr>
        <w:ind w:firstLine="480" w:firstLineChars="200"/>
        <w:rPr>
          <w:rFonts w:hint="eastAsia" w:ascii="仿宋_GB2312" w:hAnsi="仿宋" w:eastAsia="仿宋_GB2312"/>
          <w:sz w:val="24"/>
          <w:szCs w:val="24"/>
          <w:highlight w:val="none"/>
        </w:rPr>
      </w:pPr>
      <w:r>
        <w:rPr>
          <w:rFonts w:hint="eastAsia" w:ascii="仿宋_GB2312" w:hAnsi="仿宋" w:eastAsia="仿宋_GB2312"/>
          <w:sz w:val="24"/>
          <w:szCs w:val="24"/>
          <w:highlight w:val="none"/>
        </w:rPr>
        <w:t>《混凝土外加剂》 (GB8076-2008)</w:t>
      </w:r>
    </w:p>
    <w:p w14:paraId="31769EE4">
      <w:pPr>
        <w:ind w:firstLine="480" w:firstLineChars="200"/>
        <w:rPr>
          <w:rFonts w:hint="eastAsia" w:ascii="仿宋_GB2312" w:hAnsi="仿宋" w:eastAsia="仿宋_GB2312"/>
          <w:sz w:val="24"/>
          <w:szCs w:val="24"/>
          <w:highlight w:val="none"/>
          <w:lang w:eastAsia="zh-CN"/>
        </w:rPr>
      </w:pPr>
      <w:r>
        <w:rPr>
          <w:rFonts w:hint="eastAsia" w:ascii="仿宋_GB2312" w:hAnsi="仿宋" w:eastAsia="仿宋_GB2312"/>
          <w:sz w:val="24"/>
          <w:szCs w:val="24"/>
          <w:highlight w:val="none"/>
          <w:lang w:eastAsia="zh-CN"/>
        </w:rPr>
        <w:t>《</w:t>
      </w:r>
      <w:r>
        <w:rPr>
          <w:rFonts w:hint="eastAsia" w:ascii="仿宋_GB2312" w:hAnsi="仿宋" w:eastAsia="仿宋_GB2312"/>
          <w:sz w:val="24"/>
          <w:szCs w:val="24"/>
          <w:highlight w:val="none"/>
          <w:lang w:val="en-US" w:eastAsia="zh-CN"/>
        </w:rPr>
        <w:t>混凝土外加剂应用技术规范</w:t>
      </w:r>
      <w:r>
        <w:rPr>
          <w:rFonts w:hint="eastAsia" w:ascii="仿宋_GB2312" w:hAnsi="仿宋" w:eastAsia="仿宋_GB2312"/>
          <w:sz w:val="24"/>
          <w:szCs w:val="24"/>
          <w:highlight w:val="none"/>
          <w:lang w:eastAsia="zh-CN"/>
        </w:rPr>
        <w:t>》（</w:t>
      </w:r>
      <w:r>
        <w:rPr>
          <w:rFonts w:hint="eastAsia" w:ascii="仿宋_GB2312" w:hAnsi="仿宋" w:eastAsia="仿宋_GB2312"/>
          <w:sz w:val="24"/>
          <w:szCs w:val="24"/>
          <w:highlight w:val="none"/>
          <w:lang w:val="en-US" w:eastAsia="zh-CN"/>
        </w:rPr>
        <w:t>GB50119-2013</w:t>
      </w:r>
      <w:r>
        <w:rPr>
          <w:rFonts w:hint="eastAsia" w:ascii="仿宋_GB2312" w:hAnsi="仿宋" w:eastAsia="仿宋_GB2312"/>
          <w:sz w:val="24"/>
          <w:szCs w:val="24"/>
          <w:highlight w:val="none"/>
          <w:lang w:eastAsia="zh-CN"/>
        </w:rPr>
        <w:t>）</w:t>
      </w:r>
    </w:p>
    <w:p w14:paraId="2C347D18">
      <w:pPr>
        <w:ind w:firstLine="480" w:firstLineChars="200"/>
        <w:rPr>
          <w:rFonts w:hint="eastAsia" w:ascii="仿宋_GB2312" w:hAnsi="仿宋" w:eastAsia="仿宋_GB2312"/>
          <w:sz w:val="24"/>
          <w:szCs w:val="24"/>
          <w:highlight w:val="none"/>
          <w:lang w:eastAsia="zh-CN"/>
        </w:rPr>
      </w:pPr>
      <w:r>
        <w:rPr>
          <w:rFonts w:hint="eastAsia" w:ascii="仿宋_GB2312" w:hAnsi="仿宋" w:eastAsia="仿宋_GB2312"/>
          <w:sz w:val="24"/>
          <w:szCs w:val="24"/>
          <w:highlight w:val="none"/>
          <w:lang w:eastAsia="zh-CN"/>
        </w:rPr>
        <w:t>《</w:t>
      </w:r>
      <w:r>
        <w:rPr>
          <w:rFonts w:hint="eastAsia" w:ascii="仿宋_GB2312" w:hAnsi="仿宋" w:eastAsia="仿宋_GB2312"/>
          <w:sz w:val="24"/>
          <w:szCs w:val="24"/>
          <w:highlight w:val="none"/>
          <w:lang w:val="en-US" w:eastAsia="zh-CN"/>
        </w:rPr>
        <w:t>混凝土结构通用规范</w:t>
      </w:r>
      <w:r>
        <w:rPr>
          <w:rFonts w:hint="eastAsia" w:ascii="仿宋_GB2312" w:hAnsi="仿宋" w:eastAsia="仿宋_GB2312"/>
          <w:sz w:val="24"/>
          <w:szCs w:val="24"/>
          <w:highlight w:val="none"/>
          <w:lang w:eastAsia="zh-CN"/>
        </w:rPr>
        <w:t>》（</w:t>
      </w:r>
      <w:r>
        <w:rPr>
          <w:rFonts w:hint="eastAsia" w:ascii="仿宋_GB2312" w:hAnsi="仿宋" w:eastAsia="仿宋_GB2312"/>
          <w:sz w:val="24"/>
          <w:szCs w:val="24"/>
          <w:highlight w:val="none"/>
          <w:lang w:val="en-US" w:eastAsia="zh-CN"/>
        </w:rPr>
        <w:t>GB55008-2021</w:t>
      </w:r>
      <w:r>
        <w:rPr>
          <w:rFonts w:hint="eastAsia" w:ascii="仿宋_GB2312" w:hAnsi="仿宋" w:eastAsia="仿宋_GB2312"/>
          <w:sz w:val="24"/>
          <w:szCs w:val="24"/>
          <w:highlight w:val="none"/>
          <w:lang w:eastAsia="zh-CN"/>
        </w:rPr>
        <w:t>）</w:t>
      </w:r>
    </w:p>
    <w:p w14:paraId="7FCBDBFC">
      <w:pPr>
        <w:ind w:firstLine="480" w:firstLineChars="200"/>
        <w:rPr>
          <w:rFonts w:hint="eastAsia" w:ascii="仿宋_GB2312" w:hAnsi="仿宋" w:eastAsia="仿宋_GB2312"/>
          <w:sz w:val="24"/>
          <w:szCs w:val="24"/>
          <w:highlight w:val="none"/>
          <w:lang w:val="en-US" w:eastAsia="zh-CN"/>
        </w:rPr>
      </w:pPr>
      <w:r>
        <w:rPr>
          <w:rFonts w:hint="eastAsia" w:ascii="仿宋_GB2312" w:hAnsi="仿宋" w:eastAsia="仿宋_GB2312"/>
          <w:sz w:val="24"/>
          <w:szCs w:val="24"/>
          <w:highlight w:val="none"/>
          <w:lang w:val="en-US" w:eastAsia="zh-CN"/>
        </w:rPr>
        <w:t>《混凝土异形柱设计规程》（JGJ149-2017)</w:t>
      </w:r>
    </w:p>
    <w:p w14:paraId="0FDADFAE">
      <w:pPr>
        <w:ind w:firstLine="480" w:firstLineChars="200"/>
        <w:rPr>
          <w:rFonts w:hint="eastAsia" w:ascii="仿宋_GB2312" w:hAnsi="仿宋" w:eastAsia="仿宋_GB2312"/>
          <w:sz w:val="24"/>
          <w:szCs w:val="24"/>
          <w:highlight w:val="none"/>
          <w:lang w:val="en-US" w:eastAsia="zh-CN"/>
        </w:rPr>
      </w:pPr>
      <w:r>
        <w:rPr>
          <w:rFonts w:hint="eastAsia" w:ascii="仿宋_GB2312" w:hAnsi="仿宋" w:eastAsia="仿宋_GB2312"/>
          <w:sz w:val="24"/>
          <w:szCs w:val="24"/>
          <w:highlight w:val="none"/>
          <w:lang w:val="en-US" w:eastAsia="zh-CN"/>
        </w:rPr>
        <w:t>《工程结构通用规范》（GB55001-2021）</w:t>
      </w:r>
    </w:p>
    <w:p w14:paraId="2632BC6B">
      <w:pPr>
        <w:ind w:firstLine="480" w:firstLineChars="200"/>
        <w:rPr>
          <w:rFonts w:hint="eastAsia" w:ascii="仿宋_GB2312" w:hAnsi="仿宋" w:eastAsia="仿宋_GB2312"/>
          <w:sz w:val="24"/>
          <w:szCs w:val="24"/>
          <w:highlight w:val="none"/>
          <w:lang w:val="en-US" w:eastAsia="zh-CN"/>
        </w:rPr>
      </w:pPr>
      <w:r>
        <w:rPr>
          <w:rFonts w:hint="eastAsia" w:ascii="仿宋_GB2312" w:hAnsi="仿宋" w:eastAsia="仿宋_GB2312"/>
          <w:sz w:val="24"/>
          <w:szCs w:val="24"/>
          <w:highlight w:val="none"/>
          <w:lang w:val="en-US" w:eastAsia="zh-CN"/>
        </w:rPr>
        <w:t>《高层建筑混凝土结构技术规程》（JGJ3-2010）</w:t>
      </w:r>
    </w:p>
    <w:p w14:paraId="75BBF229">
      <w:pPr>
        <w:ind w:firstLine="480" w:firstLineChars="200"/>
        <w:rPr>
          <w:rFonts w:hint="eastAsia" w:ascii="仿宋_GB2312" w:hAnsi="仿宋" w:eastAsia="仿宋_GB2312"/>
          <w:sz w:val="24"/>
          <w:szCs w:val="24"/>
          <w:highlight w:val="none"/>
          <w:lang w:val="en-US" w:eastAsia="zh-CN"/>
        </w:rPr>
      </w:pPr>
      <w:r>
        <w:rPr>
          <w:rFonts w:hint="eastAsia" w:ascii="仿宋_GB2312" w:hAnsi="仿宋" w:eastAsia="仿宋_GB2312"/>
          <w:sz w:val="24"/>
          <w:szCs w:val="24"/>
          <w:highlight w:val="none"/>
          <w:lang w:val="en-US" w:eastAsia="zh-CN"/>
        </w:rPr>
        <w:t>《建筑与市政工程抗震通用规范》（GB55002-2021）</w:t>
      </w:r>
    </w:p>
    <w:p w14:paraId="35FB6ADA">
      <w:pPr>
        <w:ind w:firstLine="480" w:firstLineChars="200"/>
        <w:rPr>
          <w:rFonts w:hint="eastAsia" w:ascii="仿宋_GB2312" w:hAnsi="仿宋" w:eastAsia="仿宋_GB2312"/>
          <w:sz w:val="24"/>
          <w:szCs w:val="24"/>
          <w:highlight w:val="none"/>
          <w:lang w:val="en-US" w:eastAsia="zh-CN"/>
        </w:rPr>
      </w:pPr>
      <w:r>
        <w:rPr>
          <w:rFonts w:hint="eastAsia" w:ascii="仿宋_GB2312" w:hAnsi="仿宋" w:eastAsia="仿宋_GB2312"/>
          <w:sz w:val="24"/>
          <w:szCs w:val="24"/>
          <w:highlight w:val="none"/>
          <w:lang w:val="en-US" w:eastAsia="zh-CN"/>
        </w:rPr>
        <w:t>《建筑与市政地基基础通用规范》（GB55003-2021）</w:t>
      </w:r>
    </w:p>
    <w:p w14:paraId="15D36157">
      <w:pPr>
        <w:ind w:firstLine="480" w:firstLineChars="200"/>
        <w:rPr>
          <w:rFonts w:hint="default" w:ascii="仿宋_GB2312" w:hAnsi="仿宋" w:eastAsia="仿宋_GB2312"/>
          <w:sz w:val="24"/>
          <w:szCs w:val="24"/>
          <w:highlight w:val="none"/>
          <w:lang w:val="en-US" w:eastAsia="zh-CN"/>
        </w:rPr>
      </w:pPr>
      <w:r>
        <w:rPr>
          <w:rFonts w:hint="eastAsia" w:ascii="仿宋_GB2312" w:hAnsi="仿宋" w:eastAsia="仿宋_GB2312"/>
          <w:sz w:val="24"/>
          <w:szCs w:val="24"/>
          <w:highlight w:val="none"/>
          <w:lang w:val="en-US" w:eastAsia="zh-CN"/>
        </w:rPr>
        <w:t>《建筑地基基础工程施工质量验收标准》（GB50202-2018）</w:t>
      </w:r>
    </w:p>
    <w:p w14:paraId="6F3FDC30">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《通用硅酸盐水泥》 (GB 175-2007/XG1-2009)</w:t>
      </w:r>
    </w:p>
    <w:p w14:paraId="2379E434">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《普通混凝土用砂、石质量及检验方法标准》 (JGJ52-2006)</w:t>
      </w:r>
    </w:p>
    <w:p w14:paraId="272BF0D0">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《预拌混凝土》(GB/T 14902-2012)</w:t>
      </w:r>
    </w:p>
    <w:p w14:paraId="523FBD21">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《混凝土泵送施工技术规程》（JGJ/T10-2011）</w:t>
      </w:r>
    </w:p>
    <w:p w14:paraId="08680D55">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《建筑工程冬期施工规程》（JGJ/T104-2011）</w:t>
      </w:r>
    </w:p>
    <w:p w14:paraId="430AFC56">
      <w:pPr>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《用于水泥和混凝土中的粉煤灰》 (GB/T1596-2017)</w:t>
      </w:r>
    </w:p>
    <w:p w14:paraId="3F2B19C2">
      <w:pPr>
        <w:ind w:firstLine="480" w:firstLineChars="200"/>
        <w:rPr>
          <w:rFonts w:hint="eastAsia" w:ascii="仿宋_GB2312" w:hAnsi="仿宋" w:eastAsia="仿宋_GB2312"/>
          <w:sz w:val="24"/>
          <w:szCs w:val="24"/>
          <w:highlight w:val="none"/>
        </w:rPr>
      </w:pPr>
      <w:r>
        <w:rPr>
          <w:rFonts w:hint="eastAsia" w:ascii="仿宋_GB2312" w:hAnsi="仿宋" w:eastAsia="仿宋_GB2312"/>
          <w:sz w:val="24"/>
          <w:szCs w:val="24"/>
          <w:highlight w:val="none"/>
        </w:rPr>
        <w:t>《普通混凝土力学性能试验方法标准》（GB/T50081-2002）</w:t>
      </w:r>
    </w:p>
    <w:p w14:paraId="3EC60EC3">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《纤维混凝土应用技术规程》（JGJ/T221-2010）</w:t>
      </w:r>
    </w:p>
    <w:p w14:paraId="27535CB3">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《水泥混凝土和砂浆用合成纤维》（GB/T21120-2007）</w:t>
      </w:r>
    </w:p>
    <w:p w14:paraId="781F5D36">
      <w:pPr>
        <w:ind w:firstLine="480" w:firstLineChars="200"/>
        <w:rPr>
          <w:rFonts w:ascii="仿宋_GB2312" w:hAnsi="仿宋" w:eastAsia="仿宋_GB2312"/>
          <w:sz w:val="24"/>
          <w:szCs w:val="24"/>
          <w:highlight w:val="none"/>
        </w:rPr>
      </w:pPr>
      <w:r>
        <w:rPr>
          <w:rFonts w:hint="eastAsia" w:ascii="宋体" w:hAnsi="宋体" w:eastAsia="宋体" w:cs="宋体"/>
          <w:b w:val="0"/>
          <w:bCs w:val="0"/>
          <w:sz w:val="24"/>
          <w:szCs w:val="24"/>
          <w:lang w:val="en-US" w:eastAsia="zh-CN"/>
        </w:rPr>
        <w:t>《混凝土膨胀剂》（GB/T23439-2017）</w:t>
      </w:r>
      <w:permEnd w:id="36"/>
    </w:p>
    <w:p w14:paraId="17B8591B">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.4产品有关参数要求：</w:t>
      </w:r>
    </w:p>
    <w:p w14:paraId="3414D50A">
      <w:pPr>
        <w:pStyle w:val="3"/>
        <w:keepNext w:val="0"/>
        <w:keepLines w:val="0"/>
        <w:tabs>
          <w:tab w:val="left" w:pos="567"/>
        </w:tabs>
        <w:spacing w:before="0" w:line="240" w:lineRule="auto"/>
        <w:ind w:firstLine="482" w:firstLineChars="200"/>
        <w:rPr>
          <w:rFonts w:ascii="仿宋_GB2312" w:hAnsi="仿宋" w:eastAsia="仿宋_GB2312"/>
          <w:sz w:val="24"/>
          <w:szCs w:val="24"/>
          <w:highlight w:val="none"/>
        </w:rPr>
      </w:pPr>
      <w:permStart w:id="37" w:edGrp="everyone"/>
      <w:r>
        <w:rPr>
          <w:rFonts w:ascii="仿宋_GB2312" w:hAnsi="仿宋" w:eastAsia="仿宋_GB2312"/>
          <w:sz w:val="24"/>
          <w:szCs w:val="24"/>
          <w:highlight w:val="none"/>
        </w:rPr>
        <w:t>1</w:t>
      </w:r>
      <w:r>
        <w:rPr>
          <w:rFonts w:hint="eastAsia" w:ascii="仿宋_GB2312" w:hAnsi="仿宋" w:eastAsia="仿宋_GB2312"/>
          <w:sz w:val="24"/>
          <w:szCs w:val="24"/>
          <w:highlight w:val="none"/>
        </w:rPr>
        <w:t>.4.1技术要求：</w:t>
      </w:r>
      <w:r>
        <w:rPr>
          <w:rFonts w:hint="eastAsia" w:ascii="仿宋_GB2312" w:hAnsi="仿宋" w:eastAsia="仿宋_GB2312"/>
          <w:b w:val="0"/>
          <w:bCs w:val="0"/>
          <w:sz w:val="24"/>
          <w:szCs w:val="24"/>
          <w:highlight w:val="none"/>
        </w:rPr>
        <w:t>满足《混凝土结构设计规范》（GB50010-2010）、《地铁设计规范》（GB50157-2013）、《混凝土结构耐久性设计规范》（GB/T50476-2008）、工程设计图纸以及其他国家、</w:t>
      </w:r>
      <w:r>
        <w:rPr>
          <w:rFonts w:hint="eastAsia" w:ascii="仿宋_GB2312" w:hAnsi="仿宋" w:eastAsia="仿宋_GB2312"/>
          <w:b w:val="0"/>
          <w:bCs w:val="0"/>
          <w:color w:val="auto"/>
          <w:sz w:val="24"/>
          <w:szCs w:val="24"/>
          <w:highlight w:val="none"/>
          <w:u w:val="single"/>
        </w:rPr>
        <w:t xml:space="preserve"> </w:t>
      </w:r>
      <w:r>
        <w:rPr>
          <w:rFonts w:hint="eastAsia" w:ascii="仿宋_GB2312" w:hAnsi="仿宋" w:eastAsia="仿宋_GB2312"/>
          <w:b w:val="0"/>
          <w:bCs w:val="0"/>
          <w:color w:val="auto"/>
          <w:sz w:val="24"/>
          <w:szCs w:val="24"/>
          <w:highlight w:val="none"/>
          <w:u w:val="single"/>
          <w:lang w:val="en-US" w:eastAsia="zh-CN"/>
        </w:rPr>
        <w:t>日照市</w:t>
      </w:r>
      <w:r>
        <w:rPr>
          <w:rFonts w:hint="eastAsia" w:ascii="仿宋_GB2312" w:hAnsi="仿宋" w:eastAsia="仿宋_GB2312"/>
          <w:b w:val="0"/>
          <w:bCs w:val="0"/>
          <w:color w:val="auto"/>
          <w:sz w:val="24"/>
          <w:szCs w:val="24"/>
          <w:highlight w:val="none"/>
          <w:u w:val="single"/>
        </w:rPr>
        <w:t xml:space="preserve"> </w:t>
      </w:r>
      <w:r>
        <w:rPr>
          <w:rFonts w:hint="eastAsia" w:ascii="仿宋_GB2312" w:hAnsi="仿宋" w:eastAsia="仿宋_GB2312"/>
          <w:b w:val="0"/>
          <w:bCs w:val="0"/>
          <w:color w:val="auto"/>
          <w:sz w:val="24"/>
          <w:szCs w:val="24"/>
          <w:highlight w:val="none"/>
        </w:rPr>
        <w:t>（市）</w:t>
      </w:r>
      <w:r>
        <w:rPr>
          <w:rFonts w:hint="eastAsia" w:ascii="仿宋_GB2312" w:hAnsi="仿宋" w:eastAsia="仿宋_GB2312"/>
          <w:b w:val="0"/>
          <w:bCs w:val="0"/>
          <w:sz w:val="24"/>
          <w:szCs w:val="24"/>
          <w:highlight w:val="none"/>
        </w:rPr>
        <w:t>有关部门及建设单位颁布的关于产品供应的现行规范、标准、规程或规定等。</w:t>
      </w:r>
    </w:p>
    <w:p w14:paraId="491C9F44">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4.2抗渗要求：</w:t>
      </w:r>
      <w:r>
        <w:rPr>
          <w:rFonts w:hint="eastAsia" w:ascii="仿宋_GB2312" w:hAnsi="仿宋" w:eastAsia="仿宋_GB2312"/>
          <w:b w:val="0"/>
          <w:bCs w:val="0"/>
          <w:sz w:val="24"/>
          <w:szCs w:val="24"/>
          <w:highlight w:val="none"/>
        </w:rPr>
        <w:t>抗渗剂材料，严格按照工程设计图纸要求执行，应满足相关规范、标准及建设单位规定的要求。</w:t>
      </w:r>
    </w:p>
    <w:p w14:paraId="79FE1302">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.4.3混凝土拌和物的最高温度及最低温度：</w:t>
      </w:r>
      <w:r>
        <w:rPr>
          <w:rFonts w:hint="eastAsia" w:ascii="仿宋_GB2312" w:hAnsi="仿宋" w:eastAsia="仿宋_GB2312"/>
          <w:b w:val="0"/>
          <w:bCs w:val="0"/>
          <w:sz w:val="24"/>
          <w:szCs w:val="24"/>
          <w:highlight w:val="none"/>
        </w:rPr>
        <w:t>高温季节拌制混凝土时，应综合控制原材料的温度、搅拌站卸料开始到浇筑完毕的延续时间，混凝土的入模温度不宜超过25℃。但冬季施工时，按冬施施工规程执行，最低不得低于5℃。</w:t>
      </w:r>
    </w:p>
    <w:p w14:paraId="482B680B">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w:t>
      </w:r>
      <w:r>
        <w:rPr>
          <w:rFonts w:ascii="仿宋_GB2312" w:hAnsi="仿宋" w:eastAsia="仿宋_GB2312"/>
          <w:sz w:val="24"/>
          <w:szCs w:val="24"/>
          <w:highlight w:val="none"/>
        </w:rPr>
        <w:t>4</w:t>
      </w:r>
      <w:r>
        <w:rPr>
          <w:rFonts w:hint="eastAsia" w:ascii="仿宋_GB2312" w:hAnsi="仿宋" w:eastAsia="仿宋_GB2312"/>
          <w:sz w:val="24"/>
          <w:szCs w:val="24"/>
          <w:highlight w:val="none"/>
        </w:rPr>
        <w:t>坍落度要求：</w:t>
      </w:r>
      <w:r>
        <w:rPr>
          <w:rFonts w:hint="eastAsia" w:ascii="仿宋_GB2312" w:hAnsi="仿宋" w:eastAsia="仿宋_GB2312"/>
          <w:b w:val="0"/>
          <w:bCs w:val="0"/>
          <w:sz w:val="24"/>
          <w:szCs w:val="24"/>
          <w:highlight w:val="none"/>
        </w:rPr>
        <w:t>施工用混凝土坍落度，应严格按照工程设计图纸要求执行，外加剂材料及使用，应满足</w:t>
      </w:r>
      <w:r>
        <w:rPr>
          <w:rFonts w:hint="eastAsia" w:ascii="仿宋_GB2312" w:hAnsi="仿宋" w:eastAsia="仿宋_GB2312"/>
          <w:b w:val="0"/>
          <w:bCs w:val="0"/>
          <w:sz w:val="24"/>
          <w:szCs w:val="24"/>
          <w:highlight w:val="none"/>
          <w:lang w:val="en-US" w:eastAsia="zh-CN"/>
        </w:rPr>
        <w:t>1</w:t>
      </w:r>
      <w:r>
        <w:rPr>
          <w:rFonts w:hint="eastAsia" w:ascii="仿宋_GB2312" w:hAnsi="仿宋" w:eastAsia="仿宋_GB2312"/>
          <w:b w:val="0"/>
          <w:bCs w:val="0"/>
          <w:sz w:val="24"/>
          <w:szCs w:val="24"/>
          <w:highlight w:val="none"/>
        </w:rPr>
        <w:t>.3条及相关规范、标准及建设单位规定的要求。</w:t>
      </w:r>
    </w:p>
    <w:p w14:paraId="648104F0">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.5产品原材料要求：</w:t>
      </w:r>
      <w:r>
        <w:rPr>
          <w:rFonts w:hint="eastAsia" w:ascii="仿宋_GB2312" w:hAnsi="仿宋" w:eastAsia="仿宋_GB2312"/>
          <w:b w:val="0"/>
          <w:bCs w:val="0"/>
          <w:sz w:val="24"/>
          <w:szCs w:val="24"/>
          <w:highlight w:val="none"/>
        </w:rPr>
        <w:t>所有原材料（水泥、骨料、外加剂、水泥掺合料以及其它辅助材料等）必须符合本合同第</w:t>
      </w:r>
      <w:r>
        <w:rPr>
          <w:rFonts w:hint="eastAsia" w:ascii="仿宋_GB2312" w:hAnsi="仿宋" w:eastAsia="仿宋_GB2312"/>
          <w:b w:val="0"/>
          <w:bCs w:val="0"/>
          <w:sz w:val="24"/>
          <w:szCs w:val="24"/>
          <w:highlight w:val="none"/>
          <w:lang w:val="en-US" w:eastAsia="zh-CN"/>
        </w:rPr>
        <w:t>1</w:t>
      </w:r>
      <w:r>
        <w:rPr>
          <w:rFonts w:hint="eastAsia" w:ascii="仿宋_GB2312" w:hAnsi="仿宋" w:eastAsia="仿宋_GB2312"/>
          <w:b w:val="0"/>
          <w:bCs w:val="0"/>
          <w:sz w:val="24"/>
          <w:szCs w:val="24"/>
          <w:highlight w:val="none"/>
        </w:rPr>
        <w:t>.3条中相应的规范、规定、标准及</w:t>
      </w:r>
      <w:r>
        <w:rPr>
          <w:rFonts w:hint="eastAsia" w:ascii="仿宋_GB2312" w:hAnsi="仿宋" w:eastAsia="仿宋_GB2312"/>
          <w:b w:val="0"/>
          <w:bCs w:val="0"/>
          <w:color w:val="auto"/>
          <w:sz w:val="24"/>
          <w:szCs w:val="24"/>
          <w:highlight w:val="none"/>
          <w:u w:val="single"/>
        </w:rPr>
        <w:t xml:space="preserve"> </w:t>
      </w:r>
      <w:r>
        <w:rPr>
          <w:rFonts w:hint="eastAsia" w:ascii="仿宋_GB2312" w:hAnsi="仿宋" w:eastAsia="仿宋_GB2312"/>
          <w:b w:val="0"/>
          <w:bCs w:val="0"/>
          <w:color w:val="auto"/>
          <w:sz w:val="24"/>
          <w:szCs w:val="24"/>
          <w:highlight w:val="none"/>
          <w:u w:val="single"/>
          <w:lang w:val="en-US" w:eastAsia="zh-CN"/>
        </w:rPr>
        <w:t>日照市</w:t>
      </w:r>
      <w:r>
        <w:rPr>
          <w:rFonts w:hint="eastAsia" w:ascii="仿宋_GB2312" w:hAnsi="仿宋" w:eastAsia="仿宋_GB2312"/>
          <w:b w:val="0"/>
          <w:bCs w:val="0"/>
          <w:color w:val="auto"/>
          <w:sz w:val="24"/>
          <w:szCs w:val="24"/>
          <w:highlight w:val="none"/>
          <w:u w:val="single"/>
        </w:rPr>
        <w:t xml:space="preserve"> </w:t>
      </w:r>
      <w:r>
        <w:rPr>
          <w:rFonts w:hint="eastAsia" w:ascii="仿宋_GB2312" w:hAnsi="仿宋" w:eastAsia="仿宋_GB2312"/>
          <w:b w:val="0"/>
          <w:bCs w:val="0"/>
          <w:color w:val="auto"/>
          <w:sz w:val="24"/>
          <w:szCs w:val="24"/>
          <w:highlight w:val="none"/>
        </w:rPr>
        <w:t>（市）</w:t>
      </w:r>
      <w:r>
        <w:rPr>
          <w:rFonts w:hint="eastAsia" w:ascii="仿宋_GB2312" w:hAnsi="仿宋" w:eastAsia="仿宋_GB2312"/>
          <w:b w:val="0"/>
          <w:bCs w:val="0"/>
          <w:sz w:val="24"/>
          <w:szCs w:val="24"/>
          <w:highlight w:val="none"/>
        </w:rPr>
        <w:t>有关规范、规定、标准。</w:t>
      </w:r>
    </w:p>
    <w:p w14:paraId="0EAAAB21">
      <w:pPr>
        <w:pStyle w:val="19"/>
        <w:spacing w:before="0" w:beforeLines="0"/>
        <w:ind w:firstLine="482"/>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机制砂、混合砂、再生骨料等非传统原材料限制使用。</w:t>
      </w:r>
    </w:p>
    <w:p w14:paraId="2500BE42">
      <w:pPr>
        <w:pStyle w:val="19"/>
        <w:spacing w:before="0" w:beforeLines="0"/>
        <w:ind w:firstLine="482"/>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未经有效净化的海砂、钢渣等危害材料禁止使用。</w:t>
      </w:r>
    </w:p>
    <w:p w14:paraId="19DCA6F1">
      <w:pPr>
        <w:pStyle w:val="3"/>
        <w:keepNext w:val="0"/>
        <w:keepLines w:val="0"/>
        <w:tabs>
          <w:tab w:val="left" w:pos="567"/>
        </w:tabs>
        <w:spacing w:before="0" w:line="240" w:lineRule="auto"/>
        <w:ind w:firstLine="482" w:firstLineChars="200"/>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.5.1水泥：</w:t>
      </w:r>
      <w:r>
        <w:rPr>
          <w:rFonts w:hint="eastAsia" w:ascii="仿宋_GB2312" w:hAnsi="仿宋" w:eastAsia="仿宋_GB2312"/>
          <w:b w:val="0"/>
          <w:bCs w:val="0"/>
          <w:sz w:val="24"/>
          <w:szCs w:val="24"/>
          <w:highlight w:val="none"/>
        </w:rPr>
        <w:t>配制耐久混凝土的水泥可采用硅酸盐水泥、普通硅酸盐水泥或矿渣硅酸盐水泥。不论骨料是否具有活性，水泥的含碱量（等效Na2O）均不宜超过水泥重的0.6%。在配制混凝土所用的各种原材料的氯离子含量分别不应超过胶凝材料重量的0.1%和0.06%。水泥必须保证同一厂家、同一品牌、同一强度等级产品。水泥存储超过三个月后，应重新进行物理性能检验，并按复验的结果使用，但不能用于结构的重要部位。</w:t>
      </w:r>
    </w:p>
    <w:p w14:paraId="02702DCD">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.5.2矿物掺合料：</w:t>
      </w:r>
      <w:r>
        <w:rPr>
          <w:rFonts w:hint="eastAsia" w:ascii="仿宋_GB2312" w:hAnsi="仿宋" w:eastAsia="仿宋_GB2312"/>
          <w:b w:val="0"/>
          <w:bCs w:val="0"/>
          <w:sz w:val="24"/>
          <w:szCs w:val="24"/>
          <w:highlight w:val="none"/>
        </w:rPr>
        <w:t>配制耐久性混凝土所用的粉煤灰应选用来料均匀、各项性能指标稳定的一级或二级灰。粉煤灰的烧失量应尽可能低并不大于4%，三氧化硫含量不大于3%，不宜超过在满足强度需要的前提下，粉煤灰掺量30%。磨细的粒化高炉矿渣的比表面积不宜小于3500cm2/g，但过高的细度也不利于控制水化热和混凝土的防裂。</w:t>
      </w:r>
    </w:p>
    <w:p w14:paraId="3510C07C">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.5.3粗细骨料：</w:t>
      </w:r>
      <w:r>
        <w:rPr>
          <w:rFonts w:hint="eastAsia" w:ascii="仿宋_GB2312" w:hAnsi="仿宋" w:eastAsia="仿宋_GB2312"/>
          <w:b w:val="0"/>
          <w:bCs w:val="0"/>
          <w:sz w:val="24"/>
          <w:szCs w:val="24"/>
          <w:highlight w:val="none"/>
        </w:rPr>
        <w:t>质地均匀坚固，粒形和级配良好，空隙率小（粗骨料堆积密度一般大于1500kg/m3，对较致密石子如石灰岩大于1600kg/m3，即空隙率约不超过40%，对不同细度模数的砂子，控制5mm、0.63mm和0.16mm筛的累计筛余量 分别为0~5%、40~70%和≥95%）粗骨料的压碎指标不大于10%，吸水率不大于2%。对于可能处于干湿循环下的混凝土，粗、细骨料中的含泥量应分别低于0.7%和1%，粗细骨料中的水溶性氯化物折合氯离子含量应均不超过骨料重的0.2%，硫酸盐和硫化物中的SO3离子含量应均不超过骨料重的0.5%。外加剂中的氯离子含量不得大于混凝土中胶凝材料重量的0.02%，高效减水剂中的硫酸钠含量不大于减水剂干重的15%。对于可能处于潮湿环境的砼，当砼中含碱量不明时，不得采用有潜在活性的骨料。如因条件所限制抑制碱骨料反应的可靠措施并通过专门的检测和论证。</w:t>
      </w:r>
    </w:p>
    <w:p w14:paraId="6922037C">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.5.4混凝土外加剂（包括抗裂防水剂）：</w:t>
      </w:r>
      <w:r>
        <w:rPr>
          <w:rFonts w:hint="eastAsia" w:ascii="仿宋_GB2312" w:hAnsi="仿宋" w:eastAsia="仿宋_GB2312"/>
          <w:b w:val="0"/>
          <w:bCs w:val="0"/>
          <w:sz w:val="24"/>
          <w:szCs w:val="24"/>
          <w:highlight w:val="none"/>
        </w:rPr>
        <w:t>砼的化学外加剂及其使用应符合以下要求：各种外加剂应有厂商提供的推荐掺量与相应减水率，主要成分（包括复合组分）的化学名称，氯离子含量百分比，含碱量，以及施工中必要的注意事项如超量或欠量使用时的有害影响，掺和方法和成功的使用证明等。当砼使用各种外加剂时，应事先测定它们之间的相溶性。混凝土外加剂必须选用符合国家政府部门及建设单位所规定批准使用的品种和生产厂家，使用前应得到买方的认可。</w:t>
      </w:r>
    </w:p>
    <w:p w14:paraId="0D408E66">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.6产品质量要求：</w:t>
      </w:r>
    </w:p>
    <w:p w14:paraId="3EF51DDA">
      <w:pPr>
        <w:pStyle w:val="3"/>
        <w:keepNext w:val="0"/>
        <w:keepLines w:val="0"/>
        <w:tabs>
          <w:tab w:val="left" w:pos="567"/>
        </w:tabs>
        <w:spacing w:before="0" w:line="240" w:lineRule="auto"/>
        <w:ind w:firstLine="482" w:firstLineChars="200"/>
        <w:rPr>
          <w:rFonts w:hint="eastAsia" w:ascii="仿宋_GB2312" w:hAnsi="仿宋" w:eastAsia="仿宋_GB2312"/>
          <w:sz w:val="24"/>
          <w:szCs w:val="24"/>
          <w:highlight w:val="none"/>
          <w:lang w:eastAsia="zh-CN"/>
        </w:rPr>
      </w:pPr>
      <w:r>
        <w:rPr>
          <w:rFonts w:ascii="仿宋_GB2312" w:hAnsi="仿宋" w:eastAsia="仿宋_GB2312"/>
          <w:sz w:val="24"/>
          <w:szCs w:val="24"/>
          <w:highlight w:val="none"/>
        </w:rPr>
        <w:t>1</w:t>
      </w:r>
      <w:r>
        <w:rPr>
          <w:rFonts w:hint="eastAsia" w:ascii="仿宋_GB2312" w:hAnsi="仿宋" w:eastAsia="仿宋_GB2312"/>
          <w:sz w:val="24"/>
          <w:szCs w:val="24"/>
          <w:highlight w:val="none"/>
        </w:rPr>
        <w:t>.6.1</w:t>
      </w:r>
      <w:r>
        <w:rPr>
          <w:rFonts w:hint="eastAsia" w:ascii="仿宋_GB2312" w:hAnsi="仿宋" w:eastAsia="仿宋_GB2312"/>
          <w:b w:val="0"/>
          <w:bCs w:val="0"/>
          <w:sz w:val="24"/>
          <w:szCs w:val="24"/>
          <w:highlight w:val="none"/>
        </w:rPr>
        <w:t>符合国家规定的质量标准、一次合格率100%</w:t>
      </w:r>
      <w:r>
        <w:rPr>
          <w:rFonts w:hint="eastAsia" w:ascii="仿宋_GB2312" w:hAnsi="仿宋" w:eastAsia="仿宋_GB2312"/>
          <w:b w:val="0"/>
          <w:bCs w:val="0"/>
          <w:sz w:val="24"/>
          <w:szCs w:val="24"/>
          <w:highlight w:val="none"/>
          <w:lang w:eastAsia="zh-CN"/>
        </w:rPr>
        <w:t>。</w:t>
      </w:r>
    </w:p>
    <w:p w14:paraId="7FA6FAC9">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.6.2混凝土配合比：</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方根据所选出的原材料及外加剂、掺和料等，依据本合同第</w:t>
      </w:r>
      <w:r>
        <w:rPr>
          <w:rFonts w:hint="eastAsia" w:ascii="仿宋_GB2312" w:hAnsi="仿宋" w:eastAsia="仿宋_GB2312"/>
          <w:b w:val="0"/>
          <w:bCs w:val="0"/>
          <w:sz w:val="24"/>
          <w:szCs w:val="24"/>
          <w:highlight w:val="none"/>
          <w:lang w:val="en-US" w:eastAsia="zh-CN"/>
        </w:rPr>
        <w:t>1</w:t>
      </w:r>
      <w:r>
        <w:rPr>
          <w:rFonts w:hint="eastAsia" w:ascii="仿宋_GB2312" w:hAnsi="仿宋" w:eastAsia="仿宋_GB2312"/>
          <w:b w:val="0"/>
          <w:bCs w:val="0"/>
          <w:sz w:val="24"/>
          <w:szCs w:val="24"/>
          <w:highlight w:val="none"/>
        </w:rPr>
        <w:t>.3条中有关的规范、规定、标准进行混凝土试配，得出优化配合比。</w:t>
      </w:r>
    </w:p>
    <w:p w14:paraId="4BA28548">
      <w:pPr>
        <w:pStyle w:val="3"/>
        <w:keepNext w:val="0"/>
        <w:keepLines w:val="0"/>
        <w:tabs>
          <w:tab w:val="left" w:pos="567"/>
        </w:tabs>
        <w:spacing w:before="0" w:line="240" w:lineRule="auto"/>
        <w:ind w:firstLine="480" w:firstLineChars="200"/>
        <w:rPr>
          <w:rFonts w:ascii="仿宋_GB2312" w:hAnsi="仿宋" w:eastAsia="仿宋_GB2312"/>
          <w:sz w:val="24"/>
          <w:szCs w:val="24"/>
          <w:highlight w:val="none"/>
        </w:rPr>
      </w:pPr>
      <w:r>
        <w:rPr>
          <w:rFonts w:hint="eastAsia" w:ascii="仿宋_GB2312" w:hAnsi="仿宋" w:eastAsia="仿宋_GB2312"/>
          <w:b w:val="0"/>
          <w:bCs w:val="0"/>
          <w:sz w:val="24"/>
          <w:szCs w:val="24"/>
          <w:highlight w:val="none"/>
        </w:rPr>
        <w:t>当出现下列情况之一时，卖方应对混凝土配合比重新设计：</w:t>
      </w:r>
    </w:p>
    <w:p w14:paraId="7BACEF5F">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（1）原材料的生产厂家或品种有变化时；</w:t>
      </w:r>
    </w:p>
    <w:p w14:paraId="124BEB1C">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（2）该配合比的混凝土生产间断半年以上；</w:t>
      </w:r>
    </w:p>
    <w:p w14:paraId="6A814985">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（3）</w:t>
      </w:r>
      <w:r>
        <w:rPr>
          <w:rFonts w:hint="eastAsia" w:ascii="仿宋_GB2312" w:hAnsi="仿宋" w:eastAsia="仿宋_GB2312"/>
          <w:sz w:val="24"/>
          <w:szCs w:val="24"/>
          <w:highlight w:val="none"/>
          <w:lang w:val="en-US" w:eastAsia="zh-CN"/>
        </w:rPr>
        <w:t>甲</w:t>
      </w:r>
      <w:r>
        <w:rPr>
          <w:rFonts w:hint="eastAsia" w:ascii="仿宋_GB2312" w:hAnsi="仿宋" w:eastAsia="仿宋_GB2312"/>
          <w:sz w:val="24"/>
          <w:szCs w:val="24"/>
          <w:highlight w:val="none"/>
        </w:rPr>
        <w:t>方、监理或建设单位提出更改意见。</w:t>
      </w:r>
    </w:p>
    <w:p w14:paraId="170CA8D3">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.6.3凝结时间的控制：</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方应根据至现场的交通状况在混凝土中适当添加缓凝剂，并考虑途中失水的情况，满足买方施工现场的使用要求。混凝土到场应按规定对每车混凝土进行诸如坍落度等的检查，不符合申请要求的无条件清退。如因</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方混凝土坍落度原因造成的混凝土泵送困难，造成的损失由</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方承担。</w:t>
      </w:r>
    </w:p>
    <w:p w14:paraId="39852295">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.6.4</w:t>
      </w:r>
      <w:r>
        <w:rPr>
          <w:rFonts w:hint="eastAsia" w:ascii="仿宋_GB2312" w:hAnsi="仿宋" w:eastAsia="仿宋_GB2312"/>
          <w:b w:val="0"/>
          <w:bCs w:val="0"/>
          <w:sz w:val="24"/>
          <w:szCs w:val="24"/>
          <w:highlight w:val="none"/>
        </w:rPr>
        <w:t>符合大体积混凝土施工的构件混凝土应加掺和料及外加剂(如掺粉煤灰及减水剂等)，以减少大体积混凝土水化热。</w:t>
      </w:r>
    </w:p>
    <w:p w14:paraId="3B268F81">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w:t>
      </w:r>
      <w:r>
        <w:rPr>
          <w:rFonts w:ascii="仿宋_GB2312" w:hAnsi="仿宋" w:eastAsia="仿宋_GB2312"/>
          <w:sz w:val="24"/>
          <w:szCs w:val="24"/>
          <w:highlight w:val="none"/>
        </w:rPr>
        <w:t>5</w:t>
      </w:r>
      <w:r>
        <w:rPr>
          <w:rFonts w:hint="eastAsia" w:ascii="仿宋_GB2312" w:hAnsi="仿宋" w:eastAsia="仿宋_GB2312"/>
          <w:b w:val="0"/>
          <w:bCs w:val="0"/>
          <w:sz w:val="24"/>
          <w:szCs w:val="24"/>
          <w:highlight w:val="none"/>
        </w:rPr>
        <w:t>在风雨或暴热天气运输混凝土，罐车上应加遮盖或浇水降温，以防进水、水分蒸发、或混凝土温度过高。冬季施工时采取水泥投料前预热、砼运输罐体加以保温等措施以确保混凝土入模温度符合规范要求。</w:t>
      </w:r>
    </w:p>
    <w:p w14:paraId="61126B6C">
      <w:pPr>
        <w:pStyle w:val="3"/>
        <w:keepNext w:val="0"/>
        <w:keepLines w:val="0"/>
        <w:tabs>
          <w:tab w:val="left" w:pos="567"/>
        </w:tabs>
        <w:spacing w:before="0" w:line="240" w:lineRule="auto"/>
        <w:ind w:firstLine="482" w:firstLineChars="200"/>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.6.6</w:t>
      </w:r>
      <w:r>
        <w:rPr>
          <w:rFonts w:hint="eastAsia" w:ascii="仿宋_GB2312" w:hAnsi="仿宋" w:eastAsia="仿宋_GB2312"/>
          <w:b w:val="0"/>
          <w:bCs w:val="0"/>
          <w:sz w:val="24"/>
          <w:szCs w:val="24"/>
          <w:highlight w:val="none"/>
        </w:rPr>
        <w:t>产品的质量必须完全符合国家有关技术标准、规范的要求、达到</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方提供的产品资料所述性能，并满足</w:t>
      </w:r>
      <w:r>
        <w:rPr>
          <w:rFonts w:hint="eastAsia" w:ascii="仿宋_GB2312" w:hAnsi="仿宋" w:eastAsia="仿宋_GB2312"/>
          <w:b w:val="0"/>
          <w:bCs w:val="0"/>
          <w:sz w:val="24"/>
          <w:szCs w:val="24"/>
          <w:highlight w:val="none"/>
          <w:lang w:val="en-US" w:eastAsia="zh-CN"/>
        </w:rPr>
        <w:t>甲</w:t>
      </w:r>
      <w:r>
        <w:rPr>
          <w:rFonts w:hint="eastAsia" w:ascii="仿宋_GB2312" w:hAnsi="仿宋" w:eastAsia="仿宋_GB2312"/>
          <w:b w:val="0"/>
          <w:bCs w:val="0"/>
          <w:sz w:val="24"/>
          <w:szCs w:val="24"/>
          <w:highlight w:val="none"/>
        </w:rPr>
        <w:t>方的要求。</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应保证产品经过正常使用条件下，在其设计期限内具有可靠的性能。混凝土配合比应按使用年限100年及所处环境类别进行设计，混凝土的抗裂性、护筋性、耐腐性、抗冻性、耐磨性及抗碱-骨料反应性等应符合结构的设计年限和所处环境类别及作用等级的要求，混凝土的电通量应满足下表规定：</w:t>
      </w:r>
    </w:p>
    <w:tbl>
      <w:tblPr>
        <w:tblStyle w:val="13"/>
        <w:tblW w:w="5810" w:type="dxa"/>
        <w:tblInd w:w="1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9"/>
        <w:gridCol w:w="2551"/>
      </w:tblGrid>
      <w:tr w14:paraId="6A05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259" w:type="dxa"/>
            <w:vAlign w:val="center"/>
          </w:tcPr>
          <w:p w14:paraId="1606DF2C">
            <w:pPr>
              <w:rPr>
                <w:rFonts w:ascii="仿宋_GB2312" w:hAnsi="仿宋" w:eastAsia="仿宋_GB2312"/>
                <w:sz w:val="24"/>
                <w:szCs w:val="24"/>
                <w:highlight w:val="none"/>
              </w:rPr>
            </w:pPr>
            <w:r>
              <w:rPr>
                <w:rFonts w:hint="eastAsia" w:ascii="仿宋_GB2312" w:hAnsi="仿宋" w:eastAsia="仿宋_GB2312"/>
                <w:sz w:val="24"/>
                <w:szCs w:val="24"/>
                <w:highlight w:val="none"/>
              </w:rPr>
              <w:t>混凝土强度等级</w:t>
            </w:r>
          </w:p>
        </w:tc>
        <w:tc>
          <w:tcPr>
            <w:tcW w:w="2551" w:type="dxa"/>
            <w:vAlign w:val="center"/>
          </w:tcPr>
          <w:p w14:paraId="6BE276E1">
            <w:pPr>
              <w:rPr>
                <w:rFonts w:ascii="仿宋_GB2312" w:hAnsi="仿宋" w:eastAsia="仿宋_GB2312"/>
                <w:sz w:val="24"/>
                <w:szCs w:val="24"/>
                <w:highlight w:val="none"/>
              </w:rPr>
            </w:pPr>
            <w:r>
              <w:rPr>
                <w:rFonts w:hint="eastAsia" w:ascii="仿宋_GB2312" w:hAnsi="仿宋" w:eastAsia="仿宋_GB2312"/>
                <w:sz w:val="24"/>
                <w:szCs w:val="24"/>
                <w:highlight w:val="none"/>
              </w:rPr>
              <w:t>电通量</w:t>
            </w:r>
          </w:p>
        </w:tc>
      </w:tr>
      <w:tr w14:paraId="397DD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259" w:type="dxa"/>
            <w:vAlign w:val="center"/>
          </w:tcPr>
          <w:p w14:paraId="4EC5E0B0">
            <w:pPr>
              <w:rPr>
                <w:rFonts w:ascii="仿宋_GB2312" w:hAnsi="仿宋" w:eastAsia="仿宋_GB2312"/>
                <w:sz w:val="24"/>
                <w:szCs w:val="24"/>
                <w:highlight w:val="none"/>
              </w:rPr>
            </w:pPr>
            <w:r>
              <w:rPr>
                <w:rFonts w:hint="eastAsia" w:ascii="仿宋_GB2312" w:hAnsi="仿宋" w:eastAsia="仿宋_GB2312"/>
                <w:sz w:val="24"/>
                <w:szCs w:val="24"/>
                <w:highlight w:val="none"/>
              </w:rPr>
              <w:t>＜C30</w:t>
            </w:r>
          </w:p>
        </w:tc>
        <w:tc>
          <w:tcPr>
            <w:tcW w:w="2551" w:type="dxa"/>
            <w:vAlign w:val="center"/>
          </w:tcPr>
          <w:p w14:paraId="609F038E">
            <w:pPr>
              <w:rPr>
                <w:rFonts w:ascii="仿宋_GB2312" w:hAnsi="仿宋" w:eastAsia="仿宋_GB2312"/>
                <w:sz w:val="24"/>
                <w:szCs w:val="24"/>
                <w:highlight w:val="none"/>
              </w:rPr>
            </w:pPr>
            <w:r>
              <w:rPr>
                <w:rFonts w:hint="eastAsia" w:ascii="仿宋_GB2312" w:hAnsi="仿宋" w:eastAsia="仿宋_GB2312"/>
                <w:sz w:val="24"/>
                <w:szCs w:val="24"/>
                <w:highlight w:val="none"/>
              </w:rPr>
              <w:t>＜2000</w:t>
            </w:r>
          </w:p>
        </w:tc>
      </w:tr>
      <w:tr w14:paraId="0A06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259" w:type="dxa"/>
            <w:vAlign w:val="center"/>
          </w:tcPr>
          <w:p w14:paraId="7670D789">
            <w:pPr>
              <w:rPr>
                <w:rFonts w:ascii="仿宋_GB2312" w:hAnsi="仿宋" w:eastAsia="仿宋_GB2312"/>
                <w:sz w:val="24"/>
                <w:szCs w:val="24"/>
                <w:highlight w:val="none"/>
              </w:rPr>
            </w:pPr>
            <w:r>
              <w:rPr>
                <w:rFonts w:hint="eastAsia" w:ascii="仿宋_GB2312" w:hAnsi="仿宋" w:eastAsia="仿宋_GB2312"/>
                <w:sz w:val="24"/>
                <w:szCs w:val="24"/>
                <w:highlight w:val="none"/>
              </w:rPr>
              <w:t>C30~C45</w:t>
            </w:r>
          </w:p>
        </w:tc>
        <w:tc>
          <w:tcPr>
            <w:tcW w:w="2551" w:type="dxa"/>
            <w:vAlign w:val="center"/>
          </w:tcPr>
          <w:p w14:paraId="53C78180">
            <w:pPr>
              <w:rPr>
                <w:rFonts w:ascii="仿宋_GB2312" w:hAnsi="仿宋" w:eastAsia="仿宋_GB2312"/>
                <w:sz w:val="24"/>
                <w:szCs w:val="24"/>
                <w:highlight w:val="none"/>
              </w:rPr>
            </w:pPr>
            <w:r>
              <w:rPr>
                <w:rFonts w:hint="eastAsia" w:ascii="仿宋_GB2312" w:hAnsi="仿宋" w:eastAsia="仿宋_GB2312"/>
                <w:sz w:val="24"/>
                <w:szCs w:val="24"/>
                <w:highlight w:val="none"/>
              </w:rPr>
              <w:t>＜1500</w:t>
            </w:r>
          </w:p>
        </w:tc>
      </w:tr>
      <w:tr w14:paraId="63444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3259" w:type="dxa"/>
            <w:vAlign w:val="center"/>
          </w:tcPr>
          <w:p w14:paraId="3166ACAB">
            <w:pPr>
              <w:rPr>
                <w:rFonts w:ascii="仿宋_GB2312" w:hAnsi="仿宋" w:eastAsia="仿宋_GB2312"/>
                <w:sz w:val="24"/>
                <w:szCs w:val="24"/>
                <w:highlight w:val="none"/>
              </w:rPr>
            </w:pPr>
            <w:r>
              <w:rPr>
                <w:rFonts w:hint="eastAsia" w:ascii="仿宋_GB2312" w:hAnsi="仿宋" w:eastAsia="仿宋_GB2312"/>
                <w:sz w:val="24"/>
                <w:szCs w:val="24"/>
                <w:highlight w:val="none"/>
              </w:rPr>
              <w:t>≥C50</w:t>
            </w:r>
          </w:p>
        </w:tc>
        <w:tc>
          <w:tcPr>
            <w:tcW w:w="2551" w:type="dxa"/>
            <w:vAlign w:val="center"/>
          </w:tcPr>
          <w:p w14:paraId="5AE87900">
            <w:pPr>
              <w:rPr>
                <w:rFonts w:ascii="仿宋_GB2312" w:hAnsi="仿宋" w:eastAsia="仿宋_GB2312"/>
                <w:sz w:val="24"/>
                <w:szCs w:val="24"/>
                <w:highlight w:val="none"/>
              </w:rPr>
            </w:pPr>
            <w:r>
              <w:rPr>
                <w:rFonts w:hint="eastAsia" w:ascii="仿宋_GB2312" w:hAnsi="仿宋" w:eastAsia="仿宋_GB2312"/>
                <w:sz w:val="24"/>
                <w:szCs w:val="24"/>
                <w:highlight w:val="none"/>
              </w:rPr>
              <w:t>＜1000</w:t>
            </w:r>
          </w:p>
        </w:tc>
      </w:tr>
    </w:tbl>
    <w:p w14:paraId="38556508">
      <w:pPr>
        <w:pStyle w:val="19"/>
        <w:spacing w:before="0" w:beforeLines="0"/>
        <w:ind w:firstLine="480"/>
        <w:rPr>
          <w:rFonts w:hint="eastAsia" w:ascii="仿宋_GB2312" w:hAnsi="仿宋" w:eastAsia="仿宋_GB2312" w:cs="宋体"/>
          <w:sz w:val="24"/>
          <w:szCs w:val="24"/>
          <w:highlight w:val="none"/>
        </w:rPr>
      </w:pPr>
      <w:r>
        <w:rPr>
          <w:rFonts w:hint="eastAsia" w:ascii="仿宋_GB2312" w:hAnsi="仿宋" w:eastAsia="仿宋_GB2312"/>
          <w:sz w:val="24"/>
          <w:szCs w:val="24"/>
          <w:highlight w:val="none"/>
        </w:rPr>
        <w:t>（1）</w:t>
      </w:r>
      <w:r>
        <w:rPr>
          <w:rFonts w:hint="eastAsia" w:ascii="仿宋_GB2312" w:hAnsi="仿宋" w:eastAsia="仿宋_GB2312"/>
          <w:sz w:val="24"/>
          <w:szCs w:val="24"/>
          <w:highlight w:val="none"/>
          <w:lang w:val="en-US" w:eastAsia="zh-CN"/>
        </w:rPr>
        <w:t>乙</w:t>
      </w:r>
      <w:r>
        <w:rPr>
          <w:rFonts w:hint="eastAsia" w:ascii="仿宋_GB2312" w:hAnsi="仿宋" w:eastAsia="仿宋_GB2312"/>
          <w:sz w:val="24"/>
          <w:szCs w:val="24"/>
          <w:highlight w:val="none"/>
        </w:rPr>
        <w:t>方所提供混凝土必须符合国家质量《预拌混凝土》(GBT14902-2012)标准，出现混凝土不合格时，一切责任及损失由卖方承担。对C50级及以上混凝土，</w:t>
      </w:r>
      <w:r>
        <w:rPr>
          <w:rFonts w:hint="eastAsia" w:ascii="仿宋_GB2312" w:hAnsi="仿宋" w:eastAsia="仿宋_GB2312" w:cs="宋体"/>
          <w:sz w:val="24"/>
          <w:szCs w:val="24"/>
          <w:highlight w:val="none"/>
        </w:rPr>
        <w:t>尚需满足设计图纸中弹性模量的要求值。</w:t>
      </w:r>
    </w:p>
    <w:p w14:paraId="750D2903">
      <w:pPr>
        <w:pStyle w:val="19"/>
        <w:spacing w:before="0" w:beforeLines="0"/>
        <w:ind w:firstLine="480"/>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rPr>
        <w:t>（2）砂、石符合《普通混凝土用砂、石质量及检验方法标准》(JGJ52-2006)。</w:t>
      </w:r>
    </w:p>
    <w:p w14:paraId="233F164A">
      <w:pPr>
        <w:pStyle w:val="19"/>
        <w:spacing w:before="0" w:beforeLines="0"/>
        <w:ind w:firstLine="480"/>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rPr>
        <w:t>（3）水泥符合《通用硅酸盐水泥》(GB</w:t>
      </w:r>
      <w:r>
        <w:rPr>
          <w:rFonts w:hint="eastAsia" w:ascii="仿宋_GB2312" w:hAnsi="仿宋" w:eastAsia="仿宋_GB2312" w:cs="宋体"/>
          <w:sz w:val="24"/>
          <w:szCs w:val="24"/>
          <w:highlight w:val="none"/>
          <w:lang w:val="en-US" w:eastAsia="zh-CN"/>
        </w:rPr>
        <w:t xml:space="preserve"> </w:t>
      </w:r>
      <w:r>
        <w:rPr>
          <w:rFonts w:hint="eastAsia" w:ascii="仿宋_GB2312" w:hAnsi="仿宋" w:eastAsia="仿宋_GB2312" w:cs="宋体"/>
          <w:sz w:val="24"/>
          <w:szCs w:val="24"/>
          <w:highlight w:val="none"/>
        </w:rPr>
        <w:t>175-</w:t>
      </w:r>
      <w:r>
        <w:rPr>
          <w:rFonts w:hint="eastAsia" w:ascii="仿宋_GB2312" w:hAnsi="仿宋" w:eastAsia="仿宋_GB2312" w:cs="宋体"/>
          <w:sz w:val="24"/>
          <w:szCs w:val="24"/>
          <w:highlight w:val="none"/>
          <w:lang w:val="en-US" w:eastAsia="zh-CN"/>
        </w:rPr>
        <w:t>2023</w:t>
      </w:r>
      <w:r>
        <w:rPr>
          <w:rFonts w:hint="eastAsia" w:ascii="仿宋_GB2312" w:hAnsi="仿宋" w:eastAsia="仿宋_GB2312" w:cs="宋体"/>
          <w:sz w:val="24"/>
          <w:szCs w:val="24"/>
          <w:highlight w:val="none"/>
        </w:rPr>
        <w:t>)国家标准。</w:t>
      </w:r>
    </w:p>
    <w:p w14:paraId="48886232">
      <w:pPr>
        <w:pStyle w:val="19"/>
        <w:spacing w:before="0" w:beforeLines="0"/>
        <w:ind w:firstLine="480"/>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rPr>
        <w:t>（4）混凝土外加剂符合《混凝土外加剂》(GB</w:t>
      </w:r>
      <w:r>
        <w:rPr>
          <w:rFonts w:hint="eastAsia" w:ascii="仿宋_GB2312" w:hAnsi="仿宋" w:eastAsia="仿宋_GB2312" w:cs="宋体"/>
          <w:sz w:val="24"/>
          <w:szCs w:val="24"/>
          <w:highlight w:val="none"/>
          <w:lang w:val="en-US" w:eastAsia="zh-CN"/>
        </w:rPr>
        <w:t xml:space="preserve"> </w:t>
      </w:r>
      <w:r>
        <w:rPr>
          <w:rFonts w:hint="eastAsia" w:ascii="仿宋_GB2312" w:hAnsi="仿宋" w:eastAsia="仿宋_GB2312" w:cs="宋体"/>
          <w:sz w:val="24"/>
          <w:szCs w:val="24"/>
          <w:highlight w:val="none"/>
        </w:rPr>
        <w:t>8076-2008)标准及《混凝土外加剂匀质性试验方法》(GB/T 8077-20</w:t>
      </w:r>
      <w:r>
        <w:rPr>
          <w:rFonts w:hint="eastAsia" w:ascii="仿宋_GB2312" w:hAnsi="仿宋" w:eastAsia="仿宋_GB2312" w:cs="宋体"/>
          <w:sz w:val="24"/>
          <w:szCs w:val="24"/>
          <w:highlight w:val="none"/>
          <w:lang w:val="en-US" w:eastAsia="zh-CN"/>
        </w:rPr>
        <w:t>23</w:t>
      </w:r>
      <w:r>
        <w:rPr>
          <w:rFonts w:hint="eastAsia" w:ascii="仿宋_GB2312" w:hAnsi="仿宋" w:eastAsia="仿宋_GB2312" w:cs="宋体"/>
          <w:sz w:val="24"/>
          <w:szCs w:val="24"/>
          <w:highlight w:val="none"/>
        </w:rPr>
        <w:t>)。</w:t>
      </w:r>
    </w:p>
    <w:p w14:paraId="7872B660">
      <w:pPr>
        <w:pStyle w:val="19"/>
        <w:spacing w:before="0" w:beforeLines="0"/>
        <w:ind w:firstLine="480"/>
        <w:rPr>
          <w:rFonts w:hint="eastAsia" w:ascii="仿宋_GB2312" w:hAnsi="仿宋" w:eastAsia="仿宋_GB2312"/>
          <w:sz w:val="24"/>
          <w:szCs w:val="24"/>
          <w:highlight w:val="none"/>
        </w:rPr>
      </w:pPr>
      <w:r>
        <w:rPr>
          <w:rFonts w:hint="eastAsia" w:ascii="仿宋_GB2312" w:hAnsi="仿宋" w:eastAsia="仿宋_GB2312" w:cs="宋体"/>
          <w:sz w:val="24"/>
          <w:szCs w:val="24"/>
          <w:highlight w:val="none"/>
        </w:rPr>
        <w:t>（</w:t>
      </w:r>
      <w:r>
        <w:rPr>
          <w:rFonts w:hint="eastAsia" w:ascii="仿宋_GB2312" w:hAnsi="仿宋" w:eastAsia="仿宋_GB2312" w:cs="宋体"/>
          <w:sz w:val="24"/>
          <w:szCs w:val="24"/>
          <w:highlight w:val="none"/>
          <w:lang w:val="en-US" w:eastAsia="zh-CN"/>
        </w:rPr>
        <w:t>5</w:t>
      </w:r>
      <w:r>
        <w:rPr>
          <w:rFonts w:hint="eastAsia" w:ascii="仿宋_GB2312" w:hAnsi="仿宋" w:eastAsia="仿宋_GB2312" w:cs="宋体"/>
          <w:sz w:val="24"/>
          <w:szCs w:val="24"/>
          <w:highlight w:val="none"/>
        </w:rPr>
        <w:t>）混凝土用粉煤灰符合《用于水泥和混凝土</w:t>
      </w:r>
      <w:r>
        <w:rPr>
          <w:rFonts w:hint="eastAsia" w:ascii="仿宋_GB2312" w:hAnsi="仿宋" w:eastAsia="仿宋_GB2312"/>
          <w:sz w:val="24"/>
          <w:szCs w:val="24"/>
          <w:highlight w:val="none"/>
        </w:rPr>
        <w:t>中的粉煤灰》 (GB/T1596-2017)。</w:t>
      </w:r>
    </w:p>
    <w:p w14:paraId="31B2E898">
      <w:pPr>
        <w:pStyle w:val="19"/>
        <w:spacing w:before="0" w:beforeLines="0"/>
        <w:ind w:firstLine="480"/>
        <w:rPr>
          <w:rFonts w:hint="eastAsia" w:ascii="仿宋_GB2312" w:hAnsi="仿宋" w:eastAsia="仿宋_GB2312"/>
          <w:sz w:val="24"/>
          <w:szCs w:val="24"/>
          <w:highlight w:val="none"/>
        </w:rPr>
      </w:pPr>
      <w:r>
        <w:rPr>
          <w:rFonts w:hint="eastAsia" w:ascii="仿宋_GB2312" w:hAnsi="仿宋" w:eastAsia="仿宋_GB2312"/>
          <w:sz w:val="24"/>
          <w:szCs w:val="24"/>
          <w:highlight w:val="none"/>
        </w:rPr>
        <w:t>（6）混凝土用水符合《混凝土用水标准》(JGJ63-2006)。</w:t>
      </w:r>
    </w:p>
    <w:p w14:paraId="68C68495">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（7）一般环境下混凝土的最大水胶比和胶凝材料用量应符合下表规定：</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8"/>
        <w:gridCol w:w="1277"/>
        <w:gridCol w:w="1560"/>
        <w:gridCol w:w="1984"/>
        <w:gridCol w:w="1978"/>
      </w:tblGrid>
      <w:tr w14:paraId="21BFC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3D55CABE">
            <w:pPr>
              <w:rPr>
                <w:rFonts w:ascii="仿宋_GB2312" w:hAnsi="仿宋" w:eastAsia="仿宋_GB2312"/>
                <w:sz w:val="24"/>
                <w:szCs w:val="24"/>
                <w:highlight w:val="none"/>
              </w:rPr>
            </w:pPr>
            <w:r>
              <w:rPr>
                <w:rFonts w:hint="eastAsia" w:ascii="仿宋_GB2312" w:hAnsi="仿宋" w:eastAsia="仿宋_GB2312"/>
                <w:sz w:val="24"/>
                <w:szCs w:val="24"/>
                <w:highlight w:val="none"/>
              </w:rPr>
              <w:t>混凝土强度等级</w:t>
            </w:r>
          </w:p>
        </w:tc>
        <w:tc>
          <w:tcPr>
            <w:tcW w:w="1277" w:type="dxa"/>
            <w:vAlign w:val="center"/>
          </w:tcPr>
          <w:p w14:paraId="0EA0ACFD">
            <w:pPr>
              <w:rPr>
                <w:rFonts w:ascii="仿宋_GB2312" w:hAnsi="仿宋" w:eastAsia="仿宋_GB2312"/>
                <w:sz w:val="24"/>
                <w:szCs w:val="24"/>
                <w:highlight w:val="none"/>
              </w:rPr>
            </w:pPr>
            <w:r>
              <w:rPr>
                <w:rFonts w:hint="eastAsia" w:ascii="仿宋_GB2312" w:hAnsi="仿宋" w:eastAsia="仿宋_GB2312"/>
                <w:sz w:val="24"/>
                <w:szCs w:val="24"/>
                <w:highlight w:val="none"/>
              </w:rPr>
              <w:t>最大水胶比</w:t>
            </w:r>
          </w:p>
        </w:tc>
        <w:tc>
          <w:tcPr>
            <w:tcW w:w="1560" w:type="dxa"/>
            <w:vAlign w:val="center"/>
          </w:tcPr>
          <w:p w14:paraId="0E0F8C4A">
            <w:pPr>
              <w:rPr>
                <w:rFonts w:ascii="仿宋_GB2312" w:hAnsi="仿宋" w:eastAsia="仿宋_GB2312"/>
                <w:sz w:val="24"/>
                <w:szCs w:val="24"/>
                <w:highlight w:val="none"/>
              </w:rPr>
            </w:pPr>
            <w:r>
              <w:rPr>
                <w:rFonts w:hint="eastAsia" w:ascii="仿宋_GB2312" w:hAnsi="仿宋" w:eastAsia="仿宋_GB2312"/>
                <w:sz w:val="24"/>
                <w:szCs w:val="24"/>
                <w:highlight w:val="none"/>
              </w:rPr>
              <w:t>水泥最小用量</w:t>
            </w:r>
          </w:p>
        </w:tc>
        <w:tc>
          <w:tcPr>
            <w:tcW w:w="1984" w:type="dxa"/>
            <w:vAlign w:val="center"/>
          </w:tcPr>
          <w:p w14:paraId="457378F3">
            <w:pPr>
              <w:rPr>
                <w:rFonts w:ascii="仿宋_GB2312" w:hAnsi="仿宋" w:eastAsia="仿宋_GB2312"/>
                <w:sz w:val="24"/>
                <w:szCs w:val="24"/>
                <w:highlight w:val="none"/>
              </w:rPr>
            </w:pPr>
            <w:r>
              <w:rPr>
                <w:rFonts w:hint="eastAsia" w:ascii="仿宋_GB2312" w:hAnsi="仿宋" w:eastAsia="仿宋_GB2312"/>
                <w:sz w:val="24"/>
                <w:szCs w:val="24"/>
                <w:highlight w:val="none"/>
              </w:rPr>
              <w:t>胶凝材料最小用量</w:t>
            </w:r>
          </w:p>
        </w:tc>
        <w:tc>
          <w:tcPr>
            <w:tcW w:w="1978" w:type="dxa"/>
            <w:vAlign w:val="center"/>
          </w:tcPr>
          <w:p w14:paraId="2710C125">
            <w:pPr>
              <w:rPr>
                <w:rFonts w:ascii="仿宋_GB2312" w:hAnsi="仿宋" w:eastAsia="仿宋_GB2312"/>
                <w:sz w:val="24"/>
                <w:szCs w:val="24"/>
                <w:highlight w:val="none"/>
              </w:rPr>
            </w:pPr>
            <w:r>
              <w:rPr>
                <w:rFonts w:hint="eastAsia" w:ascii="仿宋_GB2312" w:hAnsi="仿宋" w:eastAsia="仿宋_GB2312"/>
                <w:sz w:val="24"/>
                <w:szCs w:val="24"/>
                <w:highlight w:val="none"/>
              </w:rPr>
              <w:t>胶凝材料最大用量</w:t>
            </w:r>
          </w:p>
        </w:tc>
      </w:tr>
      <w:tr w14:paraId="01FBB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5A8BD2D7">
            <w:pPr>
              <w:rPr>
                <w:rFonts w:ascii="仿宋_GB2312" w:hAnsi="仿宋" w:eastAsia="仿宋_GB2312"/>
                <w:sz w:val="24"/>
                <w:szCs w:val="24"/>
                <w:highlight w:val="none"/>
              </w:rPr>
            </w:pPr>
            <w:r>
              <w:rPr>
                <w:rFonts w:hint="eastAsia" w:ascii="仿宋_GB2312" w:hAnsi="仿宋" w:eastAsia="仿宋_GB2312"/>
                <w:sz w:val="24"/>
                <w:szCs w:val="24"/>
                <w:highlight w:val="none"/>
              </w:rPr>
              <w:t>＜C30</w:t>
            </w:r>
          </w:p>
        </w:tc>
        <w:tc>
          <w:tcPr>
            <w:tcW w:w="1277" w:type="dxa"/>
            <w:vAlign w:val="center"/>
          </w:tcPr>
          <w:p w14:paraId="624BB7DE">
            <w:pPr>
              <w:rPr>
                <w:rFonts w:ascii="仿宋_GB2312" w:hAnsi="仿宋" w:eastAsia="仿宋_GB2312"/>
                <w:sz w:val="24"/>
                <w:szCs w:val="24"/>
                <w:highlight w:val="none"/>
              </w:rPr>
            </w:pPr>
            <w:r>
              <w:rPr>
                <w:rFonts w:hint="eastAsia" w:ascii="仿宋_GB2312" w:hAnsi="仿宋" w:eastAsia="仿宋_GB2312"/>
                <w:sz w:val="24"/>
                <w:szCs w:val="24"/>
                <w:highlight w:val="none"/>
              </w:rPr>
              <w:t>0.45</w:t>
            </w:r>
          </w:p>
        </w:tc>
        <w:tc>
          <w:tcPr>
            <w:tcW w:w="1560" w:type="dxa"/>
            <w:vAlign w:val="center"/>
          </w:tcPr>
          <w:p w14:paraId="5C3716A4">
            <w:pPr>
              <w:rPr>
                <w:rFonts w:ascii="仿宋_GB2312" w:hAnsi="仿宋" w:eastAsia="仿宋_GB2312"/>
                <w:sz w:val="24"/>
                <w:szCs w:val="24"/>
                <w:highlight w:val="none"/>
              </w:rPr>
            </w:pPr>
            <w:r>
              <w:rPr>
                <w:rFonts w:hint="eastAsia" w:ascii="仿宋_GB2312" w:hAnsi="仿宋" w:eastAsia="仿宋_GB2312"/>
                <w:sz w:val="24"/>
                <w:szCs w:val="24"/>
                <w:highlight w:val="none"/>
              </w:rPr>
              <w:t>280</w:t>
            </w:r>
          </w:p>
        </w:tc>
        <w:tc>
          <w:tcPr>
            <w:tcW w:w="1984" w:type="dxa"/>
            <w:vAlign w:val="center"/>
          </w:tcPr>
          <w:p w14:paraId="56664ED9">
            <w:pPr>
              <w:rPr>
                <w:rFonts w:ascii="仿宋_GB2312" w:hAnsi="仿宋" w:eastAsia="仿宋_GB2312"/>
                <w:sz w:val="24"/>
                <w:szCs w:val="24"/>
                <w:highlight w:val="none"/>
              </w:rPr>
            </w:pPr>
            <w:r>
              <w:rPr>
                <w:rFonts w:hint="eastAsia" w:ascii="仿宋_GB2312" w:hAnsi="仿宋" w:eastAsia="仿宋_GB2312"/>
                <w:sz w:val="24"/>
                <w:szCs w:val="24"/>
                <w:highlight w:val="none"/>
              </w:rPr>
              <w:t>320</w:t>
            </w:r>
          </w:p>
        </w:tc>
        <w:tc>
          <w:tcPr>
            <w:tcW w:w="1978" w:type="dxa"/>
            <w:vAlign w:val="center"/>
          </w:tcPr>
          <w:p w14:paraId="137E00A7">
            <w:pPr>
              <w:rPr>
                <w:rFonts w:ascii="仿宋_GB2312" w:hAnsi="仿宋" w:eastAsia="仿宋_GB2312"/>
                <w:sz w:val="24"/>
                <w:szCs w:val="24"/>
                <w:highlight w:val="none"/>
              </w:rPr>
            </w:pPr>
            <w:r>
              <w:rPr>
                <w:rFonts w:hint="eastAsia" w:ascii="仿宋_GB2312" w:hAnsi="仿宋" w:eastAsia="仿宋_GB2312"/>
                <w:sz w:val="24"/>
                <w:szCs w:val="24"/>
                <w:highlight w:val="none"/>
              </w:rPr>
              <w:t>400</w:t>
            </w:r>
          </w:p>
        </w:tc>
      </w:tr>
      <w:tr w14:paraId="6354C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5CEEDC12">
            <w:pPr>
              <w:rPr>
                <w:rFonts w:ascii="仿宋_GB2312" w:hAnsi="仿宋" w:eastAsia="仿宋_GB2312"/>
                <w:sz w:val="24"/>
                <w:szCs w:val="24"/>
                <w:highlight w:val="none"/>
              </w:rPr>
            </w:pPr>
            <w:r>
              <w:rPr>
                <w:rFonts w:hint="eastAsia" w:ascii="仿宋_GB2312" w:hAnsi="仿宋" w:eastAsia="仿宋_GB2312"/>
                <w:sz w:val="24"/>
                <w:szCs w:val="24"/>
                <w:highlight w:val="none"/>
              </w:rPr>
              <w:t>C30~C45</w:t>
            </w:r>
          </w:p>
        </w:tc>
        <w:tc>
          <w:tcPr>
            <w:tcW w:w="1277" w:type="dxa"/>
            <w:vAlign w:val="center"/>
          </w:tcPr>
          <w:p w14:paraId="0EA940D6">
            <w:pPr>
              <w:rPr>
                <w:rFonts w:ascii="仿宋_GB2312" w:hAnsi="仿宋" w:eastAsia="仿宋_GB2312"/>
                <w:sz w:val="24"/>
                <w:szCs w:val="24"/>
                <w:highlight w:val="none"/>
              </w:rPr>
            </w:pPr>
            <w:r>
              <w:rPr>
                <w:rFonts w:hint="eastAsia" w:ascii="仿宋_GB2312" w:hAnsi="仿宋" w:eastAsia="仿宋_GB2312"/>
                <w:sz w:val="24"/>
                <w:szCs w:val="24"/>
                <w:highlight w:val="none"/>
              </w:rPr>
              <w:t>0.43</w:t>
            </w:r>
          </w:p>
        </w:tc>
        <w:tc>
          <w:tcPr>
            <w:tcW w:w="1560" w:type="dxa"/>
            <w:vAlign w:val="center"/>
          </w:tcPr>
          <w:p w14:paraId="10DF6649">
            <w:pPr>
              <w:rPr>
                <w:rFonts w:ascii="仿宋_GB2312" w:hAnsi="仿宋" w:eastAsia="仿宋_GB2312"/>
                <w:sz w:val="24"/>
                <w:szCs w:val="24"/>
                <w:highlight w:val="none"/>
              </w:rPr>
            </w:pPr>
            <w:r>
              <w:rPr>
                <w:rFonts w:hint="eastAsia" w:ascii="仿宋_GB2312" w:hAnsi="仿宋" w:eastAsia="仿宋_GB2312"/>
                <w:sz w:val="24"/>
                <w:szCs w:val="24"/>
                <w:highlight w:val="none"/>
              </w:rPr>
              <w:t>300</w:t>
            </w:r>
          </w:p>
        </w:tc>
        <w:tc>
          <w:tcPr>
            <w:tcW w:w="1984" w:type="dxa"/>
            <w:vAlign w:val="center"/>
          </w:tcPr>
          <w:p w14:paraId="3F217D82">
            <w:pPr>
              <w:rPr>
                <w:rFonts w:ascii="仿宋_GB2312" w:hAnsi="仿宋" w:eastAsia="仿宋_GB2312"/>
                <w:sz w:val="24"/>
                <w:szCs w:val="24"/>
                <w:highlight w:val="none"/>
              </w:rPr>
            </w:pPr>
            <w:r>
              <w:rPr>
                <w:rFonts w:hint="eastAsia" w:ascii="仿宋_GB2312" w:hAnsi="仿宋" w:eastAsia="仿宋_GB2312"/>
                <w:sz w:val="24"/>
                <w:szCs w:val="24"/>
                <w:highlight w:val="none"/>
              </w:rPr>
              <w:t>350</w:t>
            </w:r>
          </w:p>
        </w:tc>
        <w:tc>
          <w:tcPr>
            <w:tcW w:w="1978" w:type="dxa"/>
            <w:vAlign w:val="center"/>
          </w:tcPr>
          <w:p w14:paraId="0A67083F">
            <w:pPr>
              <w:rPr>
                <w:rFonts w:ascii="仿宋_GB2312" w:hAnsi="仿宋" w:eastAsia="仿宋_GB2312"/>
                <w:sz w:val="24"/>
                <w:szCs w:val="24"/>
                <w:highlight w:val="none"/>
              </w:rPr>
            </w:pPr>
            <w:r>
              <w:rPr>
                <w:rFonts w:hint="eastAsia" w:ascii="仿宋_GB2312" w:hAnsi="仿宋" w:eastAsia="仿宋_GB2312"/>
                <w:sz w:val="24"/>
                <w:szCs w:val="24"/>
                <w:highlight w:val="none"/>
              </w:rPr>
              <w:t>450</w:t>
            </w:r>
          </w:p>
        </w:tc>
      </w:tr>
      <w:tr w14:paraId="2E4DE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64461F82">
            <w:pPr>
              <w:rPr>
                <w:rFonts w:ascii="仿宋_GB2312" w:hAnsi="仿宋" w:eastAsia="仿宋_GB2312"/>
                <w:sz w:val="24"/>
                <w:szCs w:val="24"/>
                <w:highlight w:val="none"/>
              </w:rPr>
            </w:pPr>
            <w:r>
              <w:rPr>
                <w:rFonts w:hint="eastAsia" w:ascii="仿宋_GB2312" w:hAnsi="仿宋" w:eastAsia="仿宋_GB2312"/>
                <w:sz w:val="24"/>
                <w:szCs w:val="24"/>
                <w:highlight w:val="none"/>
              </w:rPr>
              <w:t>≥C50</w:t>
            </w:r>
          </w:p>
        </w:tc>
        <w:tc>
          <w:tcPr>
            <w:tcW w:w="1277" w:type="dxa"/>
            <w:vAlign w:val="center"/>
          </w:tcPr>
          <w:p w14:paraId="7E23B8EE">
            <w:pPr>
              <w:rPr>
                <w:rFonts w:ascii="仿宋_GB2312" w:hAnsi="仿宋" w:eastAsia="仿宋_GB2312"/>
                <w:sz w:val="24"/>
                <w:szCs w:val="24"/>
                <w:highlight w:val="none"/>
              </w:rPr>
            </w:pPr>
            <w:r>
              <w:rPr>
                <w:rFonts w:hint="eastAsia" w:ascii="仿宋_GB2312" w:hAnsi="仿宋" w:eastAsia="仿宋_GB2312"/>
                <w:sz w:val="24"/>
                <w:szCs w:val="24"/>
                <w:highlight w:val="none"/>
              </w:rPr>
              <w:t>0.38</w:t>
            </w:r>
          </w:p>
        </w:tc>
        <w:tc>
          <w:tcPr>
            <w:tcW w:w="1560" w:type="dxa"/>
            <w:vAlign w:val="center"/>
          </w:tcPr>
          <w:p w14:paraId="61EDA794">
            <w:pPr>
              <w:rPr>
                <w:rFonts w:ascii="仿宋_GB2312" w:hAnsi="仿宋" w:eastAsia="仿宋_GB2312"/>
                <w:sz w:val="24"/>
                <w:szCs w:val="24"/>
                <w:highlight w:val="none"/>
              </w:rPr>
            </w:pPr>
            <w:r>
              <w:rPr>
                <w:rFonts w:hint="eastAsia" w:ascii="仿宋_GB2312" w:hAnsi="仿宋" w:eastAsia="仿宋_GB2312"/>
                <w:sz w:val="24"/>
                <w:szCs w:val="24"/>
                <w:highlight w:val="none"/>
              </w:rPr>
              <w:t>320</w:t>
            </w:r>
          </w:p>
        </w:tc>
        <w:tc>
          <w:tcPr>
            <w:tcW w:w="1984" w:type="dxa"/>
            <w:vAlign w:val="center"/>
          </w:tcPr>
          <w:p w14:paraId="7AB474C7">
            <w:pPr>
              <w:rPr>
                <w:rFonts w:ascii="仿宋_GB2312" w:hAnsi="仿宋" w:eastAsia="仿宋_GB2312"/>
                <w:sz w:val="24"/>
                <w:szCs w:val="24"/>
                <w:highlight w:val="none"/>
              </w:rPr>
            </w:pPr>
            <w:r>
              <w:rPr>
                <w:rFonts w:hint="eastAsia" w:ascii="仿宋_GB2312" w:hAnsi="仿宋" w:eastAsia="仿宋_GB2312"/>
                <w:sz w:val="24"/>
                <w:szCs w:val="24"/>
                <w:highlight w:val="none"/>
              </w:rPr>
              <w:t>400</w:t>
            </w:r>
          </w:p>
        </w:tc>
        <w:tc>
          <w:tcPr>
            <w:tcW w:w="1978" w:type="dxa"/>
            <w:vAlign w:val="center"/>
          </w:tcPr>
          <w:p w14:paraId="1AC7C25C">
            <w:pPr>
              <w:rPr>
                <w:rFonts w:ascii="仿宋_GB2312" w:hAnsi="仿宋" w:eastAsia="仿宋_GB2312"/>
                <w:sz w:val="24"/>
                <w:szCs w:val="24"/>
                <w:highlight w:val="none"/>
              </w:rPr>
            </w:pPr>
            <w:r>
              <w:rPr>
                <w:rFonts w:hint="eastAsia" w:ascii="仿宋_GB2312" w:hAnsi="仿宋" w:eastAsia="仿宋_GB2312"/>
                <w:sz w:val="24"/>
                <w:szCs w:val="24"/>
                <w:highlight w:val="none"/>
              </w:rPr>
              <w:t>500</w:t>
            </w:r>
          </w:p>
        </w:tc>
      </w:tr>
    </w:tbl>
    <w:p w14:paraId="0E238D59">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（8）混凝土中的最大氯离子含量不应超过胶凝材料总量的0.06%。</w:t>
      </w:r>
    </w:p>
    <w:p w14:paraId="32824296">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（9）混凝土中的最大总碱含量为3.0kg/m</w:t>
      </w:r>
      <w:r>
        <w:rPr>
          <w:rFonts w:ascii="Calibri" w:hAnsi="Calibri" w:eastAsia="仿宋_GB2312" w:cs="Calibri"/>
          <w:sz w:val="24"/>
          <w:szCs w:val="24"/>
          <w:highlight w:val="none"/>
        </w:rPr>
        <w:t>³</w:t>
      </w:r>
      <w:r>
        <w:rPr>
          <w:rFonts w:hint="eastAsia" w:ascii="仿宋_GB2312" w:hAnsi="仿宋" w:eastAsia="仿宋_GB2312" w:cs="仿宋"/>
          <w:sz w:val="24"/>
          <w:szCs w:val="24"/>
          <w:highlight w:val="none"/>
        </w:rPr>
        <w:t>。</w:t>
      </w:r>
    </w:p>
    <w:p w14:paraId="2D30ED75">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（10）高性能补偿收缩混凝土的限制膨胀率应符合下表规定：</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9"/>
        <w:gridCol w:w="2619"/>
        <w:gridCol w:w="2619"/>
      </w:tblGrid>
      <w:tr w14:paraId="2F7E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7D8018C1">
            <w:pPr>
              <w:rPr>
                <w:rFonts w:ascii="仿宋_GB2312" w:hAnsi="仿宋" w:eastAsia="仿宋_GB2312"/>
                <w:sz w:val="24"/>
                <w:szCs w:val="24"/>
                <w:highlight w:val="none"/>
              </w:rPr>
            </w:pPr>
            <w:r>
              <w:rPr>
                <w:rFonts w:hint="eastAsia" w:ascii="仿宋_GB2312" w:hAnsi="仿宋" w:eastAsia="仿宋_GB2312"/>
                <w:sz w:val="24"/>
                <w:szCs w:val="24"/>
                <w:highlight w:val="none"/>
              </w:rPr>
              <w:t>结构部位</w:t>
            </w:r>
          </w:p>
        </w:tc>
        <w:tc>
          <w:tcPr>
            <w:tcW w:w="2619" w:type="dxa"/>
            <w:vAlign w:val="center"/>
          </w:tcPr>
          <w:p w14:paraId="06AF2904">
            <w:pPr>
              <w:rPr>
                <w:rFonts w:ascii="仿宋_GB2312" w:hAnsi="仿宋" w:eastAsia="仿宋_GB2312"/>
                <w:sz w:val="24"/>
                <w:szCs w:val="24"/>
                <w:highlight w:val="none"/>
              </w:rPr>
            </w:pPr>
            <w:r>
              <w:rPr>
                <w:rFonts w:hint="eastAsia" w:ascii="仿宋_GB2312" w:hAnsi="仿宋" w:eastAsia="仿宋_GB2312"/>
                <w:sz w:val="24"/>
                <w:szCs w:val="24"/>
                <w:highlight w:val="none"/>
              </w:rPr>
              <w:t>最小限制膨胀率*10</w:t>
            </w:r>
            <w:r>
              <w:rPr>
                <w:rFonts w:hint="eastAsia" w:ascii="仿宋_GB2312" w:hAnsi="仿宋" w:eastAsia="仿宋_GB2312"/>
                <w:sz w:val="24"/>
                <w:szCs w:val="24"/>
                <w:highlight w:val="none"/>
                <w:vertAlign w:val="superscript"/>
              </w:rPr>
              <w:t>-4</w:t>
            </w:r>
          </w:p>
        </w:tc>
        <w:tc>
          <w:tcPr>
            <w:tcW w:w="2619" w:type="dxa"/>
            <w:vAlign w:val="center"/>
          </w:tcPr>
          <w:p w14:paraId="393F367B">
            <w:pPr>
              <w:rPr>
                <w:rFonts w:ascii="仿宋_GB2312" w:hAnsi="仿宋" w:eastAsia="仿宋_GB2312"/>
                <w:sz w:val="24"/>
                <w:szCs w:val="24"/>
                <w:highlight w:val="none"/>
              </w:rPr>
            </w:pPr>
            <w:r>
              <w:rPr>
                <w:rFonts w:hint="eastAsia" w:ascii="仿宋_GB2312" w:hAnsi="仿宋" w:eastAsia="仿宋_GB2312"/>
                <w:sz w:val="24"/>
                <w:szCs w:val="24"/>
                <w:highlight w:val="none"/>
              </w:rPr>
              <w:t>最大限制膨胀率*10</w:t>
            </w:r>
            <w:r>
              <w:rPr>
                <w:rFonts w:hint="eastAsia" w:ascii="仿宋_GB2312" w:hAnsi="仿宋" w:eastAsia="仿宋_GB2312"/>
                <w:sz w:val="24"/>
                <w:szCs w:val="24"/>
                <w:highlight w:val="none"/>
                <w:vertAlign w:val="superscript"/>
              </w:rPr>
              <w:t>-4</w:t>
            </w:r>
          </w:p>
        </w:tc>
      </w:tr>
      <w:tr w14:paraId="3EB1F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78767A8C">
            <w:pPr>
              <w:rPr>
                <w:rFonts w:ascii="仿宋_GB2312" w:hAnsi="仿宋" w:eastAsia="仿宋_GB2312"/>
                <w:sz w:val="24"/>
                <w:szCs w:val="24"/>
                <w:highlight w:val="none"/>
              </w:rPr>
            </w:pPr>
            <w:r>
              <w:rPr>
                <w:rFonts w:hint="eastAsia" w:ascii="仿宋_GB2312" w:hAnsi="仿宋" w:eastAsia="仿宋_GB2312"/>
                <w:sz w:val="24"/>
                <w:szCs w:val="24"/>
                <w:highlight w:val="none"/>
              </w:rPr>
              <w:t>平板结构</w:t>
            </w:r>
          </w:p>
        </w:tc>
        <w:tc>
          <w:tcPr>
            <w:tcW w:w="2619" w:type="dxa"/>
            <w:vAlign w:val="center"/>
          </w:tcPr>
          <w:p w14:paraId="72202B08">
            <w:pPr>
              <w:rPr>
                <w:rFonts w:ascii="仿宋_GB2312" w:hAnsi="仿宋" w:eastAsia="仿宋_GB2312"/>
                <w:sz w:val="24"/>
                <w:szCs w:val="24"/>
                <w:highlight w:val="none"/>
              </w:rPr>
            </w:pPr>
            <w:r>
              <w:rPr>
                <w:rFonts w:hint="eastAsia" w:ascii="仿宋_GB2312" w:hAnsi="仿宋" w:eastAsia="仿宋_GB2312"/>
                <w:sz w:val="24"/>
                <w:szCs w:val="24"/>
                <w:highlight w:val="none"/>
              </w:rPr>
              <w:t>2.0</w:t>
            </w:r>
          </w:p>
        </w:tc>
        <w:tc>
          <w:tcPr>
            <w:tcW w:w="2619" w:type="dxa"/>
            <w:vAlign w:val="center"/>
          </w:tcPr>
          <w:p w14:paraId="3C01C548">
            <w:pPr>
              <w:rPr>
                <w:rFonts w:ascii="仿宋_GB2312" w:hAnsi="仿宋" w:eastAsia="仿宋_GB2312"/>
                <w:sz w:val="24"/>
                <w:szCs w:val="24"/>
                <w:highlight w:val="none"/>
              </w:rPr>
            </w:pPr>
            <w:r>
              <w:rPr>
                <w:rFonts w:hint="eastAsia" w:ascii="仿宋_GB2312" w:hAnsi="仿宋" w:eastAsia="仿宋_GB2312"/>
                <w:sz w:val="24"/>
                <w:szCs w:val="24"/>
                <w:highlight w:val="none"/>
              </w:rPr>
              <w:t>3.0</w:t>
            </w:r>
          </w:p>
        </w:tc>
      </w:tr>
      <w:tr w14:paraId="31C22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70BEDBA9">
            <w:pPr>
              <w:rPr>
                <w:rFonts w:ascii="仿宋_GB2312" w:hAnsi="仿宋" w:eastAsia="仿宋_GB2312"/>
                <w:sz w:val="24"/>
                <w:szCs w:val="24"/>
                <w:highlight w:val="none"/>
              </w:rPr>
            </w:pPr>
            <w:r>
              <w:rPr>
                <w:rFonts w:hint="eastAsia" w:ascii="仿宋_GB2312" w:hAnsi="仿宋" w:eastAsia="仿宋_GB2312"/>
                <w:sz w:val="24"/>
                <w:szCs w:val="24"/>
                <w:highlight w:val="none"/>
              </w:rPr>
              <w:t>梁、墙结构</w:t>
            </w:r>
          </w:p>
        </w:tc>
        <w:tc>
          <w:tcPr>
            <w:tcW w:w="2619" w:type="dxa"/>
            <w:vAlign w:val="center"/>
          </w:tcPr>
          <w:p w14:paraId="60A5DF91">
            <w:pPr>
              <w:rPr>
                <w:rFonts w:ascii="仿宋_GB2312" w:hAnsi="仿宋" w:eastAsia="仿宋_GB2312"/>
                <w:sz w:val="24"/>
                <w:szCs w:val="24"/>
                <w:highlight w:val="none"/>
              </w:rPr>
            </w:pPr>
            <w:r>
              <w:rPr>
                <w:rFonts w:hint="eastAsia" w:ascii="仿宋_GB2312" w:hAnsi="仿宋" w:eastAsia="仿宋_GB2312"/>
                <w:sz w:val="24"/>
                <w:szCs w:val="24"/>
                <w:highlight w:val="none"/>
              </w:rPr>
              <w:t>2.5</w:t>
            </w:r>
          </w:p>
        </w:tc>
        <w:tc>
          <w:tcPr>
            <w:tcW w:w="2619" w:type="dxa"/>
            <w:vAlign w:val="center"/>
          </w:tcPr>
          <w:p w14:paraId="0DF7042C">
            <w:pPr>
              <w:rPr>
                <w:rFonts w:ascii="仿宋_GB2312" w:hAnsi="仿宋" w:eastAsia="仿宋_GB2312"/>
                <w:sz w:val="24"/>
                <w:szCs w:val="24"/>
                <w:highlight w:val="none"/>
              </w:rPr>
            </w:pPr>
            <w:r>
              <w:rPr>
                <w:rFonts w:hint="eastAsia" w:ascii="仿宋_GB2312" w:hAnsi="仿宋" w:eastAsia="仿宋_GB2312"/>
                <w:sz w:val="24"/>
                <w:szCs w:val="24"/>
                <w:highlight w:val="none"/>
              </w:rPr>
              <w:t>4.0</w:t>
            </w:r>
          </w:p>
        </w:tc>
      </w:tr>
      <w:tr w14:paraId="380A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04B1B1F7">
            <w:pPr>
              <w:rPr>
                <w:rFonts w:ascii="仿宋_GB2312" w:hAnsi="仿宋" w:eastAsia="仿宋_GB2312"/>
                <w:sz w:val="24"/>
                <w:szCs w:val="24"/>
                <w:highlight w:val="none"/>
              </w:rPr>
            </w:pPr>
            <w:r>
              <w:rPr>
                <w:rFonts w:hint="eastAsia" w:ascii="仿宋_GB2312" w:hAnsi="仿宋" w:eastAsia="仿宋_GB2312"/>
                <w:sz w:val="24"/>
                <w:szCs w:val="24"/>
                <w:highlight w:val="none"/>
              </w:rPr>
              <w:t>倒浇带、膨胀加强带等填充部位</w:t>
            </w:r>
          </w:p>
        </w:tc>
        <w:tc>
          <w:tcPr>
            <w:tcW w:w="2619" w:type="dxa"/>
            <w:vAlign w:val="center"/>
          </w:tcPr>
          <w:p w14:paraId="0203B7C5">
            <w:pPr>
              <w:rPr>
                <w:rFonts w:ascii="仿宋_GB2312" w:hAnsi="仿宋" w:eastAsia="仿宋_GB2312"/>
                <w:sz w:val="24"/>
                <w:szCs w:val="24"/>
                <w:highlight w:val="none"/>
              </w:rPr>
            </w:pPr>
            <w:r>
              <w:rPr>
                <w:rFonts w:hint="eastAsia" w:ascii="仿宋_GB2312" w:hAnsi="仿宋" w:eastAsia="仿宋_GB2312"/>
                <w:sz w:val="24"/>
                <w:szCs w:val="24"/>
                <w:highlight w:val="none"/>
              </w:rPr>
              <w:t>3.0</w:t>
            </w:r>
          </w:p>
        </w:tc>
        <w:tc>
          <w:tcPr>
            <w:tcW w:w="2619" w:type="dxa"/>
            <w:vAlign w:val="center"/>
          </w:tcPr>
          <w:p w14:paraId="6AD5D60E">
            <w:pPr>
              <w:rPr>
                <w:rFonts w:ascii="仿宋_GB2312" w:hAnsi="仿宋" w:eastAsia="仿宋_GB2312"/>
                <w:sz w:val="24"/>
                <w:szCs w:val="24"/>
                <w:highlight w:val="none"/>
              </w:rPr>
            </w:pPr>
            <w:r>
              <w:rPr>
                <w:rFonts w:hint="eastAsia" w:ascii="仿宋_GB2312" w:hAnsi="仿宋" w:eastAsia="仿宋_GB2312"/>
                <w:sz w:val="24"/>
                <w:szCs w:val="24"/>
                <w:highlight w:val="none"/>
              </w:rPr>
              <w:t>5.0</w:t>
            </w:r>
          </w:p>
        </w:tc>
      </w:tr>
      <w:permEnd w:id="37"/>
    </w:tbl>
    <w:p w14:paraId="4102EEF8">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.7产品生产：</w:t>
      </w:r>
      <w:r>
        <w:rPr>
          <w:rFonts w:hint="eastAsia" w:ascii="仿宋_GB2312" w:hAnsi="仿宋" w:eastAsia="仿宋_GB2312"/>
          <w:b w:val="0"/>
          <w:bCs w:val="0"/>
          <w:sz w:val="24"/>
          <w:szCs w:val="24"/>
          <w:highlight w:val="none"/>
        </w:rPr>
        <w:t>原材料储存、计量、搅拌过程中所需一切设备应满足</w:t>
      </w:r>
      <w:r>
        <w:rPr>
          <w:rFonts w:hint="eastAsia" w:ascii="仿宋_GB2312" w:hAnsi="仿宋" w:eastAsia="仿宋_GB2312"/>
          <w:b w:val="0"/>
          <w:bCs w:val="0"/>
          <w:sz w:val="24"/>
          <w:szCs w:val="24"/>
          <w:highlight w:val="none"/>
          <w:lang w:val="en-US" w:eastAsia="zh-CN"/>
        </w:rPr>
        <w:t>1</w:t>
      </w:r>
      <w:r>
        <w:rPr>
          <w:rFonts w:hint="eastAsia" w:ascii="仿宋_GB2312" w:hAnsi="仿宋" w:eastAsia="仿宋_GB2312"/>
          <w:b w:val="0"/>
          <w:bCs w:val="0"/>
          <w:sz w:val="24"/>
          <w:szCs w:val="24"/>
          <w:highlight w:val="none"/>
        </w:rPr>
        <w:t>.3条有关规范、规程、标准及建设单位的规定。</w:t>
      </w:r>
    </w:p>
    <w:p w14:paraId="3BF2054E">
      <w:pPr>
        <w:pStyle w:val="17"/>
        <w:spacing w:line="400" w:lineRule="atLeast"/>
        <w:ind w:firstLine="482" w:firstLineChars="200"/>
        <w:rPr>
          <w:rFonts w:ascii="仿宋_GB2312" w:hAnsi="仿宋" w:eastAsia="仿宋_GB2312" w:cs="仿宋_GB2312"/>
          <w:b/>
          <w:bCs/>
          <w:color w:val="000000" w:themeColor="text1"/>
          <w:highlight w:val="none"/>
          <w14:textFill>
            <w14:solidFill>
              <w14:schemeClr w14:val="tx1"/>
            </w14:solidFill>
          </w14:textFill>
        </w:rPr>
      </w:pPr>
      <w:r>
        <w:rPr>
          <w:rFonts w:hint="eastAsia" w:ascii="仿宋_GB2312" w:hAnsi="仿宋" w:eastAsia="仿宋_GB2312" w:cs="仿宋_GB2312"/>
          <w:b/>
          <w:bCs/>
          <w:color w:val="000000" w:themeColor="text1"/>
          <w:highlight w:val="none"/>
          <w14:textFill>
            <w14:solidFill>
              <w14:schemeClr w14:val="tx1"/>
            </w14:solidFill>
          </w14:textFill>
        </w:rPr>
        <w:t>2、货物附件清单：</w:t>
      </w:r>
    </w:p>
    <w:p w14:paraId="7884F320">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hint="eastAsia" w:ascii="仿宋_GB2312" w:hAnsi="仿宋" w:eastAsia="仿宋_GB2312" w:cs="仿宋_GB2312"/>
          <w:color w:val="000000" w:themeColor="text1"/>
          <w:highlight w:val="none"/>
          <w14:textFill>
            <w14:solidFill>
              <w14:schemeClr w14:val="tx1"/>
            </w14:solidFill>
          </w14:textFill>
        </w:rPr>
        <w:t>.2.1</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方必须按照本合同第</w:t>
      </w:r>
      <w:r>
        <w:rPr>
          <w:rFonts w:hint="eastAsia" w:ascii="仿宋_GB2312" w:hAnsi="仿宋" w:eastAsia="仿宋_GB2312" w:cs="仿宋_GB2312"/>
          <w:color w:val="000000" w:themeColor="text1"/>
          <w:highlight w:val="none"/>
          <w:lang w:val="en-US" w:eastAsia="zh-CN"/>
          <w14:textFill>
            <w14:solidFill>
              <w14:schemeClr w14:val="tx1"/>
            </w14:solidFill>
          </w14:textFill>
        </w:rPr>
        <w:t>1</w:t>
      </w:r>
      <w:r>
        <w:rPr>
          <w:rFonts w:hint="eastAsia" w:ascii="仿宋_GB2312" w:hAnsi="仿宋" w:eastAsia="仿宋_GB2312" w:cs="仿宋_GB2312"/>
          <w:color w:val="000000" w:themeColor="text1"/>
          <w:highlight w:val="none"/>
          <w14:textFill>
            <w14:solidFill>
              <w14:schemeClr w14:val="tx1"/>
            </w14:solidFill>
          </w14:textFill>
        </w:rPr>
        <w:t>.3条中有关的规范、规定及标准要求及时向</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方提供准确、完整、齐全的技术资料</w:t>
      </w:r>
      <w:r>
        <w:rPr>
          <w:rFonts w:hint="eastAsia" w:ascii="仿宋_GB2312" w:hAnsi="仿宋" w:eastAsia="仿宋_GB2312" w:cs="仿宋_GB2312"/>
          <w:color w:val="000000" w:themeColor="text1"/>
          <w:highlight w:val="none"/>
          <w:lang w:eastAsia="zh-CN"/>
          <w14:textFill>
            <w14:solidFill>
              <w14:schemeClr w14:val="tx1"/>
            </w14:solidFill>
          </w14:textFill>
        </w:rPr>
        <w:t>、</w:t>
      </w:r>
      <w:r>
        <w:rPr>
          <w:rFonts w:hint="eastAsia" w:ascii="仿宋_GB2312" w:hAnsi="仿宋" w:eastAsia="仿宋_GB2312" w:cs="仿宋_GB2312"/>
          <w:color w:val="000000" w:themeColor="text1"/>
          <w:highlight w:val="none"/>
          <w:lang w:val="en-US" w:eastAsia="zh-CN"/>
          <w14:textFill>
            <w14:solidFill>
              <w14:schemeClr w14:val="tx1"/>
            </w14:solidFill>
          </w14:textFill>
        </w:rPr>
        <w:t>原材料资料</w:t>
      </w:r>
      <w:r>
        <w:rPr>
          <w:rFonts w:hint="eastAsia" w:ascii="仿宋_GB2312" w:hAnsi="仿宋_GB2312" w:eastAsia="仿宋_GB2312" w:cs="仿宋_GB2312"/>
          <w:color w:val="auto"/>
          <w:highlight w:val="none"/>
          <w:u w:val="none"/>
          <w:lang w:val="en-US" w:eastAsia="zh-CN"/>
        </w:rPr>
        <w:t>以及</w:t>
      </w:r>
      <w:r>
        <w:rPr>
          <w:rFonts w:hint="eastAsia" w:ascii="仿宋_GB2312" w:hAnsi="仿宋_GB2312" w:eastAsia="仿宋_GB2312" w:cs="仿宋_GB2312"/>
          <w:color w:val="auto"/>
          <w:highlight w:val="none"/>
          <w:u w:val="none"/>
        </w:rPr>
        <w:t>甲方为完成计量、竣工资料所需要的所有资料</w:t>
      </w:r>
      <w:r>
        <w:rPr>
          <w:rFonts w:hint="eastAsia" w:ascii="仿宋_GB2312" w:hAnsi="仿宋" w:eastAsia="仿宋_GB2312"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方提供的技术资料必须符合</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方质量目标的要求。任何由于</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方原因造成</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方未能完成质量目标的要求，</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方须承担由此给</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方造成的损失。</w:t>
      </w:r>
    </w:p>
    <w:p w14:paraId="71269B96">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hint="eastAsia" w:ascii="仿宋_GB2312" w:hAnsi="仿宋" w:eastAsia="仿宋_GB2312" w:cs="仿宋_GB2312"/>
          <w:color w:val="000000" w:themeColor="text1"/>
          <w:highlight w:val="none"/>
          <w14:textFill>
            <w14:solidFill>
              <w14:schemeClr w14:val="tx1"/>
            </w14:solidFill>
          </w14:textFill>
        </w:rPr>
        <w:t>.2.2每次开盘随第一车混凝土提供给买方的资料：</w:t>
      </w:r>
    </w:p>
    <w:p w14:paraId="1AD3306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(1)商品混凝土配合比通知单；</w:t>
      </w:r>
    </w:p>
    <w:p w14:paraId="73987ED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(2)商品混凝土开盘鉴定；</w:t>
      </w:r>
    </w:p>
    <w:p w14:paraId="7600086A">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(3)商品混凝土中水泥出厂合格证；</w:t>
      </w:r>
    </w:p>
    <w:p w14:paraId="4B5FB003">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(4)商品混凝土中水泥进场复试试验报告(应有快测或3天强度值)；</w:t>
      </w:r>
    </w:p>
    <w:p w14:paraId="196CB39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(5)商品混凝土砂试验报告；</w:t>
      </w:r>
    </w:p>
    <w:p w14:paraId="371B8BD1">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(6)商品混凝土中卵(碎)石试验报告；</w:t>
      </w:r>
    </w:p>
    <w:p w14:paraId="2BCD686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(7)商品混凝土中外加剂出厂质量证明、使用说明；</w:t>
      </w:r>
    </w:p>
    <w:p w14:paraId="5C92E221">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(8)商品混凝土中外加剂进场复试报告；</w:t>
      </w:r>
    </w:p>
    <w:p w14:paraId="62BBC911">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(9)商品混凝土中掺和料出厂质量证明；</w:t>
      </w:r>
    </w:p>
    <w:p w14:paraId="59EE0657">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(10)商品混凝土中掺和料进场复试报告；</w:t>
      </w:r>
    </w:p>
    <w:p w14:paraId="553E975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(11)商品混凝土中所有原材料的含碱量试验报告；</w:t>
      </w:r>
    </w:p>
    <w:p w14:paraId="02C55DB9">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(12)商品混凝土中混凝土碱含量及氯离子含量试验报告；</w:t>
      </w:r>
    </w:p>
    <w:p w14:paraId="60AF1A7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(13)商品混凝土运输单；</w:t>
      </w:r>
    </w:p>
    <w:p w14:paraId="3FA70D2F">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w:t>
      </w:r>
      <w:r>
        <w:rPr>
          <w:rFonts w:ascii="仿宋_GB2312" w:hAnsi="仿宋" w:eastAsia="仿宋_GB2312" w:cs="仿宋_GB2312"/>
          <w:color w:val="000000" w:themeColor="text1"/>
          <w:highlight w:val="none"/>
          <w14:textFill>
            <w14:solidFill>
              <w14:schemeClr w14:val="tx1"/>
            </w14:solidFill>
          </w14:textFill>
        </w:rPr>
        <w:t>4</w:t>
      </w:r>
      <w:r>
        <w:rPr>
          <w:rFonts w:hint="eastAsia" w:ascii="仿宋_GB2312" w:hAnsi="仿宋" w:eastAsia="仿宋_GB2312" w:cs="仿宋_GB2312"/>
          <w:color w:val="000000" w:themeColor="text1"/>
          <w:highlight w:val="none"/>
          <w14:textFill>
            <w14:solidFill>
              <w14:schemeClr w14:val="tx1"/>
            </w14:solidFill>
          </w14:textFill>
        </w:rPr>
        <w:t>)商品混凝土各项原材料质量的第三方检测机构合格报告；</w:t>
      </w:r>
    </w:p>
    <w:p w14:paraId="602CE09C">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(14)其他买方要求的资料；</w:t>
      </w:r>
    </w:p>
    <w:p w14:paraId="2CD6C4E3">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(15)其它卖方认为须提供的资料。</w:t>
      </w:r>
    </w:p>
    <w:p w14:paraId="225A9EF9">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hint="eastAsia" w:ascii="仿宋_GB2312" w:hAnsi="仿宋" w:eastAsia="仿宋_GB2312" w:cs="仿宋_GB2312"/>
          <w:color w:val="000000" w:themeColor="text1"/>
          <w:highlight w:val="none"/>
          <w14:textFill>
            <w14:solidFill>
              <w14:schemeClr w14:val="tx1"/>
            </w14:solidFill>
          </w14:textFill>
        </w:rPr>
        <w:t>.2.3混凝土浇注后30日之内应提供的资料：</w:t>
      </w:r>
    </w:p>
    <w:p w14:paraId="3EA009C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(1)商品混凝土中水泥材质证明28天强度补报单；</w:t>
      </w:r>
    </w:p>
    <w:p w14:paraId="42717ED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(2)商品混凝土出厂合格证；</w:t>
      </w:r>
    </w:p>
    <w:p w14:paraId="1037DF70">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(3)商品混凝土出厂检验强度试验报告；</w:t>
      </w:r>
    </w:p>
    <w:p w14:paraId="280AB3B4">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(4)商品混凝土出厂抗渗性能试验报告(可延迟至45天之内)；</w:t>
      </w:r>
    </w:p>
    <w:p w14:paraId="3249571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(5)其他买方要求的资料。</w:t>
      </w:r>
    </w:p>
    <w:p w14:paraId="7365FC78">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资料清单明确附件内容及份数同时加印乙方签章于收货时一并交由甲方核验，否则甲方不予办理收料手续。</w:t>
      </w:r>
    </w:p>
    <w:p w14:paraId="21082AB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w:t>
      </w:r>
      <w:r>
        <w:rPr>
          <w:rFonts w:ascii="仿宋_GB2312" w:hAnsi="仿宋" w:eastAsia="仿宋_GB2312" w:cs="仿宋_GB2312"/>
          <w:color w:val="000000" w:themeColor="text1"/>
          <w:highlight w:val="none"/>
          <w14:textFill>
            <w14:solidFill>
              <w14:schemeClr w14:val="tx1"/>
            </w14:solidFill>
          </w14:textFill>
        </w:rPr>
        <w:t>3</w:t>
      </w:r>
      <w:r>
        <w:rPr>
          <w:rFonts w:hint="eastAsia" w:ascii="仿宋_GB2312" w:hAnsi="仿宋" w:eastAsia="仿宋_GB2312" w:cs="仿宋_GB2312"/>
          <w:color w:val="000000" w:themeColor="text1"/>
          <w:highlight w:val="none"/>
          <w14:textFill>
            <w14:solidFill>
              <w14:schemeClr w14:val="tx1"/>
            </w14:solidFill>
          </w14:textFill>
        </w:rPr>
        <w:t>乙方必须在按照时间要求将砼相关的技术质量资料提供给甲方。付款前乙方必须向甲方补齐所欠混凝土相关的技术质量资料，否则甲方有权不予支付该项目当期结算的材料款，直至乙方补齐所欠混凝土相关的技术质量资料时方可支付当期结算的材料款。</w:t>
      </w:r>
    </w:p>
    <w:p w14:paraId="371F51AD">
      <w:pPr>
        <w:pStyle w:val="17"/>
        <w:numPr>
          <w:ilvl w:val="0"/>
          <w:numId w:val="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货物质量保修期：</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1751112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3.1货物质量保修期：无；</w:t>
      </w:r>
    </w:p>
    <w:p w14:paraId="52E1954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3.2货物质量保证期：按国家有关法律法规的规定，货物质量保证期为终身；</w:t>
      </w:r>
    </w:p>
    <w:p w14:paraId="70E0176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ECE920E">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5057"/>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0"/>
    </w:p>
    <w:p w14:paraId="262ED2B4">
      <w:pPr>
        <w:pStyle w:val="17"/>
        <w:numPr>
          <w:ilvl w:val="0"/>
          <w:numId w:val="7"/>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货物进场需由甲方收货联系人、</w:t>
      </w:r>
      <w:bookmarkStart w:id="11"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1"/>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782E84CF">
      <w:pPr>
        <w:pStyle w:val="17"/>
        <w:numPr>
          <w:ilvl w:val="0"/>
          <w:numId w:val="7"/>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收料单，甲方收货联系人及乙方发货联系人双方签字后视为验收完成</w:t>
      </w:r>
      <w:r>
        <w:rPr>
          <w:rFonts w:hint="eastAsia" w:ascii="仿宋_GB2312" w:hAnsi="仿宋_GB2312" w:eastAsia="仿宋_GB2312" w:cs="仿宋_GB2312"/>
          <w:color w:val="000000" w:themeColor="text1"/>
          <w:highlight w:val="none"/>
          <w14:textFill>
            <w14:solidFill>
              <w14:schemeClr w14:val="tx1"/>
            </w14:solidFill>
          </w14:textFill>
        </w:rPr>
        <w:t>。</w:t>
      </w:r>
    </w:p>
    <w:p w14:paraId="245B11C3">
      <w:pPr>
        <w:pStyle w:val="17"/>
        <w:numPr>
          <w:ilvl w:val="0"/>
          <w:numId w:val="7"/>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6E69571D">
      <w:pPr>
        <w:pStyle w:val="17"/>
        <w:spacing w:line="400" w:lineRule="atLeast"/>
        <w:ind w:left="420" w:left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本合同商品混凝土工程量结算的具体方式为以下第</w:t>
      </w:r>
      <w:permStart w:id="3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8"/>
      <w:r>
        <w:rPr>
          <w:rFonts w:hint="eastAsia" w:ascii="仿宋_GB2312" w:hAnsi="仿宋_GB2312" w:eastAsia="仿宋_GB2312" w:cs="仿宋_GB2312"/>
          <w:color w:val="000000" w:themeColor="text1"/>
          <w:highlight w:val="none"/>
          <w14:textFill>
            <w14:solidFill>
              <w14:schemeClr w14:val="tx1"/>
            </w14:solidFill>
          </w14:textFill>
        </w:rPr>
        <w:t>种。</w:t>
      </w:r>
    </w:p>
    <w:p w14:paraId="2BB5260C">
      <w:pPr>
        <w:pStyle w:val="17"/>
        <w:spacing w:line="400" w:lineRule="exac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u w:val="single"/>
          <w14:textFill>
            <w14:solidFill>
              <w14:schemeClr w14:val="tx1"/>
            </w14:solidFill>
          </w14:textFill>
        </w:rPr>
        <w:t>3.1.1按混凝土进场验收过磅为依据进行结算，甲方按以下方式进行验收：</w:t>
      </w:r>
    </w:p>
    <w:p w14:paraId="19852B95">
      <w:pPr>
        <w:pStyle w:val="20"/>
        <w:spacing w:line="400" w:lineRule="exact"/>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1）混凝土按照“过磅计量”方式结算，甲方对混凝土进行过磅，商品混凝土容重按照每批次混凝土进场时的开盘鉴定中配合比进行计算。</w:t>
      </w:r>
    </w:p>
    <w:p w14:paraId="4D2378E1">
      <w:pPr>
        <w:pStyle w:val="20"/>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2）供应过程中，甲方项目有地磅的必须每车进出场双检，出现小票未过磅确认的，甲方不予承认其数量。无地磅的项目有权进行抽查，且且保证抽查量不低于供应总量的50％。</w:t>
      </w:r>
    </w:p>
    <w:p w14:paraId="12986ACB">
      <w:pPr>
        <w:pStyle w:val="20"/>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3）甲方将过磅量与小票量进行对比，当过磅量大于或等于小票量时方可视为方量满足要求，否则按亏方处理。发现亏方情况，有地磅项目本批次浇筑的每一车都扣相应的亏损量；无地磅项目本批次浇筑的每一车都扣相应相应亏损量的两倍。</w:t>
      </w:r>
    </w:p>
    <w:p w14:paraId="18BFF2E1">
      <w:pPr>
        <w:pStyle w:val="20"/>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4）每批次浇筑完成，甲乙双方须在2个工作日内完成该批次混凝的数量确认，双方签字确认的作为混凝土结算办理数量依据。小票签收人员由项目部委托人员签字有效，其他人员签字无效。</w:t>
      </w:r>
    </w:p>
    <w:p w14:paraId="701922F9">
      <w:pPr>
        <w:pStyle w:val="20"/>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5）为保证乙方混凝土容重的准确性，甲方有权随机抽查乙方搅拌站配合比容重，经实测的容重与配合比容重误差在±1.5％内视为符合要求，容重误差超过1.5％视为不符合要求，其中误差在1.5％-3％的处自上次容重抽查之日以来所有浇筑的混凝土方量扣减10％的处罚，误差在3％-5％的处自上次容重抽查之日以来所有浇筑的混凝土方量扣减20％的处罚，误差在5％以上的处自上次容重抽查之日以来所有浇筑的混凝土方量扣减30％的处罚，并解除供货合同，列入中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不合格供应商。</w:t>
      </w:r>
    </w:p>
    <w:p w14:paraId="5AFC2E1F">
      <w:pPr>
        <w:pStyle w:val="17"/>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u w:val="single"/>
          <w14:textFill>
            <w14:solidFill>
              <w14:schemeClr w14:val="tx1"/>
            </w14:solidFill>
          </w14:textFill>
        </w:rPr>
        <w:t>3.1.2按施工图纸计算工程量和小票验收量相结合的结算方式：</w:t>
      </w:r>
    </w:p>
    <w:p w14:paraId="1DE3ABEC">
      <w:pPr>
        <w:pStyle w:val="7"/>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1）按实际小票量结算的部位：①水沟、电缆沟、临时马路、塔吊基础、彩板房基础等临建基础。②.桩基、垫层、导墙、挡土墙、支撑系统（含支撑梁、冠梁及栈桥）、二次构件（含圈梁、过梁、构造柱、飘窗、线条、翻边）、地坪、细石砼楼地面、屋面找平层、保护层、坡屋面、女儿墙、花架、设备基础、填充砼、散水、后浇带。③.基础设施工程中的：支座垫石、楔块、防护栏杆、路基基础、系梁、地连墙、桥（路）面铺装。</w:t>
      </w:r>
    </w:p>
    <w:p w14:paraId="471D80B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除按实际小票量结算部位外，其他部位以实际用量与结构层图纸预算数量相比，不能超过结构层图纸预算数量（含钢筋体积），若超过则按结构层图纸预算数量结算，没有超过则按实际用量结算（房屋建筑工程项目比较范围为每个结构层；市政桥梁工程项目比较范围为水平方向每个施工区段，竖向为每个分部工程）；</w:t>
      </w:r>
    </w:p>
    <w:p w14:paraId="4C0A889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小票数量的确认方法：在浇筑过程中,乙方无条件服从甲方项目人员对任意车次的重量抽查。无论甲方抽查几车，只要抽查发现过磅偏差超出下表对应的偏差允许值，则需对该批次混凝土逐车进行扣减。（如果抽查中存在多个超出偏差允许值的情况，则按最大过磅偏差值，对该批混凝土逐车进行扣减）</w:t>
      </w:r>
    </w:p>
    <w:p w14:paraId="789FF485">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（4）商品混凝土容重：按项目与供应商约定的实际配合比计算。</w:t>
      </w:r>
    </w:p>
    <w:p w14:paraId="28D76F32">
      <w:pPr>
        <w:pStyle w:val="17"/>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u w:val="single"/>
          <w14:textFill>
            <w14:solidFill>
              <w14:schemeClr w14:val="tx1"/>
            </w14:solidFill>
          </w14:textFill>
        </w:rPr>
        <w:t>3.1.3按施工图纸计算工程量和小票验收量相结合的结算方式，商品混凝土实际结算量不超过图纸量（含设计变更、签证部分）。</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 w14:paraId="3F73BD45">
      <w:pPr>
        <w:pStyle w:val="7"/>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1）按实际小票量结算的部位：①水沟、电缆沟、临时马路、塔吊基础、彩板房基础等临建基础。②.桩基、垫层、导墙、挡土墙、支撑系统（含支撑梁、冠梁及栈桥）、二次构件（含圈梁、过梁、构造柱、飘窗、线条、翻边）、地坪、细石砼楼地面、屋面找平层、保护层、坡屋面、女儿墙、花架、设备基础、填充砼、散水、后浇带。③.基础设施工程中的：支座垫石、楔块、防护栏杆、路基基础、系梁、地连墙、桥（路）面铺装。</w:t>
      </w:r>
    </w:p>
    <w:p w14:paraId="0E743E4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除按实际小票量结算部位外，其他部位按照结构层图纸预算量进行结算，结构层图纸预算数量不扣除钢筋体积不另计损耗，房屋建筑工程项目为每个结构层；市政桥梁工程项目为水平方向每个施工区段，竖向为每个分部工程。工程量计算规则按2013年《建设工程工程量清单计价规范》（GB50500-2013）中混凝土的计算规则执行，《建设工程工程量清单计价规范》中以面积计量的，工程量=面积*厚度。</w:t>
      </w:r>
    </w:p>
    <w:p w14:paraId="23DEE370">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以上小票数量的确认和施工图纸预算计量的方法：在浇筑过程中,乙方无条件服从甲方项目人员对任意车次的重量抽查。其中小票计量抽查比例不低于70％，施工图纸预算计量抽查比例不低于10％。按照小票计量的，无论甲方抽查几车，只要抽查发现过磅偏差超出下表对应的偏差允许值，则需对该批次混凝土逐车进行扣减（如果抽查中存在多个超出偏差允许值的情况，则按最大过磅偏差值，对该批混凝土逐车进行扣减）。按照施工图纸预算计量的小票签收以及抽查，仅作为过程管理资料，不作为收方结算凭证。</w:t>
      </w:r>
    </w:p>
    <w:tbl>
      <w:tblPr>
        <w:tblStyle w:val="14"/>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450"/>
        <w:gridCol w:w="2740"/>
      </w:tblGrid>
      <w:tr w14:paraId="4B22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tcPr>
          <w:p w14:paraId="45A6BD51">
            <w:pPr>
              <w:spacing w:before="120" w:after="120" w:line="400" w:lineRule="atLeas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序号</w:t>
            </w:r>
          </w:p>
        </w:tc>
        <w:tc>
          <w:tcPr>
            <w:tcW w:w="4450" w:type="dxa"/>
            <w:vAlign w:val="center"/>
          </w:tcPr>
          <w:p w14:paraId="4F41C9D0">
            <w:pPr>
              <w:spacing w:line="400" w:lineRule="atLeast"/>
              <w:ind w:firstLine="480" w:firstLineChars="20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项抽查</w:t>
            </w:r>
          </w:p>
        </w:tc>
        <w:tc>
          <w:tcPr>
            <w:tcW w:w="2740" w:type="dxa"/>
            <w:vAlign w:val="center"/>
          </w:tcPr>
          <w:p w14:paraId="5E451E1D">
            <w:pPr>
              <w:spacing w:line="400" w:lineRule="atLeast"/>
              <w:ind w:firstLine="480" w:firstLineChars="20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允许误差</w:t>
            </w:r>
          </w:p>
        </w:tc>
      </w:tr>
      <w:tr w14:paraId="6FE1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00" w:type="dxa"/>
            <w:vAlign w:val="center"/>
          </w:tcPr>
          <w:p w14:paraId="21D7984A">
            <w:pPr>
              <w:spacing w:line="400" w:lineRule="atLeas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p>
        </w:tc>
        <w:tc>
          <w:tcPr>
            <w:tcW w:w="4450" w:type="dxa"/>
            <w:vAlign w:val="center"/>
          </w:tcPr>
          <w:p w14:paraId="2703C3D4">
            <w:pPr>
              <w:spacing w:line="400" w:lineRule="atLeas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实测容重与乙方开盘鉴定提供标准容重</w:t>
            </w:r>
          </w:p>
        </w:tc>
        <w:tc>
          <w:tcPr>
            <w:tcW w:w="2740" w:type="dxa"/>
            <w:vAlign w:val="center"/>
          </w:tcPr>
          <w:p w14:paraId="770F1B3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-1％≤实测值≤0</w:t>
            </w:r>
          </w:p>
        </w:tc>
      </w:tr>
      <w:tr w14:paraId="4292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5130D9B">
            <w:pPr>
              <w:spacing w:line="400" w:lineRule="atLeas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w:t>
            </w:r>
          </w:p>
        </w:tc>
        <w:tc>
          <w:tcPr>
            <w:tcW w:w="4450" w:type="dxa"/>
            <w:vAlign w:val="center"/>
          </w:tcPr>
          <w:p w14:paraId="50176EC8">
            <w:pPr>
              <w:spacing w:line="400" w:lineRule="atLeas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实测车载重量与乙方提供的按照标准容重、标准方量计算的重量</w:t>
            </w:r>
          </w:p>
        </w:tc>
        <w:tc>
          <w:tcPr>
            <w:tcW w:w="2740" w:type="dxa"/>
            <w:vAlign w:val="center"/>
          </w:tcPr>
          <w:p w14:paraId="5DF67F0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-1％≤实测值≤0</w:t>
            </w:r>
          </w:p>
        </w:tc>
      </w:tr>
    </w:tbl>
    <w:p w14:paraId="716E04C8">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（4）商品混凝土容重：按项目与供应商约定的实际配合比计算。</w:t>
      </w:r>
    </w:p>
    <w:p w14:paraId="383604B6">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（5）乙方免费提供润泵砂浆，甲方不计量不计价。</w:t>
      </w:r>
    </w:p>
    <w:p w14:paraId="69D23C8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ascii="仿宋_GB2312" w:hAnsi="仿宋_GB2312" w:eastAsia="仿宋_GB2312" w:cs="仿宋_GB2312"/>
          <w:color w:val="000000" w:themeColor="text1"/>
          <w:sz w:val="24"/>
          <w:szCs w:val="24"/>
          <w:highlight w:val="none"/>
          <w14:textFill>
            <w14:solidFill>
              <w14:schemeClr w14:val="tx1"/>
            </w14:solidFill>
          </w14:textFill>
        </w:rPr>
        <w:t>.1.4</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3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14:textFill>
            <w14:solidFill>
              <w14:schemeClr w14:val="tx1"/>
            </w14:solidFill>
          </w14:textFill>
        </w:rPr>
        <w:t>/</w:t>
      </w:r>
      <w:r>
        <w:rPr>
          <w:rFonts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39"/>
    </w:p>
    <w:p w14:paraId="3E3D690A">
      <w:pPr>
        <w:pStyle w:val="7"/>
        <w:snapToGrid w:val="0"/>
        <w:spacing w:line="400" w:lineRule="atLeast"/>
        <w:ind w:firstLine="482"/>
        <w:contextualSpacing/>
        <w:jc w:val="left"/>
        <w:rPr>
          <w:rFonts w:hAnsi="仿宋_GB2312" w:cs="仿宋_GB2312"/>
          <w:b/>
          <w:color w:val="000000" w:themeColor="text1"/>
          <w:sz w:val="24"/>
          <w:szCs w:val="24"/>
          <w:highlight w:val="none"/>
          <w:u w:val="single"/>
          <w14:textFill>
            <w14:solidFill>
              <w14:schemeClr w14:val="tx1"/>
            </w14:solidFill>
          </w14:textFill>
        </w:rPr>
      </w:pPr>
      <w:r>
        <w:rPr>
          <w:rFonts w:hint="eastAsia" w:hAnsi="仿宋_GB2312" w:cs="仿宋_GB2312"/>
          <w:b/>
          <w:color w:val="000000" w:themeColor="text1"/>
          <w:sz w:val="24"/>
          <w:szCs w:val="24"/>
          <w:highlight w:val="none"/>
          <w:u w:val="single"/>
          <w14:textFill>
            <w14:solidFill>
              <w14:schemeClr w14:val="tx1"/>
            </w14:solidFill>
          </w14:textFill>
        </w:rPr>
        <w:t>3.2验收注意事项：</w:t>
      </w:r>
    </w:p>
    <w:p w14:paraId="407C9098">
      <w:pPr>
        <w:pStyle w:val="7"/>
        <w:numPr>
          <w:ilvl w:val="0"/>
          <w:numId w:val="8"/>
        </w:numPr>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称重要求：以甲方现场安装的地磅作为抽查设备，除非乙方有证据证明甲方设备超过国家计量允许偏差范围。甲方现场没有安装称重设备的，可由双方共同委托符合要求的第三方计量单位完成抽样工作。相关费用由合同违约一方承担。</w:t>
      </w:r>
    </w:p>
    <w:p w14:paraId="3C023C95">
      <w:pPr>
        <w:pStyle w:val="7"/>
        <w:numPr>
          <w:ilvl w:val="0"/>
          <w:numId w:val="8"/>
        </w:numPr>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超耗要求：若浇筑时出现跑模、胀模、爆管等混凝土超耗由责任方承担，按图纸计量部分若因甲方原因造成的超耗可办理签证予以计量。</w:t>
      </w:r>
    </w:p>
    <w:p w14:paraId="2B2A573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资料要求：乙方具体现场验收及抽查人员以《商品混凝土需方验收人员一览表》（合同附件）为准，除此以外的任何机构或个人的任何盖章或签字均属无效，甲方不予认可。抽查结果以《商品混凝土进场验收验证记录表》（合同附件）为准。</w:t>
      </w:r>
    </w:p>
    <w:p w14:paraId="1EB75137">
      <w:pPr>
        <w:pStyle w:val="7"/>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4）授权人员：乙方以书面形式委托的现场代表负责配合处理现场过磅、验收、核对方量、结算事宜。如未委派代表或现场代表以任何理由不参与，则乙方运输司机或其他人员的签署视为有效。如乙方无任何人员参与上述事宜，则视为供方默认甲方的现场签署意见，并以甲方签署的单据为有效结算依据。</w:t>
      </w:r>
    </w:p>
    <w:p w14:paraId="2597CA02">
      <w:pPr>
        <w:pStyle w:val="3"/>
        <w:keepNext w:val="0"/>
        <w:keepLines w:val="0"/>
        <w:tabs>
          <w:tab w:val="left" w:pos="567"/>
        </w:tabs>
        <w:spacing w:before="0" w:line="240" w:lineRule="auto"/>
        <w:ind w:firstLine="480" w:firstLineChars="200"/>
        <w:rPr>
          <w:rFonts w:ascii="仿宋" w:hAnsi="仿宋" w:eastAsia="仿宋"/>
          <w:color w:val="000000"/>
          <w:sz w:val="24"/>
          <w:szCs w:val="24"/>
          <w:highlight w:val="none"/>
        </w:rPr>
      </w:pPr>
      <w:r>
        <w:rPr>
          <w:rFonts w:hint="eastAsia" w:hAnsi="仿宋_GB2312" w:cs="仿宋_GB2312"/>
          <w:b w:val="0"/>
          <w:color w:val="000000" w:themeColor="text1"/>
          <w:sz w:val="24"/>
          <w:szCs w:val="24"/>
          <w:highlight w:val="none"/>
          <w14:textFill>
            <w14:solidFill>
              <w14:schemeClr w14:val="tx1"/>
            </w14:solidFill>
          </w14:textFill>
        </w:rPr>
        <w:t>（</w:t>
      </w:r>
      <w:r>
        <w:rPr>
          <w:rFonts w:hint="eastAsia" w:ascii="仿宋" w:hAnsi="仿宋" w:eastAsia="仿宋" w:cs="仿宋_GB2312"/>
          <w:b w:val="0"/>
          <w:color w:val="000000" w:themeColor="text1"/>
          <w:sz w:val="24"/>
          <w:szCs w:val="24"/>
          <w:highlight w:val="none"/>
          <w14:textFill>
            <w14:solidFill>
              <w14:schemeClr w14:val="tx1"/>
            </w14:solidFill>
          </w14:textFill>
        </w:rPr>
        <w:t>5）</w:t>
      </w:r>
      <w:r>
        <w:rPr>
          <w:rFonts w:hint="eastAsia" w:ascii="仿宋" w:hAnsi="仿宋" w:eastAsia="仿宋"/>
          <w:b w:val="0"/>
          <w:color w:val="000000"/>
          <w:sz w:val="24"/>
          <w:szCs w:val="24"/>
          <w:highlight w:val="none"/>
        </w:rPr>
        <w:t>不同强度混凝土密度、单方容重、偏差应满足下表：</w:t>
      </w: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873"/>
        <w:gridCol w:w="1008"/>
        <w:gridCol w:w="1008"/>
        <w:gridCol w:w="1009"/>
        <w:gridCol w:w="1009"/>
        <w:gridCol w:w="1009"/>
        <w:gridCol w:w="922"/>
      </w:tblGrid>
      <w:tr w14:paraId="07A5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14:paraId="3873E7EF">
            <w:pPr>
              <w:pStyle w:val="4"/>
              <w:ind w:left="480" w:hanging="480" w:hangingChars="200"/>
              <w:rPr>
                <w:rFonts w:ascii="仿宋" w:hAnsi="仿宋" w:eastAsia="仿宋"/>
                <w:color w:val="000000"/>
                <w:kern w:val="16"/>
                <w:sz w:val="24"/>
                <w:szCs w:val="24"/>
                <w:highlight w:val="none"/>
              </w:rPr>
            </w:pPr>
            <w:permStart w:id="40" w:edGrp="everyone"/>
            <w:r>
              <w:rPr>
                <w:rFonts w:hint="eastAsia" w:ascii="仿宋" w:hAnsi="仿宋" w:eastAsia="仿宋"/>
                <w:color w:val="000000"/>
                <w:kern w:val="16"/>
                <w:sz w:val="24"/>
                <w:szCs w:val="24"/>
                <w:highlight w:val="none"/>
              </w:rPr>
              <w:t>混凝土规格</w:t>
            </w:r>
          </w:p>
        </w:tc>
        <w:tc>
          <w:tcPr>
            <w:tcW w:w="873" w:type="dxa"/>
          </w:tcPr>
          <w:p w14:paraId="6BA4D90E">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C15</w:t>
            </w:r>
          </w:p>
        </w:tc>
        <w:tc>
          <w:tcPr>
            <w:tcW w:w="1008" w:type="dxa"/>
          </w:tcPr>
          <w:p w14:paraId="7074A0BB">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C20</w:t>
            </w:r>
          </w:p>
        </w:tc>
        <w:tc>
          <w:tcPr>
            <w:tcW w:w="1008" w:type="dxa"/>
          </w:tcPr>
          <w:p w14:paraId="322CFC83">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C25</w:t>
            </w:r>
          </w:p>
        </w:tc>
        <w:tc>
          <w:tcPr>
            <w:tcW w:w="1009" w:type="dxa"/>
          </w:tcPr>
          <w:p w14:paraId="48972DB6">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C30</w:t>
            </w:r>
          </w:p>
        </w:tc>
        <w:tc>
          <w:tcPr>
            <w:tcW w:w="1009" w:type="dxa"/>
          </w:tcPr>
          <w:p w14:paraId="5794753A">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C35</w:t>
            </w:r>
          </w:p>
        </w:tc>
        <w:tc>
          <w:tcPr>
            <w:tcW w:w="1009" w:type="dxa"/>
          </w:tcPr>
          <w:p w14:paraId="0CDAC3DA">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C40</w:t>
            </w:r>
          </w:p>
        </w:tc>
        <w:tc>
          <w:tcPr>
            <w:tcW w:w="922" w:type="dxa"/>
          </w:tcPr>
          <w:p w14:paraId="49023754">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C45</w:t>
            </w:r>
          </w:p>
        </w:tc>
      </w:tr>
      <w:tr w14:paraId="7C7A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14:paraId="41A5837A">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密度（㎏/m3）</w:t>
            </w:r>
          </w:p>
        </w:tc>
        <w:tc>
          <w:tcPr>
            <w:tcW w:w="873" w:type="dxa"/>
          </w:tcPr>
          <w:p w14:paraId="7BC48778">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2325</w:t>
            </w:r>
          </w:p>
        </w:tc>
        <w:tc>
          <w:tcPr>
            <w:tcW w:w="1008" w:type="dxa"/>
          </w:tcPr>
          <w:p w14:paraId="339E5800">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2340</w:t>
            </w:r>
          </w:p>
        </w:tc>
        <w:tc>
          <w:tcPr>
            <w:tcW w:w="1008" w:type="dxa"/>
          </w:tcPr>
          <w:p w14:paraId="5A5EAF75">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2355</w:t>
            </w:r>
          </w:p>
        </w:tc>
        <w:tc>
          <w:tcPr>
            <w:tcW w:w="1009" w:type="dxa"/>
          </w:tcPr>
          <w:p w14:paraId="65479158">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2370</w:t>
            </w:r>
          </w:p>
        </w:tc>
        <w:tc>
          <w:tcPr>
            <w:tcW w:w="1009" w:type="dxa"/>
          </w:tcPr>
          <w:p w14:paraId="017B55A5">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2385</w:t>
            </w:r>
          </w:p>
        </w:tc>
        <w:tc>
          <w:tcPr>
            <w:tcW w:w="1009" w:type="dxa"/>
          </w:tcPr>
          <w:p w14:paraId="0D4B6E96">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2400</w:t>
            </w:r>
          </w:p>
        </w:tc>
        <w:tc>
          <w:tcPr>
            <w:tcW w:w="922" w:type="dxa"/>
          </w:tcPr>
          <w:p w14:paraId="4B6FF4C5">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2415</w:t>
            </w:r>
          </w:p>
        </w:tc>
      </w:tr>
      <w:permEnd w:id="40"/>
    </w:tbl>
    <w:p w14:paraId="19A2F462">
      <w:pPr>
        <w:pStyle w:val="3"/>
        <w:keepNext w:val="0"/>
        <w:keepLines w:val="0"/>
        <w:tabs>
          <w:tab w:val="left" w:pos="567"/>
        </w:tabs>
        <w:spacing w:before="0" w:line="240" w:lineRule="auto"/>
        <w:rPr>
          <w:rFonts w:ascii="仿宋" w:hAnsi="仿宋" w:eastAsia="仿宋"/>
          <w:color w:val="000000"/>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2486"/>
        <w:gridCol w:w="2288"/>
        <w:gridCol w:w="2288"/>
      </w:tblGrid>
      <w:tr w14:paraId="726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93" w:type="dxa"/>
          </w:tcPr>
          <w:p w14:paraId="3A6CC9AC">
            <w:pPr>
              <w:rPr>
                <w:rFonts w:ascii="仿宋" w:hAnsi="仿宋" w:eastAsia="仿宋"/>
                <w:color w:val="000000"/>
                <w:sz w:val="24"/>
                <w:szCs w:val="24"/>
                <w:highlight w:val="none"/>
              </w:rPr>
            </w:pPr>
            <w:permStart w:id="41" w:edGrp="everyone"/>
            <w:r>
              <w:rPr>
                <w:rFonts w:hint="eastAsia" w:ascii="仿宋" w:hAnsi="仿宋" w:eastAsia="仿宋"/>
                <w:color w:val="000000"/>
                <w:sz w:val="24"/>
                <w:szCs w:val="24"/>
                <w:highlight w:val="none"/>
              </w:rPr>
              <w:t>序号</w:t>
            </w:r>
          </w:p>
        </w:tc>
        <w:tc>
          <w:tcPr>
            <w:tcW w:w="2551" w:type="dxa"/>
          </w:tcPr>
          <w:p w14:paraId="1AB364D4">
            <w:pPr>
              <w:rPr>
                <w:rFonts w:ascii="仿宋" w:hAnsi="仿宋" w:eastAsia="仿宋"/>
                <w:color w:val="000000"/>
                <w:sz w:val="24"/>
                <w:szCs w:val="24"/>
                <w:highlight w:val="none"/>
              </w:rPr>
            </w:pPr>
            <w:r>
              <w:rPr>
                <w:rFonts w:hint="eastAsia" w:ascii="仿宋" w:hAnsi="仿宋" w:eastAsia="仿宋"/>
                <w:color w:val="000000"/>
                <w:sz w:val="24"/>
                <w:szCs w:val="24"/>
                <w:highlight w:val="none"/>
              </w:rPr>
              <w:t>材料名称</w:t>
            </w:r>
          </w:p>
        </w:tc>
        <w:tc>
          <w:tcPr>
            <w:tcW w:w="2347" w:type="dxa"/>
          </w:tcPr>
          <w:p w14:paraId="6682FEB0">
            <w:pPr>
              <w:rPr>
                <w:rFonts w:ascii="仿宋" w:hAnsi="仿宋" w:eastAsia="仿宋"/>
                <w:color w:val="000000"/>
                <w:sz w:val="24"/>
                <w:szCs w:val="24"/>
                <w:highlight w:val="none"/>
              </w:rPr>
            </w:pPr>
            <w:r>
              <w:rPr>
                <w:rFonts w:hint="eastAsia" w:ascii="仿宋" w:hAnsi="仿宋" w:eastAsia="仿宋"/>
                <w:color w:val="000000"/>
                <w:sz w:val="24"/>
                <w:szCs w:val="24"/>
                <w:highlight w:val="none"/>
              </w:rPr>
              <w:t>单方最小容重</w:t>
            </w:r>
          </w:p>
        </w:tc>
        <w:tc>
          <w:tcPr>
            <w:tcW w:w="2347" w:type="dxa"/>
          </w:tcPr>
          <w:p w14:paraId="66C21E8B">
            <w:pPr>
              <w:rPr>
                <w:rFonts w:ascii="仿宋" w:hAnsi="仿宋" w:eastAsia="仿宋"/>
                <w:color w:val="000000"/>
                <w:sz w:val="24"/>
                <w:szCs w:val="24"/>
                <w:highlight w:val="none"/>
              </w:rPr>
            </w:pPr>
            <w:r>
              <w:rPr>
                <w:rFonts w:hint="eastAsia" w:ascii="仿宋" w:hAnsi="仿宋" w:eastAsia="仿宋"/>
                <w:color w:val="000000"/>
                <w:sz w:val="24"/>
                <w:szCs w:val="24"/>
                <w:highlight w:val="none"/>
              </w:rPr>
              <w:t>允许偏差</w:t>
            </w:r>
          </w:p>
        </w:tc>
      </w:tr>
      <w:tr w14:paraId="4665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93" w:type="dxa"/>
          </w:tcPr>
          <w:p w14:paraId="320268BD">
            <w:pPr>
              <w:rPr>
                <w:rFonts w:ascii="仿宋" w:hAnsi="仿宋" w:eastAsia="仿宋"/>
                <w:color w:val="FF0000"/>
                <w:sz w:val="24"/>
                <w:szCs w:val="24"/>
                <w:highlight w:val="none"/>
              </w:rPr>
            </w:pPr>
          </w:p>
        </w:tc>
        <w:tc>
          <w:tcPr>
            <w:tcW w:w="2551" w:type="dxa"/>
          </w:tcPr>
          <w:p w14:paraId="2474A9DF">
            <w:pPr>
              <w:rPr>
                <w:rFonts w:ascii="仿宋" w:hAnsi="仿宋" w:eastAsia="仿宋"/>
                <w:color w:val="FF0000"/>
                <w:sz w:val="24"/>
                <w:szCs w:val="24"/>
                <w:highlight w:val="none"/>
              </w:rPr>
            </w:pPr>
          </w:p>
        </w:tc>
        <w:tc>
          <w:tcPr>
            <w:tcW w:w="2347" w:type="dxa"/>
          </w:tcPr>
          <w:p w14:paraId="6DA07F82">
            <w:pPr>
              <w:rPr>
                <w:rFonts w:ascii="仿宋" w:hAnsi="仿宋" w:eastAsia="仿宋"/>
                <w:color w:val="FF0000"/>
                <w:sz w:val="24"/>
                <w:szCs w:val="24"/>
                <w:highlight w:val="none"/>
              </w:rPr>
            </w:pPr>
          </w:p>
        </w:tc>
        <w:tc>
          <w:tcPr>
            <w:tcW w:w="2347" w:type="dxa"/>
          </w:tcPr>
          <w:p w14:paraId="60EF3384">
            <w:pPr>
              <w:rPr>
                <w:rFonts w:ascii="仿宋" w:hAnsi="仿宋" w:eastAsia="仿宋"/>
                <w:color w:val="FF0000"/>
                <w:sz w:val="24"/>
                <w:szCs w:val="24"/>
                <w:highlight w:val="none"/>
              </w:rPr>
            </w:pPr>
          </w:p>
        </w:tc>
      </w:tr>
      <w:tr w14:paraId="3620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93" w:type="dxa"/>
          </w:tcPr>
          <w:p w14:paraId="50109043">
            <w:pPr>
              <w:rPr>
                <w:rFonts w:ascii="仿宋" w:hAnsi="仿宋" w:eastAsia="仿宋"/>
                <w:color w:val="FF0000"/>
                <w:sz w:val="24"/>
                <w:szCs w:val="24"/>
                <w:highlight w:val="none"/>
              </w:rPr>
            </w:pPr>
          </w:p>
        </w:tc>
        <w:tc>
          <w:tcPr>
            <w:tcW w:w="2551" w:type="dxa"/>
          </w:tcPr>
          <w:p w14:paraId="18FAA2BE">
            <w:pPr>
              <w:rPr>
                <w:rFonts w:ascii="仿宋" w:hAnsi="仿宋" w:eastAsia="仿宋"/>
                <w:color w:val="FF0000"/>
                <w:sz w:val="24"/>
                <w:szCs w:val="24"/>
                <w:highlight w:val="none"/>
              </w:rPr>
            </w:pPr>
          </w:p>
        </w:tc>
        <w:tc>
          <w:tcPr>
            <w:tcW w:w="2347" w:type="dxa"/>
          </w:tcPr>
          <w:p w14:paraId="3E1CBC11">
            <w:pPr>
              <w:rPr>
                <w:rFonts w:ascii="仿宋" w:hAnsi="仿宋" w:eastAsia="仿宋"/>
                <w:color w:val="FF0000"/>
                <w:sz w:val="24"/>
                <w:szCs w:val="24"/>
                <w:highlight w:val="none"/>
              </w:rPr>
            </w:pPr>
          </w:p>
        </w:tc>
        <w:tc>
          <w:tcPr>
            <w:tcW w:w="2347" w:type="dxa"/>
          </w:tcPr>
          <w:p w14:paraId="52E4B368">
            <w:pPr>
              <w:rPr>
                <w:rFonts w:ascii="仿宋" w:hAnsi="仿宋" w:eastAsia="仿宋"/>
                <w:color w:val="FF0000"/>
                <w:sz w:val="24"/>
                <w:szCs w:val="24"/>
                <w:highlight w:val="none"/>
              </w:rPr>
            </w:pPr>
          </w:p>
        </w:tc>
      </w:tr>
      <w:tr w14:paraId="4E22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93" w:type="dxa"/>
          </w:tcPr>
          <w:p w14:paraId="4E628EC7">
            <w:pPr>
              <w:rPr>
                <w:rFonts w:ascii="仿宋" w:hAnsi="仿宋" w:eastAsia="仿宋"/>
                <w:color w:val="FF0000"/>
                <w:sz w:val="24"/>
                <w:szCs w:val="24"/>
                <w:highlight w:val="none"/>
              </w:rPr>
            </w:pPr>
          </w:p>
        </w:tc>
        <w:tc>
          <w:tcPr>
            <w:tcW w:w="2551" w:type="dxa"/>
          </w:tcPr>
          <w:p w14:paraId="793A3095">
            <w:pPr>
              <w:rPr>
                <w:rFonts w:ascii="仿宋" w:hAnsi="仿宋" w:eastAsia="仿宋"/>
                <w:color w:val="FF0000"/>
                <w:sz w:val="24"/>
                <w:szCs w:val="24"/>
                <w:highlight w:val="none"/>
              </w:rPr>
            </w:pPr>
          </w:p>
        </w:tc>
        <w:tc>
          <w:tcPr>
            <w:tcW w:w="2347" w:type="dxa"/>
          </w:tcPr>
          <w:p w14:paraId="6DC2F71C">
            <w:pPr>
              <w:rPr>
                <w:rFonts w:ascii="仿宋" w:hAnsi="仿宋" w:eastAsia="仿宋"/>
                <w:color w:val="FF0000"/>
                <w:sz w:val="24"/>
                <w:szCs w:val="24"/>
                <w:highlight w:val="none"/>
              </w:rPr>
            </w:pPr>
          </w:p>
        </w:tc>
        <w:tc>
          <w:tcPr>
            <w:tcW w:w="2347" w:type="dxa"/>
          </w:tcPr>
          <w:p w14:paraId="245F59AE">
            <w:pPr>
              <w:rPr>
                <w:rFonts w:ascii="仿宋" w:hAnsi="仿宋" w:eastAsia="仿宋"/>
                <w:color w:val="FF0000"/>
                <w:sz w:val="24"/>
                <w:szCs w:val="24"/>
                <w:highlight w:val="none"/>
              </w:rPr>
            </w:pPr>
          </w:p>
        </w:tc>
      </w:tr>
      <w:permEnd w:id="41"/>
    </w:tbl>
    <w:p w14:paraId="5A5043EB">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single"/>
          <w:lang w:val="en-US" w:eastAsia="zh-CN"/>
        </w:rPr>
        <w:t>。</w:t>
      </w:r>
    </w:p>
    <w:p w14:paraId="07645490">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3.4数量争议：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p>
    <w:p w14:paraId="5BCF1459">
      <w:pPr>
        <w:pStyle w:val="17"/>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3.5其他：</w:t>
      </w:r>
    </w:p>
    <w:p w14:paraId="50C811F5">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3.5.1乙方对甲方在砼浇筑过程中有权进行监督，若乙方在甲方砼浇筑过程中未提出任何异议，双方均按合同结算方式执行，乙方不得在事后提出任何异议。</w:t>
      </w:r>
    </w:p>
    <w:p w14:paraId="2EB6CD65">
      <w:pPr>
        <w:pStyle w:val="17"/>
        <w:numPr>
          <w:ilvl w:val="0"/>
          <w:numId w:val="7"/>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5472DD72">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质量验收检查</w:t>
      </w:r>
    </w:p>
    <w:p w14:paraId="6BE9E4D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4.1.1</w:t>
      </w:r>
      <w:r>
        <w:rPr>
          <w:rFonts w:hint="eastAsia" w:ascii="仿宋_GB2312" w:hAnsi="仿宋_GB2312" w:eastAsia="仿宋_GB2312" w:cs="仿宋_GB2312"/>
          <w:color w:val="000000" w:themeColor="text1"/>
          <w:highlight w:val="none"/>
          <w14:textFill>
            <w14:solidFill>
              <w14:schemeClr w14:val="tx1"/>
            </w14:solidFill>
          </w14:textFill>
        </w:rPr>
        <w:t>检查项目包括：混凝土强度、混凝土抗渗性能、混凝土坍落度等。</w:t>
      </w:r>
    </w:p>
    <w:p w14:paraId="3713D50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.1.2浇筑前需对混凝土施工配合比进行复核，混凝土原材料实际计量值需根据骨料含水率实时调整。</w:t>
      </w:r>
    </w:p>
    <w:p w14:paraId="2448A85C">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.1.3混凝土运输单上需明确浇筑部位与强度，浇筑前需进行复核满足设计要求。</w:t>
      </w:r>
    </w:p>
    <w:p w14:paraId="0D1DA9B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.1.4混凝土运输单需记录好搅拌时间、出站时间、到场时间、开始浇筑时间、浇完时间，且应在混凝土初凝时间前完成浇筑。</w:t>
      </w:r>
    </w:p>
    <w:p w14:paraId="4375EFA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.1.5混凝土和易性满足设计或方案要求，做到首车必检，并记录在混凝土运输单上。</w:t>
      </w:r>
    </w:p>
    <w:p w14:paraId="7B891A9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.1.6双方共同完成现场取样试验、交货检验的取样试验，出厂检验的取样试验、出厂坍落度检验等工作由卖方承担。</w:t>
      </w:r>
    </w:p>
    <w:p w14:paraId="680C1A0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.1.7以结构实体检验结果作为判断混凝土质量是否符合要求的依据。</w:t>
      </w:r>
    </w:p>
    <w:p w14:paraId="60985C7D">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.2检验合格判定</w:t>
      </w:r>
    </w:p>
    <w:p w14:paraId="443851C3">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.2.1强度试验及抗渗性能试验结果符合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.3条中有关的规范、规定及标准要求，标养混凝土试块28d龄期强度达到设计要求的115%，其他各项指标均符合本合同的有关规定。</w:t>
      </w:r>
    </w:p>
    <w:p w14:paraId="4161874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.2.2坍落度等技术参数要求应符合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方混凝土申请单要求。</w:t>
      </w:r>
    </w:p>
    <w:p w14:paraId="39ADCF8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.2.3在混凝土使用前向</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方报送混凝土试配单，所提供的混凝土配合比必须是经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方及监理确认的。商品混凝土进场时，按合同约定技术标准及质量要求进行验收。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方提供商品混凝土必须符合本合同第二条技术标准及质量要求，如不符合，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方应无条件立即更换符合本合同要求的商品混凝土给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方，本合同商品混凝土交货日期不变，</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方未按照规定日期更换的按照</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方违约条款处理。</w:t>
      </w:r>
    </w:p>
    <w:p w14:paraId="2DEB1740">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货物应在使用前，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乙方配合甲方</w:t>
      </w:r>
      <w:r>
        <w:rPr>
          <w:rFonts w:hint="eastAsia" w:ascii="仿宋_GB2312" w:hAnsi="仿宋_GB2312" w:eastAsia="仿宋_GB2312" w:cs="仿宋_GB2312"/>
          <w:color w:val="000000" w:themeColor="text1"/>
          <w:highlight w:val="none"/>
          <w14:textFill>
            <w14:solidFill>
              <w14:schemeClr w14:val="tx1"/>
            </w14:solidFill>
          </w14:textFill>
        </w:rPr>
        <w:t>施工人员对涉及结构安全的试块进行取样并送检，若因乙方原因造成的送检试块质量不合格，乙方承担因此造成的工期损失、经济损失。</w:t>
      </w:r>
    </w:p>
    <w:p w14:paraId="4DB0228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758E240C">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货物如有质量异议，应在收货后7天向对方提出，乙方应在3天内作出答复，未回复视为认可货物质量瑕疵或缺陷。如混凝土结构出现开裂渗漏等质量问题，双方同意共同取样并送交</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4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日照建信工程检测有限公司</w:t>
      </w:r>
      <w:permEnd w:id="42"/>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CD2887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8A10421">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019CC50B">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2E3A19FE">
      <w:pPr>
        <w:pStyle w:val="17"/>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其他：</w:t>
      </w:r>
    </w:p>
    <w:p w14:paraId="29845E3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.1商品混凝土坍落度、和易性的要求：</w:t>
      </w:r>
    </w:p>
    <w:p w14:paraId="3A5A3CAF">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①坍落度、和易性适时调整：乙方根据气温条件、运输时间（白天或夜天）、运输道路的距离、混凝土原材料（水泥品种、外加剂品种等）变化、混凝土坍落度损失等情况来适当地调整原配合比，确保甲方混凝土浇筑时的坍落度、和易性等能够满足施工生产需要，确保混凝土质量。</w:t>
      </w:r>
    </w:p>
    <w:p w14:paraId="1DAC54B8">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②坍落度抽检：甲乙双方均派专人负责到场砼坍落度抽检，保证坍落度符合规范及设计要求，如不符合，立即退回乙方，严禁使用，所发生的一切费用由责任方承担。砼到场后，乙方不听从甲方现场调度，私自向砼内加水，停止运输车罐体运转或车内尚有砼而将车开走的，每出现一次乙方向甲方支付5000元的违约金。</w:t>
      </w:r>
    </w:p>
    <w:p w14:paraId="65688F45">
      <w:pPr>
        <w:spacing w:line="400" w:lineRule="atLeast"/>
        <w:ind w:firstLine="480" w:firstLineChars="200"/>
        <w:textAlignment w:val="baseline"/>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.2、检验试验要求：砼的强度应保证符合设计要求，并按</w:t>
      </w:r>
      <w:permStart w:id="43" w:edGrp="everyone"/>
      <w:r>
        <w:rPr>
          <w:rFonts w:hint="eastAsia" w:ascii="仿宋_GB2312" w:hAnsi="仿宋_GB2312" w:eastAsia="仿宋_GB2312" w:cs="仿宋_GB2312"/>
          <w:color w:val="auto"/>
          <w:kern w:val="0"/>
          <w:sz w:val="24"/>
          <w:szCs w:val="24"/>
        </w:rPr>
        <w:t>《预拌混凝土》（GB/T14902</w:t>
      </w:r>
      <w:r>
        <w:rPr>
          <w:rFonts w:hint="eastAsia" w:ascii="仿宋_GB2312" w:hAnsi="仿宋_GB2312" w:eastAsia="仿宋_GB2312" w:cs="仿宋_GB2312"/>
          <w:color w:val="auto"/>
          <w:kern w:val="0"/>
          <w:sz w:val="24"/>
          <w:szCs w:val="24"/>
          <w:lang w:val="en-US" w:eastAsia="zh-CN"/>
        </w:rPr>
        <w:t>-2012</w:t>
      </w:r>
      <w:r>
        <w:rPr>
          <w:rFonts w:hint="eastAsia" w:ascii="仿宋_GB2312" w:hAnsi="仿宋_GB2312" w:eastAsia="仿宋_GB2312" w:cs="仿宋_GB2312"/>
          <w:color w:val="auto"/>
          <w:kern w:val="0"/>
          <w:sz w:val="24"/>
          <w:szCs w:val="24"/>
        </w:rPr>
        <w:t>）和《</w:t>
      </w:r>
      <w:r>
        <w:rPr>
          <w:rFonts w:hint="eastAsia" w:ascii="仿宋_GB2312" w:hAnsi="仿宋_GB2312" w:eastAsia="仿宋_GB2312" w:cs="仿宋_GB2312"/>
          <w:color w:val="auto"/>
          <w:kern w:val="0"/>
          <w:sz w:val="24"/>
          <w:szCs w:val="24"/>
          <w:lang w:val="en-US" w:eastAsia="zh-CN"/>
        </w:rPr>
        <w:t>混凝土</w:t>
      </w:r>
      <w:r>
        <w:rPr>
          <w:rFonts w:hint="eastAsia" w:ascii="仿宋_GB2312" w:hAnsi="仿宋_GB2312" w:eastAsia="仿宋_GB2312" w:cs="仿宋_GB2312"/>
          <w:color w:val="auto"/>
          <w:kern w:val="0"/>
          <w:sz w:val="24"/>
          <w:szCs w:val="24"/>
        </w:rPr>
        <w:t>强度检验评定标准》（GB</w:t>
      </w:r>
      <w:r>
        <w:rPr>
          <w:rFonts w:hint="eastAsia" w:ascii="仿宋_GB2312" w:hAnsi="仿宋_GB2312" w:eastAsia="仿宋_GB2312" w:cs="仿宋_GB2312"/>
          <w:color w:val="auto"/>
          <w:kern w:val="0"/>
          <w:sz w:val="24"/>
          <w:szCs w:val="24"/>
          <w:lang w:val="en-US" w:eastAsia="zh-CN"/>
        </w:rPr>
        <w:t>/T 50107-2010</w:t>
      </w:r>
      <w:r>
        <w:rPr>
          <w:rFonts w:hint="eastAsia" w:ascii="仿宋_GB2312" w:hAnsi="仿宋_GB2312" w:eastAsia="仿宋_GB2312" w:cs="仿宋_GB2312"/>
          <w:color w:val="auto"/>
          <w:kern w:val="0"/>
          <w:sz w:val="24"/>
          <w:szCs w:val="24"/>
        </w:rPr>
        <w:t>）</w:t>
      </w:r>
      <w:permEnd w:id="4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的统计或非统计方法评定达到合格标准要求。甲方对乙方商砼标养砼试块及抗渗试块进行检验；如果检验不合格，由此引起的一切责任及损失均由乙方承担。</w:t>
      </w:r>
    </w:p>
    <w:p w14:paraId="2C8A2EBE">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.3原材料要求及其它技术要求：</w:t>
      </w:r>
    </w:p>
    <w:p w14:paraId="438299C5">
      <w:pPr>
        <w:spacing w:line="400" w:lineRule="atLeast"/>
        <w:ind w:firstLine="480" w:firstLineChars="200"/>
        <w:textAlignment w:val="baseline"/>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①乙方应保证水泥的各项性能指标满足图纸设计和规范要求。</w:t>
      </w:r>
    </w:p>
    <w:p w14:paraId="637FE876">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②掺合料为</w:t>
      </w:r>
      <w:permStart w:id="4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粉煤灰、矿粉、膨胀剂</w:t>
      </w:r>
      <w:permEnd w:id="4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等，必须符合相关规范要求。</w:t>
      </w:r>
    </w:p>
    <w:p w14:paraId="1EA0DF66">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③混凝土到场后，甲方如发现砼存在离析、分层、泌水、石子过大、夹渣、坍落度过大或过小等影响混凝土强度及性能的情况，甲方有权要求退货，乙方必须立即派专业人员到场核查处理，由此引起的一切责任及经济损失均由乙方承担。</w:t>
      </w:r>
    </w:p>
    <w:p w14:paraId="7C38A766">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④若混凝土质量不合格，乙方应无条件退货，并按照违约条款承担相应责任。</w:t>
      </w:r>
    </w:p>
    <w:p w14:paraId="1B28567C">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.4如果业主、监理或甲方在任何文件中规定的标准高于以上标准的，按相关文件中规定的标准执行；如果相关文件中规定的质量标准低于以上标准的，则按以上标准执行。</w:t>
      </w:r>
    </w:p>
    <w:p w14:paraId="28FA5762">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 w:name="_Toc22928"/>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12"/>
    </w:p>
    <w:p w14:paraId="00A762CE">
      <w:pPr>
        <w:pStyle w:val="17"/>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3411283F">
      <w:pPr>
        <w:pStyle w:val="17"/>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2909673D">
      <w:pPr>
        <w:pStyle w:val="17"/>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FD0514B">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039190D2">
      <w:pPr>
        <w:pStyle w:val="17"/>
        <w:numPr>
          <w:ilvl w:val="0"/>
          <w:numId w:val="9"/>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5408"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1"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0CA39F">
                                <w:pPr>
                                  <w:pStyle w:val="17"/>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27D405">
                                <w:pPr>
                                  <w:pStyle w:val="17"/>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115F24C">
                                <w:pPr>
                                  <w:pStyle w:val="17"/>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FD1DC7">
                                <w:pPr>
                                  <w:pStyle w:val="17"/>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97AD2B">
                                <w:pPr>
                                  <w:pStyle w:val="17"/>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5408;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JydwzPkBAAAaR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urFqrrrz+//u7p9Q+foX6NlmmlWYXU/C0GJDDLPuMy&#10;kvByA7m8wPfX5t0i1vdCWBXNsGFglqNjCI64kOqEsArpwsgSEBbMbsUXp1LVZGqb6G4lK4vkuChL&#10;UxHZZFwKdIEhhBybXwPpjWYlRbORFfR923i+YdO+OxeTEscfrXuA0ZYUaL2Yvi6p+WRu9pyMJiy5&#10;BKgEq2OY5PFxAX5PsVRnWEDQgg0CYV09hkdaMhgMa0oWypl4sum9bg9rDlYLzSAIjiz58RQLYqHy&#10;HQpsCB3PA7fKVDx/4EJFLFsmyxY6rcYMQHLgAOGxKer2qmyLqWDVBxD9D3WvYMI0hr5HlmqLY1WH&#10;Zjg9YnJ4aBpBnORYndJzHmvXekkoO5wqlhZm6TRMNTYNesBoHbbugdrhOrVNbNKdwwZ4FWoPBxro&#10;lS3dUXsYwn431HZ31N5R+x6oHaxT25wkd6D20mnlD/1Qhz4cddT27UGrC/rmXNiF7V3Y7sTba1Ek&#10;QLha6C4UidNJj1eO2yBH67gN5DZbZIncoduRe0WI7TTJ/0+TLDKVe9InWq7VTH/xyTdXf/z44s/v&#10;r7/8+fnTX5C7pMDHtMnrbupulJYFf7uVXE1659g2RPAmTwvCJn9ugzmIcy1SwsHfBPIJZO1jRinI&#10;cCb6CyWuD4YsaYaMkw9BSKZVCdIWtDd6MPB1Emm6hDPCSHeTBi4rd8q0bDcnTC3IHXdgMketbVO4&#10;IYARVjwBnUszEJ1lBlcgsRLrkl1up/p130dY5nV2YER/fb5VhYJbkrKoIB3pho2jnODkEU2QuuSQ&#10;aGMh2AyU98iqSAKam8BodMmMX+Gi3Krp5syhlsTgyWQU96eJXVi05hrh22eabb/9evXTswXzTLba&#10;qIhbmKdp0PDN94FLLd2GK9rBD8FmrhQ0YrfrBqkELrJ8Qbk6i7gl+fu3U+i/yovFlclGXpg7jpfz&#10;YmNEAoYA40zi1A8CE3gWB7AfgE0zxHjfMWQlyGwdOczJBTeQZpc1t6X6inO5biLN4ob44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CyhJiY2QAAAAkBAAAPAAAAAAAAAAEAIAAAACIAAABkcnMvZG93&#10;bnJldi54bWxQSwECFAAUAAAACACHTuJAnJ3DM+QEAABpFgAADgAAAAAAAAABACAAAAAoAQAAZHJz&#10;L2Uyb0RvYy54bWxQSwUGAAAAAAYABgBZAQAAfg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160CA39F">
                          <w:pPr>
                            <w:pStyle w:val="17"/>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C27D405">
                          <w:pPr>
                            <w:pStyle w:val="17"/>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115F24C">
                          <w:pPr>
                            <w:pStyle w:val="17"/>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7FD1DC7">
                          <w:pPr>
                            <w:pStyle w:val="17"/>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4C97AD2B">
                          <w:pPr>
                            <w:pStyle w:val="17"/>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0EC2D77F">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5F9AA283">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FF0000"/>
          <w:highlight w:val="none"/>
          <w:u w:val="single"/>
        </w:rPr>
        <w:t>13 ％</w:t>
      </w:r>
      <w:permEnd w:id="45"/>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6C5A2EFD">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6"/>
      <w:r>
        <w:rPr>
          <w:rFonts w:hint="eastAsia" w:ascii="仿宋_GB2312" w:hAnsi="仿宋_GB2312" w:eastAsia="仿宋_GB2312" w:cs="仿宋_GB2312"/>
          <w:color w:val="000000" w:themeColor="text1"/>
          <w:highlight w:val="none"/>
          <w14:textFill>
            <w14:solidFill>
              <w14:schemeClr w14:val="tx1"/>
            </w14:solidFill>
          </w14:textFill>
        </w:rPr>
        <w:t>。</w:t>
      </w:r>
    </w:p>
    <w:p w14:paraId="63FE2871">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p w14:paraId="45B53D00">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2185DA6F">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021F6FF6">
      <w:pPr>
        <w:pStyle w:val="17"/>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4436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6952D77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7"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66FD26F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549B1C30">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p>
        </w:tc>
      </w:tr>
      <w:tr w14:paraId="215A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E00F7FD">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4EE6D60B">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1B582EAF">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4676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6E9EC5C">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79D2D5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594594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911301005896839319</w:t>
            </w:r>
          </w:p>
        </w:tc>
      </w:tr>
      <w:tr w14:paraId="4E69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6CE3B96">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5F6573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1B731DF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江苏省南京市江北新区华创路 2 号天集江来科技 </w:t>
            </w:r>
            <w:r>
              <w:rPr>
                <w:rFonts w:hint="eastAsia" w:ascii="仿宋_GB2312" w:hAnsi="仿宋_GB2312" w:eastAsia="仿宋_GB2312" w:cs="仿宋_GB2312"/>
                <w:color w:val="000000" w:themeColor="text1"/>
                <w:sz w:val="24"/>
                <w:szCs w:val="24"/>
                <w:highlight w:val="none"/>
                <w14:textFill>
                  <w14:solidFill>
                    <w14:schemeClr w14:val="tx1"/>
                  </w14:solidFill>
                </w14:textFill>
              </w:rPr>
              <w:t>、025-58536566</w:t>
            </w:r>
          </w:p>
        </w:tc>
      </w:tr>
      <w:tr w14:paraId="32A6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71E559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79C773D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3BF27B0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沧州银行渤海新区支行5440120100000454508</w:t>
            </w:r>
          </w:p>
        </w:tc>
      </w:tr>
      <w:tr w14:paraId="430C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10F127D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5EA60B3F">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0FD4D321">
            <w:pPr>
              <w:rPr>
                <w:highlight w:val="none"/>
              </w:rPr>
            </w:pPr>
          </w:p>
        </w:tc>
        <w:tc>
          <w:tcPr>
            <w:tcW w:w="6143" w:type="dxa"/>
            <w:tcBorders>
              <w:bottom w:val="double" w:color="auto" w:sz="4" w:space="0"/>
              <w:right w:val="single" w:color="auto" w:sz="12" w:space="0"/>
            </w:tcBorders>
          </w:tcPr>
          <w:p w14:paraId="7C03146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9DE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28A1EA8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5241B72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7880BC4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67A8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3EB6E0C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7D5DA9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22C440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64E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DDAE36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3DCD037B">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D7D4A7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9FD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85A195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834918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33914BE2">
            <w:pPr>
              <w:pStyle w:val="17"/>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5844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0A1D6D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DFBED7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37BD80E6">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7"/>
    </w:tbl>
    <w:p w14:paraId="36C45DB5">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A5DBED5">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20382"/>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13"/>
    </w:p>
    <w:p w14:paraId="6B6E0674">
      <w:pPr>
        <w:pStyle w:val="17"/>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90" w:name="_GoBack"/>
      <w:bookmarkStart w:id="14" w:name="_Toc13188"/>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permEnd w:id="48"/>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8BC3BC4">
      <w:pPr>
        <w:pStyle w:val="17"/>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14:textFill>
            <w14:solidFill>
              <w14:schemeClr w14:val="tx1"/>
            </w14:solidFill>
          </w14:textFill>
        </w:rPr>
        <w:t>%，余下</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0A5653B8">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工程进度款按付款节点支付：基础筏板浇筑完成支付至已完</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结算额</w:t>
      </w:r>
      <w:r>
        <w:rPr>
          <w:rFonts w:hint="eastAsia" w:ascii="仿宋_GB2312" w:hAnsi="仿宋_GB2312" w:eastAsia="仿宋_GB2312" w:cs="仿宋_GB2312"/>
          <w:color w:val="000000" w:themeColor="text1"/>
          <w:highlight w:val="none"/>
          <w:u w:val="single"/>
          <w14:textFill>
            <w14:solidFill>
              <w14:schemeClr w14:val="tx1"/>
            </w14:solidFill>
          </w14:textFill>
        </w:rPr>
        <w:t>的60%，主体结构封顶后支付至已完</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结算额</w:t>
      </w:r>
      <w:r>
        <w:rPr>
          <w:rFonts w:hint="eastAsia" w:ascii="仿宋_GB2312" w:hAnsi="仿宋_GB2312" w:eastAsia="仿宋_GB2312" w:cs="仿宋_GB2312"/>
          <w:color w:val="000000" w:themeColor="text1"/>
          <w:highlight w:val="none"/>
          <w:u w:val="single"/>
          <w14:textFill>
            <w14:solidFill>
              <w14:schemeClr w14:val="tx1"/>
            </w14:solidFill>
          </w14:textFill>
        </w:rPr>
        <w:t>的65%；竣工验收合格后支付至已完</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结算额</w:t>
      </w:r>
      <w:r>
        <w:rPr>
          <w:rFonts w:hint="eastAsia" w:ascii="仿宋_GB2312" w:hAnsi="仿宋_GB2312" w:eastAsia="仿宋_GB2312" w:cs="仿宋_GB2312"/>
          <w:color w:val="000000" w:themeColor="text1"/>
          <w:highlight w:val="none"/>
          <w:u w:val="single"/>
          <w14:textFill>
            <w14:solidFill>
              <w14:schemeClr w14:val="tx1"/>
            </w14:solidFill>
          </w14:textFill>
        </w:rPr>
        <w:t>的75%；结算完成后支付至已完</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结算额</w:t>
      </w:r>
      <w:r>
        <w:rPr>
          <w:rFonts w:hint="eastAsia" w:ascii="仿宋_GB2312" w:hAnsi="仿宋_GB2312" w:eastAsia="仿宋_GB2312" w:cs="仿宋_GB2312"/>
          <w:color w:val="000000" w:themeColor="text1"/>
          <w:highlight w:val="none"/>
          <w:u w:val="single"/>
          <w14:textFill>
            <w14:solidFill>
              <w14:schemeClr w14:val="tx1"/>
            </w14:solidFill>
          </w14:textFill>
        </w:rPr>
        <w:t>的95%；剩余货款结算完成后一年内付清。</w:t>
      </w:r>
      <w:permEnd w:id="55"/>
    </w:p>
    <w:p w14:paraId="1FA8417F">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permEnd w:id="56"/>
      <w:r>
        <w:rPr>
          <w:rFonts w:hint="eastAsia" w:ascii="仿宋_GB2312" w:hAnsi="仿宋_GB2312" w:eastAsia="仿宋_GB2312" w:cs="仿宋_GB2312"/>
          <w:color w:val="000000" w:themeColor="text1"/>
          <w:highlight w:val="none"/>
          <w14:textFill>
            <w14:solidFill>
              <w14:schemeClr w14:val="tx1"/>
            </w14:solidFill>
          </w14:textFill>
        </w:rPr>
        <w:t>条；</w:t>
      </w:r>
    </w:p>
    <w:p w14:paraId="4B32472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94A46F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1016E053">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0D4C786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4B6B7B18">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0EF3EE6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4BAADEE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w:t>
      </w:r>
      <w:bookmarkEnd w:id="90"/>
      <w:r>
        <w:rPr>
          <w:rFonts w:hint="eastAsia" w:ascii="仿宋_GB2312" w:hAnsi="仿宋_GB2312" w:eastAsia="仿宋_GB2312" w:cs="仿宋_GB2312"/>
          <w:color w:val="000000" w:themeColor="text1"/>
          <w:highlight w:val="none"/>
          <w14:textFill>
            <w14:solidFill>
              <w14:schemeClr w14:val="tx1"/>
            </w14:solidFill>
          </w14:textFill>
        </w:rPr>
        <w:t>式向乙方付款，预付款不适用上述条件。</w:t>
      </w:r>
    </w:p>
    <w:p w14:paraId="7FAAEC6C">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8"/>
    </w:p>
    <w:p w14:paraId="632DD47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ermEnd w:id="59"/>
    </w:p>
    <w:p w14:paraId="1AFBA3C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p>
    <w:p w14:paraId="747F4DD7">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（身份证号：</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717A0762">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D8B8105">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5BFBFD2">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5795D204">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781E497A">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03622DF8">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17E981F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0E8B660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1F11C82D">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09C23A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83A88F1">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中建路桥集团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有限公司  </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BB6F0CC">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5440120100000454508</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8E16BED">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沧州银行渤海新区支行</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69EDA5A">
      <w:pPr>
        <w:pStyle w:val="17"/>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0"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0"/>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188D8E08">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7C4EC14B">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0A2295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3A6A30AC">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05E27F82">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3D3FE133">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F4E22F1">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4442F5E">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685912F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65BD5BDB">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郭永田</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18531180112</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7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A448C0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仲兆川 代志炜 </w:t>
      </w:r>
      <w:permEnd w:id="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18835137365  13581999124 </w:t>
      </w:r>
      <w:permEnd w:id="74"/>
    </w:p>
    <w:p w14:paraId="165F6E3E">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18250005702 </w:t>
      </w:r>
      <w:permEnd w:id="75"/>
    </w:p>
    <w:p w14:paraId="46AEF018">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begin"/>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instrText xml:space="preserve"> HYPERLINK "mailto:287422164@qq.com" </w:instrTex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separate"/>
      </w:r>
      <w:r>
        <w:rPr>
          <w:rStyle w:val="16"/>
          <w:rFonts w:hint="eastAsia" w:ascii="仿宋_GB2312" w:hAnsi="仿宋_GB2312" w:eastAsia="仿宋_GB2312" w:cs="仿宋_GB2312"/>
          <w:b/>
          <w:bCs/>
          <w:i/>
          <w:iCs/>
          <w:sz w:val="24"/>
          <w:szCs w:val="24"/>
          <w:highlight w:val="none"/>
          <w:lang w:val="en-US" w:eastAsia="zh-CN"/>
        </w:rPr>
        <w:t>287422164@qq.com</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end"/>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 </w:t>
      </w:r>
      <w:permEnd w:id="76"/>
    </w:p>
    <w:p w14:paraId="1737634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7BCB4136">
      <w:pPr>
        <w:pStyle w:val="17"/>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7"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32B3726D">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14"/>
    </w:p>
    <w:p w14:paraId="75A5E365">
      <w:pPr>
        <w:pStyle w:val="17"/>
        <w:numPr>
          <w:ilvl w:val="0"/>
          <w:numId w:val="1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3A087741">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4"/>
          <w:szCs w:val="24"/>
          <w:highlight w:val="none"/>
          <w:u w:val="single"/>
          <w:lang w:val="en-US" w:eastAsia="zh-CN"/>
          <w14:textFill>
            <w14:solidFill>
              <w14:schemeClr w14:val="tx1"/>
            </w14:solidFill>
          </w14:textFill>
        </w:rPr>
        <w:t>山东省日照市山海路以南，临沂路以东，日照市公共实训基地项目工地</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346B101">
      <w:pPr>
        <w:pStyle w:val="17"/>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郭永田</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313280224@qq.com</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7EC347BE">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4D55476F">
      <w:pPr>
        <w:pStyle w:val="17"/>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486B6919">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0D8B872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51A1F837">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5" w:name="_Toc1608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15"/>
    </w:p>
    <w:p w14:paraId="64F21537">
      <w:pPr>
        <w:pStyle w:val="17"/>
        <w:numPr>
          <w:ilvl w:val="0"/>
          <w:numId w:val="11"/>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8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highlight w:val="none"/>
          <w14:textFill>
            <w14:solidFill>
              <w14:schemeClr w14:val="tx1"/>
            </w14:solidFill>
          </w14:textFill>
        </w:rPr>
        <w:t>条；</w:t>
      </w:r>
    </w:p>
    <w:p w14:paraId="65968019">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6" w:name="_Toc7989"/>
      <w:bookmarkStart w:id="17" w:name="_Toc15785_WPSOffice_Level1"/>
      <w:bookmarkStart w:id="18" w:name="_Toc24331"/>
      <w:bookmarkStart w:id="19" w:name="_Toc6851_WPSOffice_Level1"/>
      <w:bookmarkStart w:id="20" w:name="_Toc31827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67C99E6A">
      <w:pPr>
        <w:pStyle w:val="17"/>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85"/>
      <w:r>
        <w:rPr>
          <w:rFonts w:hint="eastAsia" w:ascii="仿宋_GB2312" w:hAnsi="仿宋_GB2312" w:eastAsia="仿宋_GB2312" w:cs="仿宋_GB2312"/>
          <w:color w:val="000000" w:themeColor="text1"/>
          <w:highlight w:val="none"/>
          <w14:textFill>
            <w14:solidFill>
              <w14:schemeClr w14:val="tx1"/>
            </w14:solidFill>
          </w14:textFill>
        </w:rPr>
        <w:t>份，甲方执</w:t>
      </w:r>
      <w:permStart w:id="8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6"/>
      <w:r>
        <w:rPr>
          <w:rFonts w:hint="eastAsia" w:ascii="仿宋_GB2312" w:hAnsi="仿宋_GB2312" w:eastAsia="仿宋_GB2312" w:cs="仿宋_GB2312"/>
          <w:color w:val="000000" w:themeColor="text1"/>
          <w:highlight w:val="none"/>
          <w14:textFill>
            <w14:solidFill>
              <w14:schemeClr w14:val="tx1"/>
            </w14:solidFill>
          </w14:textFill>
        </w:rPr>
        <w:t>份，乙方执</w:t>
      </w:r>
      <w:permStart w:id="8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87"/>
      <w:r>
        <w:rPr>
          <w:rFonts w:hint="eastAsia" w:ascii="仿宋_GB2312" w:hAnsi="仿宋_GB2312" w:eastAsia="仿宋_GB2312" w:cs="仿宋_GB2312"/>
          <w:color w:val="000000" w:themeColor="text1"/>
          <w:highlight w:val="none"/>
          <w14:textFill>
            <w14:solidFill>
              <w14:schemeClr w14:val="tx1"/>
            </w14:solidFill>
          </w14:textFill>
        </w:rPr>
        <w:t>份。</w:t>
      </w:r>
    </w:p>
    <w:p w14:paraId="3FA8ECED">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16"/>
      <w:bookmarkEnd w:id="17"/>
      <w:bookmarkEnd w:id="18"/>
      <w:bookmarkEnd w:id="19"/>
      <w:bookmarkEnd w:id="20"/>
      <w:bookmarkStart w:id="21" w:name="_Toc8898_WPSOffice_Level1"/>
      <w:bookmarkStart w:id="22" w:name="_Toc19595_WPSOffice_Level1"/>
      <w:bookmarkStart w:id="23" w:name="_Toc6163_WPSOffice_Level1"/>
    </w:p>
    <w:p w14:paraId="48856D9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4" w:name="_Toc31108"/>
      <w:bookmarkStart w:id="25" w:name="_Toc9256"/>
      <w:bookmarkStart w:id="26" w:name="_Toc726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21"/>
      <w:bookmarkEnd w:id="22"/>
      <w:bookmarkEnd w:id="23"/>
      <w:bookmarkEnd w:id="24"/>
      <w:bookmarkEnd w:id="25"/>
      <w:bookmarkEnd w:id="26"/>
    </w:p>
    <w:p w14:paraId="6ECD0348">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7" w:name="_Toc3383_WPSOffice_Level1"/>
      <w:bookmarkStart w:id="28" w:name="_Toc16133_WPSOffice_Level1"/>
      <w:bookmarkStart w:id="29" w:name="_Toc7056"/>
      <w:bookmarkStart w:id="30" w:name="_Toc5250_WPSOffice_Level1"/>
      <w:bookmarkStart w:id="31" w:name="_Toc27542"/>
      <w:bookmarkStart w:id="32" w:name="_Toc2253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27"/>
      <w:bookmarkEnd w:id="28"/>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32"/>
    </w:p>
    <w:p w14:paraId="232A485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33" w:name="_Toc19768_WPSOffice_Level1"/>
      <w:bookmarkStart w:id="34" w:name="_Toc641_WPSOffice_Level1"/>
      <w:bookmarkStart w:id="35" w:name="_Toc22730_WPSOffice_Level1"/>
      <w:bookmarkStart w:id="36" w:name="_Toc28671"/>
      <w:bookmarkStart w:id="37" w:name="_Toc6096"/>
      <w:bookmarkStart w:id="38"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33"/>
      <w:bookmarkEnd w:id="34"/>
      <w:bookmarkEnd w:id="3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36"/>
      <w:bookmarkEnd w:id="37"/>
      <w:bookmarkEnd w:id="38"/>
    </w:p>
    <w:p w14:paraId="213D0E2F">
      <w:pPr>
        <w:pStyle w:val="17"/>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bookmarkStart w:id="39" w:name="_Toc19161_WPSOffice_Level1"/>
      <w:bookmarkStart w:id="40" w:name="_Toc24584_WPSOffice_Level1"/>
      <w:bookmarkStart w:id="41" w:name="_Toc8260_WPSOffice_Level1"/>
      <w:bookmarkStart w:id="42" w:name="_Toc12124"/>
      <w:bookmarkStart w:id="43" w:name="_Toc6044"/>
      <w:bookmarkStart w:id="44"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39"/>
      <w:bookmarkEnd w:id="40"/>
      <w:bookmarkEnd w:id="41"/>
      <w:r>
        <w:rPr>
          <w:rFonts w:hint="eastAsia" w:ascii="仿宋_GB2312" w:hAnsi="仿宋_GB2312" w:eastAsia="仿宋_GB2312" w:cs="仿宋_GB2312"/>
          <w:color w:val="000000" w:themeColor="text1"/>
          <w:highlight w:val="none"/>
          <w14:textFill>
            <w14:solidFill>
              <w14:schemeClr w14:val="tx1"/>
            </w14:solidFill>
          </w14:textFill>
        </w:rPr>
        <w:t>商品混凝土需方验收人员一览表</w:t>
      </w:r>
      <w:bookmarkEnd w:id="42"/>
      <w:bookmarkEnd w:id="43"/>
    </w:p>
    <w:p w14:paraId="464DB24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45" w:name="_Toc25350"/>
      <w:bookmarkStart w:id="46" w:name="_Toc9919"/>
      <w:r>
        <w:rPr>
          <w:rFonts w:hint="eastAsia" w:ascii="仿宋_GB2312" w:hAnsi="仿宋_GB2312" w:eastAsia="仿宋_GB2312" w:cs="仿宋_GB2312"/>
          <w:color w:val="000000" w:themeColor="text1"/>
          <w:highlight w:val="none"/>
          <w14:textFill>
            <w14:solidFill>
              <w14:schemeClr w14:val="tx1"/>
            </w14:solidFill>
          </w14:textFill>
        </w:rPr>
        <w:t>附件五 廉洁从业共建协议</w:t>
      </w:r>
      <w:bookmarkEnd w:id="45"/>
      <w:bookmarkEnd w:id="46"/>
    </w:p>
    <w:p w14:paraId="30C36CA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47" w:name="_Toc7291"/>
      <w:bookmarkStart w:id="48" w:name="_Toc16394"/>
      <w:r>
        <w:rPr>
          <w:rFonts w:hint="eastAsia" w:ascii="仿宋_GB2312" w:hAnsi="仿宋_GB2312" w:eastAsia="仿宋_GB2312" w:cs="仿宋_GB2312"/>
          <w:color w:val="000000" w:themeColor="text1"/>
          <w:highlight w:val="none"/>
          <w14:textFill>
            <w14:solidFill>
              <w14:schemeClr w14:val="tx1"/>
            </w14:solidFill>
          </w14:textFill>
        </w:rPr>
        <w:t xml:space="preserve">附件六 </w:t>
      </w:r>
      <w:bookmarkEnd w:id="44"/>
      <w:r>
        <w:rPr>
          <w:rFonts w:hint="eastAsia" w:ascii="仿宋_GB2312" w:hAnsi="仿宋_GB2312" w:eastAsia="仿宋_GB2312" w:cs="仿宋_GB2312"/>
          <w:color w:val="000000" w:themeColor="text1"/>
          <w:highlight w:val="none"/>
          <w14:textFill>
            <w14:solidFill>
              <w14:schemeClr w14:val="tx1"/>
            </w14:solidFill>
          </w14:textFill>
        </w:rPr>
        <w:t>商品混凝土进场验收验证记录表</w:t>
      </w:r>
      <w:bookmarkEnd w:id="47"/>
      <w:bookmarkEnd w:id="48"/>
    </w:p>
    <w:p w14:paraId="30090259">
      <w:pPr>
        <w:pStyle w:val="17"/>
        <w:spacing w:line="400" w:lineRule="atLeast"/>
        <w:ind w:firstLine="480"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permStart w:id="8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ermEnd w:id="88"/>
    </w:p>
    <w:p w14:paraId="2AAD7EA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甲方（盖章）：                         乙方（</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章）：      </w:t>
      </w:r>
    </w:p>
    <w:p w14:paraId="3308C9B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63E781E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FBE33A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CE7630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7C5A4D8B">
      <w:pPr>
        <w:pStyle w:val="17"/>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2F05AE9D">
      <w:pPr>
        <w:rPr>
          <w:rFonts w:ascii="仿宋_GB2312" w:hAnsi="仿宋_GB2312" w:eastAsia="仿宋_GB2312" w:cs="仿宋_GB2312"/>
          <w:color w:val="000000" w:themeColor="text1"/>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br w:type="page"/>
      </w:r>
    </w:p>
    <w:p w14:paraId="54766B37">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49" w:name="_Toc13743"/>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49"/>
    </w:p>
    <w:p w14:paraId="57C33D0B">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0B14DA2F">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0BCA17EC">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日照市公共实训基地项目</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06333798">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623F45F9">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0AD98CD">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2BAB960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298828C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1631078B">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097F6200">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45199B5D">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28E20C0">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410CAEEE">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13"/>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4021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DD6C3E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6F269A0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018AC2E2">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3"/>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5C46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66F30E5F">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7E7211D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3A1DAA3C">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08332D75">
      <w:pPr>
        <w:pStyle w:val="17"/>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9" w:type="default"/>
          <w:footerReference r:id="rId10" w:type="default"/>
          <w:pgSz w:w="11906" w:h="16838"/>
          <w:pgMar w:top="1440" w:right="1800" w:bottom="1440" w:left="1800" w:header="850" w:footer="975" w:gutter="0"/>
          <w:pgNumType w:start="1"/>
          <w:cols w:space="0" w:num="1"/>
          <w:docGrid w:linePitch="312" w:charSpace="0"/>
        </w:sectPr>
      </w:pPr>
    </w:p>
    <w:p w14:paraId="7A0A42B2">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50" w:name="_Toc4231"/>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50"/>
    </w:p>
    <w:p w14:paraId="14E385B1">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0660C65D">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6E76A51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51"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100"/>
      <w:bookmarkEnd w:id="5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日照市公共实训基地项目 </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刘向朝</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130622198003125017</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799AF20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5797F17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62E854E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EF4D40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76FA8989">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4AF6C05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7247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213B0D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52" w:name="_Hlk127190034"/>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459D8E3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6952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A94040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2A6590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0FAF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8B047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6BC4A9D5">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793A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54DDE3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38949745">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2E1E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04B15F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295ACBB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568A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6D800A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D202A4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676A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9CCC89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5FDC09E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31C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F57CC1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C49EF6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681D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51B109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01F3BD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AE0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E7F091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089EC4F6">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42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102199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5DB60ECD">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422F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8165B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77FEB2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668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573631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2CB74D8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1974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E87C23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3FCC561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788D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9DE5D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760267FB">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2F84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9BB473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629AC21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bookmarkEnd w:id="52"/>
    </w:tbl>
    <w:p w14:paraId="334121F6">
      <w:pPr>
        <w:numPr>
          <w:ilvl w:val="0"/>
          <w:numId w:val="12"/>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5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53"/>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66E8E8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61750C7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5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26997A6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61A61CF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D91D3B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04F2870">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47631ED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6453C1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486DEA3">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71E2D4A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75C7B8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FAED234">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D750C4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5D7912">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E13A39E">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081D861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92F391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766569A">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54"/>
    </w:tbl>
    <w:p w14:paraId="49E91CDA">
      <w:pPr>
        <w:numPr>
          <w:ilvl w:val="0"/>
          <w:numId w:val="13"/>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BF68F7A">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3EBB528">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FF1544C">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25DF2EC">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31E7752D">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48BA9EB">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65E00943">
      <w:pPr>
        <w:autoSpaceDE w:val="0"/>
        <w:autoSpaceDN w:val="0"/>
        <w:adjustRightInd w:val="0"/>
        <w:spacing w:line="400" w:lineRule="atLeast"/>
        <w:ind w:firstLine="5760" w:firstLineChars="24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1072EBD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60CD4292">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5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5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102D4F7E">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126A4EB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772A86C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F335EDC">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C0632EF">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F2C3D29">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1" w:type="default"/>
          <w:pgSz w:w="11906" w:h="16838"/>
          <w:pgMar w:top="1440" w:right="1800" w:bottom="1440" w:left="1800" w:header="850" w:footer="975" w:gutter="0"/>
          <w:cols w:space="0" w:num="1"/>
          <w:docGrid w:linePitch="312" w:charSpace="0"/>
        </w:sectPr>
      </w:pPr>
      <w:bookmarkStart w:id="56" w:name="_Toc26388"/>
    </w:p>
    <w:p w14:paraId="568AE916">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56"/>
    </w:p>
    <w:p w14:paraId="3F059D16">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4F8E616A">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9CFF0A0">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57"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57"/>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D3F963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2E7690F4">
      <w:pPr>
        <w:pStyle w:val="9"/>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21DFD4E1">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05B0686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日照市</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513746D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0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5A5D363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4F7B1EA4">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4222D184">
      <w:pPr>
        <w:pStyle w:val="17"/>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FFCBE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4D6F32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EB812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5A11E3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4D48744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73A7C35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3C5F9C7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6EB6F61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7381D2AC">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1E0F8F3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23A00FD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06356ED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591D27A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42996E3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20072C4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94F372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4BC4E61E">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59E1395">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2B9C685D">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8C7FDD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1F734CC9">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1BA266E3">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189D40C6">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D526E8">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171E7E4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C21A17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4C0F246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7B0A75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70E9902E">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1BAA9AAF">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538F096">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C8BC4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3B40A1A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EFAB0A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7C1A00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01561AC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33B3985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C8CC39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9BBC18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2C9D85AB">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44090C1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E0C4EC5">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58"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甲方（盖章）：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4C688D06">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p w14:paraId="095BB014">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53301F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8BC952C">
      <w:pPr>
        <w:autoSpaceDE w:val="0"/>
        <w:autoSpaceDN w:val="0"/>
        <w:adjustRightInd w:val="0"/>
        <w:spacing w:line="400" w:lineRule="atLeast"/>
        <w:ind w:firstLine="1200" w:firstLineChars="5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B7CFA0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6324C020">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58"/>
    </w:p>
    <w:p w14:paraId="527659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471E578E">
      <w:pPr>
        <w:spacing w:before="120" w:after="120"/>
        <w:ind w:left="-850" w:firstLine="521"/>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pPr>
      <w:bookmarkStart w:id="59" w:name="_Toc24289"/>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59"/>
      <w:r>
        <w:rPr>
          <w:rFonts w:hint="eastAsia" w:ascii="仿宋_GB2312" w:hAnsi="仿宋_GB2312" w:eastAsia="仿宋_GB2312" w:cs="仿宋_GB2312"/>
          <w:color w:val="000000" w:themeColor="text1"/>
          <w:sz w:val="30"/>
          <w:szCs w:val="30"/>
          <w:highlight w:val="none"/>
          <w14:textFill>
            <w14:solidFill>
              <w14:schemeClr w14:val="tx1"/>
            </w14:solidFill>
          </w14:textFill>
        </w:rPr>
        <w:t xml:space="preserve">   </w:t>
      </w:r>
    </w:p>
    <w:p w14:paraId="44732A8C">
      <w:pPr>
        <w:spacing w:before="120" w:after="120"/>
        <w:ind w:left="-850" w:firstLine="521"/>
        <w:jc w:val="center"/>
        <w:outlineLvl w:val="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商品混凝土需方</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甲方</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14:textFill>
            <w14:solidFill>
              <w14:schemeClr w14:val="tx1"/>
            </w14:solidFill>
          </w14:textFill>
        </w:rPr>
        <w:t>验收人员一览表</w:t>
      </w:r>
    </w:p>
    <w:p w14:paraId="788C8022">
      <w:pPr>
        <w:pStyle w:val="17"/>
        <w:rPr>
          <w:rFonts w:ascii="仿宋_GB2312" w:hAnsi="仿宋_GB2312" w:eastAsia="仿宋_GB2312" w:cs="仿宋_GB2312"/>
          <w:color w:val="000000" w:themeColor="text1"/>
          <w:highlight w:val="none"/>
          <w14:textFill>
            <w14:solidFill>
              <w14:schemeClr w14:val="tx1"/>
            </w14:solidFill>
          </w14:textFill>
        </w:rPr>
      </w:pPr>
    </w:p>
    <w:p w14:paraId="08831A38">
      <w:pPr>
        <w:spacing w:before="120" w:after="120" w:line="480" w:lineRule="auto"/>
        <w:ind w:left="-283"/>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ermStart w:id="110" w:edGrp="everyone"/>
      <w:r>
        <w:rPr>
          <w:rFonts w:hint="eastAsia" w:ascii="仿宋_GB2312" w:hAnsi="仿宋_GB2312" w:eastAsia="仿宋_GB2312" w:cs="仿宋_GB2312"/>
          <w:color w:val="000000" w:themeColor="text1"/>
          <w:sz w:val="24"/>
          <w:highlight w:val="none"/>
          <w14:textFill>
            <w14:solidFill>
              <w14:schemeClr w14:val="tx1"/>
            </w14:solidFill>
          </w14:textFill>
        </w:rPr>
        <w:t>项目名称：</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日照市公共实训基地项目</w:t>
      </w:r>
    </w:p>
    <w:p w14:paraId="2A00907E">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王航</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联系电话 ：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17734271423</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5058B19C">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联系电话 ：    </w:t>
      </w:r>
    </w:p>
    <w:p w14:paraId="072BAAA2">
      <w:pPr>
        <w:spacing w:before="120" w:after="120" w:line="480" w:lineRule="auto"/>
        <w:ind w:left="439" w:hanging="722"/>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验收人无法联系时请致电：         </w:t>
      </w:r>
    </w:p>
    <w:p w14:paraId="515D719A">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项目生产经理：</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王启亮</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联系电话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18781913810</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5AE56734">
      <w:pPr>
        <w:spacing w:before="120" w:after="120" w:line="480" w:lineRule="auto"/>
        <w:ind w:left="801" w:hanging="1084"/>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pacing w:val="60"/>
          <w:sz w:val="24"/>
          <w:highlight w:val="none"/>
          <w14:textFill>
            <w14:solidFill>
              <w14:schemeClr w14:val="tx1"/>
            </w14:solidFill>
          </w14:textFill>
        </w:rPr>
        <w:t xml:space="preserve"> 项目经理</w:t>
      </w:r>
      <w:r>
        <w:rPr>
          <w:rFonts w:hint="eastAsia" w:ascii="仿宋_GB2312" w:hAnsi="仿宋_GB2312" w:eastAsia="仿宋_GB2312" w:cs="仿宋_GB2312"/>
          <w:color w:val="000000" w:themeColor="text1"/>
          <w:spacing w:val="40"/>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刘向朝</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联系电话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13811050299</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52382378">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物资设备部经理：</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王航</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联系电话 </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17734271423 </w:t>
      </w:r>
      <w:permEnd w:id="110"/>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4414C585">
      <w:pPr>
        <w:spacing w:before="120" w:after="120" w:line="480" w:lineRule="auto"/>
        <w:jc w:val="left"/>
        <w:rPr>
          <w:rFonts w:ascii="仿宋_GB2312" w:hAnsi="仿宋_GB2312" w:eastAsia="仿宋_GB2312" w:cs="仿宋_GB2312"/>
          <w:color w:val="000000" w:themeColor="text1"/>
          <w:sz w:val="24"/>
          <w:highlight w:val="none"/>
          <w14:textFill>
            <w14:solidFill>
              <w14:schemeClr w14:val="tx1"/>
            </w14:solidFill>
          </w14:textFill>
        </w:rPr>
      </w:pPr>
    </w:p>
    <w:p w14:paraId="55ED1C2B">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A2B0AF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236EE9A">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0" w:name="_Toc13072"/>
      <w:bookmarkStart w:id="61"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附件五：</w:t>
      </w:r>
      <w:bookmarkEnd w:id="60"/>
      <w:bookmarkEnd w:id="61"/>
    </w:p>
    <w:p w14:paraId="0120061F">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6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62"/>
    </w:p>
    <w:p w14:paraId="76AF920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1" w:edGrp="everyone"/>
      <w:bookmarkStart w:id="63"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63"/>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6013B18A">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2"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2"/>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39D033C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6AD5AEA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4"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64"/>
    </w:p>
    <w:p w14:paraId="36E749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33F0FB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E6124B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3963134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5"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65"/>
    <w:p w14:paraId="0908408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6"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66"/>
    </w:p>
    <w:p w14:paraId="189BCD6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615A061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66FF4E2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28432C01">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AA5C139">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29F39F2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6EFBFC4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3A6D46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D47DD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F63781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7"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67"/>
    </w:p>
    <w:p w14:paraId="5B41995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8643373">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1F65F061">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7FBDB8E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2A57B9D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561427F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C738C5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4183C2A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57BD8A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01011D6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19C19B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143216D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8"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68"/>
    </w:p>
    <w:p w14:paraId="6667E86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16C901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61703C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128B5E75">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0F3E4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55D626A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6C86980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765AD897">
      <w:pPr>
        <w:pStyle w:val="17"/>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579E3387">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69" w:name="_Hlk12720092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3CD9F9E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bookmarkEnd w:id="6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253B1A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E34205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5D36F9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9FC7439">
      <w:pPr>
        <w:spacing w:line="400" w:lineRule="exact"/>
        <w:ind w:firstLine="5040" w:firstLineChars="21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E1715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1985E097">
      <w:pPr>
        <w:spacing w:before="120" w:after="12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0" w:name="_Toc14827"/>
      <w:r>
        <w:rPr>
          <w:rFonts w:hint="eastAsia" w:ascii="仿宋_GB2312" w:hAnsi="仿宋_GB2312" w:eastAsia="仿宋_GB2312" w:cs="仿宋_GB2312"/>
          <w:color w:val="000000" w:themeColor="text1"/>
          <w:sz w:val="30"/>
          <w:szCs w:val="30"/>
          <w:highlight w:val="none"/>
          <w14:textFill>
            <w14:solidFill>
              <w14:schemeClr w14:val="tx1"/>
            </w14:solidFill>
          </w14:textFill>
        </w:rPr>
        <w:t>附件六：</w:t>
      </w:r>
      <w:bookmarkEnd w:id="70"/>
    </w:p>
    <w:p w14:paraId="3A101E7A">
      <w:pPr>
        <w:spacing w:before="120" w:after="12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商品混凝土进场验收验证记录表</w:t>
      </w:r>
    </w:p>
    <w:p w14:paraId="4D579C03">
      <w:pPr>
        <w:spacing w:before="120" w:after="120"/>
        <w:ind w:left="-422" w:firstLine="6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项目名称：                                    供货单位：                              浇筑部位：       </w:t>
      </w:r>
    </w:p>
    <w:tbl>
      <w:tblPr>
        <w:tblStyle w:val="13"/>
        <w:tblW w:w="14803" w:type="dxa"/>
        <w:tblInd w:w="-317" w:type="dxa"/>
        <w:tblLayout w:type="fixed"/>
        <w:tblCellMar>
          <w:top w:w="0" w:type="dxa"/>
          <w:left w:w="108" w:type="dxa"/>
          <w:bottom w:w="0" w:type="dxa"/>
          <w:right w:w="108" w:type="dxa"/>
        </w:tblCellMar>
      </w:tblPr>
      <w:tblGrid>
        <w:gridCol w:w="533"/>
        <w:gridCol w:w="767"/>
        <w:gridCol w:w="845"/>
        <w:gridCol w:w="628"/>
        <w:gridCol w:w="629"/>
        <w:gridCol w:w="880"/>
        <w:gridCol w:w="880"/>
        <w:gridCol w:w="880"/>
        <w:gridCol w:w="881"/>
        <w:gridCol w:w="880"/>
        <w:gridCol w:w="880"/>
        <w:gridCol w:w="826"/>
        <w:gridCol w:w="1174"/>
        <w:gridCol w:w="1080"/>
        <w:gridCol w:w="879"/>
        <w:gridCol w:w="1007"/>
        <w:gridCol w:w="1154"/>
      </w:tblGrid>
      <w:tr w14:paraId="04BC2EF3">
        <w:tblPrEx>
          <w:tblCellMar>
            <w:top w:w="0" w:type="dxa"/>
            <w:left w:w="108" w:type="dxa"/>
            <w:bottom w:w="0" w:type="dxa"/>
            <w:right w:w="108" w:type="dxa"/>
          </w:tblCellMar>
        </w:tblPrEx>
        <w:tc>
          <w:tcPr>
            <w:tcW w:w="53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7B17A0">
            <w:pPr>
              <w:spacing w:before="120" w:after="120"/>
              <w:jc w:val="center"/>
              <w:rPr>
                <w:rFonts w:ascii="仿宋_GB2312" w:hAnsi="仿宋_GB2312" w:eastAsia="仿宋_GB2312" w:cs="仿宋_GB2312"/>
                <w:color w:val="000000" w:themeColor="text1"/>
                <w:position w:val="-40"/>
                <w:sz w:val="24"/>
                <w:szCs w:val="24"/>
                <w:highlight w:val="none"/>
                <w14:textFill>
                  <w14:solidFill>
                    <w14:schemeClr w14:val="tx1"/>
                  </w14:solidFill>
                </w14:textFill>
              </w:rPr>
            </w:pPr>
            <w:permStart w:id="113" w:edGrp="everyone"/>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序</w:t>
            </w:r>
          </w:p>
          <w:p w14:paraId="1F8C11C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号</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E0D31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进场日期</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D12009">
            <w:pPr>
              <w:spacing w:before="120" w:after="120"/>
              <w:ind w:right="-817"/>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60"/>
                <w:sz w:val="24"/>
                <w:szCs w:val="24"/>
                <w:highlight w:val="none"/>
                <w14:textFill>
                  <w14:solidFill>
                    <w14:schemeClr w14:val="tx1"/>
                  </w14:solidFill>
                </w14:textFill>
              </w:rPr>
              <w:t>车牌号</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583855">
            <w:pPr>
              <w:spacing w:before="120" w:after="120"/>
              <w:ind w:right="-817"/>
              <w:rPr>
                <w:rFonts w:ascii="仿宋_GB2312" w:hAnsi="仿宋_GB2312" w:eastAsia="仿宋_GB2312" w:cs="仿宋_GB2312"/>
                <w:color w:val="000000" w:themeColor="text1"/>
                <w:position w:val="-40"/>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小票</w:t>
            </w:r>
          </w:p>
          <w:p w14:paraId="3CECAFA9">
            <w:pPr>
              <w:spacing w:before="120" w:after="120"/>
              <w:ind w:right="-817"/>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编号</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738EBC">
            <w:pPr>
              <w:spacing w:before="120" w:after="120"/>
              <w:ind w:right="-817"/>
              <w:rPr>
                <w:rFonts w:ascii="仿宋_GB2312" w:hAnsi="仿宋_GB2312" w:eastAsia="仿宋_GB2312" w:cs="仿宋_GB2312"/>
                <w:color w:val="000000" w:themeColor="text1"/>
                <w:position w:val="-40"/>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强度</w:t>
            </w:r>
          </w:p>
          <w:p w14:paraId="6F562FCC">
            <w:pPr>
              <w:spacing w:before="120" w:after="120"/>
              <w:ind w:right="-817"/>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等级</w:t>
            </w:r>
          </w:p>
        </w:tc>
        <w:tc>
          <w:tcPr>
            <w:tcW w:w="17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D8844B">
            <w:pPr>
              <w:spacing w:before="120" w:after="120"/>
              <w:ind w:right="-817" w:firstLine="33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配合比容重</w:t>
            </w:r>
          </w:p>
          <w:p w14:paraId="7FF6F27E">
            <w:pPr>
              <w:spacing w:before="120" w:after="120"/>
              <w:ind w:right="-817" w:firstLine="33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（kg/m3）</w:t>
            </w:r>
          </w:p>
        </w:tc>
        <w:tc>
          <w:tcPr>
            <w:tcW w:w="176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84E31">
            <w:pPr>
              <w:spacing w:before="120" w:after="120"/>
              <w:ind w:firstLine="2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混凝土净重</w:t>
            </w:r>
          </w:p>
          <w:p w14:paraId="3B816444">
            <w:pPr>
              <w:spacing w:before="120" w:after="120"/>
              <w:ind w:firstLine="44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（kg）</w:t>
            </w:r>
          </w:p>
        </w:tc>
        <w:tc>
          <w:tcPr>
            <w:tcW w:w="17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CD4EA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混凝土体积</w:t>
            </w:r>
          </w:p>
          <w:p w14:paraId="3F5343F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（m3）</w:t>
            </w:r>
          </w:p>
        </w:tc>
        <w:tc>
          <w:tcPr>
            <w:tcW w:w="20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30AF24">
            <w:pPr>
              <w:spacing w:before="120" w:after="120"/>
              <w:ind w:firstLine="11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量差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05607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合同约定计合同约定量方式</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57A3E1">
            <w:pPr>
              <w:spacing w:before="120" w:after="120"/>
              <w:ind w:firstLine="31"/>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0"/>
                <w:sz w:val="24"/>
                <w:szCs w:val="24"/>
                <w:highlight w:val="none"/>
                <w14:textFill>
                  <w14:solidFill>
                    <w14:schemeClr w14:val="tx1"/>
                  </w14:solidFill>
                </w14:textFill>
              </w:rPr>
              <w:t>实际验收方量</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9E907E">
            <w:pPr>
              <w:spacing w:before="120" w:after="120"/>
              <w:ind w:firstLine="31"/>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0"/>
                <w:sz w:val="24"/>
                <w:szCs w:val="24"/>
                <w:highlight w:val="none"/>
                <w14:textFill>
                  <w14:solidFill>
                    <w14:schemeClr w14:val="tx1"/>
                  </w14:solidFill>
                </w14:textFill>
              </w:rPr>
              <w:t>验收（证）人员</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683349">
            <w:pPr>
              <w:spacing w:before="120" w:after="120"/>
              <w:ind w:firstLine="31"/>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0"/>
                <w:sz w:val="24"/>
                <w:szCs w:val="24"/>
                <w:highlight w:val="none"/>
                <w14:textFill>
                  <w14:solidFill>
                    <w14:schemeClr w14:val="tx1"/>
                  </w14:solidFill>
                </w14:textFill>
              </w:rPr>
              <w:t>供货单位确认人</w:t>
            </w:r>
          </w:p>
        </w:tc>
      </w:tr>
      <w:tr w14:paraId="2FA8E99F">
        <w:tblPrEx>
          <w:tblCellMar>
            <w:top w:w="0" w:type="dxa"/>
            <w:left w:w="108" w:type="dxa"/>
            <w:bottom w:w="0" w:type="dxa"/>
            <w:right w:w="108" w:type="dxa"/>
          </w:tblCellMar>
        </w:tblPrEx>
        <w:trPr>
          <w:trHeight w:val="941"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F787FA">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574F0E">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053C9A">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B0E360">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96C015">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02F7C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标准值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7D9A15">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实测值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E36201">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标准值</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D75F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实测值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75D19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标准值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6E53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实测值</w:t>
            </w: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552480">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数量</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05704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误差（±1％以内）</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A69E63">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DDDC7">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4A8683">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949540">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F748D1F">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5C332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A0EF01">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FACAFB">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0EEF8D">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00A56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154C4">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a</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74591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b</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49397D">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c=a*e</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A468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d</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E37FB">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e</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C0523A">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f=d/b</w:t>
            </w: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0F7A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b-a</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7E57E">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(b-a)/a</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F768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1BD257">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C10B2">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1A2673">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82DA5EB">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F20B55">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7CB4C4">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31604C">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3D8DCC">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AAA56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0E3C5D">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a</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AF4D1C">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b</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79E7F8">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c=a*e</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37A9B4">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d</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36952A">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e</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A1AD1">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f=d/b</w:t>
            </w: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BA5D7D">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d-c</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7DA3E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(d-c)/c</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A1E4C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306E2D">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39F60B">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34E036">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F9B6F3B">
        <w:tblPrEx>
          <w:tblCellMar>
            <w:top w:w="0" w:type="dxa"/>
            <w:left w:w="108" w:type="dxa"/>
            <w:bottom w:w="0" w:type="dxa"/>
            <w:right w:w="108"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E748D1">
            <w:pPr>
              <w:spacing w:before="120" w:after="120"/>
              <w:ind w:firstLine="24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929D8C">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99477A">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7F93E">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2B754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10402F">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2A0A67">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624C8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183EEF">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BF120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734451">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4B5D66">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C80FAB">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2BCA5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E40094">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735470">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414354">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r>
      <w:permEnd w:id="113"/>
    </w:tbl>
    <w:p w14:paraId="3E714B9A">
      <w:pPr>
        <w:spacing w:before="120" w:after="120" w:line="400" w:lineRule="exact"/>
        <w:ind w:right="-81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备注：1、配合比容重（kg/m3）：标准值指混凝土配合比设计报告标注的混凝土容重；实测值指现场实测实量的混凝土容重； 2、混凝土净重（kg）：标准值指混凝土配合比设计报告标注的混凝土容重*小票标称的方量；实测值指现场实际过磅的净重（毛重-皮重）；3、混凝土体积（m3）：标准值指小票标注的立方数；实测值指混凝土净重实测值/配合比容重实测值；4、《普通混凝土配合比设计规程JGJ 55-2000》第6章规定，混凝土表观密度（即容重）实测值与计算值之差的绝对值不超过计算值的1％时方可确定为配合比。</w:t>
      </w:r>
    </w:p>
    <w:p w14:paraId="538F288D">
      <w:pPr>
        <w:rPr>
          <w:color w:val="000000" w:themeColor="text1"/>
          <w:highlight w:val="none"/>
          <w14:textFill>
            <w14:solidFill>
              <w14:schemeClr w14:val="tx1"/>
            </w14:solidFill>
          </w14:textFill>
        </w:rPr>
        <w:sectPr>
          <w:headerReference r:id="rId12" w:type="default"/>
          <w:pgSz w:w="16838" w:h="11906" w:orient="landscape"/>
          <w:pgMar w:top="1803" w:right="1440" w:bottom="1803" w:left="1440" w:header="1134" w:footer="975" w:gutter="0"/>
          <w:cols w:space="0" w:num="1"/>
          <w:docGrid w:linePitch="312" w:charSpace="0"/>
        </w:sectPr>
      </w:pPr>
    </w:p>
    <w:p w14:paraId="3EA09A8D">
      <w:pPr>
        <w:pStyle w:val="17"/>
        <w:jc w:val="both"/>
        <w:outlineLvl w:val="0"/>
        <w:rPr>
          <w:rFonts w:hint="default" w:ascii="黑体" w:hAnsi="黑体" w:eastAsia="黑体" w:cs="黑体"/>
          <w:b/>
          <w:bCs/>
          <w:color w:val="000000" w:themeColor="text1"/>
          <w:sz w:val="32"/>
          <w:szCs w:val="32"/>
          <w:highlight w:val="none"/>
          <w:lang w:val="en-US" w:eastAsia="zh-CN"/>
          <w14:textFill>
            <w14:solidFill>
              <w14:schemeClr w14:val="tx1"/>
            </w14:solidFill>
          </w14:textFill>
        </w:rPr>
      </w:pPr>
      <w:bookmarkStart w:id="71" w:name="_Toc4762"/>
      <w:bookmarkStart w:id="72" w:name="_Toc14480"/>
      <w:bookmarkStart w:id="73" w:name="_Hlk127794870"/>
      <w:permStart w:id="114" w:edGrp="everyone"/>
      <w:r>
        <w:rPr>
          <w:rFonts w:hint="eastAsia" w:ascii="黑体" w:hAnsi="黑体" w:eastAsia="黑体" w:cs="黑体"/>
          <w:b/>
          <w:bCs/>
          <w:color w:val="000000" w:themeColor="text1"/>
          <w:sz w:val="32"/>
          <w:szCs w:val="32"/>
          <w:highlight w:val="none"/>
          <w:lang w:val="en-US" w:eastAsia="zh-CN"/>
          <w14:textFill>
            <w14:solidFill>
              <w14:schemeClr w14:val="tx1"/>
            </w14:solidFill>
          </w14:textFill>
        </w:rPr>
        <w:t xml:space="preserve">          </w:t>
      </w:r>
      <w:permEnd w:id="114"/>
    </w:p>
    <w:p w14:paraId="48EA7EB7">
      <w:pPr>
        <w:pStyle w:val="17"/>
        <w:jc w:val="center"/>
        <w:outlineLvl w:val="0"/>
        <w:rPr>
          <w:rFonts w:hint="eastAsia" w:ascii="黑体" w:hAnsi="黑体" w:eastAsia="黑体" w:cs="黑体"/>
          <w:b/>
          <w:bCs/>
          <w:color w:val="000000" w:themeColor="text1"/>
          <w:sz w:val="32"/>
          <w:szCs w:val="32"/>
          <w:highlight w:val="none"/>
          <w14:textFill>
            <w14:solidFill>
              <w14:schemeClr w14:val="tx1"/>
            </w14:solidFill>
          </w14:textFill>
        </w:rPr>
      </w:pPr>
    </w:p>
    <w:p w14:paraId="51767263">
      <w:pPr>
        <w:pStyle w:val="17"/>
        <w:jc w:val="center"/>
        <w:outlineLvl w:val="0"/>
        <w:rPr>
          <w:rFonts w:ascii="仿宋" w:hAnsi="仿宋" w:eastAsia="仿宋" w:cs="仿宋"/>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71"/>
      <w:bookmarkEnd w:id="72"/>
    </w:p>
    <w:bookmarkEnd w:id="73"/>
    <w:p w14:paraId="34334608">
      <w:pPr>
        <w:pStyle w:val="17"/>
        <w:numPr>
          <w:ilvl w:val="0"/>
          <w:numId w:val="1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27311"/>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74"/>
    </w:p>
    <w:p w14:paraId="40ED7B6F">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7634DA4F">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6D613A23">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528D74B8">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89AD85D">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676FBC73">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74B9858B">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0196ED72">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264B83E0">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672A353B">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绝不从事任何形式的商业贿赂、利益输送及其他不正当交易；绝不以任何理由为甲方、相关单位或个人组织有可能影响公正执行公务的宴请、娱乐等活动，具体要求详见合同附件五。 </w:t>
      </w:r>
    </w:p>
    <w:p w14:paraId="7EF1F7A0">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4F392D07">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4F556B44">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28A8A180">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305FDAB">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3C45A657">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permStart w:id="1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15"/>
      <w:r>
        <w:rPr>
          <w:rFonts w:hint="eastAsia" w:ascii="仿宋_GB2312" w:hAnsi="仿宋_GB2312" w:eastAsia="仿宋_GB2312" w:cs="仿宋_GB2312"/>
          <w:color w:val="000000" w:themeColor="text1"/>
          <w:highlight w:val="none"/>
          <w14:textFill>
            <w14:solidFill>
              <w14:schemeClr w14:val="tx1"/>
            </w14:solidFill>
          </w14:textFill>
        </w:rPr>
        <w:t>承担，装卸费用由</w:t>
      </w:r>
      <w:permStart w:id="1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16"/>
      <w:r>
        <w:rPr>
          <w:rFonts w:hint="eastAsia" w:ascii="仿宋_GB2312" w:hAnsi="仿宋_GB2312" w:eastAsia="仿宋_GB2312" w:cs="仿宋_GB2312"/>
          <w:color w:val="000000" w:themeColor="text1"/>
          <w:highlight w:val="none"/>
          <w14:textFill>
            <w14:solidFill>
              <w14:schemeClr w14:val="tx1"/>
            </w14:solidFill>
          </w14:textFill>
        </w:rPr>
        <w:t>承担。</w:t>
      </w:r>
    </w:p>
    <w:p w14:paraId="3B1A952F">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1.2.3供应滞缓通知：</w:t>
      </w:r>
      <w:r>
        <w:rPr>
          <w:rFonts w:hint="eastAsia" w:ascii="仿宋_GB2312" w:hAnsi="仿宋_GB2312" w:eastAsia="仿宋_GB2312" w:cs="仿宋_GB2312"/>
          <w:color w:val="000000" w:themeColor="text1"/>
          <w:highlight w:val="none"/>
          <w14:textFill>
            <w14:solidFill>
              <w14:schemeClr w14:val="tx1"/>
            </w14:solidFill>
          </w14:textFill>
        </w:rPr>
        <w:t>混凝土浇筑前，由于乙方设备出现故障等特殊原因不能按时供应，乙方应在故障发生后1小时内及时通知甲方，否则承担由此造成的工期损失、经济损失。</w:t>
      </w:r>
    </w:p>
    <w:p w14:paraId="25CCB51D">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28BE05FA">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7CA8FF6D">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1小时</w:t>
      </w:r>
      <w:r>
        <w:rPr>
          <w:rFonts w:hint="eastAsia" w:ascii="仿宋_GB2312" w:hAnsi="仿宋_GB2312" w:eastAsia="仿宋_GB2312" w:cs="仿宋_GB2312"/>
          <w:color w:val="000000" w:themeColor="text1"/>
          <w:highlight w:val="none"/>
          <w14:textFill>
            <w14:solidFill>
              <w14:schemeClr w14:val="tx1"/>
            </w14:solidFill>
          </w14:textFill>
        </w:rPr>
        <w:t>通知甲方，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2B06B86A">
      <w:pPr>
        <w:pStyle w:val="17"/>
        <w:numPr>
          <w:ilvl w:val="0"/>
          <w:numId w:val="1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5" w:name="_Toc21274"/>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75"/>
    </w:p>
    <w:p w14:paraId="12720EB5">
      <w:pPr>
        <w:pStyle w:val="17"/>
        <w:numPr>
          <w:ilvl w:val="0"/>
          <w:numId w:val="15"/>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274A5F3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permStart w:id="1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permEnd w:id="117"/>
      <w:r>
        <w:rPr>
          <w:rFonts w:hint="eastAsia" w:ascii="仿宋_GB2312" w:hAnsi="仿宋_GB2312" w:eastAsia="仿宋_GB2312" w:cs="仿宋_GB2312"/>
          <w:color w:val="000000" w:themeColor="text1"/>
          <w:highlight w:val="none"/>
          <w:u w:val="single"/>
          <w14:textFill>
            <w14:solidFill>
              <w14:schemeClr w14:val="tx1"/>
            </w14:solidFill>
          </w14:textFill>
        </w:rPr>
        <w:t>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1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18"/>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37268D9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32EF2C57">
      <w:pPr>
        <w:pStyle w:val="17"/>
        <w:numPr>
          <w:ilvl w:val="0"/>
          <w:numId w:val="15"/>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7EE4AD87">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2563AC30">
      <w:pPr>
        <w:pStyle w:val="17"/>
        <w:numPr>
          <w:ilvl w:val="0"/>
          <w:numId w:val="15"/>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64DACEF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691F426">
      <w:pPr>
        <w:pStyle w:val="17"/>
        <w:spacing w:line="400" w:lineRule="atLeast"/>
        <w:ind w:firstLine="480"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p>
    <w:p w14:paraId="0BED5DAF">
      <w:pPr>
        <w:pStyle w:val="17"/>
        <w:spacing w:line="400" w:lineRule="atLeast"/>
        <w:ind w:firstLine="480"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15B78ED">
      <w:pPr>
        <w:pStyle w:val="17"/>
        <w:numPr>
          <w:ilvl w:val="0"/>
          <w:numId w:val="15"/>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026A55D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r>
        <w:rPr>
          <w:rFonts w:hint="eastAsia" w:ascii="仿宋_GB2312" w:hAnsi="仿宋_GB2312" w:eastAsia="仿宋_GB2312" w:cs="仿宋_GB2312"/>
          <w:color w:val="000000" w:themeColor="text1"/>
          <w:highlight w:val="none"/>
          <w14:textFill>
            <w14:solidFill>
              <w14:schemeClr w14:val="tx1"/>
            </w14:solidFill>
          </w14:textFill>
        </w:rPr>
        <w:t>％</w:t>
      </w:r>
      <w:permEnd w:id="119"/>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0167288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1E657A5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2AF731A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0A65743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4CE5D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381D6C4C">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2E30C18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003D9F9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12A0A11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6C8B9D3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D7B18A0">
      <w:pPr>
        <w:pStyle w:val="17"/>
        <w:numPr>
          <w:ilvl w:val="0"/>
          <w:numId w:val="15"/>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735AE2C2">
      <w:pPr>
        <w:pStyle w:val="17"/>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27ED16F2">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701FAA01">
      <w:pPr>
        <w:pStyle w:val="17"/>
        <w:numPr>
          <w:ilvl w:val="0"/>
          <w:numId w:val="15"/>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A7B5EB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131B99F8">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7、未履行结算义务：</w:t>
      </w:r>
    </w:p>
    <w:p w14:paraId="1BD385E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52CA6E8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764E4F65">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12F5AF4A">
      <w:pPr>
        <w:pStyle w:val="17"/>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p>
    <w:p w14:paraId="71870C07">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76" w:name="_Toc1707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95F4B4C">
      <w:pPr>
        <w:pStyle w:val="17"/>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08A24DB8">
      <w:pPr>
        <w:pStyle w:val="17"/>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13FF4CC7">
      <w:pPr>
        <w:pStyle w:val="17"/>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BC59A63">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370E68F8">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68F2F3F1">
      <w:pPr>
        <w:pStyle w:val="17"/>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0685583F">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6AFE27AE">
      <w:pPr>
        <w:pStyle w:val="17"/>
        <w:numPr>
          <w:ilvl w:val="0"/>
          <w:numId w:val="1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76"/>
    </w:p>
    <w:p w14:paraId="5F79763F">
      <w:pPr>
        <w:pStyle w:val="21"/>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7D339201">
      <w:pPr>
        <w:pStyle w:val="21"/>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2AD457D2">
      <w:pPr>
        <w:pStyle w:val="21"/>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049B2697">
      <w:pPr>
        <w:pStyle w:val="21"/>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7E1400D2">
      <w:pPr>
        <w:pStyle w:val="21"/>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75EFBA1">
      <w:pPr>
        <w:pStyle w:val="21"/>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7DD65818">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4045D6A9">
      <w:pPr>
        <w:pStyle w:val="17"/>
        <w:numPr>
          <w:ilvl w:val="0"/>
          <w:numId w:val="1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7" w:name="_Toc13562"/>
      <w:bookmarkStart w:id="78" w:name="_Toc18889"/>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77"/>
      <w:bookmarkEnd w:id="78"/>
    </w:p>
    <w:p w14:paraId="31C2F23C">
      <w:pPr>
        <w:pStyle w:val="17"/>
        <w:numPr>
          <w:ilvl w:val="0"/>
          <w:numId w:val="16"/>
        </w:numPr>
        <w:spacing w:line="400" w:lineRule="atLeast"/>
        <w:ind w:firstLine="480"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61EB29F1">
      <w:pPr>
        <w:pStyle w:val="17"/>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F6DDEDF">
      <w:pPr>
        <w:pStyle w:val="17"/>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02BD080F">
      <w:pPr>
        <w:pStyle w:val="17"/>
        <w:numPr>
          <w:ilvl w:val="0"/>
          <w:numId w:val="16"/>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3、因工程建设单位、监理单位及相关部门出台的相关规定文件、市场准入制度造成合同不能执行，甲方不承担任何责任。</w:t>
      </w:r>
    </w:p>
    <w:p w14:paraId="4EBD09A2">
      <w:pPr>
        <w:pStyle w:val="17"/>
        <w:numPr>
          <w:ilvl w:val="0"/>
          <w:numId w:val="1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9" w:name="_Toc399"/>
      <w:bookmarkStart w:id="80" w:name="_Toc29083"/>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79"/>
      <w:bookmarkEnd w:id="80"/>
    </w:p>
    <w:p w14:paraId="141FECAE">
      <w:pPr>
        <w:pStyle w:val="17"/>
        <w:numPr>
          <w:ilvl w:val="0"/>
          <w:numId w:val="17"/>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81"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6EED718E">
      <w:pPr>
        <w:pStyle w:val="17"/>
        <w:numPr>
          <w:ilvl w:val="0"/>
          <w:numId w:val="17"/>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605D0DE7">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3EBAEAB7">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2553CEAE">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D217DA1">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1C9B3A4D">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0FCC3E67">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54094C6">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5B6A8068">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1D399051">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1C2856B0">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0675EA2">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81"/>
      <w:r>
        <w:rPr>
          <w:rFonts w:hint="eastAsia" w:ascii="仿宋_GB2312" w:hAnsi="仿宋_GB2312" w:eastAsia="仿宋_GB2312" w:cs="仿宋_GB2312"/>
          <w:b/>
          <w:bCs/>
          <w:color w:val="000000" w:themeColor="text1"/>
          <w:highlight w:val="none"/>
          <w14:textFill>
            <w14:solidFill>
              <w14:schemeClr w14:val="tx1"/>
            </w14:solidFill>
          </w14:textFill>
        </w:rPr>
        <w:t>。</w:t>
      </w:r>
    </w:p>
    <w:p w14:paraId="3945DCFC">
      <w:pPr>
        <w:pStyle w:val="17"/>
        <w:numPr>
          <w:ilvl w:val="0"/>
          <w:numId w:val="1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2" w:name="_Toc1820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82"/>
    </w:p>
    <w:p w14:paraId="24124027">
      <w:pPr>
        <w:pStyle w:val="17"/>
        <w:numPr>
          <w:ilvl w:val="0"/>
          <w:numId w:val="18"/>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47B15278">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22AC6F36">
      <w:pPr>
        <w:pStyle w:val="17"/>
        <w:numPr>
          <w:ilvl w:val="0"/>
          <w:numId w:val="18"/>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3EEF00A2">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73054FCD">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1E455208">
      <w:pPr>
        <w:pStyle w:val="17"/>
        <w:numPr>
          <w:ilvl w:val="0"/>
          <w:numId w:val="18"/>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65A35FD5">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0847322A">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6573838C">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18D4B178">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2F050125">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55F62283">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47B0669B">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511CEA44">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7952390F">
      <w:pPr>
        <w:pStyle w:val="17"/>
        <w:numPr>
          <w:ilvl w:val="0"/>
          <w:numId w:val="18"/>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72C91827">
      <w:pPr>
        <w:pStyle w:val="17"/>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1D7B80FB">
      <w:pPr>
        <w:pStyle w:val="17"/>
        <w:numPr>
          <w:ilvl w:val="0"/>
          <w:numId w:val="1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3" w:name="_Toc29685"/>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83"/>
    </w:p>
    <w:p w14:paraId="40624196">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32A045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652E939E">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84" w:name="_Hlk126830485"/>
      <w:bookmarkStart w:id="85" w:name="_Hlk126770481"/>
      <w:bookmarkStart w:id="86" w:name="_Toc26705"/>
      <w:r>
        <w:rPr>
          <w:rFonts w:hint="eastAsia" w:ascii="仿宋_GB2312" w:hAnsi="仿宋_GB2312" w:eastAsia="仿宋_GB2312" w:cs="仿宋_GB2312"/>
          <w:b/>
          <w:bCs/>
          <w:color w:val="000000" w:themeColor="text1"/>
          <w:highlight w:val="none"/>
          <w14:textFill>
            <w14:solidFill>
              <w14:schemeClr w14:val="tx1"/>
            </w14:solidFill>
          </w14:textFill>
        </w:rPr>
        <w:t>2、</w:t>
      </w:r>
      <w:bookmarkStart w:id="87"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20"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20"/>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287C1F6D">
      <w:pPr>
        <w:pStyle w:val="17"/>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0D4A2A6E">
      <w:pPr>
        <w:pStyle w:val="17"/>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52C4A6F7">
      <w:pPr>
        <w:pStyle w:val="17"/>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1FF701A3">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84"/>
      <w:bookmarkEnd w:id="87"/>
      <w:r>
        <w:rPr>
          <w:rFonts w:hint="eastAsia" w:ascii="仿宋_GB2312" w:hAnsi="仿宋_GB2312" w:eastAsia="仿宋_GB2312" w:cs="仿宋_GB2312"/>
          <w:b/>
          <w:bCs/>
          <w:color w:val="000000" w:themeColor="text1"/>
          <w:highlight w:val="none"/>
          <w14:textFill>
            <w14:solidFill>
              <w14:schemeClr w14:val="tx1"/>
            </w14:solidFill>
          </w14:textFill>
        </w:rPr>
        <w:t>。</w:t>
      </w:r>
      <w:bookmarkEnd w:id="85"/>
    </w:p>
    <w:p w14:paraId="1C377AE0">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306B23E1">
      <w:pPr>
        <w:pStyle w:val="17"/>
        <w:numPr>
          <w:ilvl w:val="0"/>
          <w:numId w:val="1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86"/>
    </w:p>
    <w:p w14:paraId="2A1A15D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6BEAB5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5EE85378">
      <w:pPr>
        <w:pStyle w:val="17"/>
        <w:numPr>
          <w:ilvl w:val="0"/>
          <w:numId w:val="1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8" w:name="_Toc84"/>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88"/>
    </w:p>
    <w:p w14:paraId="1D4AB0CA">
      <w:pPr>
        <w:pStyle w:val="17"/>
        <w:numPr>
          <w:ilvl w:val="0"/>
          <w:numId w:val="19"/>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4A5D5E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5AA81E2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28746AE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21"/>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5BA70BEF">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89" w:name="_Toc26614"/>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89"/>
    </w:p>
    <w:p w14:paraId="424F3C00">
      <w:pPr>
        <w:rPr>
          <w:rFonts w:ascii="仿宋_GB2312" w:hAnsi="仿宋_GB2312" w:eastAsia="仿宋_GB2312" w:cs="仿宋_GB2312"/>
          <w:color w:val="000000" w:themeColor="text1"/>
          <w:sz w:val="24"/>
          <w:szCs w:val="24"/>
          <w:highlight w:val="none"/>
          <w14:textFill>
            <w14:solidFill>
              <w14:schemeClr w14:val="tx1"/>
            </w14:solidFill>
          </w14:textFill>
        </w:rPr>
      </w:pPr>
    </w:p>
    <w:p w14:paraId="5A3F7AF1">
      <w:pPr>
        <w:pStyle w:val="17"/>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52D95DA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814A97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BB7C41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59D3853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F1BD762">
      <w:pPr>
        <w:rPr>
          <w:highlight w:val="none"/>
        </w:rPr>
      </w:pPr>
    </w:p>
    <w:sectPr>
      <w:headerReference r:id="rId13" w:type="default"/>
      <w:pgSz w:w="11906" w:h="16838"/>
      <w:pgMar w:top="1440" w:right="1803" w:bottom="1440" w:left="1803"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D32C">
    <w:pPr>
      <w:pStyle w:val="10"/>
      <w:jc w:val="center"/>
      <w:rPr>
        <w:rFonts w:ascii="仿宋" w:hAnsi="仿宋" w:eastAsia="仿宋" w:cs="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FC3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2E80">
    <w:pPr>
      <w:pStyle w:val="10"/>
      <w:jc w:val="center"/>
      <w:rPr>
        <w:rFonts w:ascii="仿宋" w:hAnsi="仿宋" w:eastAsia="仿宋" w:cs="仿宋"/>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85C3">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CEDF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C2CEDF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4CD3">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904F4">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ED904F4">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4A28">
    <w:pPr>
      <w:pBdr>
        <w:top w:val="none" w:color="auto" w:sz="0" w:space="1"/>
        <w:left w:val="none" w:color="auto" w:sz="0" w:space="4"/>
        <w:bottom w:val="none" w:color="auto" w:sz="0" w:space="1"/>
        <w:right w:val="none" w:color="auto" w:sz="0" w:space="4"/>
      </w:pBdr>
      <w:tabs>
        <w:tab w:val="center" w:pos="4153"/>
        <w:tab w:val="right" w:pos="8306"/>
      </w:tabs>
      <w:wordWrap w:val="0"/>
      <w:snapToGrid w:val="0"/>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sz w:val="18"/>
        <w:szCs w:val="24"/>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B8E7">
    <w:pPr>
      <w:pStyle w:val="11"/>
    </w:pPr>
    <w:r>
      <w:rPr>
        <w:rFonts w:hint="eastAsia"/>
      </w:rPr>
      <w:drawing>
        <wp:anchor distT="0" distB="0" distL="114300" distR="114300" simplePos="0" relativeHeight="251659264" behindDoc="0" locked="0" layoutInCell="1" allowOverlap="1">
          <wp:simplePos x="0" y="0"/>
          <wp:positionH relativeFrom="column">
            <wp:posOffset>-377825</wp:posOffset>
          </wp:positionH>
          <wp:positionV relativeFrom="paragraph">
            <wp:posOffset>389890</wp:posOffset>
          </wp:positionV>
          <wp:extent cx="2520315" cy="314325"/>
          <wp:effectExtent l="0" t="0" r="13335" b="9525"/>
          <wp:wrapSquare wrapText="bothSides"/>
          <wp:docPr id="4" name="图片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
                  <pic:cNvPicPr>
                    <a:picLocks noChangeAspect="1"/>
                  </pic:cNvPicPr>
                </pic:nvPicPr>
                <pic:blipFill>
                  <a:blip r:embed="rId1"/>
                  <a:stretch>
                    <a:fillRect/>
                  </a:stretch>
                </pic:blipFill>
                <pic:spPr>
                  <a:xfrm>
                    <a:off x="0" y="0"/>
                    <a:ext cx="2520315" cy="3143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E7601">
    <w:pPr>
      <w:pBdr>
        <w:top w:val="none" w:color="auto" w:sz="0" w:space="1"/>
        <w:left w:val="none" w:color="auto" w:sz="0" w:space="4"/>
        <w:bottom w:val="none" w:color="auto" w:sz="0" w:space="1"/>
        <w:right w:val="none" w:color="auto" w:sz="0" w:space="4"/>
      </w:pBdr>
      <w:tabs>
        <w:tab w:val="center" w:pos="4153"/>
        <w:tab w:val="right" w:pos="8306"/>
      </w:tabs>
      <w:wordWrap w:val="0"/>
      <w:snapToGrid w:val="0"/>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sz w:val="18"/>
        <w:szCs w:val="24"/>
      </w:rPr>
      <w:t xml:space="preserve"> </w:t>
    </w:r>
    <w:r>
      <w:rPr>
        <w:rFonts w:hint="eastAsia" w:ascii="宋体" w:hAnsi="宋体" w:cs="宋体"/>
        <w:b/>
        <w:color w:val="000000"/>
        <w:szCs w:val="21"/>
      </w:rPr>
      <w:t>CSCEC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A645">
    <w:pPr>
      <w:pBdr>
        <w:top w:val="none" w:color="auto" w:sz="0" w:space="1"/>
        <w:left w:val="none" w:color="auto" w:sz="0" w:space="4"/>
        <w:bottom w:val="none" w:color="auto" w:sz="0" w:space="1"/>
        <w:right w:val="none" w:color="auto" w:sz="0" w:space="4"/>
      </w:pBdr>
      <w:tabs>
        <w:tab w:val="center" w:pos="4153"/>
        <w:tab w:val="right" w:pos="8306"/>
      </w:tabs>
      <w:wordWrap w:val="0"/>
      <w:snapToGrid w:val="0"/>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6"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ascii="宋体" w:hAnsi="宋体" w:cs="宋体"/>
        <w:b/>
        <w:color w:val="000000"/>
        <w:szCs w:val="21"/>
      </w:rPr>
      <w:t>CSCEC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C847">
    <w:pPr>
      <w:pBdr>
        <w:top w:val="none" w:color="auto" w:sz="0" w:space="1"/>
        <w:left w:val="none" w:color="auto" w:sz="0" w:space="4"/>
        <w:bottom w:val="none" w:color="auto" w:sz="0" w:space="1"/>
        <w:right w:val="none" w:color="auto" w:sz="0" w:space="4"/>
      </w:pBdr>
      <w:tabs>
        <w:tab w:val="center" w:pos="4153"/>
        <w:tab w:val="right" w:pos="8306"/>
      </w:tabs>
      <w:wordWrap w:val="0"/>
      <w:snapToGrid w:val="0"/>
      <w:ind w:firstLine="5670" w:firstLineChars="2700"/>
    </w:pPr>
    <w:r>
      <w:drawing>
        <wp:anchor distT="0" distB="0" distL="114300" distR="114300" simplePos="0" relativeHeight="251667456"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ascii="宋体" w:hAnsi="宋体" w:cs="宋体"/>
        <w:b/>
        <w:color w:val="000000"/>
        <w:szCs w:val="21"/>
      </w:rPr>
      <w:t>CSCEC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6F49">
    <w:pPr>
      <w:pBdr>
        <w:top w:val="none" w:color="auto" w:sz="0" w:space="1"/>
        <w:left w:val="none" w:color="auto" w:sz="0" w:space="4"/>
        <w:bottom w:val="none" w:color="auto" w:sz="0" w:space="1"/>
        <w:right w:val="none" w:color="auto" w:sz="0" w:space="4"/>
      </w:pBdr>
      <w:tabs>
        <w:tab w:val="center" w:pos="4153"/>
        <w:tab w:val="right" w:pos="8306"/>
      </w:tabs>
      <w:wordWrap w:val="0"/>
      <w:snapToGrid w:val="0"/>
      <w:ind w:firstLine="5670" w:firstLineChars="2700"/>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7"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lang w:val="en-US" w:eastAsia="zh-CN"/>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A5FE34D0"/>
    <w:multiLevelType w:val="singleLevel"/>
    <w:tmpl w:val="A5FE34D0"/>
    <w:lvl w:ilvl="0" w:tentative="0">
      <w:start w:val="2"/>
      <w:numFmt w:val="chineseCounting"/>
      <w:suff w:val="nothing"/>
      <w:lvlText w:val="%1、"/>
      <w:lvlJc w:val="left"/>
      <w:rPr>
        <w:rFonts w:hint="eastAsia"/>
      </w:rPr>
    </w:lvl>
  </w:abstractNum>
  <w:abstractNum w:abstractNumId="2">
    <w:nsid w:val="BF2E4D01"/>
    <w:multiLevelType w:val="singleLevel"/>
    <w:tmpl w:val="BF2E4D01"/>
    <w:lvl w:ilvl="0" w:tentative="0">
      <w:start w:val="1"/>
      <w:numFmt w:val="decimal"/>
      <w:suff w:val="nothing"/>
      <w:lvlText w:val="（%1）"/>
      <w:lvlJc w:val="left"/>
    </w:lvl>
  </w:abstractNum>
  <w:abstractNum w:abstractNumId="3">
    <w:nsid w:val="CDF988A0"/>
    <w:multiLevelType w:val="singleLevel"/>
    <w:tmpl w:val="CDF988A0"/>
    <w:lvl w:ilvl="0" w:tentative="0">
      <w:start w:val="1"/>
      <w:numFmt w:val="decimal"/>
      <w:suff w:val="nothing"/>
      <w:lvlText w:val="%1、"/>
      <w:lvlJc w:val="left"/>
    </w:lvl>
  </w:abstractNum>
  <w:abstractNum w:abstractNumId="4">
    <w:nsid w:val="D6CC21DA"/>
    <w:multiLevelType w:val="singleLevel"/>
    <w:tmpl w:val="D6CC21DA"/>
    <w:lvl w:ilvl="0" w:tentative="0">
      <w:start w:val="1"/>
      <w:numFmt w:val="decimal"/>
      <w:suff w:val="nothing"/>
      <w:lvlText w:val="%1、"/>
      <w:lvlJc w:val="left"/>
    </w:lvl>
  </w:abstractNum>
  <w:abstractNum w:abstractNumId="5">
    <w:nsid w:val="DA2CD928"/>
    <w:multiLevelType w:val="singleLevel"/>
    <w:tmpl w:val="DA2CD928"/>
    <w:lvl w:ilvl="0" w:tentative="0">
      <w:start w:val="1"/>
      <w:numFmt w:val="decimal"/>
      <w:suff w:val="nothing"/>
      <w:lvlText w:val="%1、"/>
      <w:lvlJc w:val="left"/>
    </w:lvl>
  </w:abstractNum>
  <w:abstractNum w:abstractNumId="6">
    <w:nsid w:val="E0133784"/>
    <w:multiLevelType w:val="singleLevel"/>
    <w:tmpl w:val="E0133784"/>
    <w:lvl w:ilvl="0" w:tentative="0">
      <w:start w:val="1"/>
      <w:numFmt w:val="decimal"/>
      <w:suff w:val="nothing"/>
      <w:lvlText w:val="%1、"/>
      <w:lvlJc w:val="left"/>
    </w:lvl>
  </w:abstractNum>
  <w:abstractNum w:abstractNumId="7">
    <w:nsid w:val="ED465D3D"/>
    <w:multiLevelType w:val="singleLevel"/>
    <w:tmpl w:val="ED465D3D"/>
    <w:lvl w:ilvl="0" w:tentative="0">
      <w:start w:val="1"/>
      <w:numFmt w:val="decimal"/>
      <w:suff w:val="nothing"/>
      <w:lvlText w:val="（%1）"/>
      <w:lvlJc w:val="left"/>
      <w:pPr>
        <w:ind w:left="480" w:leftChars="0" w:firstLine="0" w:firstLineChars="0"/>
      </w:pPr>
    </w:lvl>
  </w:abstractNum>
  <w:abstractNum w:abstractNumId="8">
    <w:nsid w:val="EEFD7662"/>
    <w:multiLevelType w:val="singleLevel"/>
    <w:tmpl w:val="EEFD7662"/>
    <w:lvl w:ilvl="0" w:tentative="0">
      <w:start w:val="1"/>
      <w:numFmt w:val="decimal"/>
      <w:suff w:val="nothing"/>
      <w:lvlText w:val="%1、"/>
      <w:lvlJc w:val="left"/>
    </w:lvl>
  </w:abstractNum>
  <w:abstractNum w:abstractNumId="9">
    <w:nsid w:val="EFACCE70"/>
    <w:multiLevelType w:val="singleLevel"/>
    <w:tmpl w:val="EFACCE70"/>
    <w:lvl w:ilvl="0" w:tentative="0">
      <w:start w:val="1"/>
      <w:numFmt w:val="chineseCounting"/>
      <w:suff w:val="nothing"/>
      <w:lvlText w:val="%1、"/>
      <w:lvlJc w:val="left"/>
      <w:rPr>
        <w:rFonts w:hint="eastAsia"/>
      </w:rPr>
    </w:lvl>
  </w:abstractNum>
  <w:abstractNum w:abstractNumId="10">
    <w:nsid w:val="F4B4D53B"/>
    <w:multiLevelType w:val="singleLevel"/>
    <w:tmpl w:val="F4B4D53B"/>
    <w:lvl w:ilvl="0" w:tentative="0">
      <w:start w:val="1"/>
      <w:numFmt w:val="decimal"/>
      <w:suff w:val="nothing"/>
      <w:lvlText w:val="%1、"/>
      <w:lvlJc w:val="left"/>
    </w:lvl>
  </w:abstractNum>
  <w:abstractNum w:abstractNumId="11">
    <w:nsid w:val="11092D05"/>
    <w:multiLevelType w:val="singleLevel"/>
    <w:tmpl w:val="11092D05"/>
    <w:lvl w:ilvl="0" w:tentative="0">
      <w:start w:val="2"/>
      <w:numFmt w:val="decimal"/>
      <w:suff w:val="nothing"/>
      <w:lvlText w:val="（%1）"/>
      <w:lvlJc w:val="left"/>
    </w:lvl>
  </w:abstractNum>
  <w:abstractNum w:abstractNumId="1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3">
    <w:nsid w:val="1C870535"/>
    <w:multiLevelType w:val="singleLevel"/>
    <w:tmpl w:val="1C870535"/>
    <w:lvl w:ilvl="0" w:tentative="0">
      <w:start w:val="1"/>
      <w:numFmt w:val="decimal"/>
      <w:suff w:val="nothing"/>
      <w:lvlText w:val="%1、"/>
      <w:lvlJc w:val="left"/>
      <w:rPr>
        <w:rFonts w:hint="default"/>
        <w:b/>
        <w:bCs/>
      </w:rPr>
    </w:lvl>
  </w:abstractNum>
  <w:abstractNum w:abstractNumId="14">
    <w:nsid w:val="567023B9"/>
    <w:multiLevelType w:val="singleLevel"/>
    <w:tmpl w:val="567023B9"/>
    <w:lvl w:ilvl="0" w:tentative="0">
      <w:start w:val="1"/>
      <w:numFmt w:val="decimal"/>
      <w:suff w:val="nothing"/>
      <w:lvlText w:val="%1、"/>
      <w:lvlJc w:val="left"/>
    </w:lvl>
  </w:abstractNum>
  <w:abstractNum w:abstractNumId="15">
    <w:nsid w:val="5A99D076"/>
    <w:multiLevelType w:val="singleLevel"/>
    <w:tmpl w:val="5A99D076"/>
    <w:lvl w:ilvl="0" w:tentative="0">
      <w:start w:val="2"/>
      <w:numFmt w:val="decimal"/>
      <w:lvlText w:val="%1."/>
      <w:lvlJc w:val="left"/>
      <w:pPr>
        <w:tabs>
          <w:tab w:val="left" w:pos="312"/>
        </w:tabs>
        <w:ind w:left="480" w:firstLine="0"/>
      </w:pPr>
    </w:lvl>
  </w:abstractNum>
  <w:abstractNum w:abstractNumId="16">
    <w:nsid w:val="6C865638"/>
    <w:multiLevelType w:val="singleLevel"/>
    <w:tmpl w:val="6C865638"/>
    <w:lvl w:ilvl="0" w:tentative="0">
      <w:start w:val="1"/>
      <w:numFmt w:val="decimal"/>
      <w:suff w:val="nothing"/>
      <w:lvlText w:val="（%1）"/>
      <w:lvlJc w:val="left"/>
    </w:lvl>
  </w:abstractNum>
  <w:abstractNum w:abstractNumId="17">
    <w:nsid w:val="7B017038"/>
    <w:multiLevelType w:val="singleLevel"/>
    <w:tmpl w:val="7B017038"/>
    <w:lvl w:ilvl="0" w:tentative="0">
      <w:start w:val="1"/>
      <w:numFmt w:val="chineseCounting"/>
      <w:suff w:val="nothing"/>
      <w:lvlText w:val="%1、"/>
      <w:lvlJc w:val="left"/>
      <w:rPr>
        <w:rFonts w:hint="eastAsia"/>
      </w:rPr>
    </w:lvl>
  </w:abstractNum>
  <w:abstractNum w:abstractNumId="18">
    <w:nsid w:val="7C4E14C2"/>
    <w:multiLevelType w:val="multilevel"/>
    <w:tmpl w:val="7C4E14C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9"/>
  </w:num>
  <w:num w:numId="2">
    <w:abstractNumId w:val="5"/>
  </w:num>
  <w:num w:numId="3">
    <w:abstractNumId w:val="16"/>
  </w:num>
  <w:num w:numId="4">
    <w:abstractNumId w:val="11"/>
  </w:num>
  <w:num w:numId="5">
    <w:abstractNumId w:val="1"/>
  </w:num>
  <w:num w:numId="6">
    <w:abstractNumId w:val="7"/>
  </w:num>
  <w:num w:numId="7">
    <w:abstractNumId w:val="13"/>
  </w:num>
  <w:num w:numId="8">
    <w:abstractNumId w:val="2"/>
  </w:num>
  <w:num w:numId="9">
    <w:abstractNumId w:val="8"/>
  </w:num>
  <w:num w:numId="10">
    <w:abstractNumId w:val="10"/>
  </w:num>
  <w:num w:numId="11">
    <w:abstractNumId w:val="18"/>
  </w:num>
  <w:num w:numId="12">
    <w:abstractNumId w:val="15"/>
  </w:num>
  <w:num w:numId="13">
    <w:abstractNumId w:val="12"/>
  </w:num>
  <w:num w:numId="14">
    <w:abstractNumId w:val="17"/>
  </w:num>
  <w:num w:numId="15">
    <w:abstractNumId w:val="14"/>
  </w:num>
  <w:num w:numId="16">
    <w:abstractNumId w:val="4"/>
  </w:num>
  <w:num w:numId="17">
    <w:abstractNumId w:val="6"/>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Ka9SPrCQd2gBQnfO7tRBcyijHkM=" w:salt="rQnizsAbxOhtMi4IHoXT3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4E028AC"/>
    <w:rsid w:val="07904C6B"/>
    <w:rsid w:val="0B8B280F"/>
    <w:rsid w:val="0D1E0562"/>
    <w:rsid w:val="10211F7D"/>
    <w:rsid w:val="106519DD"/>
    <w:rsid w:val="151B0063"/>
    <w:rsid w:val="15EF0CCB"/>
    <w:rsid w:val="1E31039B"/>
    <w:rsid w:val="23B52405"/>
    <w:rsid w:val="2A440F35"/>
    <w:rsid w:val="354B2671"/>
    <w:rsid w:val="35566576"/>
    <w:rsid w:val="39DF3BB8"/>
    <w:rsid w:val="410706D6"/>
    <w:rsid w:val="444C6F31"/>
    <w:rsid w:val="45C55598"/>
    <w:rsid w:val="4CFB1D45"/>
    <w:rsid w:val="501608B8"/>
    <w:rsid w:val="51BF5E7B"/>
    <w:rsid w:val="53BD68A5"/>
    <w:rsid w:val="54CA55D0"/>
    <w:rsid w:val="565A4C93"/>
    <w:rsid w:val="57F71B05"/>
    <w:rsid w:val="5AD826BB"/>
    <w:rsid w:val="5B697F52"/>
    <w:rsid w:val="5B7E5A88"/>
    <w:rsid w:val="5BEE727B"/>
    <w:rsid w:val="5D696177"/>
    <w:rsid w:val="61B47FFE"/>
    <w:rsid w:val="691D21D3"/>
    <w:rsid w:val="6D8C53FF"/>
    <w:rsid w:val="76296AAA"/>
    <w:rsid w:val="778C521A"/>
    <w:rsid w:val="78EF7891"/>
    <w:rsid w:val="7BAC0249"/>
    <w:rsid w:val="7FC1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576" w:lineRule="auto"/>
      <w:ind w:firstLine="200" w:firstLineChars="200"/>
      <w:outlineLvl w:val="1"/>
    </w:pPr>
    <w:rPr>
      <w:rFonts w:ascii="宋体" w:hAnsi="宋体" w:eastAsia="宋体" w:cs="Times New Roman"/>
      <w:b/>
      <w:bCs/>
      <w:sz w:val="28"/>
      <w:szCs w:val="32"/>
    </w:rPr>
  </w:style>
  <w:style w:type="paragraph" w:styleId="3">
    <w:name w:val="heading 3"/>
    <w:basedOn w:val="1"/>
    <w:next w:val="1"/>
    <w:autoRedefine/>
    <w:qFormat/>
    <w:uiPriority w:val="0"/>
    <w:pPr>
      <w:keepNext/>
      <w:keepLines/>
      <w:spacing w:before="260" w:after="260" w:line="413" w:lineRule="auto"/>
      <w:outlineLvl w:val="2"/>
    </w:pPr>
    <w:rPr>
      <w:rFonts w:ascii="Calibri" w:hAnsi="Calibri" w:eastAsia="宋体" w:cs="Times New Roman"/>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ind w:firstLine="420"/>
      <w:jc w:val="left"/>
    </w:pPr>
    <w:rPr>
      <w:rFonts w:ascii="MingLiU" w:hAnsi="MingLiU" w:eastAsia="MingLiU" w:cs="Arial Unicode MS"/>
      <w:snapToGrid w:val="0"/>
      <w:kern w:val="0"/>
      <w:sz w:val="20"/>
      <w:szCs w:val="20"/>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Cs w:val="28"/>
    </w:rPr>
  </w:style>
  <w:style w:type="paragraph" w:styleId="7">
    <w:name w:val="Body Text Indent"/>
    <w:basedOn w:val="1"/>
    <w:autoRedefine/>
    <w:qFormat/>
    <w:uiPriority w:val="0"/>
    <w:pPr>
      <w:spacing w:line="360" w:lineRule="auto"/>
      <w:ind w:firstLine="600" w:firstLineChars="200"/>
    </w:pPr>
    <w:rPr>
      <w:rFonts w:ascii="仿宋_GB2312" w:hAnsi="Calibri" w:eastAsia="仿宋_GB2312" w:cs="Times New Roman"/>
      <w:bCs/>
      <w:sz w:val="30"/>
      <w:szCs w:val="20"/>
    </w:rPr>
  </w:style>
  <w:style w:type="paragraph" w:styleId="8">
    <w:name w:val="Plain Text"/>
    <w:basedOn w:val="1"/>
    <w:autoRedefine/>
    <w:qFormat/>
    <w:uiPriority w:val="0"/>
    <w:rPr>
      <w:rFonts w:ascii="黑体" w:hAnsi="Courier New" w:eastAsia="黑体" w:cs="Times New Roman"/>
      <w:szCs w:val="20"/>
    </w:rPr>
  </w:style>
  <w:style w:type="paragraph" w:styleId="9">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10">
    <w:name w:val="footer"/>
    <w:basedOn w:val="1"/>
    <w:autoRedefine/>
    <w:unhideWhenUsed/>
    <w:qFormat/>
    <w:uiPriority w:val="0"/>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rPr>
      <w:rFonts w:ascii="Calibri" w:hAnsi="Calibri" w:eastAsia="宋体" w:cs="Times New Roman"/>
    </w:rPr>
  </w:style>
  <w:style w:type="table" w:styleId="14">
    <w:name w:val="Table Grid"/>
    <w:basedOn w:val="1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
    <w:name w:val="font41"/>
    <w:basedOn w:val="15"/>
    <w:autoRedefine/>
    <w:qFormat/>
    <w:uiPriority w:val="0"/>
    <w:rPr>
      <w:rFonts w:hint="eastAsia" w:ascii="宋体" w:hAnsi="宋体" w:eastAsia="宋体" w:cs="宋体"/>
      <w:color w:val="000000"/>
      <w:sz w:val="22"/>
      <w:szCs w:val="22"/>
      <w:u w:val="none"/>
      <w:vertAlign w:val="superscript"/>
    </w:rPr>
  </w:style>
  <w:style w:type="paragraph" w:customStyle="1" w:styleId="19">
    <w:name w:val="正文 首行缩进"/>
    <w:basedOn w:val="1"/>
    <w:autoRedefine/>
    <w:qFormat/>
    <w:uiPriority w:val="0"/>
    <w:pPr>
      <w:overflowPunct w:val="0"/>
      <w:topLinePunct/>
      <w:adjustRightInd w:val="0"/>
      <w:spacing w:before="156" w:beforeLines="50"/>
      <w:ind w:firstLine="420" w:firstLineChars="200"/>
      <w:textAlignment w:val="baseline"/>
    </w:pPr>
    <w:rPr>
      <w:rFonts w:ascii="宋体" w:hAnsi="宋体" w:cs="宋体"/>
      <w:color w:val="000000"/>
      <w:kern w:val="0"/>
      <w:szCs w:val="21"/>
    </w:rPr>
  </w:style>
  <w:style w:type="paragraph" w:customStyle="1" w:styleId="20">
    <w:name w:val="_Style 2"/>
    <w:basedOn w:val="1"/>
    <w:autoRedefine/>
    <w:qFormat/>
    <w:uiPriority w:val="99"/>
    <w:pPr>
      <w:ind w:firstLine="420" w:firstLineChars="200"/>
    </w:pPr>
    <w:rPr>
      <w:rFonts w:ascii="Calibri" w:hAnsi="Calibri" w:eastAsia="宋体" w:cs="Times New Roman"/>
    </w:rPr>
  </w:style>
  <w:style w:type="paragraph" w:customStyle="1" w:styleId="21">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822</Words>
  <Characters>924</Characters>
  <Lines>0</Lines>
  <Paragraphs>0</Paragraphs>
  <TotalTime>10</TotalTime>
  <ScaleCrop>false</ScaleCrop>
  <LinksUpToDate>false</LinksUpToDate>
  <CharactersWithSpaces>1243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2023-11-22T08:42:00Z</dcterms:created>
  <dc:creator>周轶群</dc:creator>
  <cp:lastModifiedBy>归去</cp:lastModifiedBy>
  <dcterms:modified xsi:type="dcterms:W3CDTF">2025-02-05T06:00:38Z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6F4554D859B14C99AEED2CE602C10469_12</vt:lpwstr>
  </property>
  <property fmtid="{D5CDD505-2E9C-101B-9397-08002B2CF9AE}" pid="4" name="KSOTemplateDocerSaveRecord">
    <vt:lpwstr>eyJoZGlkIjoiNDNjMzIxYjg1MDdkODMyMGExYjQwZGZlMDc0NTA2ZjAiLCJ1c2VySWQiOiI0NDYwOTkwNTgifQ==</vt:lpwstr>
  </property>
</Properties>
</file>