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7040">
      <w:pPr>
        <w:spacing w:line="360" w:lineRule="auto"/>
        <w:jc w:val="left"/>
        <w:rPr>
          <w:rFonts w:eastAsia="仿宋_GB2312"/>
          <w:bCs/>
          <w:color w:val="000000"/>
          <w:sz w:val="28"/>
          <w:szCs w:val="28"/>
          <w:u w:val="single"/>
        </w:rPr>
      </w:pPr>
      <w:bookmarkStart w:id="0" w:name="_Hlk126831517"/>
      <w:r>
        <w:rPr>
          <w:rFonts w:hint="eastAsia" w:eastAsia="仿宋_GB2312"/>
          <w:bCs/>
          <w:color w:val="000000"/>
          <w:sz w:val="28"/>
          <w:szCs w:val="28"/>
        </w:rPr>
        <w:t>合同编号：</w:t>
      </w:r>
      <w:permStart w:id="0" w:edGrp="everyone"/>
      <w:r>
        <w:rPr>
          <w:rFonts w:hint="eastAsia" w:eastAsia="仿宋_GB2312"/>
          <w:bCs/>
          <w:color w:val="000000"/>
          <w:sz w:val="28"/>
          <w:szCs w:val="28"/>
          <w:u w:val="single"/>
        </w:rPr>
        <w:t xml:space="preserve"> </w:t>
      </w:r>
      <w:r>
        <w:rPr>
          <w:rFonts w:hint="default" w:ascii="宋体" w:hAnsi="宋体" w:eastAsia="宋体"/>
          <w:u w:val="single"/>
        </w:rPr>
        <w:t>ZJLQ-</w:t>
      </w:r>
      <w:r>
        <w:rPr>
          <w:rFonts w:hint="eastAsia" w:ascii="宋体" w:hAnsi="宋体" w:eastAsia="宋体"/>
          <w:u w:val="single"/>
          <w:lang w:val="en-US" w:eastAsia="zh-CN"/>
        </w:rPr>
        <w:t>SGS</w:t>
      </w:r>
      <w:r>
        <w:rPr>
          <w:rFonts w:hint="default" w:ascii="宋体" w:hAnsi="宋体" w:eastAsia="宋体"/>
          <w:u w:val="single"/>
        </w:rPr>
        <w:t>FG-漯河水厂项目-</w:t>
      </w:r>
      <w:r>
        <w:rPr>
          <w:rFonts w:hint="eastAsia" w:ascii="宋体" w:hAnsi="宋体" w:eastAsia="宋体"/>
          <w:u w:val="single"/>
          <w:lang w:val="en-US" w:eastAsia="zh-CN"/>
        </w:rPr>
        <w:t>001</w:t>
      </w:r>
      <w:r>
        <w:rPr>
          <w:rFonts w:hint="eastAsia" w:eastAsia="仿宋_GB2312"/>
          <w:bCs/>
          <w:color w:val="000000"/>
          <w:sz w:val="28"/>
          <w:szCs w:val="28"/>
          <w:u w:val="single"/>
        </w:rPr>
        <w:t xml:space="preserve">     </w:t>
      </w:r>
      <w:permEnd w:id="0"/>
    </w:p>
    <w:p w14:paraId="7C592EDF">
      <w:pPr>
        <w:wordWrap w:val="0"/>
        <w:spacing w:line="640" w:lineRule="exact"/>
        <w:rPr>
          <w:rFonts w:hint="eastAsia" w:ascii="仿宋_GB2312" w:hAnsi="仿宋" w:eastAsia="仿宋_GB2312" w:cs="仿宋"/>
          <w:color w:val="000000" w:themeColor="text1"/>
          <w:sz w:val="24"/>
          <w:szCs w:val="24"/>
          <w14:textFill>
            <w14:solidFill>
              <w14:schemeClr w14:val="tx1"/>
            </w14:solidFill>
          </w14:textFill>
        </w:rPr>
      </w:pPr>
      <w:r>
        <w:rPr>
          <w:rFonts w:hint="eastAsia" w:eastAsia="仿宋_GB2312"/>
          <w:bCs/>
          <w:color w:val="000000"/>
          <w:sz w:val="28"/>
          <w:szCs w:val="28"/>
        </w:rPr>
        <w:t>框架协议：</w:t>
      </w:r>
      <w:permStart w:id="1" w:edGrp="everyone"/>
      <w:r>
        <w:rPr>
          <w:rFonts w:hint="eastAsia" w:eastAsia="仿宋_GB2312"/>
          <w:bCs/>
          <w:color w:val="000000"/>
          <w:sz w:val="28"/>
          <w:szCs w:val="28"/>
          <w:u w:val="single"/>
        </w:rPr>
        <w:t xml:space="preserve">  /  </w:t>
      </w:r>
      <w:permEnd w:id="1"/>
    </w:p>
    <w:p w14:paraId="0468293C">
      <w:pPr>
        <w:spacing w:line="360" w:lineRule="auto"/>
        <w:jc w:val="left"/>
        <w:rPr>
          <w:rFonts w:hint="eastAsia" w:ascii="仿宋_GB2312" w:hAnsi="仿宋_GB2312" w:eastAsia="仿宋_GB2312" w:cs="仿宋_GB2312"/>
          <w:sz w:val="28"/>
          <w:szCs w:val="28"/>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558211095"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O+VdPYNAgAAJQQAAA4AAAAAAAAAAQAg&#10;AAAAJAEAAGRycy9lMm9Eb2MueG1sUEsFBgAAAAAGAAYAWQEAAKMFAAAAAA==&#10;" adj="10800">
                <v:fill on="f" focussize="0,0"/>
                <v:stroke on="f"/>
                <v:imagedata o:title=""/>
                <o:lock v:ext="edit" text="t" aspectratio="f"/>
                <v:textbox style="mso-fit-shape-to-text:t;"/>
              </v:shape>
            </w:pict>
          </mc:Fallback>
        </mc:AlternateContent>
      </w:r>
    </w:p>
    <w:p w14:paraId="2B029EF7">
      <w:pPr>
        <w:pStyle w:val="4"/>
      </w:pPr>
    </w:p>
    <w:p w14:paraId="1E993E1A">
      <w:pPr>
        <w:pStyle w:val="4"/>
      </w:pPr>
    </w:p>
    <w:p w14:paraId="77F03326">
      <w:pPr>
        <w:pStyle w:val="4"/>
      </w:pPr>
    </w:p>
    <w:p w14:paraId="54E7327D">
      <w:pPr>
        <w:spacing w:line="360" w:lineRule="auto"/>
        <w:jc w:val="center"/>
        <w:rPr>
          <w:rFonts w:hint="eastAsia" w:ascii="华文中宋" w:hAnsi="华文中宋" w:eastAsia="华文中宋" w:cs="华文中宋"/>
          <w:b/>
          <w:sz w:val="52"/>
          <w:szCs w:val="52"/>
        </w:rPr>
      </w:pPr>
      <w:permStart w:id="2" w:edGrp="everyone"/>
      <w:r>
        <w:rPr>
          <w:rFonts w:hint="eastAsia" w:ascii="华文中宋" w:hAnsi="华文中宋" w:eastAsia="华文中宋" w:cs="华文中宋"/>
          <w:b/>
          <w:sz w:val="52"/>
          <w:szCs w:val="52"/>
        </w:rPr>
        <w:t>【钢筋】</w:t>
      </w:r>
      <w:permEnd w:id="2"/>
      <w:r>
        <w:rPr>
          <w:rFonts w:hint="eastAsia" w:ascii="华文中宋" w:hAnsi="华文中宋" w:eastAsia="华文中宋" w:cs="华文中宋"/>
          <w:b/>
          <w:sz w:val="52"/>
          <w:szCs w:val="52"/>
        </w:rPr>
        <w:t>采购与供应合同</w:t>
      </w:r>
    </w:p>
    <w:p w14:paraId="4488BEA6">
      <w:pPr>
        <w:spacing w:line="360" w:lineRule="auto"/>
        <w:jc w:val="center"/>
        <w:rPr>
          <w:rFonts w:hint="eastAsia" w:ascii="宋体" w:hAnsi="宋体" w:cs="宋体"/>
          <w:b/>
          <w:sz w:val="28"/>
          <w:szCs w:val="28"/>
        </w:rPr>
      </w:pPr>
      <w: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4D06CCF5">
      <w:pPr>
        <w:spacing w:line="360" w:lineRule="auto"/>
        <w:jc w:val="center"/>
        <w:rPr>
          <w:rFonts w:hint="eastAsia" w:ascii="宋体" w:hAnsi="宋体" w:cs="宋体"/>
          <w:b/>
          <w:sz w:val="28"/>
          <w:szCs w:val="28"/>
        </w:rPr>
      </w:pPr>
    </w:p>
    <w:p w14:paraId="18F1A700">
      <w:pPr>
        <w:spacing w:line="360" w:lineRule="auto"/>
        <w:jc w:val="center"/>
        <w:rPr>
          <w:rFonts w:hint="eastAsia" w:ascii="宋体" w:hAnsi="宋体" w:cs="宋体"/>
          <w:b/>
          <w:sz w:val="28"/>
          <w:szCs w:val="28"/>
        </w:rPr>
      </w:pPr>
    </w:p>
    <w:p w14:paraId="09A0763B">
      <w:pPr>
        <w:spacing w:line="360" w:lineRule="auto"/>
        <w:jc w:val="center"/>
        <w:rPr>
          <w:rFonts w:hint="eastAsia" w:ascii="宋体" w:hAnsi="宋体" w:cs="宋体"/>
          <w:b/>
          <w:sz w:val="28"/>
          <w:szCs w:val="28"/>
        </w:rPr>
      </w:pPr>
    </w:p>
    <w:p w14:paraId="6BE476FE">
      <w:pPr>
        <w:spacing w:line="360" w:lineRule="auto"/>
        <w:jc w:val="center"/>
        <w:rPr>
          <w:rFonts w:hint="eastAsia" w:ascii="宋体" w:hAnsi="宋体" w:cs="宋体"/>
          <w:b/>
          <w:sz w:val="28"/>
          <w:szCs w:val="28"/>
        </w:rPr>
      </w:pPr>
    </w:p>
    <w:p w14:paraId="36B5EC01">
      <w:pPr>
        <w:spacing w:line="360" w:lineRule="auto"/>
        <w:rPr>
          <w:rFonts w:hint="eastAsia" w:ascii="宋体" w:hAnsi="宋体" w:cs="宋体"/>
          <w:b/>
          <w:sz w:val="28"/>
          <w:szCs w:val="28"/>
        </w:rPr>
      </w:pPr>
    </w:p>
    <w:p w14:paraId="7C2BB468">
      <w:pPr>
        <w:pStyle w:val="5"/>
        <w:spacing w:after="120"/>
        <w:ind w:firstLine="560"/>
        <w:rPr>
          <w:rFonts w:hint="eastAsia" w:ascii="宋体" w:hAnsi="宋体" w:cs="宋体"/>
          <w:b/>
          <w:sz w:val="28"/>
          <w:szCs w:val="28"/>
        </w:rPr>
      </w:pPr>
    </w:p>
    <w:p w14:paraId="33B4F603">
      <w:pPr>
        <w:pStyle w:val="5"/>
        <w:spacing w:after="120"/>
        <w:ind w:firstLine="560"/>
        <w:rPr>
          <w:rFonts w:hint="eastAsia" w:ascii="宋体" w:hAnsi="宋体" w:cs="宋体"/>
          <w:b/>
          <w:sz w:val="28"/>
          <w:szCs w:val="28"/>
        </w:rPr>
      </w:pPr>
    </w:p>
    <w:p w14:paraId="404EB139">
      <w:pPr>
        <w:spacing w:line="360" w:lineRule="auto"/>
        <w:rPr>
          <w:rFonts w:hint="eastAsia" w:ascii="仿宋_GB2312" w:hAnsi="仿宋_GB2312" w:eastAsia="仿宋_GB2312" w:cs="仿宋_GB2312"/>
          <w:b/>
          <w:bCs/>
          <w:sz w:val="28"/>
          <w:szCs w:val="28"/>
        </w:rPr>
      </w:pPr>
      <w:permStart w:id="3" w:edGrp="everyone"/>
    </w:p>
    <w:p w14:paraId="25F1B345">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lang w:eastAsia="zh-CN"/>
        </w:rPr>
        <w:t>漯河市引澧入颍工程EPC总承包项目</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p w14:paraId="4477368F">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bCs/>
          <w:sz w:val="28"/>
          <w:szCs w:val="28"/>
        </w:rPr>
        <w:t>中建路桥集团</w:t>
      </w:r>
      <w:r>
        <w:rPr>
          <w:rFonts w:hint="eastAsia" w:ascii="仿宋_GB2312" w:hAnsi="仿宋_GB2312" w:eastAsia="仿宋_GB2312" w:cs="仿宋_GB2312"/>
          <w:b/>
          <w:bCs/>
          <w:sz w:val="28"/>
          <w:szCs w:val="28"/>
          <w:lang w:val="en-US" w:eastAsia="zh-CN"/>
        </w:rPr>
        <w:t>第四工程</w:t>
      </w:r>
      <w:r>
        <w:rPr>
          <w:rFonts w:hint="eastAsia" w:ascii="仿宋_GB2312" w:hAnsi="仿宋_GB2312" w:eastAsia="仿宋_GB2312" w:cs="仿宋_GB2312"/>
          <w:b/>
          <w:bCs/>
          <w:sz w:val="28"/>
          <w:szCs w:val="28"/>
        </w:rPr>
        <w:t xml:space="preserve">有限公司 </w:t>
      </w:r>
      <w:r>
        <w:rPr>
          <w:rFonts w:hint="eastAsia" w:ascii="仿宋_GB2312" w:hAnsi="仿宋_GB2312" w:eastAsia="仿宋_GB2312" w:cs="仿宋_GB2312"/>
          <w:b/>
          <w:color w:val="000000"/>
          <w:sz w:val="28"/>
          <w:szCs w:val="28"/>
        </w:rPr>
        <w:t xml:space="preserve">     】</w:t>
      </w:r>
    </w:p>
    <w:p w14:paraId="2C74D348">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乙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p w14:paraId="18DA4800">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签订时间：</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2025年 3 月</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p w14:paraId="0908EF7C">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签订地点：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郑州</w:t>
      </w:r>
      <w:r>
        <w:rPr>
          <w:rFonts w:hint="eastAsia" w:ascii="仿宋_GB2312" w:hAnsi="仿宋_GB2312" w:eastAsia="仿宋_GB2312" w:cs="仿宋_GB2312"/>
          <w:b/>
          <w:color w:val="000000"/>
          <w:sz w:val="28"/>
          <w:szCs w:val="28"/>
        </w:rPr>
        <w:t>市</w:t>
      </w:r>
      <w:r>
        <w:rPr>
          <w:rFonts w:hint="eastAsia" w:ascii="仿宋_GB2312" w:hAnsi="仿宋_GB2312" w:eastAsia="仿宋_GB2312" w:cs="仿宋_GB2312"/>
          <w:b/>
          <w:color w:val="000000"/>
          <w:sz w:val="28"/>
          <w:szCs w:val="28"/>
          <w:lang w:val="en-US" w:eastAsia="zh-CN"/>
        </w:rPr>
        <w:t>经开</w:t>
      </w:r>
      <w:r>
        <w:rPr>
          <w:rFonts w:hint="eastAsia" w:ascii="仿宋_GB2312" w:hAnsi="仿宋_GB2312" w:eastAsia="仿宋_GB2312" w:cs="仿宋_GB2312"/>
          <w:b/>
          <w:color w:val="000000"/>
          <w:sz w:val="28"/>
          <w:szCs w:val="28"/>
        </w:rPr>
        <w:t xml:space="preserve">区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 xml:space="preserve">  】</w:t>
      </w:r>
    </w:p>
    <w:bookmarkEnd w:id="0"/>
    <w:p w14:paraId="25488DBF">
      <w:pPr>
        <w:spacing w:line="480" w:lineRule="auto"/>
        <w:ind w:firstLine="1280" w:firstLineChars="400"/>
        <w:jc w:val="left"/>
        <w:textAlignment w:val="baseline"/>
        <w:rPr>
          <w:rFonts w:hint="eastAsia" w:ascii="仿宋_GB2312" w:hAnsi="仿宋" w:eastAsia="仿宋_GB2312" w:cs="仿宋"/>
          <w:bCs/>
          <w:color w:val="000000" w:themeColor="text1"/>
          <w:sz w:val="32"/>
          <w:szCs w:val="24"/>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sdt>
      <w:sdtPr>
        <w:rPr>
          <w:rFonts w:asciiTheme="minorHAnsi" w:hAnsiTheme="minorHAnsi" w:eastAsiaTheme="minorEastAsia" w:cstheme="minorBidi"/>
          <w:szCs w:val="22"/>
        </w:rPr>
        <w:id w:val="147479450"/>
        <w15:color w:val="DBDBDB"/>
        <w:docPartObj>
          <w:docPartGallery w:val="Table of Contents"/>
          <w:docPartUnique/>
        </w:docPartObj>
      </w:sdtPr>
      <w:sdtEndPr>
        <w:rPr>
          <w:rFonts w:ascii="仿宋" w:hAnsi="仿宋" w:eastAsia="仿宋" w:cs="仿宋"/>
          <w:color w:val="000000" w:themeColor="text1"/>
          <w:szCs w:val="22"/>
          <w14:textFill>
            <w14:solidFill>
              <w14:schemeClr w14:val="tx1"/>
            </w14:solidFill>
          </w14:textFill>
        </w:rPr>
      </w:sdtEndPr>
      <w:sdtContent>
        <w:p w14:paraId="1D486279">
          <w:pPr>
            <w:pStyle w:val="5"/>
          </w:pPr>
        </w:p>
        <w:p w14:paraId="7CF67B1E">
          <w:pPr>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目</w:t>
          </w:r>
          <w:r>
            <w:rPr>
              <w:rFonts w:ascii="黑体" w:hAnsi="黑体" w:eastAsia="黑体" w:cs="黑体"/>
              <w:b/>
              <w:bCs/>
              <w:color w:val="000000" w:themeColor="text1"/>
              <w:sz w:val="36"/>
              <w:szCs w:val="36"/>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录</w:t>
          </w:r>
        </w:p>
        <w:p w14:paraId="16DE32D3">
          <w:pPr>
            <w:pStyle w:val="5"/>
          </w:pPr>
        </w:p>
        <w:p w14:paraId="6550851E">
          <w:pPr>
            <w:pStyle w:val="9"/>
            <w:tabs>
              <w:tab w:val="right" w:leader="dot" w:pos="8306"/>
            </w:tabs>
            <w:spacing w:line="312" w:lineRule="auto"/>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"_Toc5953" </w:instrText>
          </w:r>
          <w:r>
            <w:fldChar w:fldCharType="separate"/>
          </w:r>
          <w:r>
            <w:rPr>
              <w:rFonts w:hint="eastAsia" w:ascii="黑体" w:hAnsi="黑体" w:eastAsia="黑体" w:cs="黑体"/>
              <w:bCs/>
              <w:sz w:val="30"/>
              <w:szCs w:val="30"/>
            </w:rPr>
            <w:t>第一部分 专用条款</w:t>
          </w:r>
          <w:r>
            <w:tab/>
          </w:r>
          <w:r>
            <w:fldChar w:fldCharType="begin"/>
          </w:r>
          <w:r>
            <w:instrText xml:space="preserve"> PAGEREF _Toc5953 \h </w:instrText>
          </w:r>
          <w:r>
            <w:fldChar w:fldCharType="separate"/>
          </w:r>
          <w:r>
            <w:t>1</w:t>
          </w:r>
          <w:r>
            <w:fldChar w:fldCharType="end"/>
          </w:r>
          <w:r>
            <w:fldChar w:fldCharType="end"/>
          </w:r>
        </w:p>
        <w:p w14:paraId="5D0FC024">
          <w:pPr>
            <w:pStyle w:val="9"/>
            <w:tabs>
              <w:tab w:val="right" w:leader="dot" w:pos="8306"/>
            </w:tabs>
            <w:spacing w:line="312" w:lineRule="auto"/>
          </w:pPr>
          <w:r>
            <w:fldChar w:fldCharType="begin"/>
          </w:r>
          <w:r>
            <w:instrText xml:space="preserve"> HYPERLINK \l "_Toc640" </w:instrText>
          </w:r>
          <w:r>
            <w:fldChar w:fldCharType="separate"/>
          </w:r>
          <w:r>
            <w:rPr>
              <w:rFonts w:hint="eastAsia" w:ascii="仿宋_GB2312" w:hAnsi="仿宋_GB2312" w:eastAsia="仿宋_GB2312" w:cs="仿宋_GB2312"/>
              <w:kern w:val="0"/>
              <w:sz w:val="28"/>
              <w:szCs w:val="28"/>
            </w:rPr>
            <w:t>一、工程概况</w:t>
          </w:r>
          <w:r>
            <w:tab/>
          </w:r>
          <w:r>
            <w:fldChar w:fldCharType="begin"/>
          </w:r>
          <w:r>
            <w:instrText xml:space="preserve"> PAGEREF _Toc640 \h </w:instrText>
          </w:r>
          <w:r>
            <w:fldChar w:fldCharType="separate"/>
          </w:r>
          <w:r>
            <w:t>1</w:t>
          </w:r>
          <w:r>
            <w:fldChar w:fldCharType="end"/>
          </w:r>
          <w:r>
            <w:fldChar w:fldCharType="end"/>
          </w:r>
        </w:p>
        <w:p w14:paraId="404B02AA">
          <w:pPr>
            <w:pStyle w:val="9"/>
            <w:tabs>
              <w:tab w:val="right" w:leader="dot" w:pos="8306"/>
            </w:tabs>
            <w:spacing w:line="312" w:lineRule="auto"/>
          </w:pPr>
          <w:r>
            <w:fldChar w:fldCharType="begin"/>
          </w:r>
          <w:r>
            <w:instrText xml:space="preserve"> HYPERLINK \l "_Toc6010" </w:instrText>
          </w:r>
          <w:r>
            <w:fldChar w:fldCharType="separate"/>
          </w:r>
          <w:r>
            <w:rPr>
              <w:rFonts w:hint="eastAsia" w:ascii="仿宋_GB2312" w:hAnsi="仿宋_GB2312" w:eastAsia="仿宋_GB2312" w:cs="仿宋_GB2312"/>
              <w:kern w:val="0"/>
              <w:sz w:val="28"/>
              <w:szCs w:val="28"/>
            </w:rPr>
            <w:t>二、货物清单</w:t>
          </w:r>
          <w:r>
            <w:tab/>
          </w:r>
          <w:r>
            <w:fldChar w:fldCharType="begin"/>
          </w:r>
          <w:r>
            <w:instrText xml:space="preserve"> PAGEREF _Toc6010 \h </w:instrText>
          </w:r>
          <w:r>
            <w:fldChar w:fldCharType="separate"/>
          </w:r>
          <w:r>
            <w:t>1</w:t>
          </w:r>
          <w:r>
            <w:fldChar w:fldCharType="end"/>
          </w:r>
          <w:r>
            <w:fldChar w:fldCharType="end"/>
          </w:r>
        </w:p>
        <w:p w14:paraId="18B20894">
          <w:pPr>
            <w:pStyle w:val="9"/>
            <w:tabs>
              <w:tab w:val="right" w:leader="dot" w:pos="8306"/>
            </w:tabs>
            <w:spacing w:line="312" w:lineRule="auto"/>
          </w:pPr>
          <w:r>
            <w:fldChar w:fldCharType="begin"/>
          </w:r>
          <w:r>
            <w:instrText xml:space="preserve"> HYPERLINK \l "_Toc23444" </w:instrText>
          </w:r>
          <w:r>
            <w:fldChar w:fldCharType="separate"/>
          </w:r>
          <w:r>
            <w:rPr>
              <w:rFonts w:hint="eastAsia" w:ascii="仿宋_GB2312" w:hAnsi="仿宋_GB2312" w:eastAsia="仿宋_GB2312" w:cs="仿宋_GB2312"/>
              <w:kern w:val="0"/>
              <w:sz w:val="28"/>
              <w:szCs w:val="28"/>
            </w:rPr>
            <w:t>三、货物供应</w:t>
          </w:r>
          <w:r>
            <w:tab/>
          </w:r>
          <w:r>
            <w:fldChar w:fldCharType="begin"/>
          </w:r>
          <w:r>
            <w:instrText xml:space="preserve"> PAGEREF _Toc23444 \h </w:instrText>
          </w:r>
          <w:r>
            <w:fldChar w:fldCharType="separate"/>
          </w:r>
          <w:r>
            <w:t>4</w:t>
          </w:r>
          <w:r>
            <w:fldChar w:fldCharType="end"/>
          </w:r>
          <w:r>
            <w:fldChar w:fldCharType="end"/>
          </w:r>
        </w:p>
        <w:p w14:paraId="00FFE0EC">
          <w:pPr>
            <w:pStyle w:val="9"/>
            <w:tabs>
              <w:tab w:val="right" w:leader="dot" w:pos="8306"/>
            </w:tabs>
            <w:spacing w:line="312" w:lineRule="auto"/>
          </w:pPr>
          <w:r>
            <w:fldChar w:fldCharType="begin"/>
          </w:r>
          <w:r>
            <w:instrText xml:space="preserve"> HYPERLINK \l "_Toc12447" </w:instrText>
          </w:r>
          <w:r>
            <w:fldChar w:fldCharType="separate"/>
          </w:r>
          <w:r>
            <w:rPr>
              <w:rFonts w:hint="eastAsia" w:ascii="仿宋_GB2312" w:hAnsi="仿宋_GB2312" w:eastAsia="仿宋_GB2312" w:cs="仿宋_GB2312"/>
              <w:kern w:val="0"/>
              <w:sz w:val="28"/>
              <w:szCs w:val="28"/>
            </w:rPr>
            <w:t>四、货物质量</w:t>
          </w:r>
          <w:r>
            <w:tab/>
          </w:r>
          <w:r>
            <w:fldChar w:fldCharType="begin"/>
          </w:r>
          <w:r>
            <w:instrText xml:space="preserve"> PAGEREF _Toc12447 \h </w:instrText>
          </w:r>
          <w:r>
            <w:fldChar w:fldCharType="separate"/>
          </w:r>
          <w:r>
            <w:t>6</w:t>
          </w:r>
          <w:r>
            <w:fldChar w:fldCharType="end"/>
          </w:r>
          <w:r>
            <w:fldChar w:fldCharType="end"/>
          </w:r>
        </w:p>
        <w:p w14:paraId="73647853">
          <w:pPr>
            <w:pStyle w:val="9"/>
            <w:tabs>
              <w:tab w:val="right" w:leader="dot" w:pos="8306"/>
            </w:tabs>
            <w:spacing w:line="312" w:lineRule="auto"/>
          </w:pPr>
          <w:r>
            <w:fldChar w:fldCharType="begin"/>
          </w:r>
          <w:r>
            <w:instrText xml:space="preserve"> HYPERLINK \l "_Toc3621" </w:instrText>
          </w:r>
          <w:r>
            <w:fldChar w:fldCharType="separate"/>
          </w:r>
          <w:r>
            <w:rPr>
              <w:rFonts w:hint="eastAsia" w:ascii="仿宋_GB2312" w:hAnsi="仿宋_GB2312" w:eastAsia="仿宋_GB2312" w:cs="仿宋_GB2312"/>
              <w:kern w:val="0"/>
              <w:sz w:val="28"/>
              <w:szCs w:val="28"/>
            </w:rPr>
            <w:t>五、货物验收</w:t>
          </w:r>
          <w:r>
            <w:tab/>
          </w:r>
          <w:r>
            <w:fldChar w:fldCharType="begin"/>
          </w:r>
          <w:r>
            <w:instrText xml:space="preserve"> PAGEREF _Toc3621 \h </w:instrText>
          </w:r>
          <w:r>
            <w:fldChar w:fldCharType="separate"/>
          </w:r>
          <w:r>
            <w:t>7</w:t>
          </w:r>
          <w:r>
            <w:fldChar w:fldCharType="end"/>
          </w:r>
          <w:r>
            <w:fldChar w:fldCharType="end"/>
          </w:r>
        </w:p>
        <w:p w14:paraId="70690A00">
          <w:pPr>
            <w:pStyle w:val="9"/>
            <w:tabs>
              <w:tab w:val="right" w:leader="dot" w:pos="8306"/>
            </w:tabs>
            <w:spacing w:line="312" w:lineRule="auto"/>
          </w:pPr>
          <w:r>
            <w:fldChar w:fldCharType="begin"/>
          </w:r>
          <w:r>
            <w:instrText xml:space="preserve"> HYPERLINK \l "_Toc23953" </w:instrText>
          </w:r>
          <w:r>
            <w:fldChar w:fldCharType="separate"/>
          </w:r>
          <w:r>
            <w:rPr>
              <w:rFonts w:hint="eastAsia" w:ascii="仿宋_GB2312" w:hAnsi="仿宋_GB2312" w:eastAsia="仿宋_GB2312" w:cs="仿宋_GB2312"/>
              <w:kern w:val="0"/>
              <w:sz w:val="28"/>
              <w:szCs w:val="28"/>
            </w:rPr>
            <w:t>六、货物结算</w:t>
          </w:r>
          <w:r>
            <w:tab/>
          </w:r>
          <w:r>
            <w:fldChar w:fldCharType="begin"/>
          </w:r>
          <w:r>
            <w:instrText xml:space="preserve"> PAGEREF _Toc23953 \h </w:instrText>
          </w:r>
          <w:r>
            <w:fldChar w:fldCharType="separate"/>
          </w:r>
          <w:r>
            <w:t>8</w:t>
          </w:r>
          <w:r>
            <w:fldChar w:fldCharType="end"/>
          </w:r>
          <w:r>
            <w:fldChar w:fldCharType="end"/>
          </w:r>
        </w:p>
        <w:p w14:paraId="08B1A581">
          <w:pPr>
            <w:pStyle w:val="9"/>
            <w:tabs>
              <w:tab w:val="right" w:leader="dot" w:pos="8306"/>
            </w:tabs>
            <w:spacing w:line="312" w:lineRule="auto"/>
          </w:pPr>
          <w:r>
            <w:fldChar w:fldCharType="begin"/>
          </w:r>
          <w:r>
            <w:instrText xml:space="preserve"> HYPERLINK \l "_Toc32138" </w:instrText>
          </w:r>
          <w:r>
            <w:fldChar w:fldCharType="separate"/>
          </w:r>
          <w:r>
            <w:rPr>
              <w:rFonts w:hint="eastAsia" w:ascii="仿宋_GB2312" w:hAnsi="仿宋_GB2312" w:eastAsia="仿宋_GB2312" w:cs="仿宋_GB2312"/>
              <w:kern w:val="0"/>
              <w:sz w:val="28"/>
              <w:szCs w:val="28"/>
            </w:rPr>
            <w:t>七、货物付款</w:t>
          </w:r>
          <w:r>
            <w:tab/>
          </w:r>
          <w:r>
            <w:fldChar w:fldCharType="begin"/>
          </w:r>
          <w:r>
            <w:instrText xml:space="preserve"> PAGEREF _Toc32138 \h </w:instrText>
          </w:r>
          <w:r>
            <w:fldChar w:fldCharType="separate"/>
          </w:r>
          <w:r>
            <w:t>10</w:t>
          </w:r>
          <w:r>
            <w:fldChar w:fldCharType="end"/>
          </w:r>
          <w:r>
            <w:fldChar w:fldCharType="end"/>
          </w:r>
        </w:p>
        <w:p w14:paraId="2226F0F3">
          <w:pPr>
            <w:pStyle w:val="9"/>
            <w:tabs>
              <w:tab w:val="right" w:leader="dot" w:pos="8306"/>
            </w:tabs>
            <w:spacing w:line="312" w:lineRule="auto"/>
          </w:pPr>
          <w:r>
            <w:fldChar w:fldCharType="begin"/>
          </w:r>
          <w:r>
            <w:instrText xml:space="preserve"> HYPERLINK \l "_Toc24664" </w:instrText>
          </w:r>
          <w:r>
            <w:fldChar w:fldCharType="separate"/>
          </w:r>
          <w:r>
            <w:rPr>
              <w:rFonts w:hint="eastAsia" w:ascii="仿宋_GB2312" w:hAnsi="仿宋_GB2312" w:eastAsia="仿宋_GB2312" w:cs="仿宋_GB2312"/>
              <w:kern w:val="0"/>
              <w:sz w:val="28"/>
              <w:szCs w:val="28"/>
            </w:rPr>
            <w:t>八、通知与送达</w:t>
          </w:r>
          <w:r>
            <w:tab/>
          </w:r>
          <w:r>
            <w:fldChar w:fldCharType="begin"/>
          </w:r>
          <w:r>
            <w:instrText xml:space="preserve"> PAGEREF _Toc24664 \h </w:instrText>
          </w:r>
          <w:r>
            <w:fldChar w:fldCharType="separate"/>
          </w:r>
          <w:r>
            <w:t>12</w:t>
          </w:r>
          <w:r>
            <w:fldChar w:fldCharType="end"/>
          </w:r>
          <w:r>
            <w:fldChar w:fldCharType="end"/>
          </w:r>
        </w:p>
        <w:p w14:paraId="4AF65EC3">
          <w:pPr>
            <w:pStyle w:val="9"/>
            <w:tabs>
              <w:tab w:val="right" w:leader="dot" w:pos="8306"/>
            </w:tabs>
            <w:spacing w:line="312" w:lineRule="auto"/>
          </w:pPr>
          <w:r>
            <w:fldChar w:fldCharType="begin"/>
          </w:r>
          <w:r>
            <w:instrText xml:space="preserve"> HYPERLINK \l "_Toc26478" </w:instrText>
          </w:r>
          <w:r>
            <w:fldChar w:fldCharType="separate"/>
          </w:r>
          <w:r>
            <w:rPr>
              <w:rFonts w:hint="eastAsia" w:ascii="仿宋_GB2312" w:hAnsi="仿宋_GB2312" w:eastAsia="仿宋_GB2312" w:cs="仿宋_GB2312"/>
              <w:kern w:val="0"/>
              <w:sz w:val="28"/>
              <w:szCs w:val="28"/>
            </w:rPr>
            <w:t>九、合同生效</w:t>
          </w:r>
          <w:r>
            <w:tab/>
          </w:r>
          <w:r>
            <w:fldChar w:fldCharType="begin"/>
          </w:r>
          <w:r>
            <w:instrText xml:space="preserve"> PAGEREF _Toc26478 \h </w:instrText>
          </w:r>
          <w:r>
            <w:fldChar w:fldCharType="separate"/>
          </w:r>
          <w:r>
            <w:t>13</w:t>
          </w:r>
          <w:r>
            <w:fldChar w:fldCharType="end"/>
          </w:r>
          <w:r>
            <w:fldChar w:fldCharType="end"/>
          </w:r>
        </w:p>
        <w:p w14:paraId="689E396D">
          <w:pPr>
            <w:pStyle w:val="9"/>
            <w:tabs>
              <w:tab w:val="right" w:leader="dot" w:pos="8306"/>
            </w:tabs>
            <w:spacing w:line="312" w:lineRule="auto"/>
          </w:pPr>
          <w:r>
            <w:fldChar w:fldCharType="begin"/>
          </w:r>
          <w:r>
            <w:instrText xml:space="preserve"> HYPERLINK \l "_Toc7321" </w:instrText>
          </w:r>
          <w:r>
            <w:fldChar w:fldCharType="separate"/>
          </w:r>
          <w:r>
            <w:rPr>
              <w:rFonts w:hint="eastAsia" w:ascii="仿宋_GB2312" w:hAnsi="仿宋_GB2312" w:eastAsia="仿宋_GB2312" w:cs="仿宋_GB2312"/>
              <w:kern w:val="0"/>
              <w:sz w:val="28"/>
              <w:szCs w:val="28"/>
            </w:rPr>
            <w:t>附件一 授权委托书</w:t>
          </w:r>
          <w:r>
            <w:tab/>
          </w:r>
          <w:r>
            <w:fldChar w:fldCharType="begin"/>
          </w:r>
          <w:r>
            <w:instrText xml:space="preserve"> PAGEREF _Toc7321 \h </w:instrText>
          </w:r>
          <w:r>
            <w:fldChar w:fldCharType="separate"/>
          </w:r>
          <w:r>
            <w:t>14</w:t>
          </w:r>
          <w:r>
            <w:fldChar w:fldCharType="end"/>
          </w:r>
          <w:r>
            <w:fldChar w:fldCharType="end"/>
          </w:r>
        </w:p>
        <w:p w14:paraId="190DFB98">
          <w:pPr>
            <w:pStyle w:val="9"/>
            <w:tabs>
              <w:tab w:val="right" w:leader="dot" w:pos="8306"/>
            </w:tabs>
            <w:spacing w:line="312" w:lineRule="auto"/>
          </w:pPr>
          <w:r>
            <w:fldChar w:fldCharType="begin"/>
          </w:r>
          <w:r>
            <w:instrText xml:space="preserve"> HYPERLINK \l "_Toc21254" </w:instrText>
          </w:r>
          <w:r>
            <w:fldChar w:fldCharType="separate"/>
          </w:r>
          <w:r>
            <w:rPr>
              <w:rFonts w:hint="eastAsia" w:ascii="仿宋_GB2312" w:hAnsi="仿宋_GB2312" w:eastAsia="仿宋_GB2312" w:cs="仿宋_GB2312"/>
              <w:kern w:val="0"/>
              <w:sz w:val="28"/>
              <w:szCs w:val="28"/>
            </w:rPr>
            <w:t>附件二 项目部合规权限告知书</w:t>
          </w:r>
          <w:r>
            <w:tab/>
          </w:r>
          <w:r>
            <w:fldChar w:fldCharType="begin"/>
          </w:r>
          <w:r>
            <w:instrText xml:space="preserve"> PAGEREF _Toc21254 \h </w:instrText>
          </w:r>
          <w:r>
            <w:fldChar w:fldCharType="separate"/>
          </w:r>
          <w:r>
            <w:t>15</w:t>
          </w:r>
          <w:r>
            <w:fldChar w:fldCharType="end"/>
          </w:r>
          <w:r>
            <w:fldChar w:fldCharType="end"/>
          </w:r>
        </w:p>
        <w:p w14:paraId="4879A666">
          <w:pPr>
            <w:pStyle w:val="9"/>
            <w:tabs>
              <w:tab w:val="right" w:leader="dot" w:pos="8306"/>
            </w:tabs>
            <w:spacing w:line="312" w:lineRule="auto"/>
          </w:pPr>
          <w:r>
            <w:fldChar w:fldCharType="begin"/>
          </w:r>
          <w:r>
            <w:instrText xml:space="preserve"> HYPERLINK \l "_Toc20069" </w:instrText>
          </w:r>
          <w:r>
            <w:fldChar w:fldCharType="separate"/>
          </w:r>
          <w:r>
            <w:rPr>
              <w:rFonts w:hint="eastAsia" w:ascii="仿宋_GB2312" w:hAnsi="仿宋_GB2312" w:eastAsia="仿宋_GB2312" w:cs="仿宋_GB2312"/>
              <w:kern w:val="0"/>
              <w:sz w:val="28"/>
              <w:szCs w:val="28"/>
            </w:rPr>
            <w:t>附件三 安全管理协议书</w:t>
          </w:r>
          <w:r>
            <w:tab/>
          </w:r>
          <w:r>
            <w:fldChar w:fldCharType="begin"/>
          </w:r>
          <w:r>
            <w:instrText xml:space="preserve"> PAGEREF _Toc20069 \h </w:instrText>
          </w:r>
          <w:r>
            <w:fldChar w:fldCharType="separate"/>
          </w:r>
          <w:r>
            <w:t>18</w:t>
          </w:r>
          <w:r>
            <w:fldChar w:fldCharType="end"/>
          </w:r>
          <w:r>
            <w:fldChar w:fldCharType="end"/>
          </w:r>
        </w:p>
        <w:p w14:paraId="7DF16906">
          <w:pPr>
            <w:pStyle w:val="9"/>
            <w:tabs>
              <w:tab w:val="right" w:leader="dot" w:pos="8306"/>
            </w:tabs>
            <w:spacing w:line="312" w:lineRule="auto"/>
          </w:pPr>
          <w:r>
            <w:fldChar w:fldCharType="begin"/>
          </w:r>
          <w:r>
            <w:instrText xml:space="preserve"> HYPERLINK \l "_Toc24322" </w:instrText>
          </w:r>
          <w:r>
            <w:fldChar w:fldCharType="separate"/>
          </w:r>
          <w:r>
            <w:rPr>
              <w:rFonts w:hint="eastAsia" w:ascii="仿宋_GB2312" w:hAnsi="仿宋_GB2312" w:eastAsia="仿宋_GB2312" w:cs="仿宋_GB2312"/>
              <w:kern w:val="0"/>
              <w:sz w:val="28"/>
              <w:szCs w:val="28"/>
            </w:rPr>
            <w:t xml:space="preserve">附件四 </w:t>
          </w:r>
          <w:r>
            <w:rPr>
              <w:rFonts w:hint="eastAsia" w:ascii="仿宋_GB2312" w:hAnsi="仿宋_GB2312" w:eastAsia="仿宋_GB2312" w:cs="仿宋_GB2312"/>
              <w:sz w:val="28"/>
              <w:szCs w:val="28"/>
            </w:rPr>
            <w:t>廉洁从业共建协议</w:t>
          </w:r>
          <w:r>
            <w:tab/>
          </w:r>
          <w:r>
            <w:fldChar w:fldCharType="begin"/>
          </w:r>
          <w:r>
            <w:instrText xml:space="preserve"> PAGEREF _Toc24322 \h </w:instrText>
          </w:r>
          <w:r>
            <w:fldChar w:fldCharType="separate"/>
          </w:r>
          <w:r>
            <w:t>22</w:t>
          </w:r>
          <w:r>
            <w:fldChar w:fldCharType="end"/>
          </w:r>
          <w:r>
            <w:fldChar w:fldCharType="end"/>
          </w:r>
        </w:p>
        <w:p w14:paraId="31570072">
          <w:pPr>
            <w:pStyle w:val="9"/>
            <w:tabs>
              <w:tab w:val="right" w:leader="dot" w:pos="8306"/>
            </w:tabs>
            <w:spacing w:line="312" w:lineRule="auto"/>
          </w:pPr>
          <w:r>
            <w:fldChar w:fldCharType="begin"/>
          </w:r>
          <w:r>
            <w:instrText xml:space="preserve"> HYPERLINK \l "_Toc18674" </w:instrText>
          </w:r>
          <w:r>
            <w:fldChar w:fldCharType="separate"/>
          </w:r>
          <w:r>
            <w:rPr>
              <w:rFonts w:hint="eastAsia" w:ascii="黑体" w:hAnsi="黑体" w:eastAsia="黑体" w:cs="黑体"/>
              <w:bCs/>
              <w:sz w:val="30"/>
              <w:szCs w:val="30"/>
            </w:rPr>
            <w:t>第二部分 通用条款</w:t>
          </w:r>
          <w:r>
            <w:tab/>
          </w:r>
          <w:r>
            <w:fldChar w:fldCharType="begin"/>
          </w:r>
          <w:r>
            <w:instrText xml:space="preserve"> PAGEREF _Toc18674 \h </w:instrText>
          </w:r>
          <w:r>
            <w:fldChar w:fldCharType="separate"/>
          </w:r>
          <w:r>
            <w:t>26</w:t>
          </w:r>
          <w:r>
            <w:fldChar w:fldCharType="end"/>
          </w:r>
          <w:r>
            <w:fldChar w:fldCharType="end"/>
          </w:r>
        </w:p>
        <w:p w14:paraId="71B8D33A">
          <w:pPr>
            <w:pStyle w:val="9"/>
            <w:tabs>
              <w:tab w:val="right" w:leader="dot" w:pos="8306"/>
            </w:tabs>
            <w:spacing w:line="312" w:lineRule="auto"/>
          </w:pPr>
          <w:r>
            <w:fldChar w:fldCharType="begin"/>
          </w:r>
          <w:r>
            <w:instrText xml:space="preserve"> HYPERLINK \l "_Toc3066" </w:instrText>
          </w:r>
          <w:r>
            <w:fldChar w:fldCharType="separate"/>
          </w:r>
          <w:r>
            <w:rPr>
              <w:rFonts w:hint="eastAsia" w:ascii="仿宋_GB2312" w:hAnsi="仿宋_GB2312" w:eastAsia="仿宋_GB2312" w:cs="仿宋_GB2312"/>
              <w:kern w:val="0"/>
              <w:sz w:val="28"/>
              <w:szCs w:val="28"/>
            </w:rPr>
            <w:t>一、货物合同附随义务</w:t>
          </w:r>
          <w:r>
            <w:tab/>
          </w:r>
          <w:r>
            <w:fldChar w:fldCharType="begin"/>
          </w:r>
          <w:r>
            <w:instrText xml:space="preserve"> PAGEREF _Toc3066 \h </w:instrText>
          </w:r>
          <w:r>
            <w:fldChar w:fldCharType="separate"/>
          </w:r>
          <w:r>
            <w:t>26</w:t>
          </w:r>
          <w:r>
            <w:fldChar w:fldCharType="end"/>
          </w:r>
          <w:r>
            <w:fldChar w:fldCharType="end"/>
          </w:r>
        </w:p>
        <w:p w14:paraId="5A8C52A7">
          <w:pPr>
            <w:pStyle w:val="9"/>
            <w:tabs>
              <w:tab w:val="right" w:leader="dot" w:pos="8306"/>
            </w:tabs>
            <w:spacing w:line="312" w:lineRule="auto"/>
          </w:pPr>
          <w:r>
            <w:fldChar w:fldCharType="begin"/>
          </w:r>
          <w:r>
            <w:instrText xml:space="preserve"> HYPERLINK \l "_Toc965" </w:instrText>
          </w:r>
          <w:r>
            <w:fldChar w:fldCharType="separate"/>
          </w:r>
          <w:r>
            <w:rPr>
              <w:rFonts w:hint="eastAsia" w:ascii="仿宋_GB2312" w:hAnsi="仿宋_GB2312" w:eastAsia="仿宋_GB2312" w:cs="仿宋_GB2312"/>
              <w:kern w:val="0"/>
              <w:sz w:val="28"/>
              <w:szCs w:val="28"/>
            </w:rPr>
            <w:t>二、货物违约责任</w:t>
          </w:r>
          <w:r>
            <w:tab/>
          </w:r>
          <w:r>
            <w:fldChar w:fldCharType="begin"/>
          </w:r>
          <w:r>
            <w:instrText xml:space="preserve"> PAGEREF _Toc965 \h </w:instrText>
          </w:r>
          <w:r>
            <w:fldChar w:fldCharType="separate"/>
          </w:r>
          <w:r>
            <w:t>27</w:t>
          </w:r>
          <w:r>
            <w:fldChar w:fldCharType="end"/>
          </w:r>
          <w:r>
            <w:fldChar w:fldCharType="end"/>
          </w:r>
        </w:p>
        <w:p w14:paraId="544BB0CD">
          <w:pPr>
            <w:pStyle w:val="9"/>
            <w:tabs>
              <w:tab w:val="right" w:leader="dot" w:pos="8306"/>
            </w:tabs>
            <w:spacing w:line="312" w:lineRule="auto"/>
          </w:pPr>
          <w:r>
            <w:fldChar w:fldCharType="begin"/>
          </w:r>
          <w:r>
            <w:instrText xml:space="preserve"> HYPERLINK \l "_Toc20335" </w:instrText>
          </w:r>
          <w:r>
            <w:fldChar w:fldCharType="separate"/>
          </w:r>
          <w:r>
            <w:rPr>
              <w:rFonts w:hint="eastAsia" w:ascii="仿宋_GB2312" w:hAnsi="仿宋_GB2312" w:eastAsia="仿宋_GB2312" w:cs="仿宋_GB2312"/>
              <w:kern w:val="0"/>
              <w:sz w:val="28"/>
              <w:szCs w:val="28"/>
            </w:rPr>
            <w:t>三、货物缺陷索赔</w:t>
          </w:r>
          <w:r>
            <w:tab/>
          </w:r>
          <w:r>
            <w:fldChar w:fldCharType="begin"/>
          </w:r>
          <w:r>
            <w:instrText xml:space="preserve"> PAGEREF _Toc20335 \h </w:instrText>
          </w:r>
          <w:r>
            <w:fldChar w:fldCharType="separate"/>
          </w:r>
          <w:r>
            <w:t>29</w:t>
          </w:r>
          <w:r>
            <w:fldChar w:fldCharType="end"/>
          </w:r>
          <w:r>
            <w:fldChar w:fldCharType="end"/>
          </w:r>
        </w:p>
        <w:p w14:paraId="76CA8408">
          <w:pPr>
            <w:pStyle w:val="9"/>
            <w:tabs>
              <w:tab w:val="right" w:leader="dot" w:pos="8306"/>
            </w:tabs>
            <w:spacing w:line="312" w:lineRule="auto"/>
          </w:pPr>
          <w:r>
            <w:fldChar w:fldCharType="begin"/>
          </w:r>
          <w:r>
            <w:instrText xml:space="preserve"> HYPERLINK \l "_Toc12864" </w:instrText>
          </w:r>
          <w:r>
            <w:fldChar w:fldCharType="separate"/>
          </w:r>
          <w:r>
            <w:rPr>
              <w:rFonts w:hint="eastAsia" w:ascii="仿宋_GB2312" w:hAnsi="仿宋_GB2312" w:eastAsia="仿宋_GB2312" w:cs="仿宋_GB2312"/>
              <w:kern w:val="0"/>
              <w:sz w:val="28"/>
              <w:szCs w:val="28"/>
            </w:rPr>
            <w:t>四、合同变更</w:t>
          </w:r>
          <w:r>
            <w:tab/>
          </w:r>
          <w:r>
            <w:fldChar w:fldCharType="begin"/>
          </w:r>
          <w:r>
            <w:instrText xml:space="preserve"> PAGEREF _Toc12864 \h </w:instrText>
          </w:r>
          <w:r>
            <w:fldChar w:fldCharType="separate"/>
          </w:r>
          <w:r>
            <w:t>30</w:t>
          </w:r>
          <w:r>
            <w:fldChar w:fldCharType="end"/>
          </w:r>
          <w:r>
            <w:fldChar w:fldCharType="end"/>
          </w:r>
        </w:p>
        <w:p w14:paraId="523825C2">
          <w:pPr>
            <w:pStyle w:val="9"/>
            <w:tabs>
              <w:tab w:val="right" w:leader="dot" w:pos="8306"/>
            </w:tabs>
            <w:spacing w:line="312" w:lineRule="auto"/>
          </w:pPr>
          <w:r>
            <w:fldChar w:fldCharType="begin"/>
          </w:r>
          <w:r>
            <w:instrText xml:space="preserve"> HYPERLINK \l "_Toc23441" </w:instrText>
          </w:r>
          <w:r>
            <w:fldChar w:fldCharType="separate"/>
          </w:r>
          <w:r>
            <w:rPr>
              <w:rFonts w:hint="eastAsia" w:ascii="仿宋_GB2312" w:hAnsi="仿宋_GB2312" w:eastAsia="仿宋_GB2312" w:cs="仿宋_GB2312"/>
              <w:kern w:val="0"/>
              <w:sz w:val="28"/>
              <w:szCs w:val="28"/>
            </w:rPr>
            <w:t>五、合同解除</w:t>
          </w:r>
          <w:r>
            <w:tab/>
          </w:r>
          <w:r>
            <w:fldChar w:fldCharType="begin"/>
          </w:r>
          <w:r>
            <w:instrText xml:space="preserve"> PAGEREF _Toc23441 \h </w:instrText>
          </w:r>
          <w:r>
            <w:fldChar w:fldCharType="separate"/>
          </w:r>
          <w:r>
            <w:t>30</w:t>
          </w:r>
          <w:r>
            <w:fldChar w:fldCharType="end"/>
          </w:r>
          <w:r>
            <w:fldChar w:fldCharType="end"/>
          </w:r>
        </w:p>
        <w:p w14:paraId="4F0D713F">
          <w:pPr>
            <w:pStyle w:val="9"/>
            <w:tabs>
              <w:tab w:val="right" w:leader="dot" w:pos="8306"/>
            </w:tabs>
            <w:spacing w:line="312" w:lineRule="auto"/>
          </w:pPr>
          <w:r>
            <w:fldChar w:fldCharType="begin"/>
          </w:r>
          <w:r>
            <w:instrText xml:space="preserve"> HYPERLINK \l "_Toc16580" </w:instrText>
          </w:r>
          <w:r>
            <w:fldChar w:fldCharType="separate"/>
          </w:r>
          <w:r>
            <w:rPr>
              <w:rFonts w:hint="eastAsia" w:ascii="仿宋_GB2312" w:hAnsi="仿宋_GB2312" w:eastAsia="仿宋_GB2312" w:cs="仿宋_GB2312"/>
              <w:kern w:val="0"/>
              <w:sz w:val="28"/>
              <w:szCs w:val="28"/>
            </w:rPr>
            <w:t>六、不可抗力</w:t>
          </w:r>
          <w:r>
            <w:tab/>
          </w:r>
          <w:r>
            <w:rPr>
              <w:rFonts w:hint="eastAsia"/>
            </w:rPr>
            <w:t>3</w:t>
          </w:r>
          <w:r>
            <w:rPr>
              <w:rFonts w:hint="eastAsia"/>
            </w:rPr>
            <w:fldChar w:fldCharType="end"/>
          </w:r>
          <w:r>
            <w:rPr>
              <w:rFonts w:hint="eastAsia"/>
            </w:rPr>
            <w:t>1</w:t>
          </w:r>
        </w:p>
        <w:p w14:paraId="51BE5BB2">
          <w:pPr>
            <w:pStyle w:val="9"/>
            <w:tabs>
              <w:tab w:val="right" w:leader="dot" w:pos="8306"/>
            </w:tabs>
            <w:spacing w:line="312" w:lineRule="auto"/>
          </w:pPr>
          <w:r>
            <w:fldChar w:fldCharType="begin"/>
          </w:r>
          <w:r>
            <w:instrText xml:space="preserve"> HYPERLINK \l "_Toc10852" </w:instrText>
          </w:r>
          <w:r>
            <w:fldChar w:fldCharType="separate"/>
          </w:r>
          <w:r>
            <w:rPr>
              <w:rFonts w:hint="eastAsia" w:ascii="仿宋_GB2312" w:hAnsi="仿宋_GB2312" w:eastAsia="仿宋_GB2312" w:cs="仿宋_GB2312"/>
              <w:kern w:val="0"/>
              <w:sz w:val="28"/>
              <w:szCs w:val="28"/>
            </w:rPr>
            <w:t>七、争议解决</w:t>
          </w:r>
          <w:r>
            <w:tab/>
          </w:r>
          <w:r>
            <w:fldChar w:fldCharType="begin"/>
          </w:r>
          <w:r>
            <w:instrText xml:space="preserve"> PAGEREF _Toc10852 \h </w:instrText>
          </w:r>
          <w:r>
            <w:fldChar w:fldCharType="separate"/>
          </w:r>
          <w:r>
            <w:t>31</w:t>
          </w:r>
          <w:r>
            <w:fldChar w:fldCharType="end"/>
          </w:r>
          <w:r>
            <w:fldChar w:fldCharType="end"/>
          </w:r>
        </w:p>
        <w:p w14:paraId="0ED0A564">
          <w:pPr>
            <w:pStyle w:val="9"/>
            <w:tabs>
              <w:tab w:val="right" w:leader="dot" w:pos="8306"/>
            </w:tabs>
            <w:spacing w:line="312" w:lineRule="auto"/>
          </w:pPr>
          <w:r>
            <w:fldChar w:fldCharType="begin"/>
          </w:r>
          <w:r>
            <w:instrText xml:space="preserve"> HYPERLINK \l "_Toc11207" </w:instrText>
          </w:r>
          <w:r>
            <w:fldChar w:fldCharType="separate"/>
          </w:r>
          <w:r>
            <w:rPr>
              <w:rFonts w:hint="eastAsia" w:ascii="仿宋_GB2312" w:hAnsi="仿宋_GB2312" w:eastAsia="仿宋_GB2312" w:cs="仿宋_GB2312"/>
              <w:kern w:val="0"/>
              <w:sz w:val="28"/>
              <w:szCs w:val="28"/>
            </w:rPr>
            <w:t>八、保密义务</w:t>
          </w:r>
          <w:r>
            <w:tab/>
          </w:r>
          <w:r>
            <w:fldChar w:fldCharType="begin"/>
          </w:r>
          <w:r>
            <w:instrText xml:space="preserve"> PAGEREF _Toc11207 \h </w:instrText>
          </w:r>
          <w:r>
            <w:fldChar w:fldCharType="separate"/>
          </w:r>
          <w:r>
            <w:t>32</w:t>
          </w:r>
          <w:r>
            <w:fldChar w:fldCharType="end"/>
          </w:r>
          <w:r>
            <w:fldChar w:fldCharType="end"/>
          </w:r>
        </w:p>
        <w:p w14:paraId="7565AC1D">
          <w:pPr>
            <w:pStyle w:val="9"/>
            <w:tabs>
              <w:tab w:val="right" w:leader="dot" w:pos="8306"/>
            </w:tabs>
            <w:spacing w:line="312" w:lineRule="auto"/>
          </w:pPr>
          <w:r>
            <w:fldChar w:fldCharType="begin"/>
          </w:r>
          <w:r>
            <w:instrText xml:space="preserve"> HYPERLINK \l "_Toc3848" </w:instrText>
          </w:r>
          <w:r>
            <w:fldChar w:fldCharType="separate"/>
          </w:r>
          <w:r>
            <w:rPr>
              <w:rFonts w:hint="eastAsia" w:ascii="仿宋_GB2312" w:hAnsi="仿宋_GB2312" w:eastAsia="仿宋_GB2312" w:cs="仿宋_GB2312"/>
              <w:kern w:val="0"/>
              <w:sz w:val="28"/>
              <w:szCs w:val="28"/>
            </w:rPr>
            <w:t>九、其他条款</w:t>
          </w:r>
          <w:r>
            <w:tab/>
          </w:r>
          <w:r>
            <w:fldChar w:fldCharType="begin"/>
          </w:r>
          <w:r>
            <w:instrText xml:space="preserve"> PAGEREF _Toc3848 \h </w:instrText>
          </w:r>
          <w:r>
            <w:fldChar w:fldCharType="separate"/>
          </w:r>
          <w:r>
            <w:t>33</w:t>
          </w:r>
          <w:r>
            <w:fldChar w:fldCharType="end"/>
          </w:r>
          <w:r>
            <w:fldChar w:fldCharType="end"/>
          </w:r>
        </w:p>
        <w:p w14:paraId="2D77B5F7">
          <w:pPr>
            <w:spacing w:line="312" w:lineRule="auto"/>
            <w:jc w:val="center"/>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14:textFill>
                <w14:solidFill>
                  <w14:schemeClr w14:val="tx1"/>
                </w14:solidFill>
              </w14:textFill>
            </w:rPr>
            <w:fldChar w:fldCharType="end"/>
          </w:r>
        </w:p>
      </w:sdtContent>
    </w:sdt>
    <w:permEnd w:id="3"/>
    <w:p w14:paraId="15925A2F">
      <w:pPr>
        <w:pStyle w:val="13"/>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14:textFill>
            <w14:solidFill>
              <w14:schemeClr w14:val="tx1"/>
            </w14:solidFill>
          </w14:textFill>
        </w:rPr>
        <w:t>第一部分</w:t>
      </w:r>
      <w:bookmarkEnd w:id="1"/>
      <w:r>
        <w:rPr>
          <w:rFonts w:hint="eastAsia" w:ascii="黑体" w:hAnsi="黑体" w:eastAsia="黑体" w:cs="黑体"/>
          <w:b/>
          <w:bCs/>
          <w:color w:val="000000" w:themeColor="text1"/>
          <w:sz w:val="32"/>
          <w:szCs w:val="32"/>
          <w14:textFill>
            <w14:solidFill>
              <w14:schemeClr w14:val="tx1"/>
            </w14:solidFill>
          </w14:textFill>
        </w:rPr>
        <w:t xml:space="preserve"> 专用条款</w:t>
      </w:r>
      <w:bookmarkEnd w:id="2"/>
      <w:bookmarkEnd w:id="3"/>
    </w:p>
    <w:p w14:paraId="2A9A7E1D">
      <w:pPr>
        <w:pStyle w:val="13"/>
        <w:spacing w:before="240" w:beforeLines="100"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u w:val="single"/>
          <w14:textFill>
            <w14:solidFill>
              <w14:schemeClr w14:val="tx1"/>
            </w14:solidFill>
          </w14:textFill>
        </w:rPr>
        <w:t xml:space="preserve"> 中建路桥集团</w:t>
      </w:r>
      <w:r>
        <w:rPr>
          <w:rFonts w:hint="eastAsia" w:ascii="仿宋_GB2312" w:hAnsi="仿宋_GB2312" w:eastAsia="仿宋_GB2312" w:cs="仿宋_GB2312"/>
          <w:color w:val="000000" w:themeColor="text1"/>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u w:val="single"/>
          <w14:textFill>
            <w14:solidFill>
              <w14:schemeClr w14:val="tx1"/>
            </w14:solidFill>
          </w14:textFill>
        </w:rPr>
        <w:t xml:space="preserve">有限公司      </w:t>
      </w:r>
      <w:permEnd w:id="4"/>
    </w:p>
    <w:p w14:paraId="03E4EB7E">
      <w:pPr>
        <w:pStyle w:val="13"/>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
    </w:p>
    <w:p w14:paraId="002AE2CC">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084B4B0F">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14:textFill>
            <w14:solidFill>
              <w14:schemeClr w14:val="tx1"/>
            </w14:solidFill>
          </w14:textFill>
        </w:rPr>
        <w:t>工程概况</w:t>
      </w:r>
      <w:bookmarkEnd w:id="4"/>
      <w:bookmarkEnd w:id="5"/>
      <w:bookmarkEnd w:id="6"/>
    </w:p>
    <w:p w14:paraId="4B8B329A">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1、工程名称：</w:t>
      </w:r>
      <w:permStart w:id="6"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eastAsia="zh-CN"/>
          <w14:textFill>
            <w14:solidFill>
              <w14:schemeClr w14:val="tx1"/>
            </w14:solidFill>
          </w14:textFill>
        </w:rPr>
        <w:t>漯河市引澧入颍工程EPC总承包项目</w:t>
      </w:r>
      <w:r>
        <w:rPr>
          <w:rFonts w:ascii="仿宋_GB2312" w:hAnsi="仿宋_GB2312" w:eastAsia="仿宋_GB2312" w:cs="仿宋_GB2312"/>
          <w:color w:val="000000" w:themeColor="text1"/>
          <w:u w:val="single"/>
          <w14:textFill>
            <w14:solidFill>
              <w14:schemeClr w14:val="tx1"/>
            </w14:solidFill>
          </w14:textFill>
        </w:rPr>
        <w:t xml:space="preserve">  </w:t>
      </w:r>
      <w:permEnd w:id="6"/>
      <w:r>
        <w:rPr>
          <w:rFonts w:hint="eastAsia" w:ascii="仿宋_GB2312" w:hAnsi="仿宋_GB2312" w:eastAsia="仿宋_GB2312" w:cs="仿宋_GB2312"/>
          <w:color w:val="000000" w:themeColor="text1"/>
          <w14:textFill>
            <w14:solidFill>
              <w14:schemeClr w14:val="tx1"/>
            </w14:solidFill>
          </w14:textFill>
        </w:rPr>
        <w:t>；</w:t>
      </w:r>
    </w:p>
    <w:p w14:paraId="36210FFC">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2、工程地点：</w:t>
      </w:r>
      <w:permStart w:id="7"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eastAsia="zh-CN"/>
          <w14:textFill>
            <w14:solidFill>
              <w14:schemeClr w14:val="tx1"/>
            </w14:solidFill>
          </w14:textFill>
        </w:rPr>
        <w:t>河南省漯河市</w:t>
      </w:r>
      <w:r>
        <w:rPr>
          <w:rFonts w:ascii="仿宋_GB2312" w:hAnsi="仿宋_GB2312" w:eastAsia="仿宋_GB2312" w:cs="仿宋_GB2312"/>
          <w:color w:val="000000" w:themeColor="text1"/>
          <w:u w:val="single"/>
          <w14:textFill>
            <w14:solidFill>
              <w14:schemeClr w14:val="tx1"/>
            </w14:solidFill>
          </w14:textFill>
        </w:rPr>
        <w:t xml:space="preserve"> </w:t>
      </w:r>
      <w:permEnd w:id="7"/>
      <w:r>
        <w:rPr>
          <w:rFonts w:hint="eastAsia" w:ascii="仿宋_GB2312" w:hAnsi="仿宋_GB2312" w:eastAsia="仿宋_GB2312" w:cs="仿宋_GB2312"/>
          <w:color w:val="000000" w:themeColor="text1"/>
          <w14:textFill>
            <w14:solidFill>
              <w14:schemeClr w14:val="tx1"/>
            </w14:solidFill>
          </w14:textFill>
        </w:rPr>
        <w:t>；</w:t>
      </w:r>
    </w:p>
    <w:p w14:paraId="2D6EFD21">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u w:val="single"/>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14:textFill>
            <w14:solidFill>
              <w14:schemeClr w14:val="tx1"/>
            </w14:solidFill>
          </w14:textFill>
        </w:rPr>
        <w:t>、价款、计价方式</w:t>
      </w:r>
    </w:p>
    <w:p w14:paraId="15F1B8E0">
      <w:pPr>
        <w:pStyle w:val="13"/>
        <w:spacing w:before="120" w:beforeLines="50" w:after="120" w:afterLines="50" w:line="400" w:lineRule="atLeast"/>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 合同单价：</w:t>
      </w:r>
      <w:r>
        <w:rPr>
          <w:rFonts w:hint="eastAsia" w:ascii="仿宋_GB2312" w:hAnsi="仿宋_GB2312" w:eastAsia="仿宋_GB2312" w:cs="仿宋_GB2312"/>
          <w:color w:val="000000" w:themeColor="text1"/>
          <w14:textFill>
            <w14:solidFill>
              <w14:schemeClr w14:val="tx1"/>
            </w14:solidFill>
          </w14:textFill>
        </w:rPr>
        <w:t>本合同适用以下第</w:t>
      </w:r>
      <w:permStart w:id="8"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8"/>
      <w:r>
        <w:rPr>
          <w:rFonts w:hint="eastAsia" w:ascii="仿宋_GB2312" w:hAnsi="仿宋_GB2312" w:eastAsia="仿宋_GB2312" w:cs="仿宋_GB2312"/>
          <w:color w:val="000000" w:themeColor="text1"/>
          <w14:textFill>
            <w14:solidFill>
              <w14:schemeClr w14:val="tx1"/>
            </w14:solidFill>
          </w14:textFill>
        </w:rPr>
        <w:t>条方式</w:t>
      </w:r>
      <w:permStart w:id="9" w:edGrp="everyone"/>
      <w:r>
        <w:rPr>
          <w:rFonts w:hint="eastAsia" w:ascii="仿宋_GB2312" w:hAnsi="仿宋_GB2312" w:eastAsia="仿宋_GB2312" w:cs="仿宋_GB2312"/>
          <w:color w:val="000000" w:themeColor="text1"/>
          <w:lang w:val="en-US" w:eastAsia="zh-CN"/>
          <w14:textFill>
            <w14:solidFill>
              <w14:schemeClr w14:val="tx1"/>
            </w14:solidFill>
          </w14:textFill>
        </w:rPr>
        <w:t>二</w:t>
      </w:r>
      <w:permEnd w:id="9"/>
      <w:r>
        <w:rPr>
          <w:rFonts w:hint="eastAsia" w:ascii="仿宋_GB2312" w:hAnsi="仿宋_GB2312" w:eastAsia="仿宋_GB2312" w:cs="仿宋_GB2312"/>
          <w:color w:val="000000" w:themeColor="text1"/>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u w:val="single"/>
          <w14:textFill>
            <w14:solidFill>
              <w14:schemeClr w14:val="tx1"/>
            </w14:solidFill>
          </w14:textFill>
        </w:rPr>
        <w:t xml:space="preserve"> 组合 </w:t>
      </w:r>
      <w:permEnd w:id="10"/>
      <w:r>
        <w:rPr>
          <w:rFonts w:hint="eastAsia" w:ascii="仿宋_GB2312" w:hAnsi="仿宋_GB2312" w:eastAsia="仿宋_GB2312" w:cs="仿宋_GB2312"/>
          <w:color w:val="000000" w:themeColor="text1"/>
          <w14:textFill>
            <w14:solidFill>
              <w14:schemeClr w14:val="tx1"/>
            </w14:solidFill>
          </w14:textFill>
        </w:rPr>
        <w:t>单价方式。</w:t>
      </w:r>
    </w:p>
    <w:p w14:paraId="754E33B3">
      <w:pPr>
        <w:pStyle w:val="13"/>
        <w:numPr>
          <w:ilvl w:val="1"/>
          <w:numId w:val="2"/>
        </w:numPr>
        <w:spacing w:before="120" w:beforeLines="50" w:after="120" w:afterLines="50" w:line="400" w:lineRule="atLeast"/>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4600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422616C">
            <w:pPr>
              <w:pStyle w:val="13"/>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14:textFill>
                  <w14:solidFill>
                    <w14:schemeClr w14:val="tx1"/>
                  </w14:solidFill>
                </w14:textFill>
              </w:rPr>
              <w:t>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单价合同清单</w:t>
            </w:r>
          </w:p>
        </w:tc>
      </w:tr>
      <w:tr w14:paraId="398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14DA899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序号</w:t>
            </w:r>
          </w:p>
        </w:tc>
        <w:tc>
          <w:tcPr>
            <w:tcW w:w="610" w:type="pct"/>
            <w:shd w:val="clear" w:color="auto" w:fill="auto"/>
            <w:vAlign w:val="center"/>
          </w:tcPr>
          <w:p w14:paraId="1EDC941C">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货物名称</w:t>
            </w:r>
          </w:p>
        </w:tc>
        <w:tc>
          <w:tcPr>
            <w:tcW w:w="511" w:type="pct"/>
            <w:shd w:val="clear" w:color="auto" w:fill="auto"/>
            <w:vAlign w:val="center"/>
          </w:tcPr>
          <w:p w14:paraId="0F2AC97F">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货物规格参数</w:t>
            </w:r>
          </w:p>
        </w:tc>
        <w:tc>
          <w:tcPr>
            <w:tcW w:w="323" w:type="pct"/>
            <w:shd w:val="clear" w:color="auto" w:fill="auto"/>
            <w:vAlign w:val="center"/>
          </w:tcPr>
          <w:p w14:paraId="7780C00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计量</w:t>
            </w:r>
          </w:p>
          <w:p w14:paraId="215319BE">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单位</w:t>
            </w:r>
          </w:p>
        </w:tc>
        <w:tc>
          <w:tcPr>
            <w:tcW w:w="471" w:type="pct"/>
            <w:shd w:val="clear" w:color="auto" w:fill="auto"/>
            <w:vAlign w:val="center"/>
          </w:tcPr>
          <w:p w14:paraId="0C0F622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暂定</w:t>
            </w:r>
          </w:p>
          <w:p w14:paraId="4535E4C9">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数量</w:t>
            </w:r>
          </w:p>
        </w:tc>
        <w:tc>
          <w:tcPr>
            <w:tcW w:w="491" w:type="pct"/>
            <w:shd w:val="clear" w:color="auto" w:fill="auto"/>
            <w:vAlign w:val="center"/>
          </w:tcPr>
          <w:p w14:paraId="3F96D2B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181E1B8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5612151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573" w:type="pct"/>
            <w:shd w:val="clear" w:color="auto" w:fill="auto"/>
            <w:vAlign w:val="center"/>
          </w:tcPr>
          <w:p w14:paraId="0EBF8BB7">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655FB11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23198F62">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322" w:type="pct"/>
            <w:shd w:val="clear" w:color="auto" w:fill="auto"/>
            <w:vAlign w:val="center"/>
          </w:tcPr>
          <w:p w14:paraId="269E55C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增值</w:t>
            </w:r>
          </w:p>
          <w:p w14:paraId="234D8F75">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税率</w:t>
            </w:r>
          </w:p>
        </w:tc>
        <w:tc>
          <w:tcPr>
            <w:tcW w:w="647" w:type="pct"/>
            <w:shd w:val="clear" w:color="auto" w:fill="auto"/>
            <w:vAlign w:val="center"/>
          </w:tcPr>
          <w:p w14:paraId="71853F0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1FCF492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6E37438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475" w:type="pct"/>
            <w:shd w:val="clear" w:color="auto" w:fill="auto"/>
            <w:vAlign w:val="center"/>
          </w:tcPr>
          <w:p w14:paraId="592749E5">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534AAFB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73447518">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323" w:type="pct"/>
            <w:shd w:val="clear" w:color="auto" w:fill="auto"/>
            <w:vAlign w:val="center"/>
          </w:tcPr>
          <w:p w14:paraId="244D0398">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备注</w:t>
            </w:r>
          </w:p>
        </w:tc>
      </w:tr>
      <w:tr w14:paraId="2A6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57A0BF9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w:t>
            </w:r>
          </w:p>
        </w:tc>
        <w:tc>
          <w:tcPr>
            <w:tcW w:w="610" w:type="pct"/>
            <w:shd w:val="clear" w:color="auto" w:fill="auto"/>
            <w:vAlign w:val="center"/>
          </w:tcPr>
          <w:p w14:paraId="4CE42AA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 </w:t>
            </w:r>
          </w:p>
        </w:tc>
        <w:tc>
          <w:tcPr>
            <w:tcW w:w="511" w:type="pct"/>
            <w:shd w:val="clear" w:color="auto" w:fill="auto"/>
            <w:vAlign w:val="center"/>
          </w:tcPr>
          <w:p w14:paraId="6846089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vAlign w:val="center"/>
          </w:tcPr>
          <w:p w14:paraId="61C539B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6644E52B">
            <w:pPr>
              <w:widowControl/>
              <w:spacing w:line="400" w:lineRule="atLeas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7C1896D5">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565F5F0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23CCFD30">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0A19E106">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1DDA5AB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vAlign w:val="center"/>
          </w:tcPr>
          <w:p w14:paraId="5CD675B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1BC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DB517D4">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2</w:t>
            </w:r>
          </w:p>
        </w:tc>
        <w:tc>
          <w:tcPr>
            <w:tcW w:w="610" w:type="pct"/>
            <w:shd w:val="clear" w:color="auto" w:fill="auto"/>
            <w:vAlign w:val="center"/>
          </w:tcPr>
          <w:p w14:paraId="276013C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11" w:type="pct"/>
            <w:shd w:val="clear" w:color="auto" w:fill="auto"/>
            <w:vAlign w:val="center"/>
          </w:tcPr>
          <w:p w14:paraId="2BE3AB8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noWrap/>
            <w:vAlign w:val="center"/>
          </w:tcPr>
          <w:p w14:paraId="583966D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2D2C04ED">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0CC5CD5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1B645DC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746D56FA">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21AEB8E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46F8F23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noWrap/>
            <w:vAlign w:val="center"/>
          </w:tcPr>
          <w:p w14:paraId="57707EC5">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ECD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8391F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合计</w:t>
            </w:r>
          </w:p>
        </w:tc>
        <w:tc>
          <w:tcPr>
            <w:tcW w:w="610" w:type="pct"/>
            <w:shd w:val="clear" w:color="auto" w:fill="auto"/>
            <w:vAlign w:val="center"/>
          </w:tcPr>
          <w:p w14:paraId="2484621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11" w:type="pct"/>
            <w:shd w:val="clear" w:color="auto" w:fill="auto"/>
            <w:vAlign w:val="center"/>
          </w:tcPr>
          <w:p w14:paraId="05B2E0D9">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23" w:type="pct"/>
            <w:shd w:val="clear" w:color="auto" w:fill="auto"/>
            <w:noWrap/>
            <w:vAlign w:val="center"/>
          </w:tcPr>
          <w:p w14:paraId="3A68A0ED">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471" w:type="pct"/>
            <w:shd w:val="clear" w:color="auto" w:fill="auto"/>
            <w:vAlign w:val="center"/>
          </w:tcPr>
          <w:p w14:paraId="5AF2717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21F90754">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699AF476">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78A12FA0">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5AAD0861">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3B2769C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3" w:type="pct"/>
            <w:shd w:val="clear" w:color="auto" w:fill="auto"/>
            <w:noWrap/>
            <w:vAlign w:val="center"/>
          </w:tcPr>
          <w:p w14:paraId="72129AE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4B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A4DC633">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 ）；</w:t>
            </w:r>
          </w:p>
        </w:tc>
      </w:tr>
      <w:tr w14:paraId="739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984B80C">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w:t>
            </w:r>
          </w:p>
        </w:tc>
      </w:tr>
      <w:permEnd w:id="11"/>
    </w:tbl>
    <w:p w14:paraId="50104BE3">
      <w:pPr>
        <w:pStyle w:val="13"/>
        <w:spacing w:line="400" w:lineRule="atLeast"/>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1C3C2819">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1.1.1本合同为</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r>
        <w:rPr>
          <w:rFonts w:hint="eastAsia" w:ascii="仿宋_GB2312" w:hAnsi="仿宋_GB2312" w:eastAsia="仿宋_GB2312" w:cs="仿宋_GB2312"/>
          <w:b/>
          <w:bCs/>
          <w:color w:val="000000" w:themeColor="text1"/>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u w:val="single"/>
          <w14:textFill>
            <w14:solidFill>
              <w14:schemeClr w14:val="tx1"/>
            </w14:solidFill>
          </w14:textFill>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4ADAF862">
      <w:pPr>
        <w:pStyle w:val="13"/>
        <w:numPr>
          <w:ilvl w:val="255"/>
          <w:numId w:val="0"/>
        </w:numPr>
        <w:spacing w:line="400" w:lineRule="atLeast"/>
        <w:ind w:firstLine="482" w:firstLineChars="200"/>
        <w:outlineLvl w:val="2"/>
        <w:rPr>
          <w:rFonts w:hint="eastAsia"/>
        </w:rPr>
      </w:pPr>
      <w:r>
        <w:rPr>
          <w:rFonts w:hint="eastAsia" w:ascii="仿宋_GB2312" w:hAnsi="仿宋_GB2312" w:eastAsia="仿宋_GB2312" w:cs="仿宋_GB2312"/>
          <w:b/>
          <w:bCs/>
          <w:color w:val="000000" w:themeColor="text1"/>
          <w14:textFill>
            <w14:solidFill>
              <w14:schemeClr w14:val="tx1"/>
            </w14:solidFill>
          </w14:textFill>
        </w:rPr>
        <w:t>1.1.2本合同约定的“不含税综合单价”为固定单价，即不受市场变化影响，且无论进场数量多少价格亦不发生变化。</w:t>
      </w:r>
    </w:p>
    <w:p w14:paraId="4D77B55F">
      <w:pPr>
        <w:pStyle w:val="13"/>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1.1.3其他：</w:t>
      </w:r>
      <w:permStart w:id="1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ermEnd w:id="12"/>
    </w:p>
    <w:p w14:paraId="0475DB53">
      <w:pPr>
        <w:pStyle w:val="13"/>
        <w:numPr>
          <w:ilvl w:val="1"/>
          <w:numId w:val="2"/>
        </w:numPr>
        <w:spacing w:before="120" w:beforeLines="50" w:after="120" w:afterLines="50" w:line="400" w:lineRule="atLeast"/>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方式二：组合单价合同</w:t>
      </w:r>
      <w:r>
        <w:rPr>
          <w:rFonts w:hint="eastAsia" w:ascii="仿宋_GB2312" w:hAnsi="仿宋_GB2312" w:eastAsia="仿宋_GB2312" w:cs="仿宋_GB2312"/>
          <w:color w:val="000000" w:themeColor="text1"/>
          <w:u w:val="single"/>
          <w14:textFill>
            <w14:solidFill>
              <w14:schemeClr w14:val="tx1"/>
            </w14:solidFill>
          </w14:textFill>
        </w:rPr>
        <w:t>含税综合单价=含税基准价（P1）+含税附加费(P2)+其他。</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821"/>
        <w:gridCol w:w="514"/>
        <w:gridCol w:w="396"/>
        <w:gridCol w:w="1095"/>
        <w:gridCol w:w="584"/>
        <w:gridCol w:w="590"/>
        <w:gridCol w:w="576"/>
        <w:gridCol w:w="1052"/>
        <w:gridCol w:w="868"/>
        <w:gridCol w:w="672"/>
        <w:gridCol w:w="562"/>
      </w:tblGrid>
      <w:tr w14:paraId="2DA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000" w:type="pct"/>
            <w:gridSpan w:val="13"/>
            <w:vAlign w:val="center"/>
          </w:tcPr>
          <w:p w14:paraId="288FBF6E">
            <w:pPr>
              <w:pStyle w:val="13"/>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14:textFill>
                  <w14:solidFill>
                    <w14:schemeClr w14:val="tx1"/>
                  </w14:solidFill>
                </w14:textFill>
              </w:rPr>
            </w:pPr>
            <w:bookmarkStart w:id="11" w:name="_Hlk126833074"/>
            <w:permStart w:id="13" w:edGrp="everyone"/>
            <w:r>
              <w:rPr>
                <w:rFonts w:hint="eastAsia" w:ascii="仿宋_GB2312" w:hAnsi="仿宋_GB2312" w:eastAsia="仿宋_GB2312" w:cs="仿宋_GB2312"/>
                <w:b/>
                <w:bCs/>
                <w:color w:val="000000" w:themeColor="text1"/>
                <w14:textFill>
                  <w14:solidFill>
                    <w14:schemeClr w14:val="tx1"/>
                  </w14:solidFill>
                </w14:textFill>
              </w:rPr>
              <w:t>方式二：组合单价合同清单</w:t>
            </w:r>
          </w:p>
        </w:tc>
      </w:tr>
      <w:tr w14:paraId="5BEB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32" w:type="pct"/>
            <w:vMerge w:val="restart"/>
            <w:vAlign w:val="center"/>
          </w:tcPr>
          <w:p w14:paraId="4965813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序</w:t>
            </w:r>
          </w:p>
          <w:p w14:paraId="561BE411">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号</w:t>
            </w:r>
          </w:p>
        </w:tc>
        <w:tc>
          <w:tcPr>
            <w:tcW w:w="232" w:type="pct"/>
            <w:vMerge w:val="restart"/>
            <w:vAlign w:val="center"/>
          </w:tcPr>
          <w:p w14:paraId="0709310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名称</w:t>
            </w:r>
          </w:p>
        </w:tc>
        <w:tc>
          <w:tcPr>
            <w:tcW w:w="482" w:type="pct"/>
            <w:vMerge w:val="restart"/>
            <w:vAlign w:val="center"/>
          </w:tcPr>
          <w:p w14:paraId="06AA8CA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牌号</w:t>
            </w:r>
          </w:p>
        </w:tc>
        <w:tc>
          <w:tcPr>
            <w:tcW w:w="300" w:type="pct"/>
            <w:vMerge w:val="restart"/>
            <w:vAlign w:val="center"/>
          </w:tcPr>
          <w:p w14:paraId="57E26B22">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规</w:t>
            </w:r>
          </w:p>
          <w:p w14:paraId="2434E559">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格</w:t>
            </w:r>
          </w:p>
        </w:tc>
        <w:tc>
          <w:tcPr>
            <w:tcW w:w="233" w:type="pct"/>
            <w:vMerge w:val="restart"/>
            <w:vAlign w:val="center"/>
          </w:tcPr>
          <w:p w14:paraId="1C4F53B0">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计量单位</w:t>
            </w:r>
          </w:p>
        </w:tc>
        <w:tc>
          <w:tcPr>
            <w:tcW w:w="643" w:type="pct"/>
            <w:vAlign w:val="center"/>
          </w:tcPr>
          <w:p w14:paraId="2A4A3DF0">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数量</w:t>
            </w:r>
          </w:p>
        </w:tc>
        <w:tc>
          <w:tcPr>
            <w:tcW w:w="343" w:type="pct"/>
            <w:vAlign w:val="center"/>
          </w:tcPr>
          <w:p w14:paraId="7D36E019">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含税基准价</w:t>
            </w:r>
          </w:p>
          <w:p w14:paraId="3D401CF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46" w:type="pct"/>
            <w:vAlign w:val="center"/>
          </w:tcPr>
          <w:p w14:paraId="5FA3E933">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含税附加费</w:t>
            </w:r>
          </w:p>
          <w:p w14:paraId="2E362F95">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37" w:type="pct"/>
            <w:vAlign w:val="center"/>
          </w:tcPr>
          <w:p w14:paraId="6FCC29B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税率</w:t>
            </w:r>
          </w:p>
          <w:p w14:paraId="066A23DC">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617" w:type="pct"/>
            <w:vAlign w:val="center"/>
          </w:tcPr>
          <w:p w14:paraId="30EE6D7D">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不含税综合单价</w:t>
            </w:r>
          </w:p>
          <w:p w14:paraId="45EB219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509" w:type="pct"/>
            <w:vAlign w:val="center"/>
          </w:tcPr>
          <w:p w14:paraId="687454C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含税综合单价</w:t>
            </w:r>
          </w:p>
          <w:p w14:paraId="51E5359A">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94" w:type="pct"/>
            <w:vAlign w:val="center"/>
          </w:tcPr>
          <w:p w14:paraId="61463095">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含税合价</w:t>
            </w:r>
          </w:p>
          <w:p w14:paraId="5CC2A39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(元)</w:t>
            </w:r>
          </w:p>
        </w:tc>
        <w:tc>
          <w:tcPr>
            <w:tcW w:w="323" w:type="pct"/>
            <w:vAlign w:val="center"/>
          </w:tcPr>
          <w:p w14:paraId="320A9B11">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备注</w:t>
            </w:r>
          </w:p>
        </w:tc>
      </w:tr>
      <w:tr w14:paraId="490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32" w:type="pct"/>
            <w:vMerge w:val="continue"/>
            <w:tcBorders>
              <w:bottom w:val="single" w:color="auto" w:sz="4" w:space="0"/>
            </w:tcBorders>
            <w:vAlign w:val="center"/>
          </w:tcPr>
          <w:p w14:paraId="7C2790A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232" w:type="pct"/>
            <w:vMerge w:val="continue"/>
            <w:tcBorders>
              <w:bottom w:val="single" w:color="auto" w:sz="4" w:space="0"/>
            </w:tcBorders>
            <w:vAlign w:val="center"/>
          </w:tcPr>
          <w:p w14:paraId="14E526D8">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482" w:type="pct"/>
            <w:vMerge w:val="continue"/>
            <w:tcBorders>
              <w:bottom w:val="single" w:color="auto" w:sz="4" w:space="0"/>
            </w:tcBorders>
            <w:vAlign w:val="center"/>
          </w:tcPr>
          <w:p w14:paraId="360FEDB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300" w:type="pct"/>
            <w:vMerge w:val="continue"/>
            <w:tcBorders>
              <w:bottom w:val="single" w:color="auto" w:sz="4" w:space="0"/>
            </w:tcBorders>
            <w:vAlign w:val="center"/>
          </w:tcPr>
          <w:p w14:paraId="1C2000C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233" w:type="pct"/>
            <w:vMerge w:val="continue"/>
            <w:tcBorders>
              <w:bottom w:val="single" w:color="auto" w:sz="4" w:space="0"/>
            </w:tcBorders>
          </w:tcPr>
          <w:p w14:paraId="12CB27C4">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p>
        </w:tc>
        <w:tc>
          <w:tcPr>
            <w:tcW w:w="643" w:type="pct"/>
            <w:tcBorders>
              <w:bottom w:val="single" w:color="auto" w:sz="4" w:space="0"/>
            </w:tcBorders>
            <w:vAlign w:val="center"/>
          </w:tcPr>
          <w:p w14:paraId="16C150A3">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hint="eastAsia" w:ascii="仿宋_GB2312" w:hAnsi="宋体" w:eastAsia="仿宋_GB2312"/>
                <w:b/>
                <w:color w:val="000000" w:themeColor="text1"/>
                <w:sz w:val="18"/>
                <w:szCs w:val="18"/>
                <w14:textFill>
                  <w14:solidFill>
                    <w14:schemeClr w14:val="tx1"/>
                  </w14:solidFill>
                </w14:textFill>
              </w:rPr>
              <w:t>A</w:t>
            </w:r>
          </w:p>
        </w:tc>
        <w:tc>
          <w:tcPr>
            <w:tcW w:w="343" w:type="pct"/>
            <w:tcBorders>
              <w:bottom w:val="single" w:color="auto" w:sz="4" w:space="0"/>
            </w:tcBorders>
            <w:vAlign w:val="center"/>
          </w:tcPr>
          <w:p w14:paraId="113F4D2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P1</w:t>
            </w:r>
          </w:p>
        </w:tc>
        <w:tc>
          <w:tcPr>
            <w:tcW w:w="346" w:type="pct"/>
            <w:tcBorders>
              <w:bottom w:val="single" w:color="auto" w:sz="4" w:space="0"/>
            </w:tcBorders>
            <w:vAlign w:val="center"/>
          </w:tcPr>
          <w:p w14:paraId="448016D4">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P2</w:t>
            </w:r>
          </w:p>
        </w:tc>
        <w:tc>
          <w:tcPr>
            <w:tcW w:w="337" w:type="pct"/>
            <w:tcBorders>
              <w:bottom w:val="single" w:color="auto" w:sz="4" w:space="0"/>
            </w:tcBorders>
            <w:vAlign w:val="center"/>
          </w:tcPr>
          <w:p w14:paraId="00F8A34D">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B</w:t>
            </w:r>
          </w:p>
        </w:tc>
        <w:tc>
          <w:tcPr>
            <w:tcW w:w="617" w:type="pct"/>
            <w:tcBorders>
              <w:bottom w:val="single" w:color="auto" w:sz="4" w:space="0"/>
            </w:tcBorders>
            <w:vAlign w:val="center"/>
          </w:tcPr>
          <w:p w14:paraId="5D9D841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C</w:t>
            </w:r>
            <w:r>
              <w:rPr>
                <w:rFonts w:hint="eastAsia" w:ascii="仿宋_GB2312" w:hAnsi="宋体" w:eastAsia="仿宋_GB2312"/>
                <w:b/>
                <w:color w:val="000000" w:themeColor="text1"/>
                <w:sz w:val="18"/>
                <w:szCs w:val="18"/>
                <w14:textFill>
                  <w14:solidFill>
                    <w14:schemeClr w14:val="tx1"/>
                  </w14:solidFill>
                </w14:textFill>
              </w:rPr>
              <w:t>=</w:t>
            </w:r>
            <w:r>
              <w:rPr>
                <w:rFonts w:ascii="仿宋_GB2312" w:hAnsi="宋体" w:eastAsia="仿宋_GB2312"/>
                <w:b/>
                <w:color w:val="000000" w:themeColor="text1"/>
                <w:sz w:val="18"/>
                <w:szCs w:val="18"/>
                <w14:textFill>
                  <w14:solidFill>
                    <w14:schemeClr w14:val="tx1"/>
                  </w14:solidFill>
                </w14:textFill>
              </w:rPr>
              <w:t>D</w:t>
            </w:r>
            <w:r>
              <w:rPr>
                <w:rFonts w:hint="eastAsia" w:ascii="仿宋_GB2312" w:hAnsi="宋体" w:eastAsia="仿宋_GB2312"/>
                <w:b/>
                <w:color w:val="000000" w:themeColor="text1"/>
                <w:sz w:val="18"/>
                <w:szCs w:val="18"/>
                <w14:textFill>
                  <w14:solidFill>
                    <w14:schemeClr w14:val="tx1"/>
                  </w14:solidFill>
                </w14:textFill>
              </w:rPr>
              <w:t>/(1+</w:t>
            </w:r>
            <w:r>
              <w:rPr>
                <w:rFonts w:ascii="仿宋_GB2312" w:hAnsi="宋体" w:eastAsia="仿宋_GB2312"/>
                <w:b/>
                <w:color w:val="000000" w:themeColor="text1"/>
                <w:sz w:val="18"/>
                <w:szCs w:val="18"/>
                <w14:textFill>
                  <w14:solidFill>
                    <w14:schemeClr w14:val="tx1"/>
                  </w14:solidFill>
                </w14:textFill>
              </w:rPr>
              <w:t>B</w:t>
            </w:r>
            <w:r>
              <w:rPr>
                <w:rFonts w:hint="eastAsia" w:ascii="仿宋_GB2312" w:hAnsi="宋体" w:eastAsia="仿宋_GB2312"/>
                <w:b/>
                <w:color w:val="000000" w:themeColor="text1"/>
                <w:sz w:val="18"/>
                <w:szCs w:val="18"/>
                <w14:textFill>
                  <w14:solidFill>
                    <w14:schemeClr w14:val="tx1"/>
                  </w14:solidFill>
                </w14:textFill>
              </w:rPr>
              <w:t>)</w:t>
            </w:r>
          </w:p>
        </w:tc>
        <w:tc>
          <w:tcPr>
            <w:tcW w:w="509" w:type="pct"/>
            <w:tcBorders>
              <w:bottom w:val="single" w:color="auto" w:sz="4" w:space="0"/>
            </w:tcBorders>
            <w:vAlign w:val="center"/>
          </w:tcPr>
          <w:p w14:paraId="7EE1F66B">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D</w:t>
            </w:r>
            <w:r>
              <w:rPr>
                <w:rFonts w:hint="eastAsia" w:ascii="仿宋_GB2312" w:hAnsi="宋体" w:eastAsia="仿宋_GB2312"/>
                <w:b/>
                <w:color w:val="000000" w:themeColor="text1"/>
                <w:sz w:val="18"/>
                <w:szCs w:val="18"/>
                <w14:textFill>
                  <w14:solidFill>
                    <w14:schemeClr w14:val="tx1"/>
                  </w14:solidFill>
                </w14:textFill>
              </w:rPr>
              <w:t>=</w:t>
            </w:r>
            <w:r>
              <w:rPr>
                <w:rFonts w:ascii="仿宋_GB2312" w:hAnsi="宋体" w:eastAsia="仿宋_GB2312"/>
                <w:b/>
                <w:color w:val="000000" w:themeColor="text1"/>
                <w:sz w:val="18"/>
                <w:szCs w:val="18"/>
                <w14:textFill>
                  <w14:solidFill>
                    <w14:schemeClr w14:val="tx1"/>
                  </w14:solidFill>
                </w14:textFill>
              </w:rPr>
              <w:t>P1+P2</w:t>
            </w:r>
          </w:p>
        </w:tc>
        <w:tc>
          <w:tcPr>
            <w:tcW w:w="394" w:type="pct"/>
            <w:tcBorders>
              <w:bottom w:val="single" w:color="auto" w:sz="4" w:space="0"/>
            </w:tcBorders>
            <w:vAlign w:val="center"/>
          </w:tcPr>
          <w:p w14:paraId="3DB760C8">
            <w:pPr>
              <w:tabs>
                <w:tab w:val="left" w:pos="2857"/>
              </w:tabs>
              <w:jc w:val="center"/>
              <w:rPr>
                <w:rFonts w:hint="eastAsia" w:ascii="仿宋_GB2312" w:hAnsi="宋体" w:eastAsia="仿宋_GB2312"/>
                <w:b/>
                <w:color w:val="000000" w:themeColor="text1"/>
                <w:sz w:val="18"/>
                <w:szCs w:val="18"/>
                <w14:textFill>
                  <w14:solidFill>
                    <w14:schemeClr w14:val="tx1"/>
                  </w14:solidFill>
                </w14:textFill>
              </w:rPr>
            </w:pPr>
            <w:r>
              <w:rPr>
                <w:rFonts w:ascii="仿宋_GB2312" w:hAnsi="宋体" w:eastAsia="仿宋_GB2312"/>
                <w:b/>
                <w:color w:val="000000" w:themeColor="text1"/>
                <w:sz w:val="18"/>
                <w:szCs w:val="18"/>
                <w14:textFill>
                  <w14:solidFill>
                    <w14:schemeClr w14:val="tx1"/>
                  </w14:solidFill>
                </w14:textFill>
              </w:rPr>
              <w:t>E</w:t>
            </w:r>
            <w:r>
              <w:rPr>
                <w:rFonts w:hint="eastAsia" w:ascii="仿宋_GB2312" w:hAnsi="宋体" w:eastAsia="仿宋_GB2312"/>
                <w:b/>
                <w:color w:val="000000" w:themeColor="text1"/>
                <w:sz w:val="18"/>
                <w:szCs w:val="18"/>
                <w14:textFill>
                  <w14:solidFill>
                    <w14:schemeClr w14:val="tx1"/>
                  </w14:solidFill>
                </w14:textFill>
              </w:rPr>
              <w:t>=A*D</w:t>
            </w:r>
          </w:p>
        </w:tc>
        <w:tc>
          <w:tcPr>
            <w:tcW w:w="323" w:type="pct"/>
            <w:tcBorders>
              <w:bottom w:val="single" w:color="auto" w:sz="4" w:space="0"/>
            </w:tcBorders>
            <w:vAlign w:val="center"/>
          </w:tcPr>
          <w:p w14:paraId="3F08A083">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r>
      <w:tr w14:paraId="1B9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052E2FD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w:t>
            </w:r>
          </w:p>
        </w:tc>
        <w:tc>
          <w:tcPr>
            <w:tcW w:w="232" w:type="pct"/>
            <w:tcBorders>
              <w:top w:val="single" w:color="auto" w:sz="4" w:space="0"/>
              <w:left w:val="single" w:color="auto" w:sz="4" w:space="0"/>
              <w:bottom w:val="single" w:color="auto" w:sz="4" w:space="0"/>
              <w:right w:val="single" w:color="auto" w:sz="4" w:space="0"/>
            </w:tcBorders>
            <w:vAlign w:val="center"/>
          </w:tcPr>
          <w:p w14:paraId="57EDBF6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56D538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0" w:type="pct"/>
            <w:tcBorders>
              <w:top w:val="single" w:color="auto" w:sz="4" w:space="0"/>
              <w:left w:val="single" w:color="auto" w:sz="4" w:space="0"/>
              <w:bottom w:val="single" w:color="auto" w:sz="4" w:space="0"/>
              <w:right w:val="single" w:color="auto" w:sz="4" w:space="0"/>
            </w:tcBorders>
            <w:vAlign w:val="center"/>
          </w:tcPr>
          <w:p w14:paraId="4CF1BF0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33" w:type="pct"/>
            <w:tcBorders>
              <w:top w:val="single" w:color="auto" w:sz="4" w:space="0"/>
              <w:left w:val="single" w:color="auto" w:sz="4" w:space="0"/>
              <w:bottom w:val="single" w:color="auto" w:sz="4" w:space="0"/>
              <w:right w:val="single" w:color="auto" w:sz="4" w:space="0"/>
            </w:tcBorders>
            <w:vAlign w:val="center"/>
          </w:tcPr>
          <w:p w14:paraId="713A819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6C89E54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7.1064</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012DBED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52FE32A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CEA7C5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AB055E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9DCE33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5A05ED2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3067DD2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3A4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374184F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w:t>
            </w:r>
          </w:p>
        </w:tc>
        <w:tc>
          <w:tcPr>
            <w:tcW w:w="232" w:type="pct"/>
            <w:tcBorders>
              <w:top w:val="single" w:color="auto" w:sz="4" w:space="0"/>
              <w:left w:val="single" w:color="auto" w:sz="4" w:space="0"/>
              <w:bottom w:val="single" w:color="auto" w:sz="4" w:space="0"/>
              <w:right w:val="single" w:color="auto" w:sz="4" w:space="0"/>
            </w:tcBorders>
            <w:vAlign w:val="center"/>
          </w:tcPr>
          <w:p w14:paraId="679793B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3D0A70A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0" w:type="pct"/>
            <w:tcBorders>
              <w:top w:val="single" w:color="auto" w:sz="4" w:space="0"/>
              <w:left w:val="single" w:color="auto" w:sz="4" w:space="0"/>
              <w:bottom w:val="single" w:color="auto" w:sz="4" w:space="0"/>
              <w:right w:val="single" w:color="auto" w:sz="4" w:space="0"/>
            </w:tcBorders>
            <w:vAlign w:val="center"/>
          </w:tcPr>
          <w:p w14:paraId="548F9D3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33" w:type="pct"/>
            <w:tcBorders>
              <w:top w:val="single" w:color="auto" w:sz="4" w:space="0"/>
              <w:left w:val="single" w:color="auto" w:sz="4" w:space="0"/>
              <w:bottom w:val="single" w:color="auto" w:sz="4" w:space="0"/>
              <w:right w:val="single" w:color="auto" w:sz="4" w:space="0"/>
            </w:tcBorders>
            <w:vAlign w:val="center"/>
          </w:tcPr>
          <w:p w14:paraId="248F20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1EAE9F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1.0164</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4C1E5BC2">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43B2EF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2A29825">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72B38F6A">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D91DCC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0FCEACB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6C47872">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7B66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3C1D11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w:t>
            </w:r>
          </w:p>
        </w:tc>
        <w:tc>
          <w:tcPr>
            <w:tcW w:w="232" w:type="pct"/>
            <w:tcBorders>
              <w:top w:val="single" w:color="auto" w:sz="4" w:space="0"/>
              <w:left w:val="single" w:color="auto" w:sz="4" w:space="0"/>
              <w:bottom w:val="single" w:color="auto" w:sz="4" w:space="0"/>
              <w:right w:val="single" w:color="auto" w:sz="4" w:space="0"/>
            </w:tcBorders>
            <w:vAlign w:val="center"/>
          </w:tcPr>
          <w:p w14:paraId="7D7E2F4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6CE86FD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0" w:type="pct"/>
            <w:tcBorders>
              <w:top w:val="single" w:color="auto" w:sz="4" w:space="0"/>
              <w:left w:val="single" w:color="auto" w:sz="4" w:space="0"/>
              <w:bottom w:val="single" w:color="auto" w:sz="4" w:space="0"/>
              <w:right w:val="single" w:color="auto" w:sz="4" w:space="0"/>
            </w:tcBorders>
            <w:vAlign w:val="center"/>
          </w:tcPr>
          <w:p w14:paraId="2C16613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33" w:type="pct"/>
            <w:tcBorders>
              <w:top w:val="single" w:color="auto" w:sz="4" w:space="0"/>
              <w:left w:val="single" w:color="auto" w:sz="4" w:space="0"/>
              <w:bottom w:val="single" w:color="auto" w:sz="4" w:space="0"/>
              <w:right w:val="single" w:color="auto" w:sz="4" w:space="0"/>
            </w:tcBorders>
            <w:vAlign w:val="center"/>
          </w:tcPr>
          <w:p w14:paraId="719D69E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EF4AFB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15.7068</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4C05CF6E">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15F3818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BD1EB1">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74F2F7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3DBABF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D5FDE45">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1DECCDE">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352C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3DFE901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4</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19BBDDEB">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14:paraId="3DF755A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HPB300</w:t>
            </w:r>
          </w:p>
        </w:tc>
        <w:tc>
          <w:tcPr>
            <w:tcW w:w="300" w:type="pct"/>
            <w:tcBorders>
              <w:top w:val="single" w:color="auto" w:sz="4" w:space="0"/>
              <w:left w:val="single" w:color="auto" w:sz="4" w:space="0"/>
              <w:bottom w:val="single" w:color="auto" w:sz="4" w:space="0"/>
              <w:right w:val="single" w:color="auto" w:sz="4" w:space="0"/>
            </w:tcBorders>
            <w:vAlign w:val="center"/>
          </w:tcPr>
          <w:p w14:paraId="135CFFA8">
            <w:pPr>
              <w:jc w:val="center"/>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18</w:t>
            </w:r>
          </w:p>
        </w:tc>
        <w:tc>
          <w:tcPr>
            <w:tcW w:w="233" w:type="pct"/>
            <w:tcBorders>
              <w:top w:val="single" w:color="auto" w:sz="4" w:space="0"/>
              <w:left w:val="single" w:color="auto" w:sz="4" w:space="0"/>
              <w:bottom w:val="single" w:color="auto" w:sz="4" w:space="0"/>
              <w:right w:val="single" w:color="auto" w:sz="4" w:space="0"/>
            </w:tcBorders>
            <w:vAlign w:val="center"/>
          </w:tcPr>
          <w:p w14:paraId="3CED5E6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452123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1.0236</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11A2612C">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5A91A1E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4782C9">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759504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38FF37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6769D8C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39555EB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5723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18B123A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5</w:t>
            </w:r>
          </w:p>
        </w:tc>
        <w:tc>
          <w:tcPr>
            <w:tcW w:w="232" w:type="pct"/>
            <w:tcBorders>
              <w:top w:val="single" w:color="auto" w:sz="4" w:space="0"/>
              <w:left w:val="single" w:color="auto" w:sz="4" w:space="0"/>
              <w:bottom w:val="single" w:color="auto" w:sz="4" w:space="0"/>
              <w:right w:val="single" w:color="auto" w:sz="4" w:space="0"/>
            </w:tcBorders>
            <w:vAlign w:val="center"/>
          </w:tcPr>
          <w:p w14:paraId="5EB2B30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088B3E8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60EAAE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33" w:type="pct"/>
            <w:tcBorders>
              <w:top w:val="single" w:color="auto" w:sz="4" w:space="0"/>
              <w:left w:val="single" w:color="auto" w:sz="4" w:space="0"/>
              <w:bottom w:val="single" w:color="auto" w:sz="4" w:space="0"/>
              <w:right w:val="single" w:color="auto" w:sz="4" w:space="0"/>
            </w:tcBorders>
            <w:vAlign w:val="center"/>
          </w:tcPr>
          <w:p w14:paraId="262A406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DF5BA1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0.4716</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16F1A655">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4F86BC6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EF6BE1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5AE7702A">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BC6E62D">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8795445">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1A2A1B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0AEB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8D1FB0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232" w:type="pct"/>
            <w:tcBorders>
              <w:top w:val="single" w:color="auto" w:sz="4" w:space="0"/>
              <w:left w:val="single" w:color="auto" w:sz="4" w:space="0"/>
              <w:bottom w:val="single" w:color="auto" w:sz="4" w:space="0"/>
              <w:right w:val="single" w:color="auto" w:sz="4" w:space="0"/>
            </w:tcBorders>
            <w:vAlign w:val="center"/>
          </w:tcPr>
          <w:p w14:paraId="2A97DBB0">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1ED3C5E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3D5D10E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33" w:type="pct"/>
            <w:tcBorders>
              <w:top w:val="single" w:color="auto" w:sz="4" w:space="0"/>
              <w:left w:val="single" w:color="auto" w:sz="4" w:space="0"/>
              <w:bottom w:val="single" w:color="auto" w:sz="4" w:space="0"/>
              <w:right w:val="single" w:color="auto" w:sz="4" w:space="0"/>
            </w:tcBorders>
            <w:vAlign w:val="center"/>
          </w:tcPr>
          <w:p w14:paraId="365D644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7DCB7C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13.7952</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29835224">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DF30AC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F1CDCF">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5A7163A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B08D54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CEA2BC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E9E533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0995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0BA850C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7</w:t>
            </w:r>
          </w:p>
        </w:tc>
        <w:tc>
          <w:tcPr>
            <w:tcW w:w="232" w:type="pct"/>
            <w:tcBorders>
              <w:top w:val="single" w:color="auto" w:sz="4" w:space="0"/>
              <w:left w:val="single" w:color="auto" w:sz="4" w:space="0"/>
              <w:bottom w:val="single" w:color="auto" w:sz="4" w:space="0"/>
              <w:right w:val="single" w:color="auto" w:sz="4" w:space="0"/>
            </w:tcBorders>
            <w:vAlign w:val="center"/>
          </w:tcPr>
          <w:p w14:paraId="532F192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50E52F4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0354B56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33" w:type="pct"/>
            <w:tcBorders>
              <w:top w:val="single" w:color="auto" w:sz="4" w:space="0"/>
              <w:left w:val="single" w:color="auto" w:sz="4" w:space="0"/>
              <w:bottom w:val="single" w:color="auto" w:sz="4" w:space="0"/>
              <w:right w:val="single" w:color="auto" w:sz="4" w:space="0"/>
            </w:tcBorders>
            <w:vAlign w:val="center"/>
          </w:tcPr>
          <w:p w14:paraId="63BF0F3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3B8C8E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205.4664</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52FFBDFA">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3827EFE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F2BEAE0">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02DE91C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F8B699E">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25FA29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9ECB984">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65EC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7DED32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232" w:type="pct"/>
            <w:tcBorders>
              <w:top w:val="single" w:color="auto" w:sz="4" w:space="0"/>
              <w:left w:val="single" w:color="auto" w:sz="4" w:space="0"/>
              <w:bottom w:val="single" w:color="auto" w:sz="4" w:space="0"/>
              <w:right w:val="single" w:color="auto" w:sz="4" w:space="0"/>
            </w:tcBorders>
            <w:vAlign w:val="center"/>
          </w:tcPr>
          <w:p w14:paraId="1A56FF0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16822EB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1B4722C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12</w:t>
            </w:r>
          </w:p>
        </w:tc>
        <w:tc>
          <w:tcPr>
            <w:tcW w:w="233" w:type="pct"/>
            <w:tcBorders>
              <w:top w:val="single" w:color="auto" w:sz="4" w:space="0"/>
              <w:left w:val="single" w:color="auto" w:sz="4" w:space="0"/>
              <w:bottom w:val="single" w:color="auto" w:sz="4" w:space="0"/>
              <w:right w:val="single" w:color="auto" w:sz="4" w:space="0"/>
            </w:tcBorders>
            <w:vAlign w:val="center"/>
          </w:tcPr>
          <w:p w14:paraId="130D451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7F21652A">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307.4808</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3F32F139">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05CE00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60AB7CC">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0439C56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75603E3">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79DFF9A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0793B82">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566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45C621E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9</w:t>
            </w:r>
          </w:p>
        </w:tc>
        <w:tc>
          <w:tcPr>
            <w:tcW w:w="232" w:type="pct"/>
            <w:tcBorders>
              <w:top w:val="single" w:color="auto" w:sz="4" w:space="0"/>
              <w:left w:val="single" w:color="auto" w:sz="4" w:space="0"/>
              <w:bottom w:val="single" w:color="auto" w:sz="4" w:space="0"/>
              <w:right w:val="single" w:color="auto" w:sz="4" w:space="0"/>
            </w:tcBorders>
            <w:vAlign w:val="center"/>
          </w:tcPr>
          <w:p w14:paraId="5D0EC0C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1A067ECB">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063AE5D3">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14</w:t>
            </w:r>
          </w:p>
        </w:tc>
        <w:tc>
          <w:tcPr>
            <w:tcW w:w="233" w:type="pct"/>
            <w:tcBorders>
              <w:top w:val="single" w:color="auto" w:sz="4" w:space="0"/>
              <w:left w:val="single" w:color="auto" w:sz="4" w:space="0"/>
              <w:bottom w:val="single" w:color="auto" w:sz="4" w:space="0"/>
              <w:right w:val="single" w:color="auto" w:sz="4" w:space="0"/>
            </w:tcBorders>
            <w:vAlign w:val="center"/>
          </w:tcPr>
          <w:p w14:paraId="1C8F8C59">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4A07EAC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211.596</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2CC5BF56">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394A1C3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B281E06">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7D14BC0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F7EF98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6538139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3354C71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31D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1F2951B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10</w:t>
            </w:r>
          </w:p>
        </w:tc>
        <w:tc>
          <w:tcPr>
            <w:tcW w:w="232" w:type="pct"/>
            <w:tcBorders>
              <w:top w:val="single" w:color="auto" w:sz="4" w:space="0"/>
              <w:left w:val="single" w:color="auto" w:sz="4" w:space="0"/>
              <w:bottom w:val="single" w:color="auto" w:sz="4" w:space="0"/>
              <w:right w:val="single" w:color="auto" w:sz="4" w:space="0"/>
            </w:tcBorders>
            <w:vAlign w:val="center"/>
          </w:tcPr>
          <w:p w14:paraId="0F30166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42D8F14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17ACBB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16</w:t>
            </w:r>
          </w:p>
        </w:tc>
        <w:tc>
          <w:tcPr>
            <w:tcW w:w="233" w:type="pct"/>
            <w:tcBorders>
              <w:top w:val="single" w:color="auto" w:sz="4" w:space="0"/>
              <w:left w:val="single" w:color="auto" w:sz="4" w:space="0"/>
              <w:bottom w:val="single" w:color="auto" w:sz="4" w:space="0"/>
              <w:right w:val="single" w:color="auto" w:sz="4" w:space="0"/>
            </w:tcBorders>
            <w:vAlign w:val="center"/>
          </w:tcPr>
          <w:p w14:paraId="5896C39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ADB0BF8">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333.5268</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3066E9D5">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772567D1">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10CBC2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09B0E7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787C806">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F115643">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727182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79E4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540EBA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11</w:t>
            </w:r>
          </w:p>
        </w:tc>
        <w:tc>
          <w:tcPr>
            <w:tcW w:w="232" w:type="pct"/>
            <w:tcBorders>
              <w:top w:val="single" w:color="auto" w:sz="4" w:space="0"/>
              <w:left w:val="single" w:color="auto" w:sz="4" w:space="0"/>
              <w:bottom w:val="single" w:color="auto" w:sz="4" w:space="0"/>
              <w:right w:val="single" w:color="auto" w:sz="4" w:space="0"/>
            </w:tcBorders>
            <w:vAlign w:val="center"/>
          </w:tcPr>
          <w:p w14:paraId="569CDB5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5A96FCF5">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6D731BD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18</w:t>
            </w:r>
          </w:p>
        </w:tc>
        <w:tc>
          <w:tcPr>
            <w:tcW w:w="233" w:type="pct"/>
            <w:tcBorders>
              <w:top w:val="single" w:color="auto" w:sz="4" w:space="0"/>
              <w:left w:val="single" w:color="auto" w:sz="4" w:space="0"/>
              <w:bottom w:val="single" w:color="auto" w:sz="4" w:space="0"/>
              <w:right w:val="single" w:color="auto" w:sz="4" w:space="0"/>
            </w:tcBorders>
            <w:vAlign w:val="center"/>
          </w:tcPr>
          <w:p w14:paraId="7400FDD2">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651649F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397.9188</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23205921">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B081D02">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14D9D48">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997BEE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D83858C">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9A73F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404388D3">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03EE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ADE867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12</w:t>
            </w:r>
          </w:p>
        </w:tc>
        <w:tc>
          <w:tcPr>
            <w:tcW w:w="232" w:type="pct"/>
            <w:tcBorders>
              <w:top w:val="single" w:color="auto" w:sz="4" w:space="0"/>
              <w:left w:val="single" w:color="auto" w:sz="4" w:space="0"/>
              <w:bottom w:val="single" w:color="auto" w:sz="4" w:space="0"/>
              <w:right w:val="single" w:color="auto" w:sz="4" w:space="0"/>
            </w:tcBorders>
            <w:vAlign w:val="center"/>
          </w:tcPr>
          <w:p w14:paraId="25D907F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1212E021">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792D06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20</w:t>
            </w:r>
          </w:p>
        </w:tc>
        <w:tc>
          <w:tcPr>
            <w:tcW w:w="233" w:type="pct"/>
            <w:tcBorders>
              <w:top w:val="single" w:color="auto" w:sz="4" w:space="0"/>
              <w:left w:val="single" w:color="auto" w:sz="4" w:space="0"/>
              <w:bottom w:val="single" w:color="auto" w:sz="4" w:space="0"/>
              <w:right w:val="single" w:color="auto" w:sz="4" w:space="0"/>
            </w:tcBorders>
            <w:vAlign w:val="center"/>
          </w:tcPr>
          <w:p w14:paraId="4F54369C">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6CBFD536">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66.6756</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166370F4">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7FF10FB0">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DF3C4FA">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6BD8965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F0C7A8B">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4CC618E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6B68A91">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526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7D3D99AD">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13</w:t>
            </w:r>
          </w:p>
        </w:tc>
        <w:tc>
          <w:tcPr>
            <w:tcW w:w="232" w:type="pct"/>
            <w:tcBorders>
              <w:top w:val="single" w:color="auto" w:sz="4" w:space="0"/>
              <w:left w:val="single" w:color="auto" w:sz="4" w:space="0"/>
              <w:bottom w:val="single" w:color="auto" w:sz="4" w:space="0"/>
              <w:right w:val="single" w:color="auto" w:sz="4" w:space="0"/>
            </w:tcBorders>
            <w:vAlign w:val="center"/>
          </w:tcPr>
          <w:p w14:paraId="3F3D702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钢筋</w:t>
            </w:r>
          </w:p>
        </w:tc>
        <w:tc>
          <w:tcPr>
            <w:tcW w:w="482" w:type="pct"/>
            <w:tcBorders>
              <w:top w:val="single" w:color="auto" w:sz="4" w:space="0"/>
              <w:left w:val="single" w:color="auto" w:sz="4" w:space="0"/>
              <w:bottom w:val="single" w:color="auto" w:sz="4" w:space="0"/>
              <w:right w:val="single" w:color="auto" w:sz="4" w:space="0"/>
            </w:tcBorders>
            <w:vAlign w:val="center"/>
          </w:tcPr>
          <w:p w14:paraId="3303FD4E">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HRB400</w:t>
            </w:r>
          </w:p>
        </w:tc>
        <w:tc>
          <w:tcPr>
            <w:tcW w:w="300" w:type="pct"/>
            <w:tcBorders>
              <w:top w:val="single" w:color="auto" w:sz="4" w:space="0"/>
              <w:left w:val="single" w:color="auto" w:sz="4" w:space="0"/>
              <w:bottom w:val="single" w:color="auto" w:sz="4" w:space="0"/>
              <w:right w:val="single" w:color="auto" w:sz="4" w:space="0"/>
            </w:tcBorders>
            <w:vAlign w:val="center"/>
          </w:tcPr>
          <w:p w14:paraId="3B196637">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eastAsia="仿宋_GB2312"/>
                <w:color w:val="auto"/>
                <w:sz w:val="21"/>
                <w:szCs w:val="21"/>
                <w:highlight w:val="none"/>
                <w:lang w:val="en-US" w:eastAsia="zh-CN"/>
              </w:rPr>
              <w:t>φ</w:t>
            </w:r>
            <w:r>
              <w:rPr>
                <w:rFonts w:hint="eastAsia" w:ascii="仿宋_GB2312" w:hAnsi="宋体" w:eastAsia="仿宋_GB2312"/>
                <w:color w:val="000000" w:themeColor="text1"/>
                <w:sz w:val="18"/>
                <w:szCs w:val="18"/>
                <w:lang w:val="en-US" w:eastAsia="zh-CN"/>
                <w14:textFill>
                  <w14:solidFill>
                    <w14:schemeClr w14:val="tx1"/>
                  </w14:solidFill>
                </w14:textFill>
              </w:rPr>
              <w:t>25</w:t>
            </w:r>
          </w:p>
        </w:tc>
        <w:tc>
          <w:tcPr>
            <w:tcW w:w="233" w:type="pct"/>
            <w:tcBorders>
              <w:top w:val="single" w:color="auto" w:sz="4" w:space="0"/>
              <w:left w:val="single" w:color="auto" w:sz="4" w:space="0"/>
              <w:bottom w:val="single" w:color="auto" w:sz="4" w:space="0"/>
              <w:right w:val="single" w:color="auto" w:sz="4" w:space="0"/>
            </w:tcBorders>
            <w:vAlign w:val="center"/>
          </w:tcPr>
          <w:p w14:paraId="58730D64">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50D5A51F">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145.8024</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2F2C7067">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56E0E69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CFB6ADB">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43EFCEC">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F79A767">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917E0B4">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44141B67">
            <w:pPr>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漯河项目</w:t>
            </w:r>
          </w:p>
        </w:tc>
      </w:tr>
      <w:tr w14:paraId="5720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232" w:type="pct"/>
            <w:tcBorders>
              <w:top w:val="single" w:color="auto" w:sz="4" w:space="0"/>
            </w:tcBorders>
            <w:vAlign w:val="center"/>
          </w:tcPr>
          <w:p w14:paraId="48FDBD5B">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1016" w:type="pct"/>
            <w:gridSpan w:val="3"/>
            <w:tcBorders>
              <w:top w:val="single" w:color="auto" w:sz="4" w:space="0"/>
            </w:tcBorders>
            <w:vAlign w:val="center"/>
          </w:tcPr>
          <w:p w14:paraId="576DB346">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合计</w:t>
            </w:r>
          </w:p>
        </w:tc>
        <w:tc>
          <w:tcPr>
            <w:tcW w:w="233" w:type="pct"/>
            <w:tcBorders>
              <w:top w:val="single" w:color="auto" w:sz="4" w:space="0"/>
            </w:tcBorders>
            <w:vAlign w:val="top"/>
          </w:tcPr>
          <w:p w14:paraId="26835787">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643" w:type="pct"/>
            <w:tcBorders>
              <w:top w:val="single" w:color="auto" w:sz="4" w:space="0"/>
            </w:tcBorders>
            <w:shd w:val="clear" w:color="auto" w:fill="auto"/>
            <w:vAlign w:val="center"/>
          </w:tcPr>
          <w:p w14:paraId="17C19A61">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1707.5868</w:t>
            </w:r>
          </w:p>
        </w:tc>
        <w:tc>
          <w:tcPr>
            <w:tcW w:w="343" w:type="pct"/>
            <w:tcBorders>
              <w:top w:val="single" w:color="auto" w:sz="4" w:space="0"/>
            </w:tcBorders>
            <w:vAlign w:val="center"/>
          </w:tcPr>
          <w:p w14:paraId="794C47E3">
            <w:pPr>
              <w:jc w:val="center"/>
              <w:rPr>
                <w:rFonts w:hint="eastAsia" w:ascii="仿宋_GB2312" w:hAnsi="宋体" w:eastAsia="仿宋_GB2312"/>
                <w:color w:val="000000" w:themeColor="text1"/>
                <w:sz w:val="18"/>
                <w:szCs w:val="18"/>
                <w:lang w:val="en-US" w:eastAsia="zh-CN"/>
                <w14:textFill>
                  <w14:solidFill>
                    <w14:schemeClr w14:val="tx1"/>
                  </w14:solidFill>
                </w14:textFill>
              </w:rPr>
            </w:pPr>
          </w:p>
        </w:tc>
        <w:tc>
          <w:tcPr>
            <w:tcW w:w="346" w:type="pct"/>
            <w:tcBorders>
              <w:top w:val="single" w:color="auto" w:sz="4" w:space="0"/>
            </w:tcBorders>
            <w:vAlign w:val="center"/>
          </w:tcPr>
          <w:p w14:paraId="7E6EC8B2">
            <w:pPr>
              <w:tabs>
                <w:tab w:val="left" w:pos="2857"/>
              </w:tabs>
              <w:jc w:val="center"/>
              <w:rPr>
                <w:rFonts w:hint="eastAsia" w:ascii="仿宋_GB2312" w:hAnsi="宋体" w:eastAsia="仿宋_GB2312"/>
                <w:color w:val="000000" w:themeColor="text1"/>
                <w:sz w:val="18"/>
                <w:szCs w:val="18"/>
                <w14:textFill>
                  <w14:solidFill>
                    <w14:schemeClr w14:val="tx1"/>
                  </w14:solidFill>
                </w14:textFill>
              </w:rPr>
            </w:pPr>
          </w:p>
        </w:tc>
        <w:tc>
          <w:tcPr>
            <w:tcW w:w="337" w:type="pct"/>
            <w:tcBorders>
              <w:top w:val="single" w:color="auto" w:sz="4" w:space="0"/>
            </w:tcBorders>
            <w:shd w:val="clear" w:color="auto" w:fill="auto"/>
            <w:vAlign w:val="center"/>
          </w:tcPr>
          <w:p w14:paraId="7B1650F8">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617" w:type="pct"/>
            <w:tcBorders>
              <w:top w:val="single" w:color="auto" w:sz="4" w:space="0"/>
            </w:tcBorders>
            <w:shd w:val="clear" w:color="auto" w:fill="auto"/>
            <w:vAlign w:val="center"/>
          </w:tcPr>
          <w:p w14:paraId="222D211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509" w:type="pct"/>
            <w:tcBorders>
              <w:top w:val="single" w:color="auto" w:sz="4" w:space="0"/>
            </w:tcBorders>
            <w:shd w:val="clear" w:color="auto" w:fill="auto"/>
            <w:vAlign w:val="center"/>
          </w:tcPr>
          <w:p w14:paraId="385C72CF">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94" w:type="pct"/>
            <w:tcBorders>
              <w:top w:val="single" w:color="auto" w:sz="4" w:space="0"/>
            </w:tcBorders>
            <w:shd w:val="clear" w:color="auto" w:fill="auto"/>
            <w:vAlign w:val="center"/>
          </w:tcPr>
          <w:p w14:paraId="4DAD5327">
            <w:pPr>
              <w:tabs>
                <w:tab w:val="left" w:pos="2857"/>
              </w:tabs>
              <w:jc w:val="center"/>
              <w:rPr>
                <w:rFonts w:hint="default" w:ascii="仿宋_GB2312" w:hAnsi="宋体" w:eastAsia="仿宋_GB2312" w:cstheme="minorBidi"/>
                <w:color w:val="000000" w:themeColor="text1"/>
                <w:kern w:val="2"/>
                <w:sz w:val="18"/>
                <w:szCs w:val="18"/>
                <w:lang w:val="en-US" w:eastAsia="zh-CN" w:bidi="ar-SA"/>
                <w14:textFill>
                  <w14:solidFill>
                    <w14:schemeClr w14:val="tx1"/>
                  </w14:solidFill>
                </w14:textFill>
              </w:rPr>
            </w:pPr>
          </w:p>
        </w:tc>
        <w:tc>
          <w:tcPr>
            <w:tcW w:w="323" w:type="pct"/>
            <w:tcBorders>
              <w:top w:val="single" w:color="auto" w:sz="4" w:space="0"/>
            </w:tcBorders>
            <w:shd w:val="clear" w:color="auto" w:fill="auto"/>
            <w:vAlign w:val="center"/>
          </w:tcPr>
          <w:p w14:paraId="0D5BE4D9">
            <w:pPr>
              <w:tabs>
                <w:tab w:val="left" w:pos="2857"/>
              </w:tabs>
              <w:jc w:val="center"/>
              <w:rPr>
                <w:rFonts w:hint="eastAsia" w:ascii="仿宋_GB2312" w:hAnsi="宋体" w:eastAsia="仿宋_GB2312" w:cstheme="minorBidi"/>
                <w:color w:val="000000" w:themeColor="text1"/>
                <w:kern w:val="2"/>
                <w:sz w:val="18"/>
                <w:szCs w:val="18"/>
                <w:lang w:val="en-US" w:eastAsia="zh-CN" w:bidi="ar-SA"/>
                <w14:textFill>
                  <w14:solidFill>
                    <w14:schemeClr w14:val="tx1"/>
                  </w14:solidFill>
                </w14:textFill>
              </w:rPr>
            </w:pPr>
          </w:p>
        </w:tc>
      </w:tr>
      <w:tr w14:paraId="5841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000" w:type="pct"/>
            <w:gridSpan w:val="13"/>
            <w:vAlign w:val="center"/>
          </w:tcPr>
          <w:p w14:paraId="241BC42C">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 xml:space="preserve"> ）； </w:t>
            </w:r>
          </w:p>
        </w:tc>
      </w:tr>
      <w:tr w14:paraId="5F3A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000" w:type="pct"/>
            <w:gridSpan w:val="13"/>
            <w:vAlign w:val="center"/>
          </w:tcPr>
          <w:p w14:paraId="652533A1">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宋体" w:eastAsia="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w:t>
            </w:r>
          </w:p>
        </w:tc>
      </w:tr>
      <w:tr w14:paraId="711D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3"/>
            <w:vAlign w:val="center"/>
          </w:tcPr>
          <w:p w14:paraId="66F571D8">
            <w:pPr>
              <w:tabs>
                <w:tab w:val="left" w:pos="2857"/>
              </w:tabs>
              <w:jc w:val="left"/>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注：单价不包含到场卸车费，基准价参考品牌为</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2024年11月12日兰格网公布的河南闽源钢厂郑州价格</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，具体结算以实际供货品牌为准。</w:t>
            </w:r>
          </w:p>
        </w:tc>
      </w:tr>
      <w:bookmarkEnd w:id="11"/>
      <w:permEnd w:id="13"/>
    </w:tbl>
    <w:p w14:paraId="4B8D5D21">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093A8A44">
      <w:pPr>
        <w:pStyle w:val="13"/>
        <w:numPr>
          <w:ilvl w:val="255"/>
          <w:numId w:val="0"/>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1.2.1包干内容：</w:t>
      </w:r>
      <w:r>
        <w:rPr>
          <w:rFonts w:hint="eastAsia" w:ascii="仿宋_GB2312" w:hAnsi="仿宋_GB2312" w:eastAsia="仿宋_GB2312" w:cs="仿宋_GB2312"/>
          <w:color w:val="000000" w:themeColor="text1"/>
          <w14:textFill>
            <w14:solidFill>
              <w14:schemeClr w14:val="tx1"/>
            </w14:solidFill>
          </w14:textFill>
        </w:rPr>
        <w:t>含增值税综合单价为物资运至工地的含税单价包括但不限于材料款、税金、包装费、上车人力及机械资费（由乙方自行协调，甲方只进行指定场地和材料验收工作）、出库费、出厂检测费（包括但不限于到场后的第三方检测费用）、码放费、保险费、仓储费、驻厂监造费、运输造成的道路污染的清理及维修费用、出库吊装费、运输费、过江过桥费、高速公路费等，含工地卸货费挂钩卸车人工费、资料费、财务费、乙方合理的利润、管理费、市场价格波动带来的风险、向有关部门缴纳的各项费用以及政策性文件所规定的各项应有费用等乙方履行本合同规定义务的全部价款与费税等一切费用，除本合同规定的因素外，不得因政府政策变动、市场环境改变、税率调整等而调整。除合同条款另有约定外，乙方在合同签订前和签订时已确定采用的专利、专有技术、技术秘密的使用费已包含在签约合同价中。</w:t>
      </w:r>
    </w:p>
    <w:p w14:paraId="25D70CED">
      <w:pPr>
        <w:pStyle w:val="13"/>
        <w:numPr>
          <w:ilvl w:val="255"/>
          <w:numId w:val="0"/>
        </w:numPr>
        <w:spacing w:line="400" w:lineRule="atLeast"/>
        <w:ind w:firstLine="482" w:firstLineChars="200"/>
        <w:jc w:val="both"/>
        <w:outlineLvl w:val="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1.2.2单价依据</w:t>
      </w:r>
      <w:r>
        <w:rPr>
          <w:rFonts w:hint="eastAsia" w:ascii="仿宋_GB2312" w:hAnsi="仿宋_GB2312" w:eastAsia="仿宋_GB2312" w:cs="仿宋_GB2312"/>
          <w:color w:val="000000" w:themeColor="text1"/>
          <w14:textFill>
            <w14:solidFill>
              <w14:schemeClr w14:val="tx1"/>
            </w14:solidFill>
          </w14:textFill>
        </w:rPr>
        <w:t>：</w:t>
      </w:r>
    </w:p>
    <w:p w14:paraId="461798BE">
      <w:pPr>
        <w:pStyle w:val="13"/>
        <w:numPr>
          <w:ilvl w:val="255"/>
          <w:numId w:val="0"/>
        </w:numPr>
        <w:spacing w:line="400" w:lineRule="atLeast"/>
        <w:ind w:firstLine="480" w:firstLineChars="200"/>
        <w:jc w:val="both"/>
        <w:outlineLvl w:val="2"/>
        <w:rPr>
          <w:rFonts w:hint="eastAsia" w:ascii="仿宋_GB2312" w:hAnsi="仿宋_GB2312" w:eastAsia="仿宋_GB2312" w:cs="仿宋_GB2312"/>
          <w:color w:val="000000" w:themeColor="text1"/>
          <w14:textFill>
            <w14:solidFill>
              <w14:schemeClr w14:val="tx1"/>
            </w14:solidFill>
          </w14:textFill>
        </w:rPr>
      </w:pPr>
      <w:bookmarkStart w:id="12" w:name="_Hlk126832804"/>
      <w:r>
        <w:rPr>
          <w:rFonts w:hint="eastAsia" w:ascii="仿宋_GB2312" w:hAnsi="仿宋_GB2312" w:eastAsia="仿宋_GB2312" w:cs="仿宋_GB2312"/>
          <w:color w:val="000000" w:themeColor="text1"/>
          <w14:textFill>
            <w14:solidFill>
              <w14:schemeClr w14:val="tx1"/>
            </w14:solidFill>
          </w14:textFill>
        </w:rPr>
        <w:t>含税基准价（P1）：货物清单中的含税基准价是</w:t>
      </w:r>
      <w:permStart w:id="14"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14:textFill>
            <w14:solidFill>
              <w14:schemeClr w14:val="tx1"/>
            </w14:solidFill>
          </w14:textFill>
        </w:rPr>
        <w:t>年</w:t>
      </w:r>
      <w:permStart w:id="1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14:textFill>
            <w14:solidFill>
              <w14:schemeClr w14:val="tx1"/>
            </w14:solidFill>
          </w14:textFill>
        </w:rPr>
        <w:t>月</w:t>
      </w:r>
      <w:permStart w:id="16" w:edGrp="everyone"/>
      <w:r>
        <w:rPr>
          <w:rFonts w:hint="eastAsia" w:ascii="仿宋_GB2312" w:hAnsi="仿宋_GB2312" w:eastAsia="仿宋_GB2312" w:cs="仿宋_GB2312"/>
          <w:color w:val="000000" w:themeColor="text1"/>
          <w:u w:val="single"/>
          <w:lang w:val="en-US" w:eastAsia="zh-CN"/>
          <w14:textFill>
            <w14:solidFill>
              <w14:schemeClr w14:val="tx1"/>
            </w14:solidFill>
          </w14:textFill>
        </w:rPr>
        <w:t>/</w:t>
      </w:r>
      <w:permEnd w:id="16"/>
      <w:r>
        <w:rPr>
          <w:rFonts w:hint="eastAsia" w:ascii="仿宋_GB2312" w:hAnsi="仿宋_GB2312" w:eastAsia="仿宋_GB2312" w:cs="仿宋_GB2312"/>
          <w:color w:val="000000" w:themeColor="text1"/>
          <w14:textFill>
            <w14:solidFill>
              <w14:schemeClr w14:val="tx1"/>
            </w14:solidFill>
          </w14:textFill>
        </w:rPr>
        <w:t>日（双方约定的）</w:t>
      </w:r>
      <w:permStart w:id="17" w:edGrp="everyone"/>
      <w:r>
        <w:rPr>
          <w:rFonts w:hint="eastAsia" w:ascii="仿宋_GB2312" w:hAnsi="仿宋_GB2312" w:eastAsia="仿宋_GB2312" w:cs="仿宋_GB2312"/>
          <w:color w:val="000000" w:themeColor="text1"/>
          <w:u w:val="single"/>
          <w14:textFill>
            <w14:solidFill>
              <w14:schemeClr w14:val="tx1"/>
            </w14:solidFill>
          </w14:textFill>
        </w:rPr>
        <w:t>“兰格</w:t>
      </w:r>
      <w:r>
        <w:rPr>
          <w:rFonts w:ascii="仿宋_GB2312" w:hAnsi="仿宋_GB2312" w:eastAsia="仿宋_GB2312" w:cs="仿宋_GB2312"/>
          <w:color w:val="000000" w:themeColor="text1"/>
          <w:u w:val="single"/>
          <w14:textFill>
            <w14:solidFill>
              <w14:schemeClr w14:val="tx1"/>
            </w14:solidFill>
          </w14:textFill>
        </w:rPr>
        <w:t>”（www.lgmi.com）</w:t>
      </w:r>
      <w:r>
        <w:rPr>
          <w:rFonts w:hint="eastAsia" w:ascii="仿宋_GB2312" w:hAnsi="仿宋_GB2312" w:eastAsia="仿宋_GB2312" w:cs="仿宋_GB2312"/>
          <w:color w:val="000000" w:themeColor="text1"/>
          <w:u w:val="single"/>
          <w14:textFill>
            <w14:solidFill>
              <w14:schemeClr w14:val="tx1"/>
            </w14:solidFill>
          </w14:textFill>
        </w:rPr>
        <w:t>”</w:t>
      </w:r>
      <w:permEnd w:id="17"/>
      <w:r>
        <w:rPr>
          <w:rFonts w:hint="eastAsia" w:ascii="仿宋_GB2312" w:hAnsi="仿宋_GB2312" w:eastAsia="仿宋_GB2312" w:cs="仿宋_GB2312"/>
          <w:color w:val="000000" w:themeColor="text1"/>
          <w14:textFill>
            <w14:solidFill>
              <w14:schemeClr w14:val="tx1"/>
            </w14:solidFill>
          </w14:textFill>
        </w:rPr>
        <w:t>网</w:t>
      </w:r>
      <w:permStart w:id="18" w:edGrp="everyone"/>
      <w:r>
        <w:rPr>
          <w:rFonts w:hint="eastAsia" w:ascii="仿宋_GB2312" w:hAnsi="仿宋_GB2312" w:eastAsia="仿宋_GB2312" w:cs="仿宋_GB2312"/>
          <w:color w:val="000000" w:themeColor="text1"/>
          <w14:textFill>
            <w14:solidFill>
              <w14:schemeClr w14:val="tx1"/>
            </w14:solidFill>
          </w14:textFill>
        </w:rPr>
        <w:t>（郑州）</w:t>
      </w:r>
      <w:permEnd w:id="18"/>
      <w:r>
        <w:rPr>
          <w:rFonts w:hint="eastAsia" w:ascii="仿宋_GB2312" w:hAnsi="仿宋_GB2312" w:eastAsia="仿宋_GB2312" w:cs="仿宋_GB2312"/>
          <w:color w:val="000000" w:themeColor="text1"/>
          <w14:textFill>
            <w14:solidFill>
              <w14:schemeClr w14:val="tx1"/>
            </w14:solidFill>
          </w14:textFill>
        </w:rPr>
        <w:t>市场建筑钢材价格行情价格第一次公布的价格，此价格只用来暂估合同总额，实际结算价格以供应计划中双方约定的到货当日</w:t>
      </w:r>
      <w:permStart w:id="19" w:edGrp="everyone"/>
      <w:r>
        <w:rPr>
          <w:rFonts w:hint="eastAsia" w:ascii="仿宋_GB2312" w:hAnsi="仿宋_GB2312" w:eastAsia="仿宋_GB2312" w:cs="仿宋_GB2312"/>
          <w:color w:val="000000" w:themeColor="text1"/>
          <w:u w:val="single"/>
          <w14:textFill>
            <w14:solidFill>
              <w14:schemeClr w14:val="tx1"/>
            </w14:solidFill>
          </w14:textFill>
        </w:rPr>
        <w:t>“兰格</w:t>
      </w:r>
      <w:r>
        <w:rPr>
          <w:rFonts w:ascii="仿宋_GB2312" w:hAnsi="仿宋_GB2312" w:eastAsia="仿宋_GB2312" w:cs="仿宋_GB2312"/>
          <w:color w:val="000000" w:themeColor="text1"/>
          <w:u w:val="single"/>
          <w14:textFill>
            <w14:solidFill>
              <w14:schemeClr w14:val="tx1"/>
            </w14:solidFill>
          </w14:textFill>
        </w:rPr>
        <w:t>”（www.lgmi.com）</w:t>
      </w:r>
      <w:r>
        <w:rPr>
          <w:rFonts w:hint="eastAsia" w:ascii="仿宋_GB2312" w:hAnsi="仿宋_GB2312" w:eastAsia="仿宋_GB2312" w:cs="仿宋_GB2312"/>
          <w:color w:val="000000" w:themeColor="text1"/>
          <w:u w:val="single"/>
          <w14:textFill>
            <w14:solidFill>
              <w14:schemeClr w14:val="tx1"/>
            </w14:solidFill>
          </w14:textFill>
        </w:rPr>
        <w:t>”</w:t>
      </w:r>
      <w:permEnd w:id="19"/>
      <w:r>
        <w:rPr>
          <w:rFonts w:hint="eastAsia" w:ascii="仿宋_GB2312" w:hAnsi="仿宋_GB2312" w:eastAsia="仿宋_GB2312" w:cs="仿宋_GB2312"/>
          <w:color w:val="000000" w:themeColor="text1"/>
          <w14:textFill>
            <w14:solidFill>
              <w14:schemeClr w14:val="tx1"/>
            </w14:solidFill>
          </w14:textFill>
        </w:rPr>
        <w:t xml:space="preserve">网 </w:t>
      </w:r>
      <w:permStart w:id="20" w:edGrp="everyone"/>
      <w:r>
        <w:rPr>
          <w:rFonts w:hint="eastAsia" w:ascii="仿宋_GB2312" w:hAnsi="仿宋_GB2312" w:eastAsia="仿宋_GB2312" w:cs="仿宋_GB2312"/>
          <w:color w:val="000000" w:themeColor="text1"/>
          <w:u w:val="single"/>
          <w14:textFill>
            <w14:solidFill>
              <w14:schemeClr w14:val="tx1"/>
            </w14:solidFill>
          </w14:textFill>
        </w:rPr>
        <w:t xml:space="preserve"> 郑州</w:t>
      </w:r>
      <w:permEnd w:id="20"/>
      <w:r>
        <w:rPr>
          <w:rFonts w:hint="eastAsia" w:ascii="仿宋_GB2312" w:hAnsi="仿宋_GB2312" w:eastAsia="仿宋_GB2312" w:cs="仿宋_GB2312"/>
          <w:color w:val="000000" w:themeColor="text1"/>
          <w14:textFill>
            <w14:solidFill>
              <w14:schemeClr w14:val="tx1"/>
            </w14:solidFill>
          </w14:textFill>
        </w:rPr>
        <w:t>市场建筑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124B9727">
      <w:pPr>
        <w:spacing w:line="360" w:lineRule="auto"/>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附加费（P2）：乙方综合考虑了出库、运输、装车、卸车、增值税金、利润等费用。</w:t>
      </w:r>
    </w:p>
    <w:p w14:paraId="78F27CBF">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1.2.3合同价格调整：</w:t>
      </w:r>
      <w:r>
        <w:rPr>
          <w:rFonts w:hint="eastAsia" w:ascii="仿宋_GB2312" w:hAnsi="仿宋_GB2312" w:eastAsia="仿宋_GB2312" w:cs="仿宋_GB2312"/>
          <w:color w:val="000000" w:themeColor="text1"/>
          <w:kern w:val="0"/>
          <w:sz w:val="24"/>
          <w:szCs w:val="24"/>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09A89377">
      <w:pPr>
        <w:autoSpaceDE w:val="0"/>
        <w:autoSpaceDN w:val="0"/>
        <w:adjustRightInd w:val="0"/>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2.钢材品牌：</w:t>
      </w:r>
      <w:r>
        <w:rPr>
          <w:rFonts w:hint="eastAsia" w:ascii="仿宋_GB2312" w:hAnsi="仿宋_GB2312" w:eastAsia="仿宋_GB2312" w:cs="仿宋_GB2312"/>
          <w:color w:val="000000" w:themeColor="text1"/>
          <w:kern w:val="0"/>
          <w:sz w:val="24"/>
          <w:szCs w:val="24"/>
          <w14:textFill>
            <w14:solidFill>
              <w14:schemeClr w14:val="tx1"/>
            </w14:solidFill>
          </w14:textFill>
        </w:rPr>
        <w:t>所供钢材生产厂家品牌要求如下：</w:t>
      </w:r>
      <w:permStart w:id="2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21"/>
      <w:r>
        <w:rPr>
          <w:rFonts w:hint="eastAsia" w:ascii="仿宋_GB2312" w:hAnsi="仿宋_GB2312" w:eastAsia="仿宋_GB2312" w:cs="仿宋_GB2312"/>
          <w:color w:val="000000" w:themeColor="text1"/>
          <w:kern w:val="0"/>
          <w:sz w:val="24"/>
          <w:szCs w:val="24"/>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232DFB3F">
      <w:pPr>
        <w:pStyle w:val="13"/>
        <w:spacing w:line="400" w:lineRule="atLeast"/>
        <w:ind w:firstLine="482" w:firstLineChars="200"/>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3.其他</w:t>
      </w:r>
      <w:r>
        <w:rPr>
          <w:rFonts w:hint="eastAsia" w:ascii="仿宋_GB2312" w:hAnsi="仿宋_GB2312" w:eastAsia="仿宋_GB2312" w:cs="仿宋_GB2312"/>
          <w:color w:val="000000" w:themeColor="text1"/>
          <w14:textFill>
            <w14:solidFill>
              <w14:schemeClr w14:val="tx1"/>
            </w14:solidFill>
          </w14:textFill>
        </w:rPr>
        <w:t>：</w:t>
      </w:r>
      <w:permStart w:id="22"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22"/>
    </w:p>
    <w:p w14:paraId="360C7083">
      <w:pPr>
        <w:pStyle w:val="13"/>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4.合同工程量：</w:t>
      </w:r>
    </w:p>
    <w:p w14:paraId="16451627">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14:textFill>
            <w14:solidFill>
              <w14:schemeClr w14:val="tx1"/>
            </w14:solidFill>
          </w14:textFill>
        </w:rPr>
        <w:t xml:space="preserve">   </w:t>
      </w:r>
    </w:p>
    <w:p w14:paraId="736F915C">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3" w:name="_Toc23444"/>
      <w:bookmarkStart w:id="14" w:name="_Toc15703"/>
      <w:bookmarkStart w:id="15" w:name="_Toc13168"/>
      <w:r>
        <w:rPr>
          <w:rFonts w:hint="eastAsia" w:ascii="仿宋_GB2312" w:hAnsi="仿宋_GB2312" w:eastAsia="仿宋_GB2312" w:cs="仿宋_GB2312"/>
          <w:b/>
          <w:bCs/>
          <w:color w:val="000000" w:themeColor="text1"/>
          <w14:textFill>
            <w14:solidFill>
              <w14:schemeClr w14:val="tx1"/>
            </w14:solidFill>
          </w14:textFill>
        </w:rPr>
        <w:t>货物供应</w:t>
      </w:r>
      <w:bookmarkEnd w:id="13"/>
      <w:bookmarkEnd w:id="14"/>
      <w:bookmarkEnd w:id="15"/>
    </w:p>
    <w:p w14:paraId="1A28634C">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1、交货方式：</w:t>
      </w:r>
      <w:r>
        <w:rPr>
          <w:rFonts w:hint="eastAsia" w:ascii="仿宋_GB2312" w:hAnsi="仿宋_GB2312" w:eastAsia="仿宋_GB2312" w:cs="仿宋_GB2312"/>
          <w:color w:val="000000" w:themeColor="text1"/>
          <w14:textFill>
            <w14:solidFill>
              <w14:schemeClr w14:val="tx1"/>
            </w14:solidFill>
          </w14:textFill>
        </w:rPr>
        <w:t>双方协商一致，执行第</w:t>
      </w:r>
      <w:permStart w:id="23"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23"/>
      <w:r>
        <w:rPr>
          <w:rFonts w:hint="eastAsia" w:ascii="仿宋_GB2312" w:hAnsi="仿宋_GB2312" w:eastAsia="仿宋_GB2312" w:cs="仿宋_GB2312"/>
          <w:color w:val="000000" w:themeColor="text1"/>
          <w14:textFill>
            <w14:solidFill>
              <w14:schemeClr w14:val="tx1"/>
            </w14:solidFill>
          </w14:textFill>
        </w:rPr>
        <w:t>种交货方式；</w:t>
      </w:r>
    </w:p>
    <w:p w14:paraId="1A760B3E">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1.1送货卸车：</w:t>
      </w:r>
      <w:r>
        <w:rPr>
          <w:rFonts w:hint="eastAsia" w:ascii="仿宋_GB2312" w:hAnsi="仿宋_GB2312" w:eastAsia="仿宋_GB2312" w:cs="仿宋_GB2312"/>
          <w:color w:val="000000" w:themeColor="text1"/>
          <w14:textFill>
            <w14:solidFill>
              <w14:schemeClr w14:val="tx1"/>
            </w14:solidFill>
          </w14:textFill>
        </w:rPr>
        <w:t>乙方送货至甲方指定地点；合同综合单价已含卸车费用，卸车工作由乙方负责，若由甲方负责卸车，发生的相应费用结算款中扣除。</w:t>
      </w:r>
    </w:p>
    <w:p w14:paraId="3D99F894">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1.2送货不卸车：</w:t>
      </w:r>
      <w:r>
        <w:rPr>
          <w:rFonts w:hint="eastAsia" w:ascii="仿宋_GB2312" w:hAnsi="仿宋_GB2312" w:eastAsia="仿宋_GB2312" w:cs="仿宋_GB2312"/>
          <w:color w:val="000000" w:themeColor="text1"/>
          <w14:textFill>
            <w14:solidFill>
              <w14:schemeClr w14:val="tx1"/>
            </w14:solidFill>
          </w14:textFill>
        </w:rPr>
        <w:t>合同综合单价不含卸车费用，卸车工作由甲方组织。</w:t>
      </w:r>
    </w:p>
    <w:p w14:paraId="56E2224D">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24" w:edGrp="everyone"/>
      <w:r>
        <w:rPr>
          <w:rFonts w:hint="eastAsia" w:ascii="仿宋_GB2312" w:hAnsi="仿宋_GB2312" w:eastAsia="仿宋_GB2312" w:cs="仿宋_GB2312"/>
          <w:color w:val="000000" w:themeColor="text1"/>
          <w14:textFill>
            <w14:solidFill>
              <w14:schemeClr w14:val="tx1"/>
            </w14:solidFill>
          </w14:textFill>
        </w:rPr>
        <w:t xml:space="preserve"> 无</w:t>
      </w:r>
    </w:p>
    <w:permEnd w:id="24"/>
    <w:p w14:paraId="3C4ACA53">
      <w:pPr>
        <w:pStyle w:val="13"/>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2、交货时间：</w:t>
      </w:r>
      <w:r>
        <w:rPr>
          <w:rFonts w:hint="eastAsia" w:ascii="仿宋_GB2312" w:hAnsi="仿宋_GB2312" w:eastAsia="仿宋_GB2312" w:cs="仿宋_GB2312"/>
          <w:color w:val="000000" w:themeColor="text1"/>
          <w14:textFill>
            <w14:solidFill>
              <w14:schemeClr w14:val="tx1"/>
            </w14:solidFill>
          </w14:textFill>
        </w:rPr>
        <w:t>甲方施工现场材料负责人提前</w:t>
      </w:r>
      <w:permStart w:id="25" w:edGrp="everyone"/>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3 </w:t>
      </w:r>
      <w:permEnd w:id="25"/>
      <w:r>
        <w:rPr>
          <w:rFonts w:hint="eastAsia" w:ascii="仿宋_GB2312" w:hAnsi="仿宋_GB2312" w:eastAsia="仿宋_GB2312" w:cs="仿宋_GB2312"/>
          <w:color w:val="000000" w:themeColor="text1"/>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1C40B0A4">
      <w:pPr>
        <w:pStyle w:val="13"/>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3、交货地点：</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26" w:edGrp="everyone"/>
      <w:r>
        <w:rPr>
          <w:rFonts w:hint="eastAsia" w:ascii="仿宋_GB2312" w:hAnsi="仿宋_GB2312" w:eastAsia="仿宋_GB2312" w:cs="仿宋_GB2312"/>
          <w:color w:val="000000" w:themeColor="text1"/>
          <w:kern w:val="0"/>
          <w:sz w:val="24"/>
          <w:szCs w:val="24"/>
          <w:highlight w:val="yellow"/>
          <w:u w:val="single"/>
          <w:lang w:val="en-US" w:eastAsia="zh-CN" w:bidi="ar-SA"/>
          <w14:textFill>
            <w14:solidFill>
              <w14:schemeClr w14:val="tx1"/>
            </w14:solidFill>
          </w14:textFill>
        </w:rPr>
        <w:t>漯河市引澧入颍工程EPC总承包项目部指定地点</w:t>
      </w:r>
      <w:permEnd w:id="26"/>
    </w:p>
    <w:p w14:paraId="78C538ED">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4、交货内容：</w:t>
      </w:r>
      <w:permStart w:id="27" w:edGrp="everyone"/>
      <w:r>
        <w:rPr>
          <w:rFonts w:hint="eastAsia" w:ascii="仿宋_GB2312" w:hAnsi="仿宋_GB2312" w:eastAsia="仿宋_GB2312" w:cs="仿宋_GB2312"/>
          <w:color w:val="000000" w:themeColor="text1"/>
          <w:u w:val="single"/>
          <w14:textFill>
            <w14:solidFill>
              <w14:schemeClr w14:val="tx1"/>
            </w14:solidFill>
          </w14:textFill>
        </w:rPr>
        <w:t>合同中清单约定的货物</w:t>
      </w:r>
      <w:permEnd w:id="27"/>
      <w:r>
        <w:rPr>
          <w:rFonts w:hint="eastAsia" w:ascii="仿宋_GB2312" w:hAnsi="仿宋_GB2312" w:eastAsia="仿宋_GB2312" w:cs="仿宋_GB2312"/>
          <w:color w:val="000000" w:themeColor="text1"/>
          <w14:textFill>
            <w14:solidFill>
              <w14:schemeClr w14:val="tx1"/>
            </w14:solidFill>
          </w14:textFill>
        </w:rPr>
        <w:t>。</w:t>
      </w:r>
    </w:p>
    <w:p w14:paraId="4125C286">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5、双方代表：</w:t>
      </w:r>
    </w:p>
    <w:p w14:paraId="60A47435">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甲方指定收货联系人：</w:t>
      </w:r>
      <w:permStart w:id="2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yellow"/>
          <w:u w:val="single"/>
          <w:lang w:val="en-US" w:eastAsia="zh-CN"/>
          <w14:textFill>
            <w14:solidFill>
              <w14:schemeClr w14:val="tx1"/>
            </w14:solidFill>
          </w14:textFill>
        </w:rPr>
        <w:t>梅增辉</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29" w:edGrp="everyone"/>
      <w:r>
        <w:rPr>
          <w:rFonts w:hint="eastAsia" w:ascii="仿宋_GB2312" w:hAnsi="仿宋_GB2312" w:eastAsia="仿宋_GB2312" w:cs="仿宋_GB2312"/>
          <w:color w:val="000000" w:themeColor="text1"/>
          <w:kern w:val="0"/>
          <w:sz w:val="24"/>
          <w:szCs w:val="24"/>
          <w:highlight w:val="yellow"/>
          <w:u w:val="single"/>
          <w:lang w:val="en-US" w:eastAsia="zh-CN"/>
          <w14:textFill>
            <w14:solidFill>
              <w14:schemeClr w14:val="tx1"/>
            </w14:solidFill>
          </w14:textFill>
        </w:rPr>
        <w:t>18731790082</w:t>
      </w:r>
      <w:permEnd w:id="29"/>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3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w:t>
      </w:r>
      <w:permEnd w:id="30"/>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200AF3D1">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乙方指定发货联系人：</w:t>
      </w:r>
      <w:permStart w:id="31"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32"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33"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5F38553E">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6" w:name="_Hlk126833838"/>
      <w:r>
        <w:rPr>
          <w:rFonts w:hint="eastAsia" w:ascii="仿宋_GB2312" w:hAnsi="仿宋_GB2312" w:eastAsia="仿宋_GB2312" w:cs="仿宋_GB2312"/>
          <w:color w:val="000000" w:themeColor="text1"/>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14:textFill>
            <w14:solidFill>
              <w14:schemeClr w14:val="tx1"/>
            </w14:solidFill>
          </w14:textFill>
        </w:rPr>
        <w:t>。</w:t>
      </w:r>
    </w:p>
    <w:p w14:paraId="0F2B0DD5">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6、运输要求：</w:t>
      </w:r>
    </w:p>
    <w:p w14:paraId="01BE63D9">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6.1运输形式：</w:t>
      </w:r>
      <w:r>
        <w:rPr>
          <w:rFonts w:hint="eastAsia" w:ascii="仿宋_GB2312" w:hAnsi="仿宋_GB2312" w:eastAsia="仿宋_GB2312" w:cs="仿宋_GB2312"/>
          <w:color w:val="000000" w:themeColor="text1"/>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009298B">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6.2注意事项：</w:t>
      </w:r>
      <w:r>
        <w:rPr>
          <w:rFonts w:hint="eastAsia" w:ascii="仿宋_GB2312" w:hAnsi="仿宋_GB2312" w:eastAsia="仿宋_GB2312" w:cs="仿宋_GB2312"/>
          <w:color w:val="000000" w:themeColor="text1"/>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14:textFill>
            <w14:solidFill>
              <w14:schemeClr w14:val="tx1"/>
            </w14:solidFill>
          </w14:textFill>
        </w:rPr>
        <w:t>。</w:t>
      </w:r>
    </w:p>
    <w:p w14:paraId="7A8B6554">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50BB4251">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6.4乙方应对运输人员进行安全管理和安全教育，运输人员遵守交通法规。</w:t>
      </w:r>
    </w:p>
    <w:p w14:paraId="3AEC019B">
      <w:pPr>
        <w:pStyle w:val="13"/>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应当给负责运送货物的车辆办理交强险及商业保险。如因运载车辆事故、卸货等</w:t>
      </w:r>
    </w:p>
    <w:p w14:paraId="0B066B88">
      <w:pPr>
        <w:pStyle w:val="13"/>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原因导致的乙方及任何第三方的人身伤害及经济损失均由乙方负责，并补偿甲方</w:t>
      </w:r>
    </w:p>
    <w:p w14:paraId="1057FA2E">
      <w:pPr>
        <w:pStyle w:val="13"/>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及其他方因此造成的损失。</w:t>
      </w:r>
    </w:p>
    <w:p w14:paraId="1A256BEA">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28A9A223">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EBDE00D">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6.7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u w:val="single"/>
          <w14:textFill>
            <w14:solidFill>
              <w14:schemeClr w14:val="tx1"/>
            </w14:solidFill>
          </w14:textFill>
        </w:rPr>
        <w:t>85</w:t>
      </w:r>
      <w:r>
        <w:rPr>
          <w:rFonts w:hint="eastAsia" w:ascii="仿宋_GB2312" w:hAnsi="仿宋_GB2312" w:eastAsia="仿宋_GB2312" w:cs="仿宋_GB2312"/>
          <w:color w:val="000000" w:themeColor="text1"/>
          <w14:textFill>
            <w14:solidFill>
              <w14:schemeClr w14:val="tx1"/>
            </w14:solidFill>
          </w14:textFill>
        </w:rPr>
        <w:t>dB、夜间小于或等于</w:t>
      </w:r>
      <w:r>
        <w:rPr>
          <w:rFonts w:hint="eastAsia" w:ascii="仿宋_GB2312" w:hAnsi="仿宋_GB2312" w:eastAsia="仿宋_GB2312" w:cs="仿宋_GB2312"/>
          <w:color w:val="000000" w:themeColor="text1"/>
          <w:u w:val="single"/>
          <w14:textFill>
            <w14:solidFill>
              <w14:schemeClr w14:val="tx1"/>
            </w14:solidFill>
          </w14:textFill>
        </w:rPr>
        <w:t>55</w:t>
      </w:r>
      <w:r>
        <w:rPr>
          <w:rFonts w:hint="eastAsia" w:ascii="仿宋_GB2312" w:hAnsi="仿宋_GB2312" w:eastAsia="仿宋_GB2312" w:cs="仿宋_GB2312"/>
          <w:color w:val="000000" w:themeColor="text1"/>
          <w14:textFill>
            <w14:solidFill>
              <w14:schemeClr w14:val="tx1"/>
            </w14:solidFill>
          </w14:textFill>
        </w:rPr>
        <w:t>dB。乙方保证乙方人员以及车辆进入本工地现场，应遵守现场的一切卫生环保、文明施工的规定，因违反环保要求所造成的一切罚款由乙方承担。</w:t>
      </w:r>
    </w:p>
    <w:p w14:paraId="25490334">
      <w:pPr>
        <w:pStyle w:val="13"/>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7、货物包装：</w:t>
      </w:r>
    </w:p>
    <w:p w14:paraId="7D0CA95E">
      <w:pPr>
        <w:spacing w:line="400" w:lineRule="atLeas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7.1包装标准：</w:t>
      </w:r>
      <w:r>
        <w:rPr>
          <w:rFonts w:hint="eastAsia" w:ascii="仿宋_GB2312" w:hAnsi="仿宋_GB2312" w:eastAsia="仿宋_GB2312" w:cs="仿宋_GB2312"/>
          <w:sz w:val="24"/>
          <w:szCs w:val="24"/>
        </w:rPr>
        <w:t>乙方按照国家或业务主管部门的技术规定执行（标准代号、标准编号及标准名称为</w:t>
      </w:r>
      <w:permStart w:id="34" w:edGrp="everyone"/>
      <w:r>
        <w:rPr>
          <w:rFonts w:hint="eastAsia" w:ascii="仿宋_GB2312" w:hAnsi="仿宋_GB2312" w:eastAsia="仿宋_GB2312" w:cs="仿宋_GB2312"/>
          <w:sz w:val="24"/>
          <w:szCs w:val="24"/>
          <w:u w:val="single"/>
        </w:rPr>
        <w:t xml:space="preserve"> / </w:t>
      </w:r>
      <w:permEnd w:id="34"/>
      <w:r>
        <w:rPr>
          <w:rFonts w:hint="eastAsia" w:ascii="仿宋_GB2312" w:hAnsi="仿宋_GB2312" w:eastAsia="仿宋_GB2312" w:cs="仿宋_GB2312"/>
          <w:sz w:val="24"/>
          <w:szCs w:val="24"/>
        </w:rPr>
        <w:t>）；没有上述标准的，或虽有上述标准，但甲方对包装有特殊要求，按如下约定执行：</w:t>
      </w:r>
      <w:permStart w:id="35" w:edGrp="everyone"/>
      <w:r>
        <w:rPr>
          <w:rFonts w:hint="eastAsia" w:ascii="仿宋_GB2312" w:hAnsi="仿宋_GB2312" w:eastAsia="仿宋_GB2312" w:cs="仿宋_GB2312"/>
          <w:sz w:val="24"/>
          <w:szCs w:val="24"/>
          <w:u w:val="single"/>
        </w:rPr>
        <w:t xml:space="preserve"> / </w:t>
      </w:r>
      <w:permEnd w:id="35"/>
      <w:r>
        <w:rPr>
          <w:rFonts w:hint="eastAsia" w:ascii="仿宋_GB2312" w:hAnsi="仿宋_GB2312" w:eastAsia="仿宋_GB2312" w:cs="仿宋_GB2312"/>
          <w:sz w:val="24"/>
          <w:szCs w:val="24"/>
        </w:rPr>
        <w:t>。</w:t>
      </w:r>
    </w:p>
    <w:p w14:paraId="69CA864A">
      <w:pPr>
        <w:pStyle w:val="13"/>
        <w:spacing w:line="400" w:lineRule="atLeast"/>
        <w:ind w:firstLine="48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7.2包装回收：</w:t>
      </w:r>
      <w:permStart w:id="36" w:edGrp="everyone"/>
      <w:r>
        <w:rPr>
          <w:rFonts w:hint="eastAsia" w:ascii="仿宋_GB2312" w:hAnsi="仿宋_GB2312" w:eastAsia="仿宋_GB2312" w:cs="仿宋_GB2312"/>
          <w:color w:val="auto"/>
          <w:u w:val="single"/>
        </w:rPr>
        <w:t>乙方无特别注明视为无包装物回收，有包装物回收时乙方应在收到甲方通知7天内完成包装回收</w:t>
      </w:r>
      <w:permEnd w:id="36"/>
      <w:r>
        <w:rPr>
          <w:rFonts w:hint="eastAsia" w:ascii="仿宋_GB2312" w:hAnsi="仿宋_GB2312" w:eastAsia="仿宋_GB2312" w:cs="仿宋_GB2312"/>
          <w:color w:val="auto"/>
          <w:u w:val="single"/>
        </w:rPr>
        <w:t>。</w:t>
      </w:r>
    </w:p>
    <w:p w14:paraId="198EAA90">
      <w:pPr>
        <w:pStyle w:val="13"/>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8、安装要求：</w:t>
      </w:r>
      <w:r>
        <w:rPr>
          <w:rFonts w:hint="eastAsia" w:ascii="仿宋_GB2312" w:hAnsi="仿宋_GB2312" w:eastAsia="仿宋_GB2312" w:cs="仿宋_GB2312"/>
          <w:color w:val="auto"/>
        </w:rPr>
        <w:t>若货物附带安装工作内容，单价已综合考虑不另计价，具体安装内容及要求如下：</w:t>
      </w:r>
      <w:permStart w:id="37" w:edGrp="everyone"/>
      <w:r>
        <w:rPr>
          <w:rFonts w:hint="eastAsia" w:ascii="仿宋_GB2312" w:hAnsi="仿宋_GB2312" w:eastAsia="仿宋_GB2312" w:cs="仿宋_GB2312"/>
          <w:color w:val="auto"/>
          <w:u w:val="single"/>
        </w:rPr>
        <w:t xml:space="preserve"> / </w:t>
      </w:r>
      <w:permEnd w:id="37"/>
      <w:r>
        <w:rPr>
          <w:rFonts w:hint="eastAsia" w:ascii="仿宋_GB2312" w:hAnsi="仿宋_GB2312" w:eastAsia="仿宋_GB2312" w:cs="仿宋_GB2312"/>
          <w:color w:val="auto"/>
        </w:rPr>
        <w:t>。</w:t>
      </w:r>
    </w:p>
    <w:p w14:paraId="11321C73">
      <w:pPr>
        <w:pStyle w:val="13"/>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9、货物意外灭失风险：</w:t>
      </w:r>
      <w:r>
        <w:rPr>
          <w:rFonts w:hint="eastAsia" w:ascii="仿宋_GB2312" w:hAnsi="仿宋_GB2312" w:eastAsia="仿宋_GB2312" w:cs="仿宋_GB2312"/>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4A7A1BDA">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auto"/>
        </w:rPr>
      </w:pPr>
      <w:bookmarkStart w:id="18" w:name="_Toc15437"/>
      <w:bookmarkStart w:id="19" w:name="_Toc29361"/>
      <w:bookmarkStart w:id="20" w:name="_Toc12447"/>
      <w:r>
        <w:rPr>
          <w:rFonts w:hint="eastAsia" w:ascii="仿宋_GB2312" w:hAnsi="仿宋_GB2312" w:eastAsia="仿宋_GB2312" w:cs="仿宋_GB2312"/>
          <w:b/>
          <w:bCs/>
          <w:color w:val="auto"/>
        </w:rPr>
        <w:t>货物质量</w:t>
      </w:r>
      <w:bookmarkEnd w:id="18"/>
      <w:bookmarkEnd w:id="19"/>
      <w:bookmarkEnd w:id="20"/>
    </w:p>
    <w:p w14:paraId="498B5D40">
      <w:pPr>
        <w:pStyle w:val="13"/>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1、质量要求及技术标准：</w:t>
      </w:r>
    </w:p>
    <w:p w14:paraId="02853F0A">
      <w:pPr>
        <w:pStyle w:val="13"/>
        <w:spacing w:line="400" w:lineRule="atLeast"/>
        <w:ind w:firstLine="480" w:firstLineChars="200"/>
        <w:jc w:val="both"/>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1.1</w:t>
      </w:r>
      <w:permStart w:id="38" w:edGrp="everyone"/>
      <w:r>
        <w:rPr>
          <w:rFonts w:hint="eastAsia" w:ascii="仿宋_GB2312" w:hAnsi="仿宋_GB2312" w:eastAsia="仿宋_GB2312" w:cs="仿宋_GB2312"/>
          <w:color w:val="auto"/>
        </w:rPr>
        <w:t>按照国家标准执行</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14:textFill>
            <w14:solidFill>
              <w14:schemeClr w14:val="tx1"/>
            </w14:solidFill>
          </w14:textFill>
        </w:rPr>
        <w:t>）</w:t>
      </w:r>
      <w:permEnd w:id="38"/>
      <w:r>
        <w:rPr>
          <w:rFonts w:hint="eastAsia" w:ascii="仿宋_GB2312" w:hAnsi="仿宋_GB2312" w:eastAsia="仿宋_GB2312" w:cs="仿宋_GB2312"/>
          <w:color w:val="auto"/>
        </w:rPr>
        <w:t>。</w:t>
      </w:r>
    </w:p>
    <w:p w14:paraId="4CD00D7E">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1.2无国家标准而有部颁标准的，按部颁标准执行。</w:t>
      </w:r>
    </w:p>
    <w:p w14:paraId="64A270B7">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1.3无国家和部颁标准的，按企业标准执行。</w:t>
      </w:r>
    </w:p>
    <w:p w14:paraId="46CB1A6F">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1.4没有上述标准的，或虽有上述标准，但甲方有特殊要求的，按甲乙双方在合同中商定的技术条件、样品或补充的技术要求执行（具体要求</w:t>
      </w:r>
      <w:permStart w:id="39" w:edGrp="everyone"/>
      <w:r>
        <w:rPr>
          <w:rFonts w:hint="eastAsia" w:ascii="仿宋_GB2312" w:hAnsi="仿宋_GB2312" w:eastAsia="仿宋_GB2312" w:cs="仿宋_GB2312"/>
          <w:color w:val="auto"/>
          <w:u w:val="single"/>
        </w:rPr>
        <w:t xml:space="preserve"> 无 </w:t>
      </w:r>
      <w:permEnd w:id="39"/>
      <w:r>
        <w:rPr>
          <w:rFonts w:hint="eastAsia" w:ascii="仿宋_GB2312" w:hAnsi="仿宋_GB2312" w:eastAsia="仿宋_GB2312" w:cs="仿宋_GB2312"/>
          <w:color w:val="auto"/>
        </w:rPr>
        <w:t>）。</w:t>
      </w:r>
    </w:p>
    <w:p w14:paraId="78C1FB1F">
      <w:pPr>
        <w:pStyle w:val="13"/>
        <w:spacing w:line="400" w:lineRule="atLeast"/>
        <w:ind w:firstLine="480" w:firstLineChars="200"/>
        <w:rPr>
          <w:rFonts w:hint="eastAsia" w:ascii="仿宋_GB2312" w:hAnsi="仿宋_GB2312" w:cs="仿宋_GB2312"/>
          <w:color w:val="0000FF"/>
        </w:rPr>
      </w:pPr>
      <w:r>
        <w:rPr>
          <w:rFonts w:hint="eastAsia" w:ascii="仿宋_GB2312" w:hAnsi="仿宋_GB2312" w:eastAsia="仿宋_GB2312" w:cs="仿宋_GB2312"/>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44CBDC8E">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1.6其他：</w:t>
      </w:r>
      <w:r>
        <w:rPr>
          <w:rFonts w:hint="eastAsia" w:ascii="仿宋_GB2312" w:hAnsi="仿宋_GB2312" w:eastAsia="仿宋_GB2312" w:cs="仿宋_GB2312"/>
          <w:b/>
          <w:bCs/>
          <w:color w:val="auto"/>
          <w:u w:val="single"/>
        </w:rPr>
        <w:t xml:space="preserve"> </w:t>
      </w:r>
      <w:permStart w:id="40" w:edGrp="everyone"/>
      <w:r>
        <w:rPr>
          <w:rFonts w:hint="eastAsia" w:ascii="仿宋_GB2312" w:hAnsi="仿宋_GB2312" w:eastAsia="仿宋_GB2312" w:cs="仿宋_GB2312"/>
          <w:color w:val="auto"/>
          <w:u w:val="single"/>
        </w:rPr>
        <w:t xml:space="preserve">/ </w:t>
      </w:r>
      <w:permEnd w:id="40"/>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5BD91D02">
      <w:pPr>
        <w:pStyle w:val="13"/>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2、货物附件清单：</w:t>
      </w:r>
      <w:r>
        <w:rPr>
          <w:rFonts w:hint="eastAsia" w:ascii="仿宋_GB2312" w:hAnsi="仿宋_GB2312" w:eastAsia="仿宋_GB2312" w:cs="仿宋_GB2312"/>
          <w:color w:val="auto"/>
        </w:rPr>
        <w:t>乙方应按甲方要求在交货时提供货物附件清单：</w:t>
      </w:r>
      <w:r>
        <w:rPr>
          <w:rFonts w:hint="eastAsia" w:ascii="仿宋_GB2312" w:hAnsi="仿宋_GB2312" w:eastAsia="仿宋_GB2312" w:cs="仿宋_GB2312"/>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r>
        <w:rPr>
          <w:rFonts w:hint="eastAsia" w:ascii="仿宋_GB2312" w:hAnsi="仿宋_GB2312" w:eastAsia="仿宋_GB2312" w:cs="仿宋_GB2312"/>
          <w:color w:val="auto"/>
        </w:rPr>
        <w:t>，附件清单明确附件内容及份数同时加印乙方签章于收货时一并交由甲方核验，否则甲方不予办理收料手续。</w:t>
      </w:r>
    </w:p>
    <w:p w14:paraId="333AC55F">
      <w:pPr>
        <w:pStyle w:val="13"/>
        <w:spacing w:line="400" w:lineRule="atLeast"/>
        <w:ind w:firstLine="482" w:firstLineChars="200"/>
        <w:outlineLvl w:val="1"/>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3、货物质量保修期：</w:t>
      </w:r>
    </w:p>
    <w:p w14:paraId="70B299B6">
      <w:pPr>
        <w:pStyle w:val="13"/>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3.1质量保修期按下列第</w:t>
      </w:r>
      <w:permStart w:id="41" w:edGrp="everyone"/>
      <w:r>
        <w:rPr>
          <w:rFonts w:hint="eastAsia" w:ascii="仿宋_GB2312" w:hAnsi="仿宋_GB2312" w:eastAsia="仿宋_GB2312" w:cs="仿宋_GB2312"/>
          <w:color w:val="auto"/>
        </w:rPr>
        <w:t xml:space="preserve">  3.1.3 </w:t>
      </w:r>
      <w:permEnd w:id="41"/>
      <w:r>
        <w:rPr>
          <w:rFonts w:hint="eastAsia" w:ascii="仿宋_GB2312" w:hAnsi="仿宋_GB2312" w:eastAsia="仿宋_GB2312" w:cs="仿宋_GB2312"/>
          <w:color w:val="auto"/>
        </w:rPr>
        <w:t xml:space="preserve"> 项执行（如货物明示或设计的质量保修期/缺陷责任期较长的，以较长者为准）：</w:t>
      </w:r>
    </w:p>
    <w:p w14:paraId="0EBFD0E8">
      <w:pPr>
        <w:pStyle w:val="13"/>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3.1.1质量保修期无</w:t>
      </w:r>
    </w:p>
    <w:p w14:paraId="6FBE1C6F">
      <w:pPr>
        <w:pStyle w:val="13"/>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3.1.2质量保修期为</w:t>
      </w:r>
      <w:permStart w:id="42" w:edGrp="everyone"/>
      <w:r>
        <w:rPr>
          <w:rFonts w:hint="eastAsia" w:ascii="仿宋_GB2312" w:hAnsi="仿宋_GB2312" w:eastAsia="仿宋_GB2312" w:cs="仿宋_GB2312"/>
          <w:color w:val="auto"/>
        </w:rPr>
        <w:t xml:space="preserve"> / </w:t>
      </w:r>
      <w:permEnd w:id="42"/>
      <w:r>
        <w:rPr>
          <w:rFonts w:hint="eastAsia" w:ascii="仿宋_GB2312" w:hAnsi="仿宋_GB2312" w:eastAsia="仿宋_GB2312" w:cs="仿宋_GB2312"/>
          <w:color w:val="auto"/>
        </w:rPr>
        <w:t>个月，自货物进场验收合格之日起算；</w:t>
      </w:r>
    </w:p>
    <w:p w14:paraId="6B55CB74">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3.1.3质量保修期为</w:t>
      </w:r>
      <w:permStart w:id="43" w:edGrp="everyone"/>
      <w:r>
        <w:rPr>
          <w:rFonts w:hint="eastAsia" w:ascii="仿宋_GB2312" w:hAnsi="仿宋_GB2312" w:eastAsia="仿宋_GB2312" w:cs="仿宋_GB2312"/>
          <w:color w:val="auto"/>
          <w:u w:val="single"/>
        </w:rPr>
        <w:t xml:space="preserve"> 24 </w:t>
      </w:r>
      <w:permEnd w:id="43"/>
      <w:r>
        <w:rPr>
          <w:rFonts w:hint="eastAsia" w:ascii="仿宋_GB2312" w:hAnsi="仿宋_GB2312" w:eastAsia="仿宋_GB2312" w:cs="仿宋_GB2312"/>
          <w:color w:val="auto"/>
        </w:rPr>
        <w:t>个月，从工程（送货地工程）竣工验收合格之日（以业主颁发竣工证书所载日期为准）起计算；</w:t>
      </w:r>
    </w:p>
    <w:p w14:paraId="556B082B">
      <w:pPr>
        <w:pStyle w:val="13"/>
        <w:spacing w:line="400" w:lineRule="atLeast"/>
        <w:ind w:firstLine="482" w:firstLineChars="20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3.2</w:t>
      </w:r>
      <w:r>
        <w:rPr>
          <w:rFonts w:hint="eastAsia" w:ascii="仿宋_GB2312" w:hAnsi="仿宋_GB2312" w:eastAsia="仿宋_GB2312" w:cs="仿宋_GB2312"/>
          <w:color w:val="000000" w:themeColor="text1"/>
          <w14:textFill>
            <w14:solidFill>
              <w14:schemeClr w14:val="tx1"/>
            </w14:solidFill>
          </w14:textFill>
        </w:rPr>
        <w:t>货物质量保证期：按国家有关法律法规的规定，货物质量保证期为终身。</w:t>
      </w:r>
    </w:p>
    <w:p w14:paraId="06252A2C">
      <w:pPr>
        <w:pStyle w:val="13"/>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ACF9793">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1" w:name="_Toc3621"/>
      <w:bookmarkStart w:id="22" w:name="_Toc22036"/>
      <w:bookmarkStart w:id="23" w:name="_Toc12481"/>
      <w:r>
        <w:rPr>
          <w:rFonts w:hint="eastAsia" w:ascii="仿宋_GB2312" w:hAnsi="仿宋_GB2312" w:eastAsia="仿宋_GB2312" w:cs="仿宋_GB2312"/>
          <w:b/>
          <w:bCs/>
          <w:color w:val="000000" w:themeColor="text1"/>
          <w14:textFill>
            <w14:solidFill>
              <w14:schemeClr w14:val="tx1"/>
            </w14:solidFill>
          </w14:textFill>
        </w:rPr>
        <w:t>货物验收</w:t>
      </w:r>
      <w:bookmarkEnd w:id="21"/>
      <w:bookmarkEnd w:id="22"/>
      <w:bookmarkEnd w:id="23"/>
    </w:p>
    <w:p w14:paraId="68F6C814">
      <w:pPr>
        <w:pStyle w:val="13"/>
        <w:numPr>
          <w:ilvl w:val="0"/>
          <w:numId w:val="3"/>
        </w:numPr>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验收人员：</w:t>
      </w:r>
      <w:r>
        <w:rPr>
          <w:rFonts w:hint="eastAsia" w:ascii="仿宋_GB2312" w:hAnsi="仿宋_GB2312" w:eastAsia="仿宋_GB2312" w:cs="仿宋_GB2312"/>
          <w:color w:val="000000" w:themeColor="text1"/>
          <w14:textFill>
            <w14:solidFill>
              <w14:schemeClr w14:val="tx1"/>
            </w14:solidFill>
          </w14:textFill>
        </w:rPr>
        <w:t>货物进场需由甲方物资管理人员（不少于2人）、</w:t>
      </w:r>
      <w:bookmarkStart w:id="24" w:name="_Hlk127189311"/>
      <w:r>
        <w:rPr>
          <w:rFonts w:hint="eastAsia" w:ascii="仿宋_GB2312" w:hAnsi="仿宋_GB2312" w:eastAsia="仿宋_GB2312" w:cs="仿宋_GB2312"/>
          <w:color w:val="000000" w:themeColor="text1"/>
          <w14:textFill>
            <w14:solidFill>
              <w14:schemeClr w14:val="tx1"/>
            </w14:solidFill>
          </w14:textFill>
        </w:rPr>
        <w:t>现场责任</w:t>
      </w:r>
      <w:bookmarkEnd w:id="24"/>
      <w:r>
        <w:rPr>
          <w:rFonts w:hint="eastAsia" w:ascii="仿宋_GB2312" w:hAnsi="仿宋_GB2312" w:eastAsia="仿宋_GB2312" w:cs="仿宋_GB2312"/>
          <w:color w:val="000000" w:themeColor="text1"/>
          <w14:textFill>
            <w14:solidFill>
              <w14:schemeClr w14:val="tx1"/>
            </w14:solidFill>
          </w14:textFill>
        </w:rPr>
        <w:t>工程师、分包单位和乙方发货联系人共同完成现场验收，现场验收不代表货物质量合格，质量是否合格需要进一步复核确定。</w:t>
      </w:r>
    </w:p>
    <w:p w14:paraId="5E6693C3">
      <w:pPr>
        <w:pStyle w:val="13"/>
        <w:numPr>
          <w:ilvl w:val="0"/>
          <w:numId w:val="3"/>
        </w:numPr>
        <w:spacing w:line="400" w:lineRule="atLeast"/>
        <w:ind w:firstLine="482" w:firstLineChars="200"/>
        <w:jc w:val="both"/>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验收方式：</w:t>
      </w:r>
      <w:r>
        <w:rPr>
          <w:rFonts w:hint="eastAsia" w:ascii="仿宋_GB2312" w:hAnsi="仿宋_GB2312" w:eastAsia="仿宋_GB2312" w:cs="仿宋_GB2312"/>
          <w:color w:val="000000" w:themeColor="text1"/>
          <w:u w:val="single"/>
          <w14:textFill>
            <w14:solidFill>
              <w14:schemeClr w14:val="tx1"/>
            </w14:solidFill>
          </w14:textFill>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203F7A48">
      <w:pPr>
        <w:pStyle w:val="13"/>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数量验收：</w:t>
      </w:r>
    </w:p>
    <w:p w14:paraId="3E42D8D9">
      <w:pPr>
        <w:pStyle w:val="13"/>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3.1数量验收方式：</w:t>
      </w:r>
      <w:r>
        <w:rPr>
          <w:rFonts w:hint="eastAsia" w:ascii="仿宋_GB2312" w:hAnsi="仿宋_GB2312" w:eastAsia="仿宋_GB2312" w:cs="仿宋_GB2312"/>
          <w:color w:val="000000" w:themeColor="text1"/>
          <w14:textFill>
            <w14:solidFill>
              <w14:schemeClr w14:val="tx1"/>
            </w14:solidFill>
          </w14:textFill>
        </w:rPr>
        <w:t>甲乙双方在交货现场以</w:t>
      </w:r>
      <w:permStart w:id="44" w:edGrp="everyone"/>
      <w:r>
        <w:rPr>
          <w:rFonts w:hint="eastAsia" w:ascii="仿宋_GB2312" w:hAnsi="仿宋_GB2312" w:eastAsia="仿宋_GB2312" w:cs="仿宋_GB2312"/>
        </w:rPr>
        <w:t>☑</w:t>
      </w:r>
      <w:permEnd w:id="44"/>
      <w:r>
        <w:rPr>
          <w:rFonts w:hint="eastAsia" w:ascii="仿宋_GB2312" w:hAnsi="仿宋_GB2312" w:eastAsia="仿宋_GB2312" w:cs="仿宋_GB2312"/>
        </w:rPr>
        <w:t>过磅/</w:t>
      </w:r>
      <w:permStart w:id="45" w:edGrp="everyone"/>
      <w:r>
        <w:rPr>
          <w:rFonts w:hint="eastAsia" w:ascii="仿宋_GB2312" w:hAnsi="仿宋_GB2312" w:eastAsia="仿宋_GB2312" w:cs="仿宋_GB2312"/>
        </w:rPr>
        <w:t xml:space="preserve">□ </w:t>
      </w:r>
      <w:permEnd w:id="45"/>
      <w:r>
        <w:rPr>
          <w:rFonts w:hint="eastAsia" w:ascii="仿宋_GB2312" w:hAnsi="仿宋_GB2312" w:eastAsia="仿宋_GB2312" w:cs="仿宋_GB2312"/>
        </w:rPr>
        <w:t>计件/</w:t>
      </w:r>
      <w:permStart w:id="46" w:edGrp="everyone"/>
      <w:r>
        <w:rPr>
          <w:rFonts w:hint="eastAsia" w:ascii="仿宋_GB2312" w:hAnsi="仿宋_GB2312" w:eastAsia="仿宋_GB2312" w:cs="仿宋_GB2312"/>
        </w:rPr>
        <w:t>☑</w:t>
      </w:r>
      <w:permEnd w:id="46"/>
      <w:r>
        <w:rPr>
          <w:rFonts w:hint="eastAsia" w:ascii="仿宋_GB2312" w:hAnsi="仿宋_GB2312" w:eastAsia="仿宋_GB2312" w:cs="仿宋_GB2312"/>
        </w:rPr>
        <w:t xml:space="preserve"> 检尺/</w:t>
      </w:r>
      <w:permStart w:id="47" w:edGrp="everyone"/>
      <w:r>
        <w:rPr>
          <w:rFonts w:hint="eastAsia" w:ascii="仿宋_GB2312" w:hAnsi="仿宋_GB2312" w:eastAsia="仿宋_GB2312" w:cs="仿宋_GB2312"/>
        </w:rPr>
        <w:t xml:space="preserve">□ </w:t>
      </w:r>
      <w:permEnd w:id="47"/>
      <w:r>
        <w:rPr>
          <w:rFonts w:hint="eastAsia" w:ascii="仿宋_GB2312" w:hAnsi="仿宋_GB2312" w:eastAsia="仿宋_GB2312" w:cs="仿宋_GB2312"/>
        </w:rPr>
        <w:t>其他计量方式</w:t>
      </w:r>
      <w:permStart w:id="48" w:edGrp="everyone"/>
      <w:r>
        <w:rPr>
          <w:rFonts w:hint="eastAsia" w:ascii="仿宋_GB2312" w:hAnsi="仿宋_GB2312" w:eastAsia="仿宋_GB2312" w:cs="仿宋_GB2312"/>
          <w:u w:val="single"/>
        </w:rPr>
        <w:t>/</w:t>
      </w:r>
      <w:permEnd w:id="48"/>
      <w:r>
        <w:rPr>
          <w:rFonts w:hint="eastAsia" w:ascii="仿宋_GB2312" w:hAnsi="仿宋_GB2312" w:eastAsia="仿宋_GB2312" w:cs="仿宋_GB2312"/>
          <w:color w:val="000000" w:themeColor="text1"/>
          <w14:textFill>
            <w14:solidFill>
              <w14:schemeClr w14:val="tx1"/>
            </w14:solidFill>
          </w14:textFill>
        </w:rPr>
        <w:t>方式进行数量验收，乙方应对在甲方工地现场的数量验收数据进行确认。</w:t>
      </w:r>
    </w:p>
    <w:p w14:paraId="2585DB9E">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rPr>
        <w:t>3.2数量验收凭据：</w:t>
      </w:r>
      <w:r>
        <w:rPr>
          <w:rFonts w:hint="eastAsia" w:ascii="仿宋_GB2312" w:hAnsi="仿宋_GB2312" w:eastAsia="仿宋_GB2312" w:cs="仿宋_GB2312"/>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14:textFill>
            <w14:solidFill>
              <w14:schemeClr w14:val="tx1"/>
            </w14:solidFill>
          </w14:textFill>
        </w:rPr>
        <w:t>。</w:t>
      </w:r>
    </w:p>
    <w:p w14:paraId="1B470DA0">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rPr>
        <w:t>3.3数量争议：</w:t>
      </w:r>
      <w:r>
        <w:rPr>
          <w:rFonts w:hint="eastAsia" w:ascii="仿宋_GB2312" w:hAnsi="仿宋_GB2312" w:eastAsia="仿宋_GB2312" w:cs="仿宋_GB2312"/>
          <w:color w:val="000000" w:themeColor="text1"/>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14:textFill>
            <w14:solidFill>
              <w14:schemeClr w14:val="tx1"/>
            </w14:solidFill>
          </w14:textFill>
        </w:rPr>
        <w:t>。</w:t>
      </w:r>
    </w:p>
    <w:p w14:paraId="0FE262B5">
      <w:pPr>
        <w:pStyle w:val="13"/>
        <w:spacing w:line="400" w:lineRule="atLeast"/>
        <w:ind w:firstLine="482" w:firstLineChars="200"/>
        <w:jc w:val="both"/>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3.4其他：</w:t>
      </w:r>
    </w:p>
    <w:p w14:paraId="7AF17A57">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3.4.1钢筋计量方式：</w:t>
      </w:r>
      <w:r>
        <w:rPr>
          <w:rFonts w:hint="eastAsia" w:ascii="仿宋_GB2312" w:hAnsi="仿宋_GB2312" w:eastAsia="仿宋_GB2312" w:cs="仿宋_GB2312"/>
          <w:color w:val="000000" w:themeColor="text1"/>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14:textFill>
            <w14:solidFill>
              <w14:schemeClr w14:val="tx1"/>
            </w14:solidFill>
          </w14:textFill>
        </w:rPr>
        <w:t>。</w:t>
      </w:r>
    </w:p>
    <w:p w14:paraId="1CEF4B7A">
      <w:pPr>
        <w:spacing w:line="400" w:lineRule="atLeast"/>
        <w:ind w:firstLine="480" w:firstLineChars="200"/>
        <w:rPr>
          <w:rFonts w:hint="eastAsia" w:ascii="仿宋_GB2312" w:hAnsi="仿宋_GB2312" w:eastAsia="仿宋_GB2312" w:cs="仿宋_GB2312"/>
          <w:color w:val="000000" w:themeColor="text1"/>
          <w:kern w:val="0"/>
          <w:sz w:val="24"/>
          <w:szCs w:val="24"/>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232F4224">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p>
    <w:p w14:paraId="6709291B">
      <w:pPr>
        <w:pStyle w:val="13"/>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质量验收：</w:t>
      </w:r>
    </w:p>
    <w:p w14:paraId="657ADC54">
      <w:pPr>
        <w:pStyle w:val="13"/>
        <w:spacing w:line="400" w:lineRule="atLeast"/>
        <w:ind w:firstLine="482" w:firstLineChars="200"/>
        <w:rPr>
          <w:rFonts w:hint="eastAsia" w:ascii="仿宋_GB2312" w:hAnsi="仿宋_GB2312" w:eastAsia="仿宋_GB2312" w:cs="仿宋_GB2312"/>
          <w:color w:val="FF0000"/>
        </w:rPr>
      </w:pPr>
      <w:r>
        <w:rPr>
          <w:rFonts w:hint="eastAsia" w:ascii="仿宋_GB2312" w:hAnsi="仿宋_GB2312" w:eastAsia="仿宋_GB2312" w:cs="仿宋_GB2312"/>
          <w:b/>
          <w:bCs/>
          <w:color w:val="000000" w:themeColor="text1"/>
          <w14:textFill>
            <w14:solidFill>
              <w14:schemeClr w14:val="tx1"/>
            </w14:solidFill>
          </w14:textFill>
        </w:rPr>
        <w:t>4.1外观验收：</w:t>
      </w:r>
      <w:r>
        <w:rPr>
          <w:rFonts w:hint="eastAsia" w:ascii="仿宋_GB2312" w:hAnsi="仿宋_GB2312" w:eastAsia="仿宋_GB2312" w:cs="仿宋_GB2312"/>
          <w:color w:val="000000" w:themeColor="text1"/>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35637575">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4.2质量检测：</w:t>
      </w:r>
      <w:r>
        <w:rPr>
          <w:rFonts w:hint="eastAsia" w:ascii="仿宋_GB2312" w:hAnsi="仿宋_GB2312" w:eastAsia="仿宋_GB2312" w:cs="仿宋_GB2312"/>
          <w:color w:val="000000" w:themeColor="text1"/>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439DD568">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1910D0B3">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4.3质量争议：</w:t>
      </w:r>
      <w:r>
        <w:rPr>
          <w:rFonts w:hint="eastAsia" w:ascii="仿宋_GB2312" w:hAnsi="仿宋_GB2312" w:eastAsia="仿宋_GB2312" w:cs="仿宋_GB2312"/>
          <w:color w:val="000000" w:themeColor="text1"/>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9" w:edGrp="everyone"/>
      <w:r>
        <w:rPr>
          <w:rFonts w:hint="eastAsia" w:ascii="仿宋" w:hAnsi="仿宋" w:eastAsia="仿宋" w:cs="仿宋"/>
          <w:i w:val="0"/>
          <w:iCs w:val="0"/>
          <w:caps w:val="0"/>
          <w:color w:val="auto"/>
          <w:spacing w:val="0"/>
          <w:sz w:val="24"/>
          <w:szCs w:val="24"/>
          <w:u w:val="single"/>
          <w:shd w:val="clear" w:fill="BFE6FF"/>
        </w:rPr>
        <w:fldChar w:fldCharType="begin"/>
      </w:r>
      <w:r>
        <w:rPr>
          <w:rFonts w:hint="eastAsia" w:ascii="仿宋" w:hAnsi="仿宋" w:eastAsia="仿宋" w:cs="仿宋"/>
          <w:i w:val="0"/>
          <w:iCs w:val="0"/>
          <w:caps w:val="0"/>
          <w:color w:val="auto"/>
          <w:spacing w:val="0"/>
          <w:sz w:val="24"/>
          <w:szCs w:val="24"/>
          <w:u w:val="single"/>
          <w:shd w:val="clear" w:fill="BFE6FF"/>
        </w:rPr>
        <w:instrText xml:space="preserve"> HYPERLINK "https://121.28.96.6:8374/GEPS/Professional/Contract/ZYFBHTDJListPage/ZYFBHTDJListPage.aspx?menuitemid=1003092&amp;frame=400006&amp;modulecode=GEPS.Professional.Contract.ZYFBHTDJModule&amp;tabID=400345&amp;layout=E" </w:instrText>
      </w:r>
      <w:r>
        <w:rPr>
          <w:rFonts w:hint="eastAsia" w:ascii="仿宋" w:hAnsi="仿宋" w:eastAsia="仿宋" w:cs="仿宋"/>
          <w:i w:val="0"/>
          <w:iCs w:val="0"/>
          <w:caps w:val="0"/>
          <w:color w:val="auto"/>
          <w:spacing w:val="0"/>
          <w:sz w:val="24"/>
          <w:szCs w:val="24"/>
          <w:u w:val="single"/>
          <w:shd w:val="clear" w:fill="BFE6FF"/>
        </w:rPr>
        <w:fldChar w:fldCharType="separate"/>
      </w:r>
      <w:r>
        <w:rPr>
          <w:rStyle w:val="12"/>
          <w:rFonts w:hint="eastAsia" w:ascii="仿宋" w:hAnsi="仿宋" w:eastAsia="仿宋" w:cs="仿宋"/>
          <w:i w:val="0"/>
          <w:iCs w:val="0"/>
          <w:caps w:val="0"/>
          <w:color w:val="auto"/>
          <w:spacing w:val="0"/>
          <w:sz w:val="24"/>
          <w:szCs w:val="24"/>
          <w:u w:val="single"/>
          <w:shd w:val="clear" w:fill="BFE6FF"/>
        </w:rPr>
        <w:t>河南惠金工程检测咨询有限公司</w:t>
      </w:r>
      <w:r>
        <w:rPr>
          <w:rFonts w:hint="eastAsia" w:ascii="仿宋" w:hAnsi="仿宋" w:eastAsia="仿宋" w:cs="仿宋"/>
          <w:i w:val="0"/>
          <w:iCs w:val="0"/>
          <w:caps w:val="0"/>
          <w:color w:val="auto"/>
          <w:spacing w:val="0"/>
          <w:sz w:val="24"/>
          <w:szCs w:val="24"/>
          <w:u w:val="single"/>
          <w:shd w:val="clear" w:fill="BFE6FF"/>
        </w:rPr>
        <w:fldChar w:fldCharType="end"/>
      </w:r>
      <w:r>
        <w:rPr>
          <w:rFonts w:hint="eastAsia" w:ascii="仿宋" w:hAnsi="仿宋" w:eastAsia="仿宋" w:cs="仿宋"/>
          <w:i w:val="0"/>
          <w:iCs w:val="0"/>
          <w:caps w:val="0"/>
          <w:color w:val="auto"/>
          <w:spacing w:val="0"/>
          <w:sz w:val="24"/>
          <w:szCs w:val="24"/>
          <w:u w:val="single"/>
          <w:shd w:val="clear" w:fill="BFE6FF"/>
          <w:lang w:val="en-US" w:eastAsia="zh-CN"/>
        </w:rPr>
        <w:t>或河南省水利基本建设工程质量检测中心站</w:t>
      </w:r>
      <w:permEnd w:id="49"/>
      <w:r>
        <w:rPr>
          <w:rFonts w:hint="eastAsia" w:ascii="仿宋_GB2312" w:hAnsi="仿宋_GB2312" w:eastAsia="仿宋_GB2312" w:cs="仿宋_GB2312"/>
          <w:color w:val="000000" w:themeColor="text1"/>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523154E">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DF5269B">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4.4更换原则：</w:t>
      </w:r>
      <w:r>
        <w:rPr>
          <w:rFonts w:hint="eastAsia" w:ascii="仿宋_GB2312" w:hAnsi="仿宋_GB2312" w:eastAsia="仿宋_GB2312" w:cs="仿宋_GB2312"/>
          <w:color w:val="000000" w:themeColor="text1"/>
          <w14:textFill>
            <w14:solidFill>
              <w14:schemeClr w14:val="tx1"/>
            </w14:solidFill>
          </w14:textFill>
        </w:rPr>
        <w:t>由于任何一方原因引起产品更换或补发的时间延长,均以不影响工程进度为原则，如造成影响，则由责任方承担由此导致的后果。</w:t>
      </w:r>
    </w:p>
    <w:p w14:paraId="60D6D6E8">
      <w:pPr>
        <w:pStyle w:val="13"/>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4.5验收责任：</w:t>
      </w:r>
      <w:r>
        <w:rPr>
          <w:rFonts w:hint="eastAsia" w:ascii="仿宋_GB2312" w:hAnsi="仿宋_GB2312" w:eastAsia="仿宋_GB2312" w:cs="仿宋_GB2312"/>
          <w:color w:val="000000" w:themeColor="text1"/>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14:textFill>
            <w14:solidFill>
              <w14:schemeClr w14:val="tx1"/>
            </w14:solidFill>
          </w14:textFill>
        </w:rPr>
        <w:t>若由甲方先行承担的，甲方可在任何一笔货款支付中予以扣除，乙方对此不持</w:t>
      </w:r>
      <w:r>
        <w:rPr>
          <w:rFonts w:hint="eastAsia" w:ascii="仿宋_GB2312" w:hAnsi="仿宋_GB2312" w:eastAsia="仿宋_GB2312" w:cs="仿宋_GB2312"/>
          <w:b/>
          <w:bCs/>
        </w:rPr>
        <w:t>异议。</w:t>
      </w:r>
    </w:p>
    <w:p w14:paraId="2CFF70E0">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25" w:name="_Toc22166"/>
      <w:bookmarkStart w:id="26" w:name="_Toc24231"/>
      <w:bookmarkStart w:id="27" w:name="_Toc23953"/>
      <w:r>
        <w:rPr>
          <w:rFonts w:hint="eastAsia" w:ascii="仿宋_GB2312" w:hAnsi="仿宋_GB2312" w:eastAsia="仿宋_GB2312" w:cs="仿宋_GB2312"/>
          <w:color w:val="000000" w:themeColor="text1"/>
          <w14:textFill>
            <w14:solidFill>
              <w14:schemeClr w14:val="tx1"/>
            </w14:solidFill>
          </w14:textFill>
        </w:rPr>
        <w:t>4.6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50"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80 </w:t>
      </w:r>
      <w:permEnd w:id="50"/>
      <w:r>
        <w:rPr>
          <w:rFonts w:hint="eastAsia" w:ascii="仿宋_GB2312" w:hAnsi="仿宋_GB2312" w:eastAsia="仿宋_GB2312" w:cs="仿宋_GB2312"/>
          <w:color w:val="000000" w:themeColor="text1"/>
          <w14:textFill>
            <w14:solidFill>
              <w14:schemeClr w14:val="tx1"/>
            </w14:solidFill>
          </w14:textFill>
        </w:rPr>
        <w:t>%退货，退货数量以实际数量为准。</w:t>
      </w:r>
    </w:p>
    <w:p w14:paraId="5E9A1F1C">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4.7其他：</w:t>
      </w:r>
      <w:r>
        <w:rPr>
          <w:rFonts w:hint="eastAsia" w:ascii="仿宋_GB2312" w:hAnsi="仿宋_GB2312" w:eastAsia="仿宋_GB2312" w:cs="仿宋_GB2312"/>
          <w:b/>
          <w:bCs/>
          <w:color w:val="000000" w:themeColor="text1"/>
          <w:u w:val="single"/>
          <w14:textFill>
            <w14:solidFill>
              <w14:schemeClr w14:val="tx1"/>
            </w14:solidFill>
          </w14:textFill>
        </w:rPr>
        <w:t xml:space="preserve"> </w:t>
      </w:r>
      <w:permStart w:id="51" w:edGrp="everyone"/>
      <w:r>
        <w:rPr>
          <w:rFonts w:hint="eastAsia" w:ascii="仿宋_GB2312" w:hAnsi="仿宋_GB2312" w:eastAsia="仿宋_GB2312" w:cs="仿宋_GB2312"/>
          <w:color w:val="000000" w:themeColor="text1"/>
          <w:u w:val="single"/>
          <w14:textFill>
            <w14:solidFill>
              <w14:schemeClr w14:val="tx1"/>
            </w14:solidFill>
          </w14:textFill>
        </w:rPr>
        <w:t>/</w:t>
      </w:r>
      <w:r>
        <w:rPr>
          <w:rFonts w:ascii="仿宋_GB2312" w:hAnsi="仿宋_GB2312" w:eastAsia="仿宋_GB2312" w:cs="仿宋_GB2312"/>
          <w:color w:val="000000" w:themeColor="text1"/>
          <w:u w:val="single"/>
          <w14:textFill>
            <w14:solidFill>
              <w14:schemeClr w14:val="tx1"/>
            </w14:solidFill>
          </w14:textFill>
        </w:rPr>
        <w:t xml:space="preserve"> </w:t>
      </w:r>
      <w:permEnd w:id="51"/>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p>
    <w:p w14:paraId="59A857ED">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货物结算</w:t>
      </w:r>
      <w:bookmarkEnd w:id="25"/>
      <w:bookmarkEnd w:id="26"/>
      <w:bookmarkEnd w:id="27"/>
    </w:p>
    <w:p w14:paraId="2A420860">
      <w:pPr>
        <w:pStyle w:val="13"/>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结算周期：</w:t>
      </w:r>
    </w:p>
    <w:p w14:paraId="42480638">
      <w:pPr>
        <w:pStyle w:val="13"/>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乙方每月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与甲方核对上月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至本月</w:t>
      </w:r>
      <w:r>
        <w:rPr>
          <w:rFonts w:hint="eastAsia" w:ascii="仿宋_GB2312" w:hAnsi="仿宋_GB2312" w:eastAsia="仿宋_GB2312" w:cs="仿宋_GB2312"/>
          <w:color w:val="000000" w:themeColor="text1"/>
          <w:u w:val="single"/>
          <w14:textFill>
            <w14:solidFill>
              <w14:schemeClr w14:val="tx1"/>
            </w14:solidFill>
          </w14:textFill>
        </w:rPr>
        <w:t>15日</w:t>
      </w:r>
      <w:r>
        <w:rPr>
          <w:rFonts w:hint="eastAsia" w:ascii="仿宋_GB2312" w:hAnsi="仿宋_GB2312" w:eastAsia="仿宋_GB2312" w:cs="仿宋_GB2312"/>
          <w:color w:val="000000" w:themeColor="text1"/>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02366C9">
      <w:pPr>
        <w:pStyle w:val="13"/>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结算流程：</w:t>
      </w:r>
    </w:p>
    <w:p w14:paraId="492B220F">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16C668A7">
      <w:pPr>
        <w:pStyle w:val="13"/>
        <w:numPr>
          <w:ilvl w:val="0"/>
          <w:numId w:val="4"/>
        </w:numPr>
        <w:spacing w:line="400" w:lineRule="atLeast"/>
        <w:ind w:firstLine="482"/>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6E7A09">
                                <w:pPr>
                                  <w:pStyle w:val="13"/>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5ECC1F">
                                <w:pPr>
                                  <w:pStyle w:val="13"/>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7EC9BC4A">
                                <w:pPr>
                                  <w:pStyle w:val="13"/>
                                  <w:outlineLvl w:val="0"/>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E683AB">
                                <w:pPr>
                                  <w:pStyle w:val="13"/>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C71FB0">
                                <w:pPr>
                                  <w:pStyle w:val="13"/>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LKEmJjZAAAACQEAAA8AAAAAAAAAAQAgAAAA&#10;IgAAAGRycy9kb3ducmV2LnhtbFBLAQIUABQAAAAIAIdO4kAAhVc97wQAAGoWAAAOAAAAAAAAAAEA&#10;IAAAACgBAABkcnMvZTJvRG9jLnhtbFBLBQYAAAAABgAGAFkBAACJC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B6E7A09">
                          <w:pPr>
                            <w:pStyle w:val="13"/>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B5ECC1F">
                          <w:pPr>
                            <w:pStyle w:val="13"/>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7EC9BC4A">
                          <w:pPr>
                            <w:pStyle w:val="13"/>
                            <w:outlineLvl w:val="0"/>
                            <w:rPr>
                              <w:rFonts w:hint="eastAsia"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7E683AB">
                          <w:pPr>
                            <w:pStyle w:val="13"/>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DC71FB0">
                          <w:pPr>
                            <w:pStyle w:val="13"/>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14:textFill>
            <w14:solidFill>
              <w14:schemeClr w14:val="tx1"/>
            </w14:solidFill>
          </w14:textFill>
        </w:rPr>
        <w:t>增值税专用发票：</w:t>
      </w:r>
    </w:p>
    <w:p w14:paraId="54A981EB">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3.1增值税票要求：</w:t>
      </w:r>
    </w:p>
    <w:p w14:paraId="05E9F781">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3.1.1税票信息：</w:t>
      </w:r>
      <w:r>
        <w:rPr>
          <w:rFonts w:hint="eastAsia" w:ascii="仿宋_GB2312" w:hAnsi="仿宋_GB2312" w:eastAsia="仿宋_GB2312" w:cs="仿宋_GB2312"/>
          <w:color w:val="000000" w:themeColor="text1"/>
          <w14:textFill>
            <w14:solidFill>
              <w14:schemeClr w14:val="tx1"/>
            </w14:solidFill>
          </w14:textFill>
        </w:rPr>
        <w:t>乙方应按甲方要求提供以其本单位名义开具，适用</w:t>
      </w:r>
      <w:permStart w:id="52" w:edGrp="everyone"/>
      <w:r>
        <w:rPr>
          <w:rFonts w:hint="eastAsia" w:ascii="仿宋_GB2312" w:hAnsi="仿宋_GB2312" w:eastAsia="仿宋_GB2312" w:cs="仿宋_GB2312"/>
          <w:color w:val="000000" w:themeColor="text1"/>
          <w:u w:val="single"/>
          <w14:textFill>
            <w14:solidFill>
              <w14:schemeClr w14:val="tx1"/>
            </w14:solidFill>
          </w14:textFill>
        </w:rPr>
        <w:t xml:space="preserve"> 13％</w:t>
      </w:r>
      <w:permEnd w:id="52"/>
      <w:r>
        <w:rPr>
          <w:rFonts w:hint="eastAsia" w:ascii="仿宋_GB2312" w:hAnsi="仿宋_GB2312" w:eastAsia="仿宋_GB2312" w:cs="仿宋_GB2312"/>
          <w:color w:val="000000" w:themeColor="text1"/>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7BC8CF40">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3.1.2计税方式：</w:t>
      </w:r>
      <w:r>
        <w:rPr>
          <w:rFonts w:hint="eastAsia" w:ascii="仿宋_GB2312" w:hAnsi="仿宋_GB2312" w:eastAsia="仿宋_GB2312" w:cs="仿宋_GB2312"/>
          <w:color w:val="000000" w:themeColor="text1"/>
          <w14:textFill>
            <w14:solidFill>
              <w14:schemeClr w14:val="tx1"/>
            </w14:solidFill>
          </w14:textFill>
        </w:rPr>
        <w:t>本合同所涉应税行为计税方法为</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53" w:edGrp="everyone"/>
      <w:r>
        <w:rPr>
          <w:rFonts w:hint="eastAsia" w:ascii="仿宋_GB2312" w:hAnsi="仿宋_GB2312" w:eastAsia="仿宋_GB2312" w:cs="仿宋_GB2312"/>
          <w:color w:val="000000" w:themeColor="text1"/>
          <w:u w:val="single"/>
          <w14:textFill>
            <w14:solidFill>
              <w14:schemeClr w14:val="tx1"/>
            </w14:solidFill>
          </w14:textFill>
        </w:rPr>
        <w:t>一般计税方法</w:t>
      </w:r>
      <w:permEnd w:id="53"/>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p>
    <w:p w14:paraId="61C3BDB6">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3.1.3税票金额：</w:t>
      </w:r>
      <w:r>
        <w:rPr>
          <w:rFonts w:hint="eastAsia" w:ascii="仿宋_GB2312" w:hAnsi="仿宋_GB2312" w:eastAsia="仿宋_GB2312" w:cs="仿宋_GB2312"/>
          <w:color w:val="000000" w:themeColor="text1"/>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2D51EBE0">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3.1.4税率变化：</w:t>
      </w:r>
      <w:r>
        <w:rPr>
          <w:rFonts w:hint="eastAsia" w:ascii="仿宋_GB2312" w:hAnsi="仿宋_GB2312" w:eastAsia="仿宋_GB2312" w:cs="仿宋_GB2312"/>
          <w:color w:val="000000" w:themeColor="text1"/>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3AD2B469">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3.2 税票丢失：</w:t>
      </w:r>
      <w:r>
        <w:rPr>
          <w:rFonts w:hint="eastAsia" w:ascii="仿宋_GB2312" w:hAnsi="仿宋_GB2312" w:eastAsia="仿宋_GB2312" w:cs="仿宋_GB2312"/>
          <w:color w:val="000000" w:themeColor="text1"/>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05FF749">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3B25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3C9E8EE0">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ermStart w:id="54" w:edGrp="everyone"/>
            <w:r>
              <w:rPr>
                <w:rFonts w:hint="eastAsia" w:ascii="仿宋_GB2312" w:hAnsi="仿宋_GB2312" w:eastAsia="仿宋_GB2312" w:cs="仿宋_GB2312"/>
                <w:b/>
                <w:color w:val="000000" w:themeColor="text1"/>
                <w:sz w:val="24"/>
                <w:szCs w:val="24"/>
                <w14:textFill>
                  <w14:solidFill>
                    <w14:schemeClr w14:val="tx1"/>
                  </w14:solidFill>
                </w14:textFill>
              </w:rPr>
              <w:t>甲方</w:t>
            </w:r>
          </w:p>
        </w:tc>
        <w:tc>
          <w:tcPr>
            <w:tcW w:w="1845" w:type="dxa"/>
            <w:tcBorders>
              <w:top w:val="single" w:color="auto" w:sz="12" w:space="0"/>
            </w:tcBorders>
            <w:vAlign w:val="bottom"/>
          </w:tcPr>
          <w:p w14:paraId="29DBFBA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single" w:color="auto" w:sz="12" w:space="0"/>
              <w:right w:val="single" w:color="auto" w:sz="12" w:space="0"/>
            </w:tcBorders>
          </w:tcPr>
          <w:p w14:paraId="7752B638">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中建路桥集团第四工程有限公司</w:t>
            </w:r>
          </w:p>
        </w:tc>
      </w:tr>
      <w:tr w14:paraId="682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8B20ABF">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51530C2A">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7A068BBC">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一般纳税人</w:t>
            </w:r>
          </w:p>
        </w:tc>
      </w:tr>
      <w:tr w14:paraId="5CEC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BF51AF9">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3518C5E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126C39A9">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9113050056736039XB</w:t>
            </w:r>
          </w:p>
        </w:tc>
      </w:tr>
      <w:tr w14:paraId="047D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F665D66">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151A06F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tcPr>
          <w:p w14:paraId="2289332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河南省郑州航空港经济综合实验区云港路世航之窗B座911室、0371-55027600</w:t>
            </w:r>
          </w:p>
        </w:tc>
      </w:tr>
      <w:tr w14:paraId="6541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055D845">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0856BBDE">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right w:val="single" w:color="auto" w:sz="12" w:space="0"/>
            </w:tcBorders>
          </w:tcPr>
          <w:p w14:paraId="0271DD3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交通银行郑州中原中路支行411152999011002693623</w:t>
            </w:r>
          </w:p>
        </w:tc>
      </w:tr>
      <w:tr w14:paraId="062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0D770B70">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tcBorders>
              <w:bottom w:val="double" w:color="auto" w:sz="4" w:space="0"/>
            </w:tcBorders>
            <w:vAlign w:val="bottom"/>
          </w:tcPr>
          <w:p w14:paraId="2AFE7B7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      注</w:t>
            </w:r>
          </w:p>
          <w:p w14:paraId="7FD34B69"/>
        </w:tc>
        <w:tc>
          <w:tcPr>
            <w:tcW w:w="6143" w:type="dxa"/>
            <w:tcBorders>
              <w:bottom w:val="double" w:color="auto" w:sz="4" w:space="0"/>
              <w:right w:val="single" w:color="auto" w:sz="12" w:space="0"/>
            </w:tcBorders>
          </w:tcPr>
          <w:p w14:paraId="6800EA69">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r>
      <w:tr w14:paraId="6AB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226AFF56">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乙方</w:t>
            </w:r>
          </w:p>
        </w:tc>
        <w:tc>
          <w:tcPr>
            <w:tcW w:w="1845" w:type="dxa"/>
            <w:tcBorders>
              <w:top w:val="double" w:color="auto" w:sz="4" w:space="0"/>
            </w:tcBorders>
            <w:vAlign w:val="bottom"/>
          </w:tcPr>
          <w:p w14:paraId="7DD2486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double" w:color="auto" w:sz="4" w:space="0"/>
              <w:right w:val="single" w:color="auto" w:sz="12" w:space="0"/>
            </w:tcBorders>
          </w:tcPr>
          <w:p w14:paraId="0730802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29FC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17B43A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30E02E06">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23525E6B">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05F0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8CB9C3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6635C1D3">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3759AA8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76FA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78D52E1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2555A00A">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vAlign w:val="bottom"/>
          </w:tcPr>
          <w:p w14:paraId="60E97353">
            <w:pPr>
              <w:pStyle w:val="13"/>
              <w:jc w:val="both"/>
              <w:rPr>
                <w:rFonts w:hint="eastAsia" w:ascii="仿宋_GB2312" w:hAnsi="仿宋_GB2312" w:eastAsia="仿宋_GB2312" w:cs="仿宋_GB2312"/>
                <w:bCs/>
                <w:color w:val="000000" w:themeColor="text1"/>
                <w:kern w:val="2"/>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tc>
      </w:tr>
      <w:tr w14:paraId="117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778C56D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tcBorders>
              <w:bottom w:val="single" w:color="auto" w:sz="12" w:space="0"/>
            </w:tcBorders>
            <w:vAlign w:val="bottom"/>
          </w:tcPr>
          <w:p w14:paraId="5DEC7269">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bottom w:val="single" w:color="auto" w:sz="12" w:space="0"/>
              <w:right w:val="single" w:color="auto" w:sz="12" w:space="0"/>
            </w:tcBorders>
          </w:tcPr>
          <w:p w14:paraId="52EE0D2C">
            <w:pPr>
              <w:snapToGrid w:val="0"/>
              <w:spacing w:line="400" w:lineRule="atLeast"/>
              <w:contextualSpacing/>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permEnd w:id="54"/>
    </w:tbl>
    <w:p w14:paraId="621C627D">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任何一方如上述信息发生变更，应提前10日以书面方式通知另一方。如一方未按本合同规定通知而使另一方遭受损失的，应予以赔偿。</w:t>
      </w:r>
    </w:p>
    <w:p w14:paraId="75FB3F35">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9" w:name="_Toc32138"/>
      <w:bookmarkStart w:id="30" w:name="_Toc21859"/>
      <w:bookmarkStart w:id="31" w:name="_Toc27325"/>
      <w:r>
        <w:rPr>
          <w:rFonts w:hint="eastAsia" w:ascii="仿宋_GB2312" w:hAnsi="仿宋_GB2312" w:eastAsia="仿宋_GB2312" w:cs="仿宋_GB2312"/>
          <w:b/>
          <w:bCs/>
          <w:color w:val="000000" w:themeColor="text1"/>
          <w14:textFill>
            <w14:solidFill>
              <w14:schemeClr w14:val="tx1"/>
            </w14:solidFill>
          </w14:textFill>
        </w:rPr>
        <w:t>货物付款</w:t>
      </w:r>
      <w:bookmarkEnd w:id="29"/>
      <w:bookmarkEnd w:id="30"/>
      <w:bookmarkEnd w:id="31"/>
    </w:p>
    <w:p w14:paraId="42B4C060">
      <w:pPr>
        <w:pStyle w:val="13"/>
        <w:spacing w:line="400" w:lineRule="atLeast"/>
        <w:ind w:firstLine="482" w:firstLineChars="200"/>
        <w:jc w:val="both"/>
        <w:outlineLvl w:val="1"/>
        <w:rPr>
          <w:rFonts w:hint="eastAsia" w:ascii="仿宋_GB2312" w:hAnsi="仿宋_GB2312" w:eastAsia="仿宋_GB2312" w:cs="仿宋_GB2312"/>
          <w:b/>
          <w:bCs/>
          <w:color w:val="000000" w:themeColor="text1"/>
          <w14:textFill>
            <w14:solidFill>
              <w14:schemeClr w14:val="tx1"/>
            </w14:solidFill>
          </w14:textFill>
        </w:rPr>
      </w:pPr>
      <w:bookmarkStart w:id="32" w:name="_Toc12208"/>
      <w:bookmarkStart w:id="33" w:name="_Toc10245"/>
      <w:bookmarkStart w:id="34" w:name="_Toc24664"/>
      <w:r>
        <w:rPr>
          <w:rFonts w:hint="eastAsia" w:ascii="仿宋_GB2312" w:hAnsi="仿宋_GB2312" w:eastAsia="仿宋_GB2312" w:cs="仿宋_GB2312"/>
          <w:b/>
          <w:bCs/>
          <w:color w:val="000000" w:themeColor="text1"/>
          <w14:textFill>
            <w14:solidFill>
              <w14:schemeClr w14:val="tx1"/>
            </w14:solidFill>
          </w14:textFill>
        </w:rPr>
        <w:t>1、支付周期及支付比例：</w:t>
      </w:r>
      <w:r>
        <w:rPr>
          <w:rFonts w:hint="eastAsia" w:ascii="仿宋_GB2312" w:hAnsi="仿宋_GB2312" w:eastAsia="仿宋_GB2312" w:cs="仿宋_GB2312"/>
          <w:color w:val="000000" w:themeColor="text1"/>
          <w14:textFill>
            <w14:solidFill>
              <w14:schemeClr w14:val="tx1"/>
            </w14:solidFill>
          </w14:textFill>
        </w:rPr>
        <w:t>双方办理完结算后，适用第</w:t>
      </w:r>
      <w:permStart w:id="5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14:textFill>
            <w14:solidFill>
              <w14:schemeClr w14:val="tx1"/>
            </w14:solidFill>
          </w14:textFill>
        </w:rPr>
        <w:t>条付款条件：</w:t>
      </w:r>
    </w:p>
    <w:p w14:paraId="2B4500E9">
      <w:pPr>
        <w:pStyle w:val="13"/>
        <w:spacing w:line="400" w:lineRule="atLeast"/>
        <w:ind w:firstLine="480" w:firstLineChars="200"/>
        <w:jc w:val="both"/>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1.1本合同无预付款，货款来源于项目工程结算款。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permStart w:id="5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三</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14:textFill>
            <w14:solidFill>
              <w14:schemeClr w14:val="tx1"/>
            </w14:solidFill>
          </w14:textFill>
        </w:rPr>
        <w:t>个月内支付当期结算货款的</w:t>
      </w:r>
      <w:permStart w:id="5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lang w:val="en-US" w:eastAsia="zh-CN"/>
          <w14:textFill>
            <w14:solidFill>
              <w14:schemeClr w14:val="tx1"/>
            </w14:solidFill>
          </w14:textFill>
        </w:rPr>
        <w:t>100</w:t>
      </w:r>
      <w:bookmarkStart w:id="135" w:name="_GoBack"/>
      <w:bookmarkEnd w:id="135"/>
      <w:r>
        <w:rPr>
          <w:rFonts w:hint="eastAsia" w:ascii="仿宋_GB2312" w:hAnsi="仿宋_GB2312" w:eastAsia="仿宋_GB2312" w:cs="仿宋_GB2312"/>
          <w:color w:val="000000" w:themeColor="text1"/>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14:textFill>
            <w14:solidFill>
              <w14:schemeClr w14:val="tx1"/>
            </w14:solidFill>
          </w14:textFill>
        </w:rPr>
        <w:t>%，</w:t>
      </w:r>
      <w:permStart w:id="58"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14:textFill>
            <w14:solidFill>
              <w14:schemeClr w14:val="tx1"/>
            </w14:solidFill>
          </w14:textFill>
        </w:rPr>
        <w:t>个月内支付至当期结算货款的</w:t>
      </w:r>
      <w:permStart w:id="59"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14:textFill>
            <w14:solidFill>
              <w14:schemeClr w14:val="tx1"/>
            </w14:solidFill>
          </w14:textFill>
        </w:rPr>
        <w:t>%，余下</w:t>
      </w:r>
      <w:permStart w:id="60"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14:textFill>
            <w14:solidFill>
              <w14:schemeClr w14:val="tx1"/>
            </w14:solidFill>
          </w14:textFill>
        </w:rPr>
        <w:t>%结算货款在乙方供货完毕、办理完最终结算后</w:t>
      </w:r>
      <w:permStart w:id="61"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14:textFill>
            <w14:solidFill>
              <w14:schemeClr w14:val="tx1"/>
            </w14:solidFill>
          </w14:textFill>
        </w:rPr>
        <w:t>日内付清。以此类推。</w:t>
      </w:r>
    </w:p>
    <w:p w14:paraId="1140C2EA">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1.2其他：</w:t>
      </w:r>
      <w:permStart w:id="62" w:edGrp="everyone"/>
      <w:r>
        <w:rPr>
          <w:rFonts w:hint="eastAsia" w:ascii="仿宋_GB2312" w:hAnsi="仿宋_GB2312" w:eastAsia="仿宋_GB2312" w:cs="仿宋_GB2312"/>
          <w:color w:val="000000" w:themeColor="text1"/>
          <w:u w:val="single"/>
          <w:lang w:val="en-US" w:eastAsia="zh-CN"/>
          <w14:textFill>
            <w14:solidFill>
              <w14:schemeClr w14:val="tx1"/>
            </w14:solidFill>
          </w14:textFill>
        </w:rPr>
        <w:t>/</w:t>
      </w:r>
      <w:permEnd w:id="62"/>
    </w:p>
    <w:p w14:paraId="7C823D6E">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2、支付形式：</w:t>
      </w:r>
      <w:r>
        <w:rPr>
          <w:rFonts w:hint="eastAsia" w:ascii="仿宋_GB2312" w:hAnsi="仿宋_GB2312" w:eastAsia="仿宋_GB2312" w:cs="仿宋_GB2312"/>
          <w:color w:val="000000" w:themeColor="text1"/>
          <w14:textFill>
            <w14:solidFill>
              <w14:schemeClr w14:val="tx1"/>
            </w14:solidFill>
          </w14:textFill>
        </w:rPr>
        <w:t>本合同付款形式适用第</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u w:val="single"/>
          <w14:textFill>
            <w14:solidFill>
              <w14:schemeClr w14:val="tx1"/>
            </w14:solidFill>
          </w14:textFill>
        </w:rPr>
        <w:t xml:space="preserve">  2.2 </w:t>
      </w:r>
      <w:permEnd w:id="63"/>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条；</w:t>
      </w:r>
    </w:p>
    <w:p w14:paraId="2B7BAE88">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2.1货币付款。</w:t>
      </w:r>
    </w:p>
    <w:p w14:paraId="42E35DC4">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4" w:edGrp="everyone"/>
      <w:r>
        <w:rPr>
          <w:rFonts w:hint="eastAsia" w:ascii="仿宋_GB2312" w:hAnsi="仿宋_GB2312" w:eastAsia="仿宋_GB2312" w:cs="仿宋_GB2312"/>
          <w:color w:val="000000" w:themeColor="text1"/>
          <w:u w:val="single"/>
          <w14:textFill>
            <w14:solidFill>
              <w14:schemeClr w14:val="tx1"/>
            </w14:solidFill>
          </w14:textFill>
        </w:rPr>
        <w:t xml:space="preserve">  40  </w:t>
      </w:r>
      <w:permEnd w:id="64"/>
      <w:r>
        <w:rPr>
          <w:rFonts w:hint="eastAsia" w:ascii="仿宋_GB2312" w:hAnsi="仿宋_GB2312" w:eastAsia="仿宋_GB2312" w:cs="仿宋_GB2312"/>
          <w:color w:val="000000" w:themeColor="text1"/>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790F12F">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3、付款条件：乙方向甲方申请付款时，应先行满足以下条件：</w:t>
      </w:r>
    </w:p>
    <w:p w14:paraId="7E816EC3">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3.1所供产品无质量缺陷，乙方无违约记录，产品出厂合格证明以及检测报告完整无误。</w:t>
      </w:r>
    </w:p>
    <w:p w14:paraId="4683351C">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3.2乙方申请付款依据的结算单已由甲方最终有效确认，付款期限已经届满。</w:t>
      </w:r>
    </w:p>
    <w:p w14:paraId="32996032">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3.3乙方已向甲方提供与结算等额增值税专用发票，且甲方已完成发票认证。</w:t>
      </w:r>
    </w:p>
    <w:p w14:paraId="410C1CA8">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在支付条件达成的基础上，甲方按以上方式向乙方付款，预付款不适用上述条件。</w:t>
      </w:r>
    </w:p>
    <w:p w14:paraId="08B41F3E">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4、乙方收款账户：</w:t>
      </w:r>
      <w:permStart w:id="6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5"/>
    </w:p>
    <w:p w14:paraId="011F4892">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开户银行：</w:t>
      </w:r>
      <w:permStart w:id="6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6"/>
    </w:p>
    <w:p w14:paraId="282FC19D">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银行帐号：</w:t>
      </w:r>
      <w:permStart w:id="6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7"/>
    </w:p>
    <w:p w14:paraId="4B235CD5">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乙方指定</w:t>
      </w:r>
      <w:permStart w:id="6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14:textFill>
            <w14:solidFill>
              <w14:schemeClr w14:val="tx1"/>
            </w14:solidFill>
          </w14:textFill>
        </w:rPr>
        <w:t>（身份证号：</w:t>
      </w:r>
      <w:permStart w:id="6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14:textFill>
            <w14:solidFill>
              <w14:schemeClr w14:val="tx1"/>
            </w14:solidFill>
          </w14:textFill>
        </w:rPr>
        <w:t>）作为收款经办人，同甲方相关人员沟通洽商付款具体事宜。</w:t>
      </w:r>
    </w:p>
    <w:p w14:paraId="26AD3095">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甲方仅向乙方本单位名下银行账户支付价款，未经甲方同意，乙方不得委托任何第三方代为收款，否则甲方有权拒绝付款。</w:t>
      </w:r>
    </w:p>
    <w:p w14:paraId="5D2D9427">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5、账户变动：</w:t>
      </w:r>
      <w:r>
        <w:rPr>
          <w:rFonts w:hint="eastAsia" w:ascii="仿宋_GB2312" w:hAnsi="仿宋_GB2312" w:eastAsia="仿宋_GB2312" w:cs="仿宋_GB2312"/>
          <w:color w:val="000000" w:themeColor="text1"/>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89975B5">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6、履约保证金缴纳及退还：</w:t>
      </w:r>
    </w:p>
    <w:p w14:paraId="72457CEA">
      <w:pPr>
        <w:spacing w:line="400" w:lineRule="atLeast"/>
        <w:ind w:firstLine="482"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14:textFill>
            <w14:solidFill>
              <w14:schemeClr w14:val="tx1"/>
            </w14:solidFill>
          </w14:textFill>
        </w:rPr>
        <w:t>乙方在签订合同前应向甲方缴纳合同额的</w:t>
      </w:r>
      <w:permStart w:id="7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6ED606E1">
      <w:pPr>
        <w:spacing w:line="4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2 </w:t>
      </w:r>
      <w:permEnd w:id="70"/>
      <w:r>
        <w:rPr>
          <w:rFonts w:hint="eastAsia" w:ascii="仿宋_GB2312" w:hAnsi="仿宋_GB2312" w:eastAsia="仿宋_GB2312" w:cs="仿宋_GB2312"/>
          <w:color w:val="000000" w:themeColor="text1"/>
          <w:sz w:val="24"/>
          <w:szCs w:val="24"/>
          <w14:textFill>
            <w14:solidFill>
              <w14:schemeClr w14:val="tx1"/>
            </w14:solidFill>
          </w14:textFill>
        </w:rPr>
        <w:t>％或</w:t>
      </w:r>
      <w:permStart w:id="7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w:t>
      </w:r>
      <w:permEnd w:id="71"/>
      <w:r>
        <w:rPr>
          <w:rFonts w:hint="eastAsia" w:ascii="仿宋_GB2312" w:hAnsi="仿宋_GB2312" w:eastAsia="仿宋_GB2312" w:cs="仿宋_GB2312"/>
          <w:color w:val="000000" w:themeColor="text1"/>
          <w:sz w:val="24"/>
          <w:szCs w:val="24"/>
          <w14:textFill>
            <w14:solidFill>
              <w14:schemeClr w14:val="tx1"/>
            </w14:solidFill>
          </w14:textFill>
        </w:rPr>
        <w:t>元的履约保证金，具体缴纳形式采用第</w:t>
      </w:r>
      <w:permStart w:id="7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6.1.2 </w:t>
      </w:r>
      <w:permEnd w:id="72"/>
      <w:r>
        <w:rPr>
          <w:rFonts w:hint="eastAsia" w:ascii="仿宋_GB2312" w:hAnsi="仿宋_GB2312" w:eastAsia="仿宋_GB2312" w:cs="仿宋_GB2312"/>
          <w:color w:val="000000" w:themeColor="text1"/>
          <w:sz w:val="24"/>
          <w:szCs w:val="24"/>
          <w14:textFill>
            <w14:solidFill>
              <w14:schemeClr w14:val="tx1"/>
            </w14:solidFill>
          </w14:textFill>
        </w:rPr>
        <w:t>种：</w:t>
      </w:r>
    </w:p>
    <w:p w14:paraId="23D2D8E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6.1.1无需缴纳履约保证金。</w:t>
      </w:r>
    </w:p>
    <w:p w14:paraId="6AD7F6CC">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A23EAFD">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4EFAE7EA">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6.1.4履约保函（只接受银行保函，不接受商业保函）。</w:t>
      </w:r>
    </w:p>
    <w:p w14:paraId="0A9FED87">
      <w:pPr>
        <w:spacing w:line="400" w:lineRule="atLeast"/>
        <w:ind w:firstLine="480"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6.1.5其他</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Start w:id="7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14:textFill>
            <w14:solidFill>
              <w14:schemeClr w14:val="tx1"/>
            </w14:solidFill>
          </w14:textFill>
        </w:rPr>
        <w:t>。</w:t>
      </w:r>
    </w:p>
    <w:p w14:paraId="34680EA3">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6.1.6履约保证金缴纳账户：</w:t>
      </w:r>
    </w:p>
    <w:p w14:paraId="17065EB5">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户名：</w:t>
      </w:r>
      <w:permStart w:id="7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中建路桥集团有限公司</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漯河市引澧入颍工程EPC总承包项目经理部</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6A6BF0E9">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帐号：</w:t>
      </w:r>
      <w:permStart w:id="7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41110301013008820</w:t>
      </w:r>
      <w:permEnd w:id="75"/>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A060C76">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w:t>
      </w:r>
      <w:permStart w:id="7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漯河市中原银行郾城区支行</w:t>
      </w:r>
      <w:permEnd w:id="76"/>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6518E155">
      <w:pPr>
        <w:pStyle w:val="13"/>
        <w:spacing w:line="400" w:lineRule="atLeast"/>
        <w:ind w:firstLine="482" w:firstLineChars="200"/>
        <w:rPr>
          <w:rFonts w:hint="eastAsia"/>
        </w:rPr>
      </w:pPr>
      <w:r>
        <w:rPr>
          <w:rFonts w:hint="eastAsia" w:ascii="仿宋_GB2312" w:hAnsi="仿宋_GB2312" w:eastAsia="仿宋_GB2312" w:cs="仿宋_GB2312"/>
          <w:b/>
          <w:bCs/>
          <w:color w:val="000000" w:themeColor="text1"/>
          <w14:textFill>
            <w14:solidFill>
              <w14:schemeClr w14:val="tx1"/>
            </w14:solidFill>
          </w14:textFill>
        </w:rPr>
        <w:t>6.2.履约保证金退还：</w:t>
      </w:r>
      <w:r>
        <w:rPr>
          <w:rFonts w:hint="eastAsia" w:ascii="仿宋_GB2312" w:hAnsi="仿宋_GB2312" w:eastAsia="仿宋_GB2312" w:cs="仿宋_GB2312"/>
          <w:color w:val="000000" w:themeColor="text1"/>
          <w:kern w:val="2"/>
          <w14:textFill>
            <w14:solidFill>
              <w14:schemeClr w14:val="tx1"/>
            </w14:solidFill>
          </w14:textFill>
        </w:rPr>
        <w:t>在合同完成后</w:t>
      </w:r>
      <w:permStart w:id="77" w:edGrp="everyone"/>
      <w:r>
        <w:rPr>
          <w:rFonts w:hint="eastAsia" w:ascii="仿宋_GB2312" w:hAnsi="仿宋_GB2312" w:eastAsia="仿宋_GB2312" w:cs="仿宋_GB2312"/>
          <w:color w:val="000000" w:themeColor="text1"/>
          <w:kern w:val="2"/>
          <w:u w:val="single"/>
          <w14:textFill>
            <w14:solidFill>
              <w14:schemeClr w14:val="tx1"/>
            </w14:solidFill>
          </w14:textFill>
        </w:rPr>
        <w:t>60</w:t>
      </w:r>
      <w:permEnd w:id="77"/>
      <w:r>
        <w:rPr>
          <w:rFonts w:hint="eastAsia" w:ascii="仿宋_GB2312" w:hAnsi="仿宋_GB2312" w:eastAsia="仿宋_GB2312" w:cs="仿宋_GB2312"/>
          <w:color w:val="000000" w:themeColor="text1"/>
          <w:kern w:val="2"/>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14:textFill>
            <w14:solidFill>
              <w14:schemeClr w14:val="tx1"/>
            </w14:solidFill>
          </w14:textFill>
        </w:rPr>
        <w:t>。</w:t>
      </w:r>
    </w:p>
    <w:p w14:paraId="06896B40">
      <w:pPr>
        <w:spacing w:line="400" w:lineRule="atLeas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6.3已缴纳履约保证金的，如发生以下任何一种情况履约保证金不予退还：</w:t>
      </w:r>
    </w:p>
    <w:p w14:paraId="60E422E8">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6.3.1无法正常供货的情况，包括任何原因的不供货或连续5日历天未能按甲方要求的数量供货。</w:t>
      </w:r>
    </w:p>
    <w:p w14:paraId="2B1C0203">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6.3.2供应的物资不符合国家、甲方、业主和监理相关标准和要求，且在规定时间内不予调换、处理的情况。</w:t>
      </w:r>
    </w:p>
    <w:p w14:paraId="6C85FDDC">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6.3.3不服从甲方管理的。</w:t>
      </w:r>
    </w:p>
    <w:p w14:paraId="6B68D9C7">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6.3.4因乙方原因给甲方造成损失的。</w:t>
      </w:r>
    </w:p>
    <w:p w14:paraId="3077A70C">
      <w:pPr>
        <w:spacing w:line="400" w:lineRule="atLeast"/>
        <w:ind w:firstLine="480" w:firstLineChars="200"/>
      </w:pPr>
      <w:r>
        <w:rPr>
          <w:rFonts w:hint="eastAsia" w:ascii="仿宋_GB2312" w:hAnsi="仿宋_GB2312" w:eastAsia="仿宋_GB2312" w:cs="仿宋_GB2312"/>
          <w:color w:val="000000" w:themeColor="text1"/>
          <w:sz w:val="24"/>
          <w:szCs w:val="24"/>
          <w14:textFill>
            <w14:solidFill>
              <w14:schemeClr w14:val="tx1"/>
            </w14:solidFill>
          </w14:textFill>
        </w:rPr>
        <w:t>6.3.5如履约保证金不足以弥补甲方损失，甲方有权要求相应补偿。</w:t>
      </w:r>
    </w:p>
    <w:p w14:paraId="795045A8">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178D371E">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F8841C2">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9、甲方拖欠线索受理联系人：</w:t>
      </w:r>
    </w:p>
    <w:p w14:paraId="494F6A5F">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项目部联系人：</w:t>
      </w:r>
      <w:permStart w:id="78"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孟德友</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End w:id="78"/>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15030512229</w:t>
      </w:r>
      <w:permEnd w:id="79"/>
      <w:r>
        <w:rPr>
          <w:rFonts w:hint="eastAsia" w:ascii="仿宋_GB2312" w:hAnsi="仿宋_GB2312" w:eastAsia="仿宋_GB2312" w:cs="仿宋_GB2312"/>
          <w:b/>
          <w:bCs/>
          <w:color w:val="000000" w:themeColor="text1"/>
          <w:sz w:val="24"/>
          <w:szCs w:val="24"/>
          <w14:textFill>
            <w14:solidFill>
              <w14:schemeClr w14:val="tx1"/>
            </w14:solidFill>
          </w14:textFill>
        </w:rPr>
        <w:t xml:space="preserve">； </w:t>
      </w:r>
    </w:p>
    <w:p w14:paraId="06B08F83">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公司联系人：</w:t>
      </w:r>
      <w:permStart w:id="80"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程振宁  </w:t>
      </w:r>
      <w:permEnd w:id="80"/>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81"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0371-55027809</w:t>
      </w:r>
      <w:permEnd w:id="81"/>
    </w:p>
    <w:p w14:paraId="3E7E55A1">
      <w:pPr>
        <w:spacing w:line="480" w:lineRule="exact"/>
        <w:ind w:firstLine="482" w:firstLineChars="200"/>
        <w:rPr>
          <w:rFonts w:hint="eastAsia" w:ascii="仿宋_GB2312" w:hAnsi="仿宋_GB2312" w:eastAsia="仿宋_GB2312" w:cs="仿宋_GB2312"/>
          <w:b/>
          <w:bCs/>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公司信访投诉电话：</w:t>
      </w:r>
      <w:permStart w:id="82"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0371-55027809</w:t>
      </w:r>
      <w:permEnd w:id="82"/>
    </w:p>
    <w:p w14:paraId="0FA7CE71">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信访投诉邮箱：</w:t>
      </w:r>
      <w:permStart w:id="83"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u w:val="single"/>
          <w14:textFill>
            <w14:solidFill>
              <w14:schemeClr w14:val="tx1"/>
            </w14:solidFill>
          </w14:textFill>
        </w:rPr>
        <w:instrText xml:space="preserve"> HYPERLINK "mailto:1019070253@qq.com" </w:instrText>
      </w:r>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u w:val="single"/>
          <w14:textFill>
            <w14:solidFill>
              <w14:schemeClr w14:val="tx1"/>
            </w14:solidFill>
          </w14:textFill>
        </w:rPr>
        <w:t>1019070253@qq.com</w:t>
      </w:r>
      <w:r>
        <w:rPr>
          <w:rFonts w:hint="eastAsia" w:ascii="仿宋_GB2312" w:hAnsi="仿宋_GB2312" w:eastAsia="仿宋_GB2312" w:cs="仿宋_GB2312"/>
          <w:b/>
          <w:bCs/>
          <w:color w:val="000000" w:themeColor="text1"/>
          <w:sz w:val="24"/>
          <w:szCs w:val="24"/>
          <w:u w:val="single"/>
          <w14:textFill>
            <w14:solidFill>
              <w14:schemeClr w14:val="tx1"/>
            </w14:solidFill>
          </w14:textFill>
        </w:rPr>
        <w:fldChar w:fldCharType="end"/>
      </w:r>
      <w:permEnd w:id="83"/>
    </w:p>
    <w:p w14:paraId="33A78D6F">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云筑网中建系统账款投诉平台：https://ts.yzw.cn</w:t>
      </w:r>
    </w:p>
    <w:p w14:paraId="3DE9A0A2">
      <w:pPr>
        <w:pStyle w:val="13"/>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10、其他：</w:t>
      </w:r>
      <w:permStart w:id="84"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14:textFill>
            <w14:solidFill>
              <w14:schemeClr w14:val="tx1"/>
            </w14:solidFill>
          </w14:textFill>
        </w:rPr>
        <w:t>。</w:t>
      </w:r>
    </w:p>
    <w:p w14:paraId="46C4415D">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通知与送达</w:t>
      </w:r>
      <w:bookmarkEnd w:id="32"/>
      <w:bookmarkEnd w:id="33"/>
      <w:bookmarkEnd w:id="34"/>
    </w:p>
    <w:p w14:paraId="720C76CE">
      <w:pPr>
        <w:pStyle w:val="13"/>
        <w:numPr>
          <w:ilvl w:val="0"/>
          <w:numId w:val="5"/>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本合同中涉及合同、文件、律师函、诉讼文书的送达地址或邮箱及法律后果作如下约定：</w:t>
      </w:r>
    </w:p>
    <w:p w14:paraId="6336BDDC">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1.1甲方确认其有效的送达地址为：</w:t>
      </w:r>
      <w:permStart w:id="8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中建路桥集团有限公司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漯河市引澧入颍工程EPC总承包项目经理部</w:t>
      </w:r>
      <w:permEnd w:id="85"/>
      <w:r>
        <w:rPr>
          <w:rFonts w:hint="eastAsia" w:ascii="仿宋_GB2312" w:hAnsi="仿宋_GB2312" w:eastAsia="仿宋_GB2312" w:cs="仿宋_GB2312"/>
          <w:color w:val="000000" w:themeColor="text1"/>
          <w14:textFill>
            <w14:solidFill>
              <w14:schemeClr w14:val="tx1"/>
            </w14:solidFill>
          </w14:textFill>
        </w:rPr>
        <w:t>；</w:t>
      </w:r>
    </w:p>
    <w:p w14:paraId="461E9908">
      <w:pPr>
        <w:pStyle w:val="13"/>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8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梅增辉   18731790082</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14:textFill>
            <w14:solidFill>
              <w14:schemeClr w14:val="tx1"/>
            </w14:solidFill>
          </w14:textFill>
        </w:rPr>
        <w:t>；邮箱：</w:t>
      </w:r>
      <w:permStart w:id="87" w:edGrp="everyone"/>
      <w:r>
        <w:rPr>
          <w:rFonts w:hint="eastAsia" w:ascii="仿宋_GB2312" w:hAnsi="仿宋_GB2312" w:eastAsia="仿宋_GB2312" w:cs="仿宋_GB2312"/>
          <w:color w:val="000000" w:themeColor="text1"/>
          <w:u w:val="single"/>
          <w14:textFill>
            <w14:solidFill>
              <w14:schemeClr w14:val="tx1"/>
            </w14:solidFill>
          </w14:textFill>
        </w:rPr>
        <w:t>/</w:t>
      </w:r>
      <w:permEnd w:id="87"/>
      <w:r>
        <w:rPr>
          <w:rFonts w:hint="eastAsia" w:ascii="仿宋_GB2312" w:hAnsi="仿宋_GB2312" w:eastAsia="仿宋_GB2312" w:cs="仿宋_GB2312"/>
          <w:color w:val="000000" w:themeColor="text1"/>
          <w14:textFill>
            <w14:solidFill>
              <w14:schemeClr w14:val="tx1"/>
            </w14:solidFill>
          </w14:textFill>
        </w:rPr>
        <w:t>；</w:t>
      </w:r>
    </w:p>
    <w:p w14:paraId="1EE1A844">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1.2乙方确认其有效的送达地址为：</w:t>
      </w:r>
      <w:permStart w:id="8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14:textFill>
            <w14:solidFill>
              <w14:schemeClr w14:val="tx1"/>
            </w14:solidFill>
          </w14:textFill>
        </w:rPr>
        <w:t>；</w:t>
      </w:r>
    </w:p>
    <w:p w14:paraId="520102CE">
      <w:pPr>
        <w:pStyle w:val="13"/>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89"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14:textFill>
            <w14:solidFill>
              <w14:schemeClr w14:val="tx1"/>
            </w14:solidFill>
          </w14:textFill>
        </w:rPr>
        <w:t>；邮箱：</w:t>
      </w:r>
      <w:permStart w:id="9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14:textFill>
            <w14:solidFill>
              <w14:schemeClr w14:val="tx1"/>
            </w14:solidFill>
          </w14:textFill>
        </w:rPr>
        <w:t>；</w:t>
      </w:r>
    </w:p>
    <w:p w14:paraId="0BD58B54">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A4EDDF9">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EA665BC">
      <w:pPr>
        <w:pStyle w:val="13"/>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35" w:name="_Toc4701"/>
      <w:bookmarkStart w:id="36" w:name="_Toc26478"/>
      <w:bookmarkStart w:id="37" w:name="_Toc21843"/>
      <w:r>
        <w:rPr>
          <w:rFonts w:hint="eastAsia" w:ascii="仿宋_GB2312" w:hAnsi="仿宋_GB2312" w:eastAsia="仿宋_GB2312" w:cs="仿宋_GB2312"/>
          <w:b/>
          <w:bCs/>
          <w:color w:val="000000" w:themeColor="text1"/>
          <w14:textFill>
            <w14:solidFill>
              <w14:schemeClr w14:val="tx1"/>
            </w14:solidFill>
          </w14:textFill>
        </w:rPr>
        <w:t>合同生效</w:t>
      </w:r>
      <w:bookmarkEnd w:id="35"/>
      <w:bookmarkEnd w:id="36"/>
      <w:bookmarkEnd w:id="37"/>
    </w:p>
    <w:p w14:paraId="3099B3B1">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1、本合同签约形式适用第</w:t>
      </w:r>
      <w:permStart w:id="91"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91"/>
      <w:r>
        <w:rPr>
          <w:rFonts w:hint="eastAsia" w:ascii="仿宋_GB2312" w:hAnsi="仿宋_GB2312" w:eastAsia="仿宋_GB2312" w:cs="仿宋_GB2312"/>
          <w:color w:val="000000" w:themeColor="text1"/>
          <w14:textFill>
            <w14:solidFill>
              <w14:schemeClr w14:val="tx1"/>
            </w14:solidFill>
          </w14:textFill>
        </w:rPr>
        <w:t>条；</w:t>
      </w:r>
    </w:p>
    <w:p w14:paraId="138F5157">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38" w:name="_Toc6851_WPSOffice_Level1"/>
      <w:bookmarkStart w:id="39" w:name="_Toc15785_WPSOffice_Level1"/>
      <w:bookmarkStart w:id="40" w:name="_Toc31827_WPSOffice_Level1"/>
      <w:bookmarkStart w:id="41" w:name="_Toc21939"/>
      <w:bookmarkStart w:id="42" w:name="_Toc7989"/>
      <w:r>
        <w:rPr>
          <w:rFonts w:hint="eastAsia" w:ascii="仿宋_GB2312" w:hAnsi="仿宋_GB2312" w:eastAsia="仿宋_GB2312" w:cs="仿宋_GB2312"/>
          <w:color w:val="000000" w:themeColor="text1"/>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7C302761">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1.2双方同意通过加盖物理印章的方式签署本合同，合同自双方盖章后生效，完成合同约定的全部内容且保修期满后即告终止。合同壹式</w:t>
      </w:r>
      <w:permStart w:id="92" w:edGrp="everyone"/>
      <w:r>
        <w:rPr>
          <w:rFonts w:hint="eastAsia" w:ascii="仿宋_GB2312" w:hAnsi="仿宋_GB2312" w:eastAsia="仿宋_GB2312" w:cs="仿宋_GB2312"/>
          <w:color w:val="000000" w:themeColor="text1"/>
          <w14:textFill>
            <w14:solidFill>
              <w14:schemeClr w14:val="tx1"/>
            </w14:solidFill>
          </w14:textFill>
        </w:rPr>
        <w:t>捌</w:t>
      </w:r>
      <w:permEnd w:id="92"/>
      <w:r>
        <w:rPr>
          <w:rFonts w:hint="eastAsia" w:ascii="仿宋_GB2312" w:hAnsi="仿宋_GB2312" w:eastAsia="仿宋_GB2312" w:cs="仿宋_GB2312"/>
          <w:color w:val="000000" w:themeColor="text1"/>
          <w14:textFill>
            <w14:solidFill>
              <w14:schemeClr w14:val="tx1"/>
            </w14:solidFill>
          </w14:textFill>
        </w:rPr>
        <w:t>份，甲方执</w:t>
      </w:r>
      <w:permStart w:id="93" w:edGrp="everyone"/>
      <w:r>
        <w:rPr>
          <w:rFonts w:hint="eastAsia" w:ascii="仿宋_GB2312" w:hAnsi="仿宋_GB2312" w:eastAsia="仿宋_GB2312" w:cs="仿宋_GB2312"/>
          <w:color w:val="000000" w:themeColor="text1"/>
          <w14:textFill>
            <w14:solidFill>
              <w14:schemeClr w14:val="tx1"/>
            </w14:solidFill>
          </w14:textFill>
        </w:rPr>
        <w:t>陆</w:t>
      </w:r>
      <w:permEnd w:id="93"/>
      <w:r>
        <w:rPr>
          <w:rFonts w:hint="eastAsia" w:ascii="仿宋_GB2312" w:hAnsi="仿宋_GB2312" w:eastAsia="仿宋_GB2312" w:cs="仿宋_GB2312"/>
          <w:color w:val="000000" w:themeColor="text1"/>
          <w14:textFill>
            <w14:solidFill>
              <w14:schemeClr w14:val="tx1"/>
            </w14:solidFill>
          </w14:textFill>
        </w:rPr>
        <w:t>份，乙方执</w:t>
      </w:r>
      <w:permStart w:id="94" w:edGrp="everyone"/>
      <w:r>
        <w:rPr>
          <w:rFonts w:hint="eastAsia" w:ascii="仿宋_GB2312" w:hAnsi="仿宋_GB2312" w:eastAsia="仿宋_GB2312" w:cs="仿宋_GB2312"/>
          <w:color w:val="000000" w:themeColor="text1"/>
          <w14:textFill>
            <w14:solidFill>
              <w14:schemeClr w14:val="tx1"/>
            </w14:solidFill>
          </w14:textFill>
        </w:rPr>
        <w:t>贰</w:t>
      </w:r>
      <w:permEnd w:id="94"/>
      <w:r>
        <w:rPr>
          <w:rFonts w:hint="eastAsia" w:ascii="仿宋_GB2312" w:hAnsi="仿宋_GB2312" w:eastAsia="仿宋_GB2312" w:cs="仿宋_GB2312"/>
          <w:color w:val="000000" w:themeColor="text1"/>
          <w14:textFill>
            <w14:solidFill>
              <w14:schemeClr w14:val="tx1"/>
            </w14:solidFill>
          </w14:textFill>
        </w:rPr>
        <w:t>份。</w:t>
      </w:r>
    </w:p>
    <w:p w14:paraId="5E63BDF4">
      <w:pPr>
        <w:spacing w:line="400" w:lineRule="atLeast"/>
        <w:ind w:firstLine="504"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pacing w:val="6"/>
          <w:sz w:val="24"/>
          <w:szCs w:val="24"/>
          <w14:textFill>
            <w14:solidFill>
              <w14:schemeClr w14:val="tx1"/>
            </w14:solidFill>
          </w14:textFill>
        </w:rPr>
        <w:t>以下无正文</w:t>
      </w:r>
      <w:bookmarkEnd w:id="38"/>
      <w:bookmarkEnd w:id="39"/>
      <w:bookmarkEnd w:id="40"/>
      <w:bookmarkEnd w:id="41"/>
      <w:bookmarkEnd w:id="42"/>
      <w:bookmarkStart w:id="43" w:name="_Toc6163_WPSOffice_Level1"/>
      <w:bookmarkStart w:id="44" w:name="_Toc8898_WPSOffice_Level1"/>
      <w:bookmarkStart w:id="45" w:name="_Toc19595_WPSOffice_Level1"/>
    </w:p>
    <w:p w14:paraId="337B3473">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6" w:name="_Toc23779"/>
      <w:bookmarkStart w:id="47" w:name="_Toc31108"/>
      <w:bookmarkStart w:id="48" w:name="_Toc23374"/>
      <w:r>
        <w:rPr>
          <w:rFonts w:hint="eastAsia" w:ascii="仿宋_GB2312" w:hAnsi="仿宋_GB2312" w:eastAsia="仿宋_GB2312" w:cs="仿宋_GB2312"/>
          <w:color w:val="000000" w:themeColor="text1"/>
          <w:kern w:val="0"/>
          <w:sz w:val="24"/>
          <w:szCs w:val="24"/>
          <w14:textFill>
            <w14:solidFill>
              <w14:schemeClr w14:val="tx1"/>
            </w14:solidFill>
          </w14:textFill>
        </w:rPr>
        <w:t>附件一 授权委托书</w:t>
      </w:r>
      <w:bookmarkEnd w:id="43"/>
      <w:bookmarkEnd w:id="44"/>
      <w:bookmarkEnd w:id="45"/>
      <w:bookmarkEnd w:id="46"/>
      <w:bookmarkEnd w:id="47"/>
      <w:bookmarkEnd w:id="48"/>
    </w:p>
    <w:p w14:paraId="1897EE74">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9" w:name="_Toc27542"/>
      <w:bookmarkStart w:id="50" w:name="_Toc5250_WPSOffice_Level1"/>
      <w:bookmarkStart w:id="51" w:name="_Toc3383_WPSOffice_Level1"/>
      <w:bookmarkStart w:id="52" w:name="_Toc16133_WPSOffice_Level1"/>
      <w:bookmarkStart w:id="53" w:name="_Toc14040"/>
      <w:bookmarkStart w:id="54" w:name="_Toc6903"/>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14:textFill>
            <w14:solidFill>
              <w14:schemeClr w14:val="tx1"/>
            </w14:solidFill>
          </w14:textFill>
        </w:rPr>
        <w:t>项目部合规权限告知书</w:t>
      </w:r>
      <w:bookmarkEnd w:id="54"/>
    </w:p>
    <w:p w14:paraId="17A3A758">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5" w:name="_Toc19768_WPSOffice_Level1"/>
      <w:bookmarkStart w:id="56" w:name="_Toc22730_WPSOffice_Level1"/>
      <w:bookmarkStart w:id="57" w:name="_Toc641_WPSOffice_Level1"/>
      <w:bookmarkStart w:id="58" w:name="_Toc3486"/>
      <w:bookmarkStart w:id="59" w:name="_Toc660"/>
      <w:bookmarkStart w:id="60" w:name="_Toc26596"/>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14:textFill>
            <w14:solidFill>
              <w14:schemeClr w14:val="tx1"/>
            </w14:solidFill>
          </w14:textFill>
        </w:rPr>
        <w:t>安全管理协议书</w:t>
      </w:r>
      <w:bookmarkEnd w:id="58"/>
      <w:bookmarkEnd w:id="59"/>
      <w:bookmarkEnd w:id="60"/>
    </w:p>
    <w:p w14:paraId="7C578E37">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61" w:name="_Toc8260_WPSOffice_Level1"/>
      <w:bookmarkStart w:id="62" w:name="_Toc19161_WPSOffice_Level1"/>
      <w:bookmarkStart w:id="63" w:name="_Toc24584_WPSOffice_Level1"/>
      <w:bookmarkStart w:id="64" w:name="_Toc459"/>
      <w:bookmarkStart w:id="65" w:name="_Toc25961"/>
      <w:bookmarkStart w:id="66" w:name="_Toc6994"/>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14:textFill>
            <w14:solidFill>
              <w14:schemeClr w14:val="tx1"/>
            </w14:solidFill>
          </w14:textFill>
        </w:rPr>
        <w:t>廉洁从业共建协议</w:t>
      </w:r>
      <w:bookmarkEnd w:id="64"/>
      <w:bookmarkEnd w:id="65"/>
      <w:bookmarkEnd w:id="66"/>
    </w:p>
    <w:p w14:paraId="45F7DD79">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附件五 钢筋供应承诺函</w:t>
      </w:r>
    </w:p>
    <w:p w14:paraId="50F850C9">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1400316">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FC35B8D">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349C1407">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62B9284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744B46E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06EB98E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754D9EA">
      <w:pPr>
        <w:pStyle w:val="13"/>
        <w:spacing w:line="400" w:lineRule="atLeast"/>
        <w:rPr>
          <w:rFonts w:hint="eastAsia" w:ascii="仿宋_GB2312" w:hAnsi="仿宋_GB2312" w:eastAsia="仿宋_GB2312" w:cs="仿宋_GB2312"/>
          <w:color w:val="000000" w:themeColor="text1"/>
          <w14:textFill>
            <w14:solidFill>
              <w14:schemeClr w14:val="tx1"/>
            </w14:solidFill>
          </w14:textFill>
        </w:rPr>
      </w:pPr>
    </w:p>
    <w:p w14:paraId="2D38A83F">
      <w:pPr>
        <w:pStyle w:val="13"/>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p>
    <w:p w14:paraId="1812493F">
      <w:pPr>
        <w:pStyle w:val="13"/>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6C4917B1">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14:textFill>
            <w14:solidFill>
              <w14:schemeClr w14:val="tx1"/>
            </w14:solidFill>
          </w14:textFill>
        </w:rPr>
      </w:pPr>
      <w:bookmarkStart w:id="67" w:name="_Toc25426"/>
      <w:bookmarkStart w:id="68" w:name="_Toc31445"/>
      <w:bookmarkStart w:id="69" w:name="_Toc7321"/>
      <w:r>
        <w:rPr>
          <w:rFonts w:hint="eastAsia" w:ascii="仿宋_GB2312" w:hAnsi="仿宋_GB2312" w:eastAsia="仿宋_GB2312" w:cs="仿宋_GB2312"/>
          <w:color w:val="000000" w:themeColor="text1"/>
          <w:kern w:val="0"/>
          <w:sz w:val="30"/>
          <w:szCs w:val="30"/>
          <w14:textFill>
            <w14:solidFill>
              <w14:schemeClr w14:val="tx1"/>
            </w14:solidFill>
          </w14:textFill>
        </w:rPr>
        <w:t>附件一：</w:t>
      </w:r>
      <w:bookmarkEnd w:id="67"/>
      <w:bookmarkEnd w:id="68"/>
      <w:bookmarkEnd w:id="69"/>
    </w:p>
    <w:p w14:paraId="4B1ED31E">
      <w:pPr>
        <w:autoSpaceDE w:val="0"/>
        <w:autoSpaceDN w:val="0"/>
        <w:adjustRightInd w:val="0"/>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授权委托书</w:t>
      </w:r>
    </w:p>
    <w:p w14:paraId="7895FC70">
      <w:pPr>
        <w:autoSpaceDE w:val="0"/>
        <w:autoSpaceDN w:val="0"/>
        <w:adjustRightInd w:val="0"/>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p>
    <w:p w14:paraId="2D024D06">
      <w:pPr>
        <w:autoSpaceDE w:val="0"/>
        <w:autoSpaceDN w:val="0"/>
        <w:adjustRightInd w:val="0"/>
        <w:spacing w:line="400" w:lineRule="exact"/>
        <w:ind w:firstLine="482"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14:textFill>
            <w14:solidFill>
              <w14:schemeClr w14:val="tx1"/>
            </w14:solidFill>
          </w14:textFill>
        </w:rPr>
        <w:t>我</w:t>
      </w:r>
      <w:permStart w:id="9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5"/>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9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14:textFill>
            <w14:solidFill>
              <w14:schemeClr w14:val="tx1"/>
            </w14:solidFill>
          </w14:textFill>
        </w:rPr>
        <w:t>）系</w:t>
      </w:r>
      <w:permStart w:id="9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14:textFill>
            <w14:solidFill>
              <w14:schemeClr w14:val="tx1"/>
            </w14:solidFill>
          </w14:textFill>
        </w:rPr>
        <w:t>公司（乙方）的法定代表人，现授权委托</w:t>
      </w:r>
      <w:permStart w:id="9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14:textFill>
            <w14:solidFill>
              <w14:schemeClr w14:val="tx1"/>
            </w14:solidFill>
          </w14:textFill>
        </w:rPr>
        <w:t>）为我公司合法的代理人。以本公司的名义负责</w:t>
      </w:r>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14:textFill>
            <w14:solidFill>
              <w14:schemeClr w14:val="tx1"/>
            </w14:solidFill>
          </w14:textFill>
        </w:rPr>
        <w:t>项目招投标、合同签署及合同履行等事宜。</w:t>
      </w:r>
    </w:p>
    <w:p w14:paraId="4C51AE3B">
      <w:pPr>
        <w:autoSpaceDE w:val="0"/>
        <w:autoSpaceDN w:val="0"/>
        <w:adjustRightInd w:val="0"/>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代理人在合同履行过程中所签署的一切文件和处理与之有关的一切事务，包括但不限于签署往来函件、签署会议纪要、货物供应、结算办理、货款的收取、发票开具等均具有法律效力，授权人均予以认可。</w:t>
      </w:r>
    </w:p>
    <w:p w14:paraId="7495D91C">
      <w:pPr>
        <w:keepNext/>
        <w:keepLines/>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本授权委托的期限为自</w:t>
      </w:r>
      <w:permStart w:id="10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101"/>
      <w:r>
        <w:rPr>
          <w:rFonts w:hint="eastAsia" w:ascii="仿宋_GB2312" w:hAnsi="仿宋_GB2312" w:eastAsia="仿宋_GB2312" w:cs="仿宋_GB2312"/>
          <w:color w:val="000000" w:themeColor="text1"/>
          <w:sz w:val="24"/>
          <w:szCs w:val="24"/>
          <w14:textFill>
            <w14:solidFill>
              <w14:schemeClr w14:val="tx1"/>
            </w14:solidFill>
          </w14:textFill>
        </w:rPr>
        <w:t>至</w:t>
      </w:r>
      <w:permStart w:id="10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102"/>
      <w:r>
        <w:rPr>
          <w:rFonts w:hint="eastAsia" w:ascii="仿宋_GB2312" w:hAnsi="仿宋_GB2312" w:eastAsia="仿宋_GB2312" w:cs="仿宋_GB2312"/>
          <w:color w:val="000000" w:themeColor="text1"/>
          <w:sz w:val="24"/>
          <w:szCs w:val="24"/>
          <w14:textFill>
            <w14:solidFill>
              <w14:schemeClr w14:val="tx1"/>
            </w14:solidFill>
          </w14:textFill>
        </w:rPr>
        <w:t>。</w:t>
      </w:r>
    </w:p>
    <w:p w14:paraId="33B6F28C">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代理人无转委托权。</w:t>
      </w:r>
    </w:p>
    <w:p w14:paraId="0C83A394">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特此授权。</w:t>
      </w:r>
    </w:p>
    <w:p w14:paraId="31271984">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委托单位全称（公章）：          </w:t>
      </w:r>
    </w:p>
    <w:p w14:paraId="440AB1FF">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法定代表人：</w:t>
      </w:r>
    </w:p>
    <w:p w14:paraId="695B63B1">
      <w:pPr>
        <w:spacing w:line="400" w:lineRule="exact"/>
        <w:ind w:firstLine="480" w:firstLineChars="200"/>
        <w:jc w:val="righ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720C7841">
      <w:pPr>
        <w:spacing w:before="120" w:beforeLines="50" w:after="120" w:afterLines="50" w:line="40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代理人声明</w:t>
      </w:r>
      <w:r>
        <w:rPr>
          <w:rFonts w:hint="eastAsia" w:ascii="仿宋_GB2312" w:hAnsi="仿宋_GB2312" w:eastAsia="仿宋_GB2312" w:cs="仿宋_GB2312"/>
          <w:color w:val="000000" w:themeColor="text1"/>
          <w:sz w:val="24"/>
          <w:szCs w:val="24"/>
          <w14:textFill>
            <w14:solidFill>
              <w14:schemeClr w14:val="tx1"/>
            </w14:solidFill>
          </w14:textFill>
        </w:rPr>
        <w:t>：我对以上授权委托事项完全接受，自愿履行。</w:t>
      </w:r>
    </w:p>
    <w:p w14:paraId="636E5896">
      <w:pPr>
        <w:spacing w:line="400" w:lineRule="exact"/>
        <w:ind w:firstLine="480" w:firstLineChars="20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代理人（本人签字）：</w:t>
      </w:r>
    </w:p>
    <w:p w14:paraId="1B495FD1">
      <w:pPr>
        <w:spacing w:line="400" w:lineRule="exact"/>
        <w:ind w:firstLine="480" w:firstLineChars="200"/>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CE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68ED88ED">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103" w:edGrp="everyone"/>
          </w:p>
        </w:tc>
        <w:tc>
          <w:tcPr>
            <w:tcW w:w="4560" w:type="dxa"/>
            <w:tcBorders>
              <w:left w:val="single" w:color="000000" w:sz="4" w:space="0"/>
            </w:tcBorders>
            <w:vAlign w:val="center"/>
          </w:tcPr>
          <w:p w14:paraId="7BAAC82E">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103"/>
    </w:tbl>
    <w:p w14:paraId="4D5C8F08">
      <w:pPr>
        <w:spacing w:line="400" w:lineRule="exact"/>
        <w:ind w:firstLine="482"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38ED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72E7FF5E">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104" w:edGrp="everyone"/>
          </w:p>
        </w:tc>
        <w:tc>
          <w:tcPr>
            <w:tcW w:w="4530" w:type="dxa"/>
            <w:tcBorders>
              <w:left w:val="single" w:color="000000" w:sz="4" w:space="0"/>
            </w:tcBorders>
            <w:vAlign w:val="center"/>
          </w:tcPr>
          <w:p w14:paraId="493CB4B4">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104"/>
    </w:tbl>
    <w:p w14:paraId="0274C131">
      <w:pPr>
        <w:spacing w:line="400" w:lineRule="exact"/>
        <w:ind w:firstLine="482" w:firstLineChars="200"/>
        <w:rPr>
          <w:rFonts w:hint="eastAsia" w:ascii="仿宋_GB2312" w:hAnsi="仿宋_GB2312" w:eastAsia="仿宋_GB2312" w:cs="仿宋_GB2312"/>
          <w:b/>
          <w:color w:val="000000" w:themeColor="text1"/>
          <w:sz w:val="24"/>
          <w:szCs w:val="24"/>
          <w:u w:val="dash"/>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法定代表人身份证复印件粘贴处：</w:t>
      </w:r>
    </w:p>
    <w:p w14:paraId="72AC4395">
      <w:pPr>
        <w:pStyle w:val="13"/>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75" w:gutter="0"/>
          <w:cols w:space="0" w:num="1"/>
          <w:docGrid w:linePitch="312" w:charSpace="0"/>
        </w:sectPr>
      </w:pPr>
    </w:p>
    <w:p w14:paraId="0A12FE81">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70" w:name="_Toc21254"/>
      <w:bookmarkStart w:id="71" w:name="_Toc4519"/>
      <w:bookmarkStart w:id="72" w:name="_Toc16973"/>
      <w:r>
        <w:rPr>
          <w:rFonts w:hint="eastAsia" w:ascii="仿宋_GB2312" w:hAnsi="仿宋_GB2312" w:eastAsia="仿宋_GB2312" w:cs="仿宋_GB2312"/>
          <w:color w:val="000000" w:themeColor="text1"/>
          <w:sz w:val="30"/>
          <w:szCs w:val="30"/>
          <w14:textFill>
            <w14:solidFill>
              <w14:schemeClr w14:val="tx1"/>
            </w14:solidFill>
          </w14:textFill>
        </w:rPr>
        <w:t>附件二：</w:t>
      </w:r>
      <w:bookmarkEnd w:id="70"/>
      <w:bookmarkEnd w:id="71"/>
      <w:bookmarkEnd w:id="72"/>
    </w:p>
    <w:p w14:paraId="15BA5F80">
      <w:pPr>
        <w:spacing w:line="400" w:lineRule="exact"/>
        <w:jc w:val="center"/>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项目部合规权限告知书</w:t>
      </w:r>
    </w:p>
    <w:p w14:paraId="29EE73AA">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10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14:textFill>
            <w14:solidFill>
              <w14:schemeClr w14:val="tx1"/>
            </w14:solidFill>
          </w14:textFill>
        </w:rPr>
        <w:t>（乙方全称）</w:t>
      </w:r>
    </w:p>
    <w:p w14:paraId="3BD80325">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ermStart w:id="10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3" w:name="_Hlk126830603"/>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u w:val="single"/>
          <w14:textFill>
            <w14:solidFill>
              <w14:schemeClr w14:val="tx1"/>
            </w14:solidFill>
          </w14:textFill>
        </w:rPr>
        <w:t>有限公司</w:t>
      </w:r>
      <w:bookmarkEnd w:id="73"/>
      <w:permEnd w:id="106"/>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107" w:edGrp="everyone"/>
      <w:r>
        <w:rPr>
          <w:rFonts w:hint="eastAsia" w:ascii="仿宋_GB2312" w:hAnsi="仿宋_GB2312" w:eastAsia="仿宋_GB2312" w:cs="仿宋_GB2312"/>
          <w:color w:val="000000" w:themeColor="text1"/>
          <w:sz w:val="24"/>
          <w:szCs w:val="24"/>
          <w:u w:val="single"/>
          <w:lang w:val="zh-CN"/>
          <w14:textFill>
            <w14:solidFill>
              <w14:schemeClr w14:val="tx1"/>
            </w14:solidFill>
          </w14:textFill>
        </w:rPr>
        <w:t>漯河市引澧入颍工程EPC总承包</w:t>
      </w:r>
      <w:permEnd w:id="107"/>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8" w:edGrp="everyone"/>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彭敬宇</w:t>
      </w:r>
      <w:permEnd w:id="10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9" w:edGrp="everyone"/>
      <w:r>
        <w:rPr>
          <w:rFonts w:hint="eastAsia" w:ascii="仿宋_GB2312" w:hAnsi="仿宋_GB2312" w:eastAsia="仿宋_GB2312" w:cs="仿宋_GB2312"/>
          <w:color w:val="000000" w:themeColor="text1"/>
          <w:sz w:val="24"/>
          <w:szCs w:val="24"/>
          <w:highlight w:val="none"/>
          <w:u w:val="single"/>
          <w:lang w:val="zh-CN" w:eastAsia="zh-CN"/>
          <w14:textFill>
            <w14:solidFill>
              <w14:schemeClr w14:val="tx1"/>
            </w14:solidFill>
          </w14:textFill>
        </w:rPr>
        <w:t>130105197110291274</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14:paraId="68FD79BB">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14:paraId="5F33EC39">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14:paraId="65FA391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14:paraId="4B6E421D">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14:textFill>
            <w14:solidFill>
              <w14:schemeClr w14:val="tx1"/>
            </w14:solidFill>
          </w14:textFill>
        </w:rPr>
        <w:t>甲方</w:t>
      </w:r>
      <w:r>
        <w:rPr>
          <w:rFonts w:hint="eastAsia" w:ascii="仿宋_GB2312" w:hAnsi="仿宋_GB2312" w:eastAsia="仿宋_GB2312" w:cs="仿宋_GB2312"/>
          <w:color w:val="000000" w:themeColor="text1"/>
          <w:sz w:val="24"/>
          <w:szCs w:val="24"/>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14:textFill>
            <w14:solidFill>
              <w14:schemeClr w14:val="tx1"/>
            </w14:solidFill>
          </w14:textFill>
        </w:rPr>
        <w:t>项目经理、</w:t>
      </w:r>
      <w:r>
        <w:rPr>
          <w:rFonts w:hint="eastAsia" w:ascii="仿宋_GB2312" w:hAnsi="仿宋_GB2312" w:eastAsia="仿宋_GB2312" w:cs="仿宋_GB2312"/>
          <w:color w:val="000000" w:themeColor="text1"/>
          <w:sz w:val="24"/>
          <w:szCs w:val="24"/>
          <w:lang w:val="zh-CN"/>
          <w14:textFill>
            <w14:solidFill>
              <w14:schemeClr w14:val="tx1"/>
            </w14:solidFill>
          </w14:textFill>
        </w:rPr>
        <w:t>任何</w:t>
      </w:r>
      <w:r>
        <w:rPr>
          <w:rFonts w:hint="eastAsia" w:ascii="仿宋_GB2312" w:hAnsi="仿宋_GB2312" w:eastAsia="仿宋_GB2312" w:cs="仿宋_GB2312"/>
          <w:color w:val="000000" w:themeColor="text1"/>
          <w:sz w:val="24"/>
          <w:szCs w:val="24"/>
          <w14:textFill>
            <w14:solidFill>
              <w14:schemeClr w14:val="tx1"/>
            </w14:solidFill>
          </w14:textFill>
        </w:rPr>
        <w:t>项目部</w:t>
      </w:r>
      <w:r>
        <w:rPr>
          <w:rFonts w:hint="eastAsia" w:ascii="仿宋_GB2312" w:hAnsi="仿宋_GB2312" w:eastAsia="仿宋_GB2312" w:cs="仿宋_GB2312"/>
          <w:color w:val="000000" w:themeColor="text1"/>
          <w:sz w:val="24"/>
          <w:szCs w:val="24"/>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FEB22E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AA800D7">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704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7A35260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18" w:type="dxa"/>
            <w:vAlign w:val="center"/>
          </w:tcPr>
          <w:p w14:paraId="64009FE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授权性事项</w:t>
            </w:r>
          </w:p>
        </w:tc>
      </w:tr>
      <w:tr w14:paraId="6FCD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9B5B6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18" w:type="dxa"/>
            <w:shd w:val="clear" w:color="auto" w:fill="auto"/>
            <w:vAlign w:val="center"/>
          </w:tcPr>
          <w:p w14:paraId="740E9DF0">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向乙方发送物资进退场联系单</w:t>
            </w:r>
          </w:p>
        </w:tc>
      </w:tr>
      <w:tr w14:paraId="13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B4B410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18" w:type="dxa"/>
            <w:shd w:val="clear" w:color="auto" w:fill="auto"/>
            <w:vAlign w:val="center"/>
          </w:tcPr>
          <w:p w14:paraId="2109E18A">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对乙方进场物资进行外观检测，出具进场物资登记验收单，确认进场物资外观检测和进场登记</w:t>
            </w:r>
          </w:p>
        </w:tc>
      </w:tr>
      <w:tr w14:paraId="34E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8159AF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18" w:type="dxa"/>
            <w:shd w:val="clear" w:color="auto" w:fill="auto"/>
            <w:vAlign w:val="center"/>
          </w:tcPr>
          <w:p w14:paraId="3FE7A68A">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办理物资收料单、初步编制物资采购结算单提交甲方公司确认</w:t>
            </w:r>
          </w:p>
        </w:tc>
      </w:tr>
      <w:tr w14:paraId="5D15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C5B08D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18" w:type="dxa"/>
            <w:shd w:val="clear" w:color="auto" w:fill="auto"/>
            <w:vAlign w:val="center"/>
          </w:tcPr>
          <w:p w14:paraId="4B6E2F30">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对乙方物资进行检验、试验、检测与计量，联系乙方退货或更换，出具进场物资不合格记录</w:t>
            </w:r>
          </w:p>
        </w:tc>
      </w:tr>
      <w:tr w14:paraId="36E6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C4099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18" w:type="dxa"/>
            <w:shd w:val="clear" w:color="auto" w:fill="auto"/>
            <w:vAlign w:val="center"/>
          </w:tcPr>
          <w:p w14:paraId="6EB1D287">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确认物资领料单、退货单、混凝土浇灌申请表</w:t>
            </w:r>
          </w:p>
        </w:tc>
      </w:tr>
      <w:tr w14:paraId="701C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4D4B0B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818" w:type="dxa"/>
            <w:shd w:val="clear" w:color="auto" w:fill="auto"/>
            <w:vAlign w:val="center"/>
          </w:tcPr>
          <w:p w14:paraId="2E8CF191">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出具料具进退场签收单（无审批权）</w:t>
            </w:r>
          </w:p>
        </w:tc>
      </w:tr>
      <w:tr w14:paraId="61FE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08F6A0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818" w:type="dxa"/>
            <w:shd w:val="clear" w:color="auto" w:fill="auto"/>
            <w:vAlign w:val="center"/>
          </w:tcPr>
          <w:p w14:paraId="18E345EB">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编制、审核料具结算单</w:t>
            </w:r>
          </w:p>
        </w:tc>
      </w:tr>
      <w:tr w14:paraId="147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909A19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818" w:type="dxa"/>
            <w:shd w:val="clear" w:color="auto" w:fill="auto"/>
            <w:vAlign w:val="center"/>
          </w:tcPr>
          <w:p w14:paraId="3189F46E">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对不服从指挥的材料供应商作出处罚（追究违约责任）的决定</w:t>
            </w:r>
          </w:p>
        </w:tc>
      </w:tr>
      <w:tr w14:paraId="0144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6CCA2D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818" w:type="dxa"/>
            <w:shd w:val="clear" w:color="auto" w:fill="auto"/>
            <w:vAlign w:val="center"/>
          </w:tcPr>
          <w:p w14:paraId="438FDE02">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对乙方工程项目的履约情况进行监控和核查；发现问题后，通知要求乙方进行整改或调整</w:t>
            </w:r>
          </w:p>
        </w:tc>
      </w:tr>
      <w:tr w14:paraId="0725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76B883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818" w:type="dxa"/>
            <w:shd w:val="clear" w:color="auto" w:fill="auto"/>
            <w:vAlign w:val="center"/>
          </w:tcPr>
          <w:p w14:paraId="0355A19E">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组织实施质量验收工作</w:t>
            </w:r>
          </w:p>
        </w:tc>
      </w:tr>
      <w:tr w14:paraId="78C6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2C64BA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818" w:type="dxa"/>
            <w:shd w:val="clear" w:color="auto" w:fill="auto"/>
            <w:vAlign w:val="center"/>
          </w:tcPr>
          <w:p w14:paraId="1C515F6C">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向乙方发送维修整改通知</w:t>
            </w:r>
          </w:p>
        </w:tc>
      </w:tr>
      <w:tr w14:paraId="596F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26618A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818" w:type="dxa"/>
            <w:shd w:val="clear" w:color="auto" w:fill="auto"/>
            <w:vAlign w:val="center"/>
          </w:tcPr>
          <w:p w14:paraId="51CDA640">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根据合同约定或公司规定扣除乙方质保金</w:t>
            </w:r>
          </w:p>
        </w:tc>
      </w:tr>
      <w:tr w14:paraId="741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D423B3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818" w:type="dxa"/>
            <w:shd w:val="clear" w:color="auto" w:fill="auto"/>
            <w:vAlign w:val="center"/>
          </w:tcPr>
          <w:p w14:paraId="60E609FD">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对存在的安全生产隐患，下达《安全隐患整改通知书》，对存在重大安全生产隐患，下达《安全隐患局部停工整改令》</w:t>
            </w:r>
          </w:p>
        </w:tc>
      </w:tr>
      <w:tr w14:paraId="4D50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6CE53E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818" w:type="dxa"/>
            <w:shd w:val="clear" w:color="auto" w:fill="auto"/>
            <w:vAlign w:val="center"/>
          </w:tcPr>
          <w:p w14:paraId="5475FBF8">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对检查中发现的不符合合同约定或国家规定标准的，要求乙方进行整改</w:t>
            </w:r>
          </w:p>
        </w:tc>
      </w:tr>
      <w:tr w14:paraId="0611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74BFD2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818" w:type="dxa"/>
            <w:shd w:val="clear" w:color="auto" w:fill="auto"/>
            <w:vAlign w:val="center"/>
          </w:tcPr>
          <w:p w14:paraId="593CA1A1">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报送或接收工程履约相关的工作联系函</w:t>
            </w:r>
          </w:p>
        </w:tc>
      </w:tr>
    </w:tbl>
    <w:p w14:paraId="699F8637">
      <w:pPr>
        <w:numPr>
          <w:ilvl w:val="0"/>
          <w:numId w:val="6"/>
        </w:numPr>
        <w:autoSpaceDE w:val="0"/>
        <w:autoSpaceDN w:val="0"/>
        <w:adjustRightIn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14:textFill>
            <w14:solidFill>
              <w14:schemeClr w14:val="tx1"/>
            </w14:solidFill>
          </w14:textFill>
        </w:rPr>
        <w:t>项目部无权审批以下事项：</w:t>
      </w:r>
    </w:p>
    <w:bookmarkEnd w:id="74"/>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D5F8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27ECE95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6C05DA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14:paraId="08E9321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BBA8D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548120D">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14:paraId="20DFD9D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532C2F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76E632F">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对外提供担保</w:t>
            </w:r>
          </w:p>
        </w:tc>
      </w:tr>
      <w:tr w14:paraId="3BE0917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6B3F54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0D664AA">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14:paraId="086269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13A7068">
            <w:pPr>
              <w:tabs>
                <w:tab w:val="left" w:pos="534"/>
              </w:tabs>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9F71EB9">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w:t>
            </w:r>
          </w:p>
        </w:tc>
      </w:tr>
      <w:tr w14:paraId="2CA4001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288CD0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52E4F46">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bookmarkEnd w:id="75"/>
    </w:tbl>
    <w:p w14:paraId="2AA3DC54">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14:paraId="6B484CEB">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FBBBB5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p>
    <w:p w14:paraId="701009D8">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p>
    <w:p w14:paraId="3256979C">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14:paraId="3F03042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71C2324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420F3118">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14:paraId="5BDB503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07A045E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14:textFill>
            <w14:solidFill>
              <w14:schemeClr w14:val="tx1"/>
            </w14:solidFill>
          </w14:textFill>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2AA6DAE1">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14:paraId="5E27BE68">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35C07F5D">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34E2D59F">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7D2A0F7F">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00922C86">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7" w:name="_Toc11293"/>
      <w:bookmarkStart w:id="78" w:name="_Toc20069"/>
      <w:bookmarkStart w:id="79" w:name="_Toc15118"/>
    </w:p>
    <w:p w14:paraId="3AD4ACA0">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附件三：</w:t>
      </w:r>
      <w:bookmarkEnd w:id="77"/>
      <w:bookmarkEnd w:id="78"/>
      <w:bookmarkEnd w:id="79"/>
    </w:p>
    <w:p w14:paraId="0BEF56C9">
      <w:pPr>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安全管理协议书</w:t>
      </w:r>
    </w:p>
    <w:p w14:paraId="77E11CA1">
      <w:pPr>
        <w:wordWrap w:val="0"/>
        <w:spacing w:line="400" w:lineRule="exact"/>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21454DC">
      <w:pPr>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w:t>
      </w:r>
      <w:permStart w:id="110" w:edGrp="everyone"/>
      <w:bookmarkStart w:id="80" w:name="_Hlk126826529"/>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第四工程</w:t>
      </w:r>
      <w:r>
        <w:rPr>
          <w:rFonts w:hint="eastAsia" w:ascii="仿宋_GB2312" w:hAnsi="仿宋_GB2312" w:eastAsia="仿宋_GB2312" w:cs="仿宋_GB2312"/>
          <w:color w:val="000000" w:themeColor="text1"/>
          <w:sz w:val="24"/>
          <w:szCs w:val="24"/>
          <w:u w:val="single"/>
          <w14:textFill>
            <w14:solidFill>
              <w14:schemeClr w14:val="tx1"/>
            </w14:solidFill>
          </w14:textFill>
        </w:rPr>
        <w:t>有限公司</w:t>
      </w:r>
      <w:bookmarkEnd w:id="80"/>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310845E1">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permStart w:id="111" w:edGrp="everyone"/>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ermEnd w:id="111"/>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
    <w:p w14:paraId="256D86EE">
      <w:pPr>
        <w:pStyle w:val="6"/>
        <w:tabs>
          <w:tab w:val="left" w:pos="2100"/>
        </w:tabs>
        <w:spacing w:line="400" w:lineRule="exact"/>
        <w:ind w:right="210" w:rightChars="100" w:firstLine="432"/>
        <w:rPr>
          <w:rFonts w:hint="eastAsia"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5DE2928">
      <w:pPr>
        <w:snapToGrid w:val="0"/>
        <w:spacing w:line="400" w:lineRule="exact"/>
        <w:ind w:firstLine="55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第一条 共同约定  </w:t>
      </w:r>
    </w:p>
    <w:p w14:paraId="66DDD56C">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2" w:edGrp="everyone"/>
      <w:r>
        <w:rPr>
          <w:rFonts w:hint="eastAsia" w:ascii="仿宋_GB2312" w:hAnsi="仿宋_GB2312" w:eastAsia="仿宋_GB2312" w:cs="仿宋_GB2312"/>
          <w:color w:val="000000" w:themeColor="text1"/>
          <w:sz w:val="24"/>
          <w:szCs w:val="24"/>
          <w14:textFill>
            <w14:solidFill>
              <w14:schemeClr w14:val="tx1"/>
            </w14:solidFill>
          </w14:textFill>
        </w:rPr>
        <w:t>JGJ59—2011《建筑安全施工检查标准》</w:t>
      </w:r>
      <w:permEnd w:id="112"/>
      <w:r>
        <w:rPr>
          <w:rFonts w:hint="eastAsia" w:ascii="仿宋_GB2312" w:hAnsi="仿宋_GB2312" w:eastAsia="仿宋_GB2312" w:cs="仿宋_GB2312"/>
          <w:color w:val="000000" w:themeColor="text1"/>
          <w:sz w:val="24"/>
          <w:szCs w:val="24"/>
          <w14:textFill>
            <w14:solidFill>
              <w14:schemeClr w14:val="tx1"/>
            </w14:solidFill>
          </w14:textFill>
        </w:rPr>
        <w:t>等一系列标准规程及</w:t>
      </w:r>
      <w:permStart w:id="11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漯河</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13"/>
      <w:r>
        <w:rPr>
          <w:rFonts w:hint="eastAsia" w:ascii="仿宋_GB2312" w:hAnsi="仿宋_GB2312" w:eastAsia="仿宋_GB2312" w:cs="仿宋_GB2312"/>
          <w:color w:val="000000" w:themeColor="text1"/>
          <w:sz w:val="24"/>
          <w:szCs w:val="24"/>
          <w14:textFill>
            <w14:solidFill>
              <w14:schemeClr w14:val="tx1"/>
            </w14:solidFill>
          </w14:textFill>
        </w:rPr>
        <w:t>市有关安全生产的规章制度。</w:t>
      </w:r>
    </w:p>
    <w:p w14:paraId="67516DA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2、双方应共同遵守</w:t>
      </w:r>
      <w:permStart w:id="11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中建总公司、中建交通、中建路桥</w:t>
      </w:r>
      <w:permEnd w:id="114"/>
      <w:r>
        <w:rPr>
          <w:rFonts w:hint="eastAsia" w:ascii="仿宋_GB2312" w:hAnsi="仿宋_GB2312" w:eastAsia="仿宋_GB2312" w:cs="仿宋_GB2312"/>
          <w:color w:val="000000" w:themeColor="text1"/>
          <w:sz w:val="24"/>
          <w:szCs w:val="24"/>
          <w14:textFill>
            <w14:solidFill>
              <w14:schemeClr w14:val="tx1"/>
            </w14:solidFill>
          </w14:textFill>
        </w:rPr>
        <w:t>等系列安全生产规章制度。贯彻执行项目职业健康安全和环境管理体系的各项要求。</w:t>
      </w:r>
    </w:p>
    <w:p w14:paraId="39E9265E">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3、安全文明施工管理目标、指标：以项目部总包单位制定的为准。</w:t>
      </w:r>
    </w:p>
    <w:p w14:paraId="4071B78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4、在甲方施工区域以外场所安全工作及发生的不良后果由乙方自行承担。</w:t>
      </w:r>
    </w:p>
    <w:p w14:paraId="659B2FB4">
      <w:pPr>
        <w:pStyle w:val="13"/>
        <w:spacing w:line="400" w:lineRule="exact"/>
        <w:ind w:firstLine="482" w:firstLineChars="200"/>
        <w:rPr>
          <w:rFonts w:hint="eastAsia" w:ascii="仿宋_GB2312" w:hAnsi="仿宋_GB2312" w:eastAsia="仿宋_GB2312" w:cs="仿宋_GB2312"/>
          <w:b/>
          <w:bCs/>
          <w:color w:val="000000" w:themeColor="text1"/>
          <w:kern w:val="2"/>
          <w14:textFill>
            <w14:solidFill>
              <w14:schemeClr w14:val="tx1"/>
            </w14:solidFill>
          </w14:textFill>
        </w:rPr>
      </w:pPr>
      <w:r>
        <w:rPr>
          <w:rFonts w:hint="eastAsia" w:ascii="仿宋_GB2312" w:hAnsi="仿宋_GB2312" w:eastAsia="仿宋_GB2312" w:cs="仿宋_GB2312"/>
          <w:b/>
          <w:bCs/>
          <w:color w:val="000000" w:themeColor="text1"/>
          <w:kern w:val="2"/>
          <w14:textFill>
            <w14:solidFill>
              <w14:schemeClr w14:val="tx1"/>
            </w14:solidFill>
          </w14:textFill>
        </w:rPr>
        <w:t>第二条 环境与职业健康安全</w:t>
      </w:r>
    </w:p>
    <w:p w14:paraId="0D81EEED">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1、乙方车辆及材料在运输途中及到达甲方现场后应遵守国家和地方现行的有关环境保护、职业健康安全的法律、法规和其他要求。</w:t>
      </w:r>
    </w:p>
    <w:p w14:paraId="4CB7A81A">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3CB8DB84">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ACA2A47">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4、乙方到施工现场的人员必须佩戴安全帽，穿戴整洁，严禁吸烟和大声喧哗，遵守需方项目的规章制度，否则将按需方有关制度处罚。</w:t>
      </w:r>
    </w:p>
    <w:p w14:paraId="58C498AB">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5、由于非甲方的任何第三方原因导致乙方人员伤亡及财产损害均由乙方承担相应损失。</w:t>
      </w:r>
    </w:p>
    <w:p w14:paraId="0921BEC7">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第三条 甲方的安全责任、权利和义务  </w:t>
      </w:r>
    </w:p>
    <w:p w14:paraId="6EA085EC">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1、甲方在现场履行管理、监督职责，认真履行第一条共同约定的内容，对乙方在进入总包施工现场的施工安全进行监督、指导、检查。 </w:t>
      </w:r>
    </w:p>
    <w:p w14:paraId="1F3EA05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4099781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3、在合同中约定由甲方向使用单位提供的安全防护设施，应完整齐全，并且符合安全要求，并整改乙方提出的不安全问题。</w:t>
      </w:r>
    </w:p>
    <w:p w14:paraId="5AA06EA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7C10EB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45FA3A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0417327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08F6BF9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7D1FDF16">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第四条 乙方的安全责任、权利和义务  </w:t>
      </w:r>
    </w:p>
    <w:p w14:paraId="4ABE3EC9">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1、乙方应认真履行第一条共同约定的内容，接受甲方的监督、检查工作。</w:t>
      </w:r>
    </w:p>
    <w:p w14:paraId="7F7B7F28">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3FCA0F14">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45B13B52">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B3D9673">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4C19591">
      <w:pPr>
        <w:snapToGrid w:val="0"/>
        <w:spacing w:line="400" w:lineRule="exact"/>
        <w:ind w:firstLine="45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193A2B5">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27D5DB16">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8、乙方自备的设备及工具必须保证环保、性能良好、各安全装置齐全灵敏有效。进工地前必须报项目监督试机，验收并填写验收表，达不到环保和</w:t>
      </w:r>
      <w:permStart w:id="115" w:edGrp="everyone"/>
      <w:r>
        <w:rPr>
          <w:rFonts w:hint="eastAsia" w:ascii="仿宋_GB2312" w:hAnsi="仿宋_GB2312" w:eastAsia="仿宋_GB2312" w:cs="仿宋_GB2312"/>
          <w:color w:val="000000" w:themeColor="text1"/>
          <w:sz w:val="24"/>
          <w:szCs w:val="24"/>
          <w14:textFill>
            <w14:solidFill>
              <w14:schemeClr w14:val="tx1"/>
            </w14:solidFill>
          </w14:textFill>
        </w:rPr>
        <w:t>《JGJ59—2011》标准</w:t>
      </w:r>
      <w:permEnd w:id="115"/>
      <w:r>
        <w:rPr>
          <w:rFonts w:hint="eastAsia" w:ascii="仿宋_GB2312" w:hAnsi="仿宋_GB2312" w:eastAsia="仿宋_GB2312" w:cs="仿宋_GB2312"/>
          <w:color w:val="000000" w:themeColor="text1"/>
          <w:sz w:val="24"/>
          <w:szCs w:val="24"/>
          <w14:textFill>
            <w14:solidFill>
              <w14:schemeClr w14:val="tx1"/>
            </w14:solidFill>
          </w14:textFill>
        </w:rPr>
        <w:t>的设备及工具严禁在工地使用。</w:t>
      </w:r>
    </w:p>
    <w:p w14:paraId="5242B2F5">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9、乙方自带设备或工具必须相匹配的质量合格的电缆线，并自备符合当地主管部门要求的末级标准配电箱。</w:t>
      </w:r>
    </w:p>
    <w:p w14:paraId="63D84448">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AC071D8">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11、对甲方人员违章指挥或者可能危及人身安全、财产损失的指挥，乙方有权拒绝。 </w:t>
      </w:r>
    </w:p>
    <w:p w14:paraId="43DC56B1">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12、不得进行违反安全法律和其他、安全生产规章制度的行为。</w:t>
      </w:r>
    </w:p>
    <w:p w14:paraId="76F69B70">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13、乙方对供应的材料在甲方施工场地外运输过程发生的安全事故承担全部责任，不得向甲方提出索赔要求。</w:t>
      </w:r>
    </w:p>
    <w:p w14:paraId="6DB62167">
      <w:pPr>
        <w:spacing w:line="400" w:lineRule="exact"/>
        <w:jc w:val="left"/>
        <w:rPr>
          <w:rFonts w:hint="eastAsia" w:ascii="仿宋_GB2312" w:hAnsi="仿宋_GB2312" w:eastAsia="仿宋_GB2312" w:cs="仿宋_GB2312"/>
          <w:color w:val="000000" w:themeColor="text1"/>
          <w:sz w:val="24"/>
          <w:szCs w:val="24"/>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7F2C6739">
      <w:pPr>
        <w:spacing w:line="40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15、在施工现场发生事故时，应积极抢救伤员，保护事故现场，防止事故扩大，按甲方要求提供事故有关资料，并配合调查。</w:t>
      </w:r>
    </w:p>
    <w:p w14:paraId="6580EAD1">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第五条 事故处理 </w:t>
      </w:r>
    </w:p>
    <w:p w14:paraId="1DBD508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02C74DD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3031D0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3、由于没有认真履行安全责任，造成重大伤亡事故，情节严重的主要直接责任者，已触及国家刑律，应提请有关部门进行调查处理。 </w:t>
      </w:r>
    </w:p>
    <w:p w14:paraId="197D9E84">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336F9E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5、由于甲方主要责任造成的伤亡事故，乙方有权要求甲方进行经济赔偿。由于乙方主要责任造成的伤亡事故，甲方有权要求乙方承担违约责任。</w:t>
      </w:r>
    </w:p>
    <w:p w14:paraId="6F1F0057">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6、由于第三方责任导致乙方人员伤亡，及由于乙方责任导致第三方人员伤亡，由乙方负责并处理。</w:t>
      </w:r>
    </w:p>
    <w:p w14:paraId="135D047E">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72821C2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47E0D56">
      <w:pPr>
        <w:spacing w:line="400" w:lineRule="exact"/>
        <w:ind w:firstLine="516" w:firstLineChars="214"/>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w:t>
      </w:r>
      <w:r>
        <w:rPr>
          <w:rFonts w:hint="eastAsia" w:ascii="仿宋_GB2312" w:hAnsi="仿宋_GB2312" w:eastAsia="仿宋_GB2312" w:cs="仿宋_GB2312"/>
          <w:color w:val="000000" w:themeColor="text1"/>
          <w:sz w:val="24"/>
          <w:szCs w:val="24"/>
          <w14:textFill>
            <w14:solidFill>
              <w14:schemeClr w14:val="tx1"/>
            </w14:solidFill>
          </w14:textFill>
        </w:rPr>
        <w:t xml:space="preserve"> 本合同生效条件与主合同相同。</w:t>
      </w:r>
    </w:p>
    <w:p w14:paraId="72D24CB8">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08D61CB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191770D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3351C1D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628598F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3A490E7F">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FBDF9C7">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56240063">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bookmarkEnd w:id="81"/>
    </w:p>
    <w:p w14:paraId="3E2FBF8A">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48D3E859">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82" w:name="_Toc776"/>
      <w:bookmarkStart w:id="83" w:name="_Toc24322"/>
      <w:bookmarkStart w:id="84" w:name="_Toc9726"/>
      <w:r>
        <w:rPr>
          <w:rFonts w:hint="eastAsia" w:ascii="仿宋_GB2312" w:hAnsi="仿宋_GB2312" w:eastAsia="仿宋_GB2312" w:cs="仿宋_GB2312"/>
          <w:color w:val="000000" w:themeColor="text1"/>
          <w:sz w:val="30"/>
          <w:szCs w:val="30"/>
          <w14:textFill>
            <w14:solidFill>
              <w14:schemeClr w14:val="tx1"/>
            </w14:solidFill>
          </w14:textFill>
        </w:rPr>
        <w:t>附件四：</w:t>
      </w:r>
      <w:bookmarkEnd w:id="82"/>
      <w:bookmarkEnd w:id="83"/>
      <w:bookmarkEnd w:id="84"/>
    </w:p>
    <w:p w14:paraId="048588A9">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14:textFill>
            <w14:solidFill>
              <w14:schemeClr w14:val="tx1"/>
            </w14:solidFill>
          </w14:textFill>
        </w:rPr>
        <w:t>廉洁从业共建协议</w:t>
      </w:r>
      <w:bookmarkEnd w:id="85"/>
    </w:p>
    <w:p w14:paraId="11D86535">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甲方：</w:t>
      </w:r>
      <w:permStart w:id="116" w:edGrp="everyone"/>
      <w:bookmarkStart w:id="86" w:name="_Hlk127190139"/>
      <w:r>
        <w:rPr>
          <w:rFonts w:hint="eastAsia" w:ascii="仿宋_GB2312" w:hAnsi="宋体" w:eastAsia="仿宋_GB2312"/>
          <w:color w:val="000000" w:themeColor="text1"/>
          <w:sz w:val="24"/>
          <w:szCs w:val="24"/>
          <w:u w:val="single"/>
          <w14:textFill>
            <w14:solidFill>
              <w14:schemeClr w14:val="tx1"/>
            </w14:solidFill>
          </w14:textFill>
        </w:rPr>
        <w:t>中建路桥集团</w:t>
      </w:r>
      <w:r>
        <w:rPr>
          <w:rFonts w:hint="eastAsia" w:ascii="仿宋_GB2312" w:hAnsi="宋体" w:eastAsia="仿宋_GB2312"/>
          <w:color w:val="000000" w:themeColor="text1"/>
          <w:sz w:val="24"/>
          <w:szCs w:val="24"/>
          <w:u w:val="single"/>
          <w:lang w:val="en-US" w:eastAsia="zh-CN"/>
          <w14:textFill>
            <w14:solidFill>
              <w14:schemeClr w14:val="tx1"/>
            </w14:solidFill>
          </w14:textFill>
        </w:rPr>
        <w:t>第四工程</w:t>
      </w:r>
      <w:r>
        <w:rPr>
          <w:rFonts w:hint="eastAsia" w:ascii="仿宋_GB2312" w:hAnsi="宋体" w:eastAsia="仿宋_GB2312"/>
          <w:color w:val="000000" w:themeColor="text1"/>
          <w:sz w:val="24"/>
          <w:szCs w:val="24"/>
          <w:u w:val="single"/>
          <w14:textFill>
            <w14:solidFill>
              <w14:schemeClr w14:val="tx1"/>
            </w14:solidFill>
          </w14:textFill>
        </w:rPr>
        <w:t>有限公司</w:t>
      </w:r>
      <w:permEnd w:id="116"/>
      <w:bookmarkEnd w:id="86"/>
      <w:r>
        <w:rPr>
          <w:rFonts w:hint="eastAsia" w:ascii="仿宋_GB2312" w:hAnsi="宋体" w:eastAsia="仿宋_GB2312"/>
          <w:color w:val="000000" w:themeColor="text1"/>
          <w:sz w:val="24"/>
          <w:szCs w:val="24"/>
          <w:u w:val="single"/>
          <w14:textFill>
            <w14:solidFill>
              <w14:schemeClr w14:val="tx1"/>
            </w14:solidFill>
          </w14:textFill>
        </w:rPr>
        <w:t xml:space="preserve">  </w:t>
      </w:r>
    </w:p>
    <w:p w14:paraId="35AF635E">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乙方：</w:t>
      </w:r>
      <w:permStart w:id="117" w:edGrp="everyone"/>
      <w:r>
        <w:rPr>
          <w:rFonts w:hint="eastAsia" w:ascii="仿宋_GB2312" w:hAnsi="宋体" w:eastAsia="仿宋_GB2312"/>
          <w:color w:val="000000" w:themeColor="text1"/>
          <w:sz w:val="24"/>
          <w:szCs w:val="24"/>
          <w:u w:val="single"/>
          <w14:textFill>
            <w14:solidFill>
              <w14:schemeClr w14:val="tx1"/>
            </w14:solidFill>
          </w14:textFill>
        </w:rPr>
        <w:t xml:space="preserve">            </w:t>
      </w:r>
      <w:r>
        <w:rPr>
          <w:rFonts w:ascii="仿宋_GB2312" w:hAnsi="宋体" w:eastAsia="仿宋_GB2312"/>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u w:val="single"/>
          <w14:textFill>
            <w14:solidFill>
              <w14:schemeClr w14:val="tx1"/>
            </w14:solidFill>
          </w14:textFill>
        </w:rPr>
        <w:t xml:space="preserve">     </w:t>
      </w:r>
      <w:permEnd w:id="117"/>
      <w:r>
        <w:rPr>
          <w:rFonts w:hint="eastAsia" w:ascii="仿宋_GB2312" w:hAnsi="宋体" w:eastAsia="仿宋_GB2312"/>
          <w:color w:val="000000" w:themeColor="text1"/>
          <w:sz w:val="24"/>
          <w:szCs w:val="24"/>
          <w:u w:val="single"/>
          <w14:textFill>
            <w14:solidFill>
              <w14:schemeClr w14:val="tx1"/>
            </w14:solidFill>
          </w14:textFill>
        </w:rPr>
        <w:t xml:space="preserve">  </w:t>
      </w:r>
    </w:p>
    <w:p w14:paraId="2483E11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25E33C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14:textFill>
            <w14:solidFill>
              <w14:schemeClr w14:val="tx1"/>
            </w14:solidFill>
          </w14:textFill>
        </w:rPr>
        <w:t>一、双方的责任</w:t>
      </w:r>
      <w:bookmarkEnd w:id="87"/>
    </w:p>
    <w:p w14:paraId="22F6052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1.1应严格遵守国家关于建设工程的有关法律、法规，相关政策，以及廉政建设的各项规定。</w:t>
      </w:r>
    </w:p>
    <w:p w14:paraId="5330A6A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1.2严格执行建设工程合同文件，自觉按合同办事。</w:t>
      </w:r>
    </w:p>
    <w:p w14:paraId="0C76F7D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4B0EC76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14:textFill>
            <w14:solidFill>
              <w14:schemeClr w14:val="tx1"/>
            </w14:solidFill>
          </w14:textFill>
        </w:rPr>
        <w:t>1.4发现双方在业务活动中有违规、违纪、违法行为的，应及时提醒对方，情节严重的，如实进行举报，一经查实，严肃处理。</w:t>
      </w:r>
    </w:p>
    <w:bookmarkEnd w:id="88"/>
    <w:p w14:paraId="11047B2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14:textFill>
            <w14:solidFill>
              <w14:schemeClr w14:val="tx1"/>
            </w14:solidFill>
          </w14:textFill>
        </w:rPr>
        <w:t>二、甲方责任</w:t>
      </w:r>
      <w:bookmarkEnd w:id="89"/>
    </w:p>
    <w:p w14:paraId="73F584F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甲方相关人员和从事该建设工程项目的工作人员，在工程建设的事前、事中、事后应遵守以下规定：</w:t>
      </w:r>
    </w:p>
    <w:p w14:paraId="2CFB1D5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38A0BD1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w:t>
      </w:r>
      <w:r>
        <w:rPr>
          <w:rFonts w:hint="eastAsia" w:ascii="仿宋_GB2312" w:hAnsi="宋体" w:eastAsia="仿宋_GB2312"/>
          <w:color w:val="000000" w:themeColor="text1"/>
          <w:sz w:val="24"/>
          <w:szCs w:val="24"/>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983D1B6">
      <w:pPr>
        <w:widowControl/>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2.3</w:t>
      </w:r>
      <w:r>
        <w:rPr>
          <w:rFonts w:hint="eastAsia" w:ascii="仿宋_GB2312" w:hAnsi="宋体" w:eastAsia="仿宋_GB2312"/>
          <w:color w:val="000000" w:themeColor="text1"/>
          <w:sz w:val="24"/>
          <w:szCs w:val="24"/>
          <w14:textFill>
            <w14:solidFill>
              <w14:schemeClr w14:val="tx1"/>
            </w14:solidFill>
          </w14:textFill>
        </w:rPr>
        <w:t>不安排己方员工的亲友在乙方工作；</w:t>
      </w:r>
    </w:p>
    <w:p w14:paraId="2110F43B">
      <w:pPr>
        <w:widowControl/>
        <w:spacing w:line="400" w:lineRule="exact"/>
        <w:ind w:firstLine="480" w:firstLineChars="200"/>
        <w:rPr>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w:t>
      </w:r>
      <w:r>
        <w:rPr>
          <w:rFonts w:hint="eastAsia" w:ascii="仿宋_GB2312" w:hAnsi="宋体" w:eastAsia="仿宋_GB2312"/>
          <w:color w:val="000000" w:themeColor="text1"/>
          <w:sz w:val="24"/>
          <w:szCs w:val="24"/>
          <w14:textFill>
            <w14:solidFill>
              <w14:schemeClr w14:val="tx1"/>
            </w14:solidFill>
          </w14:textFill>
        </w:rPr>
        <w:t>不得以任何理由向乙方推荐分包单位，不得要求乙方购买合同规定外的材料和设备；</w:t>
      </w:r>
    </w:p>
    <w:p w14:paraId="22764F5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2.5不得向乙方和相关单位索要或接受回扣、礼金、有价证券、贵重物品和好处费、感谢费等。</w:t>
      </w:r>
    </w:p>
    <w:p w14:paraId="2FCF1A5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2.6不得在乙方和相关单位报销任何应由业主方或个人支付的费用。</w:t>
      </w:r>
    </w:p>
    <w:p w14:paraId="3731817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2.7不得要求、暗示或接受乙方和相关单位为个人装修住房、婚丧嫁娶、配偶子女的工作安排以及出国(境)、旅游等提供方便。</w:t>
      </w:r>
    </w:p>
    <w:p w14:paraId="0140D5F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2.8不得参加有可能影响公正执行公务的乙方和相关单位的宴请、健身、娱乐等活动。</w:t>
      </w:r>
    </w:p>
    <w:p w14:paraId="2F5CA0B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14:textFill>
            <w14:solidFill>
              <w14:schemeClr w14:val="tx1"/>
            </w14:solidFill>
          </w14:textFill>
        </w:rPr>
        <w:t>三、乙方责任</w:t>
      </w:r>
      <w:bookmarkEnd w:id="90"/>
    </w:p>
    <w:p w14:paraId="0F8DA93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8A0FB61">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3.1</w:t>
      </w:r>
      <w:r>
        <w:rPr>
          <w:rFonts w:hint="eastAsia" w:ascii="仿宋_GB2312" w:hAnsi="宋体" w:eastAsia="仿宋_GB2312"/>
          <w:color w:val="000000" w:themeColor="text1"/>
          <w:sz w:val="24"/>
          <w:szCs w:val="24"/>
          <w14:textFill>
            <w14:solidFill>
              <w14:schemeClr w14:val="tx1"/>
            </w14:solidFill>
          </w14:textFill>
        </w:rPr>
        <w:t>根据自己的实力参与甲方的招（议）标，遵守甲方的管理制度；不得在招标之前或过程中，以不正当手段谋求中标。</w:t>
      </w:r>
    </w:p>
    <w:p w14:paraId="62D8A55F">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C4D09AD">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3.3不得以任何理由为甲方和相关单位报销应由对方或个人支付的费用，包括出差期间的交通费和住宿费等。</w:t>
      </w:r>
    </w:p>
    <w:p w14:paraId="2278F55C">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3.4不得以甲方员工及其亲属的家庭装修、婚丧嫁娶、出国留学等事宜为由进行提供资金及物资资助等行贿行为。</w:t>
      </w:r>
    </w:p>
    <w:p w14:paraId="15699727">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3.5</w:t>
      </w:r>
      <w:r>
        <w:rPr>
          <w:rFonts w:hint="eastAsia" w:ascii="仿宋_GB2312" w:eastAsia="仿宋_GB2312" w:cs="宋体"/>
          <w:color w:val="000000" w:themeColor="text1"/>
          <w:kern w:val="0"/>
          <w:sz w:val="24"/>
          <w:szCs w:val="24"/>
          <w14:textFill>
            <w14:solidFill>
              <w14:schemeClr w14:val="tx1"/>
            </w14:solidFill>
          </w14:textFill>
        </w:rPr>
        <w:t>不得向甲方员工提供礼品、礼金、贵重物品或消费卡、会员卡、礼品券等虚拟电子礼品，严禁快递送礼。</w:t>
      </w:r>
    </w:p>
    <w:p w14:paraId="0ED866A6">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6</w:t>
      </w:r>
      <w:r>
        <w:rPr>
          <w:rFonts w:hint="eastAsia" w:ascii="仿宋_GB2312" w:eastAsia="仿宋_GB2312" w:cs="宋体"/>
          <w:color w:val="000000" w:themeColor="text1"/>
          <w:kern w:val="0"/>
          <w:sz w:val="24"/>
          <w:szCs w:val="24"/>
          <w14:textFill>
            <w14:solidFill>
              <w14:schemeClr w14:val="tx1"/>
            </w14:solidFill>
          </w14:textFill>
        </w:rPr>
        <w:t>不得以任何理由为甲方、相关单位或个人组织有可能影响公正执行公务的宴请、健身、娱乐等活动。</w:t>
      </w:r>
    </w:p>
    <w:p w14:paraId="1EE6999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3.7</w:t>
      </w:r>
      <w:r>
        <w:rPr>
          <w:rFonts w:hint="eastAsia" w:ascii="仿宋_GB2312" w:eastAsia="仿宋_GB2312" w:cs="宋体"/>
          <w:color w:val="000000" w:themeColor="text1"/>
          <w:kern w:val="0"/>
          <w:sz w:val="24"/>
          <w:szCs w:val="24"/>
          <w14:textFill>
            <w14:solidFill>
              <w14:schemeClr w14:val="tx1"/>
            </w14:solidFill>
          </w14:textFill>
        </w:rPr>
        <w:t>不得与甲方员工就标书合同条款中的利益条款进行私下协商或达成默契。</w:t>
      </w:r>
    </w:p>
    <w:p w14:paraId="0F9FF56E">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.8</w:t>
      </w:r>
      <w:r>
        <w:rPr>
          <w:rFonts w:hint="eastAsia" w:ascii="仿宋_GB2312" w:eastAsia="仿宋_GB2312" w:cs="宋体"/>
          <w:color w:val="000000" w:themeColor="text1"/>
          <w:kern w:val="0"/>
          <w:sz w:val="24"/>
          <w:szCs w:val="24"/>
          <w14:textFill>
            <w14:solidFill>
              <w14:schemeClr w14:val="tx1"/>
            </w14:solidFill>
          </w14:textFill>
        </w:rPr>
        <w:t>不得安排甲方员工及其亲属从事合资或合股经营行为，不向甲方打探商业秘密或提供兼职报酬。</w:t>
      </w:r>
    </w:p>
    <w:p w14:paraId="069724D4">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3.9</w:t>
      </w:r>
      <w:r>
        <w:rPr>
          <w:rFonts w:hint="eastAsia" w:ascii="仿宋_GB2312" w:eastAsia="仿宋_GB2312" w:cs="宋体"/>
          <w:color w:val="000000" w:themeColor="text1"/>
          <w:kern w:val="0"/>
          <w:sz w:val="24"/>
          <w:szCs w:val="24"/>
          <w14:textFill>
            <w14:solidFill>
              <w14:schemeClr w14:val="tx1"/>
            </w14:solidFill>
          </w14:textFill>
        </w:rPr>
        <w:t>不在甲方人员进行市场调研、商务洽谈等期间违规提供公务接待。</w:t>
      </w:r>
    </w:p>
    <w:p w14:paraId="6F6C7E67">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3.10</w:t>
      </w:r>
      <w:r>
        <w:rPr>
          <w:rFonts w:hint="eastAsia" w:ascii="仿宋_GB2312" w:eastAsia="仿宋_GB2312" w:cs="宋体"/>
          <w:color w:val="000000" w:themeColor="text1"/>
          <w:kern w:val="0"/>
          <w:sz w:val="24"/>
          <w:szCs w:val="24"/>
          <w14:textFill>
            <w14:solidFill>
              <w14:schemeClr w14:val="tx1"/>
            </w14:solidFill>
          </w14:textFill>
        </w:rPr>
        <w:t>对甲方员工违反本协议的行为及时向甲方的上级监督部门报告。</w:t>
      </w:r>
    </w:p>
    <w:p w14:paraId="303A27C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14:textFill>
            <w14:solidFill>
              <w14:schemeClr w14:val="tx1"/>
            </w14:solidFill>
          </w14:textFill>
        </w:rPr>
        <w:t>四、违约责任</w:t>
      </w:r>
      <w:bookmarkEnd w:id="91"/>
    </w:p>
    <w:p w14:paraId="42141E8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4.1甲方工作人员有违反本责任书第一、二条责任行为的，依据有关法律及甲方《员工守则》，提交甲方纪检部门进行处理。</w:t>
      </w:r>
    </w:p>
    <w:p w14:paraId="18E343A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14:textFill>
            <w14:solidFill>
              <w14:schemeClr w14:val="tx1"/>
            </w14:solidFill>
          </w14:textFill>
        </w:rPr>
        <w:t>罚款。</w:t>
      </w:r>
    </w:p>
    <w:p w14:paraId="61A85DF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4.3甲方工作人员不得接受可能影响公正执行公务的礼金（包括各种有价证券）、礼品馈赠。因各种原因未能拒收的，一律上交所属部门并登记。</w:t>
      </w:r>
    </w:p>
    <w:p w14:paraId="132A0BA7">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4.4</w:t>
      </w:r>
      <w:r>
        <w:rPr>
          <w:rFonts w:hint="eastAsia" w:ascii="仿宋_GB2312" w:hAnsi="宋体" w:eastAsia="仿宋_GB2312" w:cs="宋体"/>
          <w:color w:val="000000" w:themeColor="text1"/>
          <w:kern w:val="0"/>
          <w:sz w:val="24"/>
          <w:szCs w:val="24"/>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14:textFill>
            <w14:solidFill>
              <w14:schemeClr w14:val="tx1"/>
            </w14:solidFill>
          </w14:textFill>
        </w:rPr>
        <w:t>触犯刑律的，移交司法机关处理。</w:t>
      </w:r>
    </w:p>
    <w:p w14:paraId="4F0DB24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4.5本责任书作为主合同的组成部分，与本合同具有同等法律效力。生效条件与主合同相同。</w:t>
      </w:r>
    </w:p>
    <w:p w14:paraId="5B7C1E0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五、监督举报渠道</w:t>
      </w:r>
    </w:p>
    <w:p w14:paraId="43982DF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5.1信访办公室</w:t>
      </w:r>
    </w:p>
    <w:p w14:paraId="4028EEA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来信地址：石家庄市建设南大街38号中建路桥集团有限公司信访办公室（收）</w:t>
      </w:r>
    </w:p>
    <w:p w14:paraId="7D58F2F4">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586D7CD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电话：0311-66538159</w:t>
      </w:r>
    </w:p>
    <w:p w14:paraId="7B5C1EC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电子邮箱：sinorbbg@cscec.com</w:t>
      </w:r>
    </w:p>
    <w:p w14:paraId="1816634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5.2纪检监督工作部</w:t>
      </w:r>
    </w:p>
    <w:p w14:paraId="2DEAAB3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来信地址：石家庄市建设南大街38号中建路桥集团有限公司纪检监督工作部（收）</w:t>
      </w:r>
    </w:p>
    <w:p w14:paraId="1EB79827">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0454DFF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电话：0311-66538173</w:t>
      </w:r>
    </w:p>
    <w:p w14:paraId="4720F1B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电子邮箱：sinorbjc@cscec.com</w:t>
      </w:r>
    </w:p>
    <w:p w14:paraId="55E65518">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六、责任书有效期</w:t>
      </w:r>
    </w:p>
    <w:p w14:paraId="005B6279">
      <w:pPr>
        <w:widowControl/>
        <w:spacing w:line="400" w:lineRule="exact"/>
        <w:ind w:firstLine="480" w:firstLineChars="2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本责任书的有效期为双方签署之日起至该工程项目竣工验收合格时止。</w:t>
      </w:r>
    </w:p>
    <w:p w14:paraId="4CDD6CE2">
      <w:pPr>
        <w:pStyle w:val="13"/>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65A70B65">
      <w:pPr>
        <w:pStyle w:val="13"/>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甲方（盖章）：                        乙方（公章）：</w:t>
      </w:r>
    </w:p>
    <w:p w14:paraId="546CFC2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p>
    <w:p w14:paraId="7411610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59C4C1C7">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6C4AE6F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08AFB8E">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3EE1330E">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607069F7">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539E0651">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7065263E">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73790A09">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058302AB">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0E0A164B">
      <w:pPr>
        <w:pStyle w:val="5"/>
        <w:rPr>
          <w:rFonts w:hint="eastAsia" w:ascii="仿宋_GB2312" w:hAnsi="仿宋_GB2312" w:eastAsia="仿宋_GB2312" w:cs="仿宋_GB2312"/>
          <w:color w:val="000000" w:themeColor="text1"/>
          <w:sz w:val="24"/>
          <w:szCs w:val="24"/>
          <w14:textFill>
            <w14:solidFill>
              <w14:schemeClr w14:val="tx1"/>
            </w14:solidFill>
          </w14:textFill>
        </w:rPr>
      </w:pPr>
    </w:p>
    <w:p w14:paraId="3405E941">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92" w:name="_Toc3613"/>
      <w:bookmarkStart w:id="93" w:name="_Toc27557"/>
      <w:bookmarkStart w:id="94" w:name="_Toc16483"/>
      <w:bookmarkStart w:id="95" w:name="_Toc19557"/>
      <w:r>
        <w:rPr>
          <w:rFonts w:hint="eastAsia" w:ascii="仿宋_GB2312" w:hAnsi="仿宋_GB2312" w:eastAsia="仿宋_GB2312" w:cs="仿宋_GB2312"/>
          <w:color w:val="000000" w:themeColor="text1"/>
          <w:sz w:val="30"/>
          <w:szCs w:val="30"/>
          <w14:textFill>
            <w14:solidFill>
              <w14:schemeClr w14:val="tx1"/>
            </w14:solidFill>
          </w14:textFill>
        </w:rPr>
        <w:t>附件五：</w:t>
      </w:r>
      <w:bookmarkEnd w:id="92"/>
      <w:bookmarkEnd w:id="93"/>
      <w:r>
        <w:rPr>
          <w:rFonts w:hint="eastAsia" w:ascii="仿宋_GB2312" w:hAnsi="仿宋_GB2312" w:eastAsia="仿宋_GB2312" w:cs="仿宋_GB2312"/>
          <w:color w:val="000000" w:themeColor="text1"/>
          <w:sz w:val="30"/>
          <w:szCs w:val="30"/>
          <w14:textFill>
            <w14:solidFill>
              <w14:schemeClr w14:val="tx1"/>
            </w14:solidFill>
          </w14:textFill>
        </w:rPr>
        <w:t xml:space="preserve">            </w:t>
      </w:r>
    </w:p>
    <w:bookmarkEnd w:id="94"/>
    <w:bookmarkEnd w:id="95"/>
    <w:p w14:paraId="61D22A51">
      <w:pPr>
        <w:widowControl/>
        <w:jc w:val="center"/>
        <w:textAlignment w:val="center"/>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钢筋供应承诺函</w:t>
      </w:r>
    </w:p>
    <w:p w14:paraId="56AE5F1C">
      <w:pPr>
        <w:pStyle w:val="15"/>
        <w:spacing w:before="240" w:beforeLines="100" w:line="400" w:lineRule="exact"/>
        <w:ind w:firstLine="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致：</w:t>
      </w:r>
      <w:permStart w:id="118" w:edGrp="everyone"/>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中建路桥集团第四工程有限公司</w:t>
      </w:r>
      <w:permEnd w:id="118"/>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14:paraId="7A838E69">
      <w:pPr>
        <w:pStyle w:val="15"/>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14:textFill>
            <w14:solidFill>
              <w14:schemeClr w14:val="tx1"/>
            </w14:solidFill>
          </w14:textFill>
        </w:rPr>
        <w:t>钢筋原材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14:textFill>
            <w14:solidFill>
              <w14:schemeClr w14:val="tx1"/>
            </w14:solidFill>
          </w14:textFill>
        </w:rPr>
        <w:t>，我司做如下承诺：</w:t>
      </w:r>
    </w:p>
    <w:p w14:paraId="23FB38CC">
      <w:pPr>
        <w:pStyle w:val="15"/>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1.我司承诺严格按照合同约定品牌供应合格钢筋，绝不配送“地条钢”、“瘦身钢筋”、“截肢钢筋”等质量或数量不合格钢筋。</w:t>
      </w:r>
    </w:p>
    <w:p w14:paraId="77BEBE40">
      <w:pPr>
        <w:pStyle w:val="15"/>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ascii="仿宋_GB2312" w:hAnsi="仿宋_GB2312" w:eastAsia="仿宋_GB2312" w:cs="仿宋_GB2312"/>
          <w:color w:val="000000" w:themeColor="text1"/>
          <w:sz w:val="24"/>
          <w:szCs w:val="24"/>
          <w:lang w:val="en-US" w:eastAsia="zh-CN"/>
          <w14:textFill>
            <w14:solidFill>
              <w14:schemeClr w14:val="tx1"/>
            </w14:solidFill>
          </w14:textFill>
        </w:rPr>
        <w:t>验收，不以任何理由在无项目管理人员验收的情况下直接卸车。</w:t>
      </w:r>
    </w:p>
    <w:p w14:paraId="6B959CC7">
      <w:pPr>
        <w:pStyle w:val="15"/>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14:textFill>
            <w14:solidFill>
              <w14:schemeClr w14:val="tx1"/>
            </w14:solidFill>
          </w14:textFill>
        </w:rPr>
        <w:t>通报禁用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14:textFill>
            <w14:solidFill>
              <w14:schemeClr w14:val="tx1"/>
            </w14:solidFill>
          </w14:textFill>
        </w:rPr>
        <w:t>。</w:t>
      </w:r>
    </w:p>
    <w:p w14:paraId="65AC5E20">
      <w:pPr>
        <w:pStyle w:val="15"/>
        <w:spacing w:line="400" w:lineRule="exact"/>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14:textFill>
            <w14:solidFill>
              <w14:schemeClr w14:val="tx1"/>
            </w14:solidFill>
          </w14:textFill>
        </w:rPr>
        <w:t>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严禁“以次充好、内外勾结”等行为。</w:t>
      </w:r>
    </w:p>
    <w:p w14:paraId="20A3D7C1">
      <w:pPr>
        <w:pStyle w:val="15"/>
        <w:spacing w:line="40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我司自愿终止与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14:textFill>
            <w14:solidFill>
              <w14:schemeClr w14:val="tx1"/>
            </w14:solidFill>
          </w14:textFill>
        </w:rPr>
        <w:t>公司的合作。</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若因我司人员管理失职导致的损失，我司愿承担一切责任。</w:t>
      </w:r>
    </w:p>
    <w:p w14:paraId="4898D0B1">
      <w:pPr>
        <w:pStyle w:val="15"/>
        <w:spacing w:line="56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98AFE61">
      <w:pPr>
        <w:pStyle w:val="15"/>
        <w:spacing w:line="560" w:lineRule="exact"/>
        <w:ind w:firstLine="560"/>
        <w:jc w:val="lef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544D8E2D">
      <w:pPr>
        <w:spacing w:line="400" w:lineRule="exact"/>
        <w:ind w:left="4" w:leftChars="2" w:right="210" w:rightChars="100" w:firstLine="4761" w:firstLineChars="1984"/>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承</w:t>
      </w:r>
      <w:r>
        <w:rPr>
          <w:rFonts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14:textFill>
            <w14:solidFill>
              <w14:schemeClr w14:val="tx1"/>
            </w14:solidFill>
          </w14:textFill>
        </w:rPr>
        <w:t>诺</w:t>
      </w:r>
      <w:r>
        <w:rPr>
          <w:rFonts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14:textFill>
            <w14:solidFill>
              <w14:schemeClr w14:val="tx1"/>
            </w14:solidFill>
          </w14:textFill>
        </w:rPr>
        <w:t xml:space="preserve">人（公章）：         </w:t>
      </w:r>
    </w:p>
    <w:p w14:paraId="3E54445E">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41CF92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5340B032">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73B45E8E">
      <w:pPr>
        <w:pStyle w:val="15"/>
        <w:spacing w:line="400" w:lineRule="exact"/>
        <w:ind w:firstLine="4800" w:firstLineChars="20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lang w:eastAsia="zh-CN"/>
          <w14:textFill>
            <w14:solidFill>
              <w14:schemeClr w14:val="tx1"/>
            </w14:solidFill>
          </w14:textFill>
        </w:rPr>
        <w:t>日</w:t>
      </w:r>
    </w:p>
    <w:p w14:paraId="711EB416">
      <w:pPr>
        <w:pStyle w:val="13"/>
        <w:spacing w:line="400" w:lineRule="atLeast"/>
        <w:jc w:val="both"/>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92" w:gutter="0"/>
          <w:cols w:space="0" w:num="1"/>
          <w:docGrid w:linePitch="312" w:charSpace="0"/>
        </w:sectPr>
      </w:pPr>
    </w:p>
    <w:p w14:paraId="2E1353D3">
      <w:pPr>
        <w:spacing w:line="400" w:lineRule="exact"/>
        <w:jc w:val="center"/>
        <w:rPr>
          <w:rFonts w:hint="eastAsia" w:ascii="仿宋" w:hAnsi="仿宋" w:eastAsia="仿宋" w:cs="仿宋"/>
          <w:b/>
          <w:bCs/>
          <w:color w:val="000000" w:themeColor="text1"/>
          <w:sz w:val="32"/>
          <w:szCs w:val="32"/>
          <w14:textFill>
            <w14:solidFill>
              <w14:schemeClr w14:val="tx1"/>
            </w14:solidFill>
          </w14:textFill>
        </w:rPr>
      </w:pPr>
      <w:bookmarkStart w:id="96" w:name="_Toc18674"/>
      <w:bookmarkStart w:id="97" w:name="_Toc1869"/>
      <w:bookmarkStart w:id="98" w:name="_Hlk127794870"/>
      <w:bookmarkStart w:id="99" w:name="_Toc1495"/>
      <w:r>
        <w:rPr>
          <w:rFonts w:hint="eastAsia" w:ascii="黑体" w:hAnsi="黑体" w:eastAsia="黑体" w:cs="黑体"/>
          <w:b/>
          <w:bCs/>
          <w:color w:val="000000" w:themeColor="text1"/>
          <w:sz w:val="32"/>
          <w:szCs w:val="32"/>
          <w14:textFill>
            <w14:solidFill>
              <w14:schemeClr w14:val="tx1"/>
            </w14:solidFill>
          </w14:textFill>
        </w:rPr>
        <w:t>第二部分 通用条款</w:t>
      </w:r>
      <w:bookmarkEnd w:id="96"/>
      <w:bookmarkEnd w:id="97"/>
      <w:bookmarkEnd w:id="98"/>
    </w:p>
    <w:p w14:paraId="36839886">
      <w:pPr>
        <w:pStyle w:val="13"/>
        <w:numPr>
          <w:ilvl w:val="0"/>
          <w:numId w:val="8"/>
        </w:numPr>
        <w:spacing w:before="120" w:beforeLines="50" w:after="120" w:afterLines="50" w:line="400" w:lineRule="atLeast"/>
        <w:ind w:firstLine="482"/>
        <w:outlineLvl w:val="0"/>
        <w:rPr>
          <w:rFonts w:hint="eastAsia" w:ascii="仿宋_GB2312" w:hAnsi="仿宋_GB2312" w:eastAsia="仿宋_GB2312" w:cs="仿宋_GB2312"/>
          <w:b/>
          <w:bCs/>
          <w:color w:val="000000" w:themeColor="text1"/>
          <w14:textFill>
            <w14:solidFill>
              <w14:schemeClr w14:val="tx1"/>
            </w14:solidFill>
          </w14:textFill>
        </w:rPr>
      </w:pPr>
      <w:bookmarkStart w:id="100" w:name="_Toc11168"/>
      <w:bookmarkStart w:id="101" w:name="_Toc3066"/>
      <w:r>
        <w:rPr>
          <w:rFonts w:hint="eastAsia" w:ascii="仿宋_GB2312" w:hAnsi="仿宋_GB2312" w:eastAsia="仿宋_GB2312" w:cs="仿宋_GB2312"/>
          <w:b/>
          <w:bCs/>
          <w:color w:val="000000" w:themeColor="text1"/>
          <w14:textFill>
            <w14:solidFill>
              <w14:schemeClr w14:val="tx1"/>
            </w14:solidFill>
          </w14:textFill>
        </w:rPr>
        <w:t>货物合同附随义务</w:t>
      </w:r>
      <w:bookmarkEnd w:id="99"/>
      <w:bookmarkEnd w:id="100"/>
      <w:bookmarkEnd w:id="101"/>
    </w:p>
    <w:p w14:paraId="717F2278">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1.乙方义务</w:t>
      </w:r>
    </w:p>
    <w:p w14:paraId="355A54F9">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1.1乙方合规义务</w:t>
      </w:r>
    </w:p>
    <w:p w14:paraId="657AA634">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1.1.1合规开展行业竞争：</w:t>
      </w:r>
      <w:r>
        <w:rPr>
          <w:rFonts w:hint="eastAsia" w:ascii="仿宋_GB2312" w:hAnsi="仿宋_GB2312" w:eastAsia="仿宋_GB2312" w:cs="仿宋_GB2312"/>
          <w:color w:val="000000" w:themeColor="text1"/>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2D46F940">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1.1.2合规保障服务生产：</w:t>
      </w:r>
      <w:r>
        <w:rPr>
          <w:rFonts w:hint="eastAsia" w:ascii="仿宋_GB2312" w:hAnsi="仿宋_GB2312" w:eastAsia="仿宋_GB2312" w:cs="仿宋_GB2312"/>
          <w:color w:val="000000" w:themeColor="text1"/>
          <w14:textFill>
            <w14:solidFill>
              <w14:schemeClr w14:val="tx1"/>
            </w14:solidFill>
          </w14:textFill>
        </w:rPr>
        <w:t>恪守契约精神，严格按照合同约定时间和地点完成货物交付，全力保障项目物资设备供应需求。</w:t>
      </w:r>
    </w:p>
    <w:p w14:paraId="16D4D65B">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1.1.3合规履行安全管控职责：</w:t>
      </w:r>
      <w:r>
        <w:rPr>
          <w:rFonts w:hint="eastAsia" w:ascii="仿宋_GB2312" w:hAnsi="仿宋_GB2312" w:eastAsia="仿宋_GB2312" w:cs="仿宋_GB2312"/>
          <w:color w:val="000000" w:themeColor="text1"/>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7E302D2F">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1.1.4合规履行质量管控职责：</w:t>
      </w:r>
      <w:r>
        <w:rPr>
          <w:rFonts w:hint="eastAsia" w:ascii="仿宋_GB2312" w:hAnsi="仿宋_GB2312" w:eastAsia="仿宋_GB2312" w:cs="仿宋_GB2312"/>
          <w:color w:val="000000" w:themeColor="text1"/>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194252E5">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1.1.5合规依法纳税职责：</w:t>
      </w:r>
      <w:r>
        <w:rPr>
          <w:rFonts w:hint="eastAsia" w:ascii="仿宋_GB2312" w:hAnsi="仿宋_GB2312" w:eastAsia="仿宋_GB2312" w:cs="仿宋_GB2312"/>
          <w:color w:val="000000" w:themeColor="text1"/>
          <w14:textFill>
            <w14:solidFill>
              <w14:schemeClr w14:val="tx1"/>
            </w14:solidFill>
          </w14:textFill>
        </w:rPr>
        <w:t>严格按照国家税法规定，履行合法合规纳税义务，绝不虚开或伪造增值税专用发票。</w:t>
      </w:r>
    </w:p>
    <w:p w14:paraId="2072E78C">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1.1.6合规拥有货物所有权：</w:t>
      </w:r>
      <w:r>
        <w:rPr>
          <w:rFonts w:hint="eastAsia" w:ascii="仿宋_GB2312" w:hAnsi="仿宋_GB2312" w:eastAsia="仿宋_GB2312" w:cs="仿宋_GB2312"/>
          <w:color w:val="000000" w:themeColor="text1"/>
          <w14:textFill>
            <w14:solidFill>
              <w14:schemeClr w14:val="tx1"/>
            </w14:solidFill>
          </w14:textFill>
        </w:rPr>
        <w:t>保证对货物具有所有权或受委托代理销售权，并向甲方出具相关凭证。保证交付的货物不附有任何担保权、留置权或设定其他权利负担。</w:t>
      </w:r>
    </w:p>
    <w:p w14:paraId="73299CDB">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1.1.7合规拥有</w:t>
      </w:r>
      <w:r>
        <w:rPr>
          <w:rFonts w:ascii="仿宋_GB2312" w:hAnsi="仿宋_GB2312" w:eastAsia="仿宋_GB2312" w:cs="仿宋_GB2312"/>
          <w:b/>
          <w:bCs/>
          <w:color w:val="000000" w:themeColor="text1"/>
          <w14:textFill>
            <w14:solidFill>
              <w14:schemeClr w14:val="tx1"/>
            </w14:solidFill>
          </w14:textFill>
        </w:rPr>
        <w:t>货物知识产权：</w:t>
      </w:r>
      <w:r>
        <w:rPr>
          <w:rFonts w:ascii="仿宋_GB2312" w:hAnsi="仿宋_GB2312" w:eastAsia="仿宋_GB2312" w:cs="仿宋_GB2312"/>
          <w:color w:val="000000" w:themeColor="text1"/>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E7363D7">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1.1.8合规开展廉洁共建职责：</w:t>
      </w:r>
      <w:r>
        <w:rPr>
          <w:rFonts w:hint="eastAsia" w:ascii="仿宋_GB2312" w:hAnsi="仿宋_GB2312" w:eastAsia="仿宋_GB2312" w:cs="仿宋_GB2312"/>
          <w:color w:val="000000" w:themeColor="text1"/>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4BC9E055">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1.2乙方其他义务</w:t>
      </w:r>
    </w:p>
    <w:p w14:paraId="1AB003AF">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1.2.1增值服务：</w:t>
      </w:r>
      <w:r>
        <w:rPr>
          <w:rFonts w:hint="eastAsia" w:ascii="仿宋_GB2312" w:hAnsi="仿宋_GB2312" w:eastAsia="仿宋_GB2312" w:cs="仿宋_GB2312"/>
          <w:color w:val="000000" w:themeColor="text1"/>
          <w14:textFill>
            <w14:solidFill>
              <w14:schemeClr w14:val="tx1"/>
            </w14:solidFill>
          </w14:textFill>
        </w:rPr>
        <w:t>乙方应提供与货物配套的增值服务；包括但不限于技术支持、深化设计、现场培训及货物安装指导等工作，相应费用已在综合单价考虑。</w:t>
      </w:r>
    </w:p>
    <w:p w14:paraId="6D8A0C24">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1.2.2货物退货与置换：</w:t>
      </w:r>
      <w:r>
        <w:rPr>
          <w:rFonts w:hint="eastAsia" w:ascii="仿宋_GB2312" w:hAnsi="仿宋_GB2312" w:eastAsia="仿宋_GB2312" w:cs="仿宋_GB2312"/>
          <w:color w:val="000000" w:themeColor="text1"/>
          <w14:textFill>
            <w14:solidFill>
              <w14:schemeClr w14:val="tx1"/>
            </w14:solidFill>
          </w14:textFill>
        </w:rPr>
        <w:t>乙方供应的货物，根据不同情况甲方可选择直接向乙方退货或向乙方置换，乙方同意按甲方选择的方式办理：</w:t>
      </w:r>
    </w:p>
    <w:p w14:paraId="6400AA6D">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（1）对于未使用且不影响二次销售的材料，若甲方选择退货，则双方按甲方退货后实际收到合格货物数量办理结算。</w:t>
      </w:r>
    </w:p>
    <w:p w14:paraId="0897006D">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（2）对于已使用的材料，若甲方选择置换，则双方协商估算原材料残值并置换等价值新材料。</w:t>
      </w:r>
    </w:p>
    <w:p w14:paraId="23F80D7F">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119" w:edGrp="everyone"/>
      <w:r>
        <w:rPr>
          <w:rFonts w:hint="eastAsia" w:ascii="仿宋_GB2312" w:hAnsi="仿宋_GB2312" w:eastAsia="仿宋_GB2312" w:cs="仿宋_GB2312"/>
          <w:color w:val="000000" w:themeColor="text1"/>
          <w:u w:val="single"/>
          <w14:textFill>
            <w14:solidFill>
              <w14:schemeClr w14:val="tx1"/>
            </w14:solidFill>
          </w14:textFill>
        </w:rPr>
        <w:t xml:space="preserve">甲方 </w:t>
      </w:r>
      <w:permEnd w:id="119"/>
      <w:r>
        <w:rPr>
          <w:rFonts w:hint="eastAsia" w:ascii="仿宋_GB2312" w:hAnsi="仿宋_GB2312" w:eastAsia="仿宋_GB2312" w:cs="仿宋_GB2312"/>
          <w:color w:val="000000" w:themeColor="text1"/>
          <w14:textFill>
            <w14:solidFill>
              <w14:schemeClr w14:val="tx1"/>
            </w14:solidFill>
          </w14:textFill>
        </w:rPr>
        <w:t>承担，装卸费用由</w:t>
      </w:r>
      <w:permStart w:id="120" w:edGrp="everyone"/>
      <w:r>
        <w:rPr>
          <w:rFonts w:hint="eastAsia" w:ascii="仿宋_GB2312" w:hAnsi="仿宋_GB2312" w:eastAsia="仿宋_GB2312" w:cs="仿宋_GB2312"/>
          <w:color w:val="000000" w:themeColor="text1"/>
          <w:u w:val="single"/>
          <w14:textFill>
            <w14:solidFill>
              <w14:schemeClr w14:val="tx1"/>
            </w14:solidFill>
          </w14:textFill>
        </w:rPr>
        <w:t xml:space="preserve"> 甲方 </w:t>
      </w:r>
      <w:permEnd w:id="120"/>
      <w:r>
        <w:rPr>
          <w:rFonts w:hint="eastAsia" w:ascii="仿宋_GB2312" w:hAnsi="仿宋_GB2312" w:eastAsia="仿宋_GB2312" w:cs="仿宋_GB2312"/>
          <w:color w:val="000000" w:themeColor="text1"/>
          <w14:textFill>
            <w14:solidFill>
              <w14:schemeClr w14:val="tx1"/>
            </w14:solidFill>
          </w14:textFill>
        </w:rPr>
        <w:t>承担。</w:t>
      </w:r>
    </w:p>
    <w:p w14:paraId="7E2A87F1">
      <w:pPr>
        <w:pStyle w:val="13"/>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2.甲方义务</w:t>
      </w:r>
    </w:p>
    <w:p w14:paraId="40AE1B57">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2.1材料需用计划：</w:t>
      </w:r>
      <w:r>
        <w:rPr>
          <w:rFonts w:hint="eastAsia" w:ascii="仿宋_GB2312" w:hAnsi="仿宋_GB2312" w:eastAsia="仿宋_GB2312" w:cs="仿宋_GB2312"/>
          <w:color w:val="000000" w:themeColor="text1"/>
          <w14:textFill>
            <w14:solidFill>
              <w14:schemeClr w14:val="tx1"/>
            </w14:solidFill>
          </w14:textFill>
        </w:rPr>
        <w:t>甲方合理制定材料总需用计划及日常需用计划，并按照合同约定提前通知乙方，给予乙方充足备货期。</w:t>
      </w:r>
    </w:p>
    <w:p w14:paraId="725BBCEF">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2.2配合材料卸货：</w:t>
      </w:r>
      <w:r>
        <w:rPr>
          <w:rFonts w:hint="eastAsia" w:ascii="仿宋_GB2312" w:hAnsi="仿宋_GB2312" w:eastAsia="仿宋_GB2312" w:cs="仿宋_GB2312"/>
          <w:color w:val="000000" w:themeColor="text1"/>
          <w14:textFill>
            <w14:solidFill>
              <w14:schemeClr w14:val="tx1"/>
            </w14:solidFill>
          </w14:textFill>
        </w:rPr>
        <w:t>乙方在材料运抵交货前2天通知甲方，甲方应在验收合格后，提供堆放场地或堆放仓库，配合乙方材料卸货。</w:t>
      </w:r>
    </w:p>
    <w:p w14:paraId="446BFEFB">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02" w:name="_Toc965"/>
      <w:bookmarkStart w:id="103" w:name="_Toc1717"/>
      <w:bookmarkStart w:id="104" w:name="_Toc13486"/>
      <w:r>
        <w:rPr>
          <w:rFonts w:hint="eastAsia" w:ascii="仿宋_GB2312" w:hAnsi="仿宋_GB2312" w:eastAsia="仿宋_GB2312" w:cs="仿宋_GB2312"/>
          <w:b/>
          <w:bCs/>
          <w:color w:val="000000" w:themeColor="text1"/>
          <w14:textFill>
            <w14:solidFill>
              <w14:schemeClr w14:val="tx1"/>
            </w14:solidFill>
          </w14:textFill>
        </w:rPr>
        <w:t>货物违约责任</w:t>
      </w:r>
      <w:bookmarkEnd w:id="102"/>
      <w:bookmarkEnd w:id="103"/>
      <w:bookmarkEnd w:id="104"/>
    </w:p>
    <w:p w14:paraId="7E21BB39">
      <w:pPr>
        <w:pStyle w:val="13"/>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未按计划时间供应：</w:t>
      </w:r>
    </w:p>
    <w:p w14:paraId="6F1863F4">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05" w:name="_Hlk127198856"/>
      <w:r>
        <w:rPr>
          <w:rFonts w:hint="eastAsia" w:ascii="仿宋_GB2312" w:hAnsi="仿宋_GB2312" w:eastAsia="仿宋_GB2312" w:cs="仿宋_GB2312"/>
          <w:color w:val="000000" w:themeColor="text1"/>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u w:val="single"/>
          <w14:textFill>
            <w14:solidFill>
              <w14:schemeClr w14:val="tx1"/>
            </w14:solidFill>
          </w14:textFill>
        </w:rPr>
        <w:t xml:space="preserve"> 2 </w:t>
      </w:r>
      <w:r>
        <w:rPr>
          <w:rFonts w:hint="eastAsia" w:ascii="仿宋_GB2312" w:hAnsi="仿宋_GB2312" w:eastAsia="仿宋_GB2312" w:cs="仿宋_GB2312"/>
          <w:color w:val="000000" w:themeColor="text1"/>
          <w14:textFill>
            <w14:solidFill>
              <w14:schemeClr w14:val="tx1"/>
            </w14:solidFill>
          </w14:textFill>
        </w:rPr>
        <w:t>次，乙方须向甲方支付违约金，</w:t>
      </w:r>
      <w:r>
        <w:rPr>
          <w:rFonts w:hint="eastAsia" w:ascii="仿宋_GB2312" w:hAnsi="仿宋_GB2312" w:eastAsia="仿宋_GB2312" w:cs="仿宋_GB2312"/>
          <w:b/>
          <w:bCs/>
          <w:color w:val="000000" w:themeColor="text1"/>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乙方延迟交付超</w:t>
      </w:r>
      <w:r>
        <w:rPr>
          <w:rFonts w:hint="eastAsia" w:ascii="仿宋_GB2312" w:hAnsi="仿宋_GB2312" w:eastAsia="仿宋_GB2312" w:cs="仿宋_GB2312"/>
          <w:color w:val="000000" w:themeColor="text1"/>
          <w:u w:val="single"/>
          <w14:textFill>
            <w14:solidFill>
              <w14:schemeClr w14:val="tx1"/>
            </w14:solidFill>
          </w14:textFill>
        </w:rPr>
        <w:t xml:space="preserve"> 7 </w:t>
      </w:r>
      <w:r>
        <w:rPr>
          <w:rFonts w:hint="eastAsia" w:ascii="仿宋_GB2312" w:hAnsi="仿宋_GB2312" w:eastAsia="仿宋_GB2312" w:cs="仿宋_GB2312"/>
          <w:color w:val="000000" w:themeColor="text1"/>
          <w14:textFill>
            <w14:solidFill>
              <w14:schemeClr w14:val="tx1"/>
            </w14:solidFill>
          </w14:textFill>
        </w:rPr>
        <w:t>日的，甲方有权单方解除本合同。</w:t>
      </w:r>
    </w:p>
    <w:p w14:paraId="15BF775D">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5"/>
    <w:p w14:paraId="6D52D7AA">
      <w:pPr>
        <w:pStyle w:val="13"/>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未按指定地点或方式供应：</w:t>
      </w:r>
    </w:p>
    <w:p w14:paraId="1E288D65">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14C52041">
      <w:pPr>
        <w:pStyle w:val="13"/>
        <w:numPr>
          <w:ilvl w:val="0"/>
          <w:numId w:val="9"/>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不符合约定货物质量标准：</w:t>
      </w:r>
    </w:p>
    <w:p w14:paraId="697318CE">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7F8B83B4">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14:textFill>
            <w14:solidFill>
              <w14:schemeClr w14:val="tx1"/>
            </w14:solidFill>
          </w14:textFill>
        </w:rPr>
        <w:t>并按照20000元每次承担违约金，且除违约金外乙方必须承担甲方项目实际工期损失及经济损失。</w:t>
      </w:r>
    </w:p>
    <w:p w14:paraId="26488DAC">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486FCDEF">
      <w:pPr>
        <w:pStyle w:val="13"/>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未履行开具增值税发票义务：</w:t>
      </w:r>
    </w:p>
    <w:p w14:paraId="043C2A7C">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乙方存在下列情形之一的，甲方有权单方解除合同，并有权直接从乙方应付款项中双倍扣除甲方未能抵扣的税金（扣除金额=不含税结算金额×</w:t>
      </w:r>
      <w:permStart w:id="121"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21"/>
      <w:r>
        <w:rPr>
          <w:rFonts w:hint="eastAsia" w:ascii="仿宋_GB2312" w:hAnsi="仿宋_GB2312" w:eastAsia="仿宋_GB2312" w:cs="仿宋_GB2312"/>
          <w:color w:val="000000" w:themeColor="text1"/>
          <w14:textFill>
            <w14:solidFill>
              <w14:schemeClr w14:val="tx1"/>
            </w14:solidFill>
          </w14:textFill>
        </w:rPr>
        <w:t>％增值税税率×2）作为违约金：</w:t>
      </w:r>
    </w:p>
    <w:p w14:paraId="133696AA">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4.1不具有开具增值税专用发票的纳税人资格。</w:t>
      </w:r>
    </w:p>
    <w:p w14:paraId="303EB367">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4.2未能按本合同约定的税率开具增值税专用发票。</w:t>
      </w:r>
    </w:p>
    <w:p w14:paraId="7075405F">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4.3提供的增值税专用发票是乙方以外的主体开具。</w:t>
      </w:r>
    </w:p>
    <w:p w14:paraId="5D336110">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4.4拖欠增值税专用发票金额累计达100万元以上。</w:t>
      </w:r>
    </w:p>
    <w:p w14:paraId="171F9A07">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3264B1A5">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4.6提供伪造的增值税专用发票。</w:t>
      </w:r>
    </w:p>
    <w:p w14:paraId="5BFFDC22">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4.7虚开增值税专用发票。</w:t>
      </w:r>
    </w:p>
    <w:p w14:paraId="01ACF25A">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4.8其它导致甲方无法进行增值税抵扣的情形。</w:t>
      </w:r>
    </w:p>
    <w:p w14:paraId="62DA0CAF">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乙方存在以上情形的，除承担相应违约责任外，还应赔偿甲方因此所受损失，同时不免除乙方开具合法合规增值税专用发票的义务。</w:t>
      </w:r>
    </w:p>
    <w:p w14:paraId="622572EF">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1B7381B">
      <w:pPr>
        <w:pStyle w:val="13"/>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未履行安全责任及义务：</w:t>
      </w:r>
    </w:p>
    <w:p w14:paraId="7CF03241">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5.1乙方不能满足甲方有关安全文明施工措施、环境和职业健康安全方面的要求时，乙方按照项目实际工期损失、经济损失承担违约金。</w:t>
      </w:r>
    </w:p>
    <w:p w14:paraId="25C4EEA3">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5.2由于乙方原因造成甲方人员人身伤害，乙方应立即采取补救措施，并全额赔偿甲方相关人员损失。</w:t>
      </w:r>
    </w:p>
    <w:p w14:paraId="0F03A2FB">
      <w:pPr>
        <w:pStyle w:val="13"/>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未经同意转让权利及义务：</w:t>
      </w:r>
    </w:p>
    <w:p w14:paraId="199040C4">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bookmarkStart w:id="106" w:name="_Hlk126830271"/>
      <w:bookmarkStart w:id="107" w:name="_Hlk126830163"/>
      <w:r>
        <w:rPr>
          <w:rFonts w:hint="eastAsia" w:ascii="仿宋_GB2312" w:hAnsi="仿宋_GB2312" w:eastAsia="仿宋_GB2312" w:cs="仿宋_GB2312"/>
          <w:b/>
          <w:bCs/>
          <w:color w:val="000000" w:themeColor="text1"/>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6"/>
      <w:r>
        <w:rPr>
          <w:rFonts w:hint="eastAsia" w:ascii="仿宋_GB2312" w:hAnsi="仿宋_GB2312" w:eastAsia="仿宋_GB2312" w:cs="仿宋_GB2312"/>
          <w:color w:val="000000" w:themeColor="text1"/>
          <w14:textFill>
            <w14:solidFill>
              <w14:schemeClr w14:val="tx1"/>
            </w14:solidFill>
          </w14:textFill>
        </w:rPr>
        <w:t>。</w:t>
      </w:r>
      <w:bookmarkEnd w:id="107"/>
    </w:p>
    <w:p w14:paraId="4E1160EA">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8" w:name="_Hlk126834115"/>
      <w:bookmarkStart w:id="109" w:name="_Hlk127191104"/>
      <w:r>
        <w:rPr>
          <w:rFonts w:hint="eastAsia" w:ascii="仿宋_GB2312" w:hAnsi="仿宋_GB2312" w:eastAsia="仿宋_GB2312" w:cs="仿宋_GB2312"/>
          <w:b/>
          <w:bCs/>
          <w:color w:val="000000" w:themeColor="text1"/>
          <w14:textFill>
            <w14:solidFill>
              <w14:schemeClr w14:val="tx1"/>
            </w14:solidFill>
          </w14:textFill>
        </w:rPr>
        <w:t>7、</w:t>
      </w:r>
      <w:bookmarkStart w:id="110" w:name="_Hlk126829881"/>
      <w:r>
        <w:rPr>
          <w:rFonts w:hint="eastAsia" w:ascii="仿宋_GB2312" w:hAnsi="仿宋_GB2312" w:eastAsia="仿宋_GB2312" w:cs="仿宋_GB2312"/>
          <w:b/>
          <w:bCs/>
          <w:color w:val="000000" w:themeColor="text1"/>
          <w14:textFill>
            <w14:solidFill>
              <w14:schemeClr w14:val="tx1"/>
            </w14:solidFill>
          </w14:textFill>
        </w:rPr>
        <w:t>未履行结算义务：</w:t>
      </w:r>
    </w:p>
    <w:p w14:paraId="0BBFD650">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98D84B7">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（1）伪造或虚开工程量数据，一经发现处以罚款2万元/次。</w:t>
      </w:r>
    </w:p>
    <w:p w14:paraId="25294F87">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（2）伪造甲方管理人员签字盖章，一经发现处以罚款5万元/次。</w:t>
      </w:r>
    </w:p>
    <w:p w14:paraId="3CDCA8DD">
      <w:pPr>
        <w:pStyle w:val="13"/>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（3）伪造结算书或其他结算相关材料，一经发现处以罚款10万元/次</w:t>
      </w:r>
      <w:bookmarkEnd w:id="108"/>
      <w:r>
        <w:rPr>
          <w:rFonts w:hint="eastAsia" w:ascii="仿宋_GB2312" w:hAnsi="仿宋_GB2312" w:eastAsia="仿宋_GB2312" w:cs="仿宋_GB2312"/>
          <w:color w:val="000000" w:themeColor="text1"/>
          <w14:textFill>
            <w14:solidFill>
              <w14:schemeClr w14:val="tx1"/>
            </w14:solidFill>
          </w14:textFill>
        </w:rPr>
        <w:t>。</w:t>
      </w:r>
      <w:bookmarkEnd w:id="109"/>
      <w:bookmarkEnd w:id="110"/>
    </w:p>
    <w:p w14:paraId="7846F050">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11" w:name="_Toc19191"/>
      <w:bookmarkStart w:id="112" w:name="_Toc11521"/>
      <w:bookmarkStart w:id="113" w:name="_Toc20335"/>
      <w:r>
        <w:rPr>
          <w:rFonts w:hint="eastAsia" w:ascii="仿宋_GB2312" w:hAnsi="仿宋_GB2312" w:eastAsia="仿宋_GB2312" w:cs="仿宋_GB2312"/>
          <w:b/>
          <w:bCs/>
          <w:color w:val="000000" w:themeColor="text1"/>
          <w14:textFill>
            <w14:solidFill>
              <w14:schemeClr w14:val="tx1"/>
            </w14:solidFill>
          </w14:textFill>
        </w:rPr>
        <w:t>8、供货知识产权存在瑕疵：</w:t>
      </w:r>
    </w:p>
    <w:p w14:paraId="547E1895">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0481FF26">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9、私运项目物资</w:t>
      </w:r>
    </w:p>
    <w:p w14:paraId="0A260151">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若乙方私自运送甲方现场物资出场，乙方需向甲方支付所涉及物资原值【2】倍的违约金，情节严重的交由司法机关处理。</w:t>
      </w:r>
    </w:p>
    <w:p w14:paraId="6F0D2FDA">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10、未履行本协议约定义务：</w:t>
      </w:r>
    </w:p>
    <w:p w14:paraId="67F1BD92">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0028226">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11、违约后的处置方式：</w:t>
      </w:r>
    </w:p>
    <w:p w14:paraId="3B47CC2A">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乙方违约后，甲方有权直接从乙方结算款或应付款中扣除违约金；甲方决定合同继续履行的，乙方除承担上述违约责任，仍应继续履行合同。</w:t>
      </w:r>
    </w:p>
    <w:p w14:paraId="4C70315D">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货物缺陷索赔</w:t>
      </w:r>
      <w:bookmarkEnd w:id="111"/>
      <w:bookmarkEnd w:id="112"/>
      <w:bookmarkEnd w:id="113"/>
    </w:p>
    <w:p w14:paraId="072288EB">
      <w:pPr>
        <w:pStyle w:val="14"/>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1、质量缺陷索赔：</w:t>
      </w:r>
      <w:r>
        <w:rPr>
          <w:rFonts w:hint="eastAsia" w:ascii="仿宋_GB2312" w:hAnsi="仿宋_GB2312" w:eastAsia="仿宋_GB2312" w:cs="仿宋_GB2312"/>
          <w:color w:val="000000" w:themeColor="text1"/>
          <w:sz w:val="24"/>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2EB4176">
      <w:pPr>
        <w:pStyle w:val="14"/>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2、缺陷索赔解决方式：</w:t>
      </w:r>
      <w:r>
        <w:rPr>
          <w:rFonts w:hint="eastAsia" w:ascii="仿宋_GB2312" w:hAnsi="仿宋_GB2312" w:eastAsia="仿宋_GB2312" w:cs="仿宋_GB2312"/>
          <w:color w:val="000000" w:themeColor="text1"/>
          <w:sz w:val="24"/>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263B3E82">
      <w:pPr>
        <w:pStyle w:val="14"/>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49D9D79E">
      <w:pPr>
        <w:pStyle w:val="14"/>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2.2根据货物的质量缺陷和受损程度以及甲方遭受损失的程度，经双方协商同意降低货物价格。</w:t>
      </w:r>
    </w:p>
    <w:p w14:paraId="4531B2CC">
      <w:pPr>
        <w:pStyle w:val="14"/>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1EA51341">
      <w:pPr>
        <w:pStyle w:val="14"/>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14:textFill>
            <w14:solidFill>
              <w14:schemeClr w14:val="tx1"/>
            </w14:solidFill>
          </w14:textFill>
        </w:rPr>
        <w:t>，甲方有权从乙方货款中扣除索赔金额，不足部分，甲方有权向乙方追偿。</w:t>
      </w:r>
    </w:p>
    <w:p w14:paraId="3DE0619B">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4、其他缺陷索赔：</w:t>
      </w:r>
      <w:r>
        <w:rPr>
          <w:rFonts w:hint="eastAsia" w:ascii="仿宋_GB2312" w:hAnsi="仿宋_GB2312" w:eastAsia="仿宋_GB2312" w:cs="仿宋_GB2312"/>
          <w:color w:val="000000" w:themeColor="text1"/>
          <w14:textFill>
            <w14:solidFill>
              <w14:schemeClr w14:val="tx1"/>
            </w14:solidFill>
          </w14:textFill>
        </w:rPr>
        <w:t>对于甲方提出的非质量缺陷的其他索赔通知，参照适用缺陷索赔规则。</w:t>
      </w:r>
    </w:p>
    <w:p w14:paraId="640D4B9A">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4" w:name="_Toc12864"/>
      <w:bookmarkStart w:id="115" w:name="_Toc13562"/>
      <w:bookmarkStart w:id="116" w:name="_Toc13471"/>
      <w:r>
        <w:rPr>
          <w:rFonts w:hint="eastAsia" w:ascii="仿宋_GB2312" w:hAnsi="仿宋_GB2312" w:eastAsia="仿宋_GB2312" w:cs="仿宋_GB2312"/>
          <w:b/>
          <w:bCs/>
          <w:color w:val="000000" w:themeColor="text1"/>
          <w14:textFill>
            <w14:solidFill>
              <w14:schemeClr w14:val="tx1"/>
            </w14:solidFill>
          </w14:textFill>
        </w:rPr>
        <w:t>合同变更</w:t>
      </w:r>
      <w:bookmarkEnd w:id="114"/>
      <w:bookmarkEnd w:id="115"/>
      <w:bookmarkEnd w:id="116"/>
    </w:p>
    <w:p w14:paraId="6D1A3A0B">
      <w:pPr>
        <w:pStyle w:val="13"/>
        <w:numPr>
          <w:ilvl w:val="0"/>
          <w:numId w:val="10"/>
        </w:numPr>
        <w:spacing w:line="400" w:lineRule="atLeast"/>
        <w:ind w:firstLine="480" w:firstLineChars="200"/>
        <w:jc w:val="both"/>
        <w:rPr>
          <w:rFonts w:hint="eastAsia"/>
          <w:szCs w:val="21"/>
        </w:rPr>
      </w:pPr>
      <w:r>
        <w:rPr>
          <w:rFonts w:hint="eastAsia" w:ascii="仿宋_GB2312" w:hAnsi="仿宋_GB2312" w:eastAsia="仿宋_GB2312" w:cs="仿宋_GB2312"/>
          <w:color w:val="000000" w:themeColor="text1"/>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14:textFill>
            <w14:solidFill>
              <w14:schemeClr w14:val="tx1"/>
            </w14:solidFill>
          </w14:textFill>
        </w:rPr>
        <w:t>，此类补充文件需按本合同约定的生效条件加盖与本合同相同的印章才可视为成立并生效，具有同等法律效力。</w:t>
      </w:r>
    </w:p>
    <w:p w14:paraId="2231B5CE">
      <w:pPr>
        <w:pStyle w:val="13"/>
        <w:numPr>
          <w:ilvl w:val="0"/>
          <w:numId w:val="10"/>
        </w:numPr>
        <w:spacing w:before="120" w:beforeLines="50" w:after="120" w:afterLines="50" w:line="400" w:lineRule="atLeast"/>
        <w:ind w:firstLine="480" w:firstLineChars="200"/>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w:t>
      </w:r>
      <w:r>
        <w:rPr>
          <w:rFonts w:hint="eastAsia" w:ascii="仿宋_GB2312" w:hAnsi="仿宋_GB2312" w:eastAsia="仿宋_GB2312" w:cs="仿宋_GB2312"/>
          <w:b/>
          <w:bCs/>
          <w:color w:val="000000" w:themeColor="text1"/>
          <w14:textFill>
            <w14:solidFill>
              <w14:schemeClr w14:val="tx1"/>
            </w14:solidFill>
          </w14:textFill>
        </w:rPr>
        <w:t>第一部分《专用条款》本合同单价适用方式，双方做如下约定：</w:t>
      </w:r>
    </w:p>
    <w:p w14:paraId="68185269">
      <w:pPr>
        <w:pStyle w:val="13"/>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2.1若本合同单价适用方式一：</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单价合同，则</w:t>
      </w:r>
      <w:r>
        <w:rPr>
          <w:rFonts w:hint="eastAsia" w:ascii="仿宋_GB2312" w:hAnsi="仿宋_GB2312" w:eastAsia="仿宋_GB2312" w:cs="仿宋_GB2312"/>
          <w:color w:val="000000" w:themeColor="text1"/>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81E774A">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13D31000">
      <w:pPr>
        <w:pStyle w:val="13"/>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因工程建设单位、监理单位及相关部门出台的相关规定文件、市场准入制度造成合同不能执行，甲方不承担任何责任。</w:t>
      </w:r>
    </w:p>
    <w:p w14:paraId="231999BB">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7" w:name="_Toc28560"/>
      <w:bookmarkStart w:id="118" w:name="_Toc23441"/>
      <w:bookmarkStart w:id="119" w:name="_Toc29083"/>
      <w:r>
        <w:rPr>
          <w:rFonts w:hint="eastAsia" w:ascii="仿宋_GB2312" w:hAnsi="仿宋_GB2312" w:eastAsia="仿宋_GB2312" w:cs="仿宋_GB2312"/>
          <w:b/>
          <w:bCs/>
          <w:color w:val="000000" w:themeColor="text1"/>
          <w14:textFill>
            <w14:solidFill>
              <w14:schemeClr w14:val="tx1"/>
            </w14:solidFill>
          </w14:textFill>
        </w:rPr>
        <w:t>合同解除</w:t>
      </w:r>
      <w:bookmarkEnd w:id="117"/>
      <w:bookmarkEnd w:id="118"/>
      <w:bookmarkEnd w:id="119"/>
    </w:p>
    <w:p w14:paraId="282B6A96">
      <w:pPr>
        <w:pStyle w:val="13"/>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20" w:name="_Hlk126831282"/>
      <w:r>
        <w:rPr>
          <w:rFonts w:hint="eastAsia" w:ascii="仿宋_GB2312" w:hAnsi="仿宋_GB2312" w:eastAsia="仿宋_GB2312" w:cs="仿宋_GB2312"/>
          <w:color w:val="000000" w:themeColor="text1"/>
          <w14:textFill>
            <w14:solidFill>
              <w14:schemeClr w14:val="tx1"/>
            </w14:solidFill>
          </w14:textFill>
        </w:rPr>
        <w:t>因不可抗力致使不能实现合同目的等原因，经甲、乙双方协商一致同意可解除合同。</w:t>
      </w:r>
    </w:p>
    <w:p w14:paraId="24A4B331">
      <w:pPr>
        <w:pStyle w:val="13"/>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如甲方与业主签订的总承包合同解除或终止，或因业主变更导致甲方无需采购约定材料，则甲方以书面形式通知乙方终止本合同。</w:t>
      </w:r>
    </w:p>
    <w:p w14:paraId="5D7B2934">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3、乙方具有下列事由之一的，甲方可以单方全部解除合同或部分解除合同或终止合同，乙方已收款项全部无条件返还：</w:t>
      </w:r>
    </w:p>
    <w:p w14:paraId="58E897E4">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3.1乙方所提供的产品无法通过相关部门（如质监、监理、设计方、甲方及当地相关政府部门等）验收合格；</w:t>
      </w:r>
    </w:p>
    <w:p w14:paraId="6E17E42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3.2在产品使用后发生因产品质量问题造成人员、财产受到损害的；</w:t>
      </w:r>
    </w:p>
    <w:p w14:paraId="2598ED0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3.3乙方将本合同项下权利义务全部或部分转让的；</w:t>
      </w:r>
    </w:p>
    <w:p w14:paraId="76CA3AB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3.4未按本合同约定时间交货累计延误达10日历天；</w:t>
      </w:r>
    </w:p>
    <w:p w14:paraId="473BBDD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9EF045F">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3.6甲方发现产品不能满足本合同约定的质量标准时，或在本合同履行过程中，乙方未按甲方的要求及时进行整改的；</w:t>
      </w:r>
    </w:p>
    <w:p w14:paraId="4187A8D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3.7在本合同履行过程中乙方漠视甲方、设计方指令的或未按甲方、设计方指令执行的；</w:t>
      </w:r>
    </w:p>
    <w:p w14:paraId="0C655BBC">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3.9其他法律规定可解除合同的事由。</w:t>
      </w:r>
    </w:p>
    <w:p w14:paraId="277CF90A">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6AC1E3">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4、合同解除或终止后，乙方应当积极配合甲方及时办理合同结算及支付手续，否则甲方有权单方办理结算，视为乙方认可甲方审定的结算额</w:t>
      </w:r>
      <w:bookmarkEnd w:id="120"/>
      <w:r>
        <w:rPr>
          <w:rFonts w:hint="eastAsia" w:ascii="仿宋_GB2312" w:hAnsi="仿宋_GB2312" w:eastAsia="仿宋_GB2312" w:cs="仿宋_GB2312"/>
          <w:b/>
          <w:bCs/>
          <w:color w:val="000000" w:themeColor="text1"/>
          <w14:textFill>
            <w14:solidFill>
              <w14:schemeClr w14:val="tx1"/>
            </w14:solidFill>
          </w14:textFill>
        </w:rPr>
        <w:t>。</w:t>
      </w:r>
    </w:p>
    <w:p w14:paraId="1A9CDF5C">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1" w:name="_Toc26850"/>
      <w:bookmarkStart w:id="122" w:name="_Toc10852"/>
      <w:bookmarkStart w:id="123" w:name="_Toc18501"/>
      <w:bookmarkStart w:id="124" w:name="_Toc9310"/>
      <w:r>
        <w:rPr>
          <w:rFonts w:hint="eastAsia" w:ascii="仿宋_GB2312" w:hAnsi="仿宋_GB2312" w:eastAsia="仿宋_GB2312" w:cs="仿宋_GB2312"/>
          <w:b/>
          <w:bCs/>
          <w:color w:val="000000" w:themeColor="text1"/>
          <w14:textFill>
            <w14:solidFill>
              <w14:schemeClr w14:val="tx1"/>
            </w14:solidFill>
          </w14:textFill>
        </w:rPr>
        <w:t>不可抗力</w:t>
      </w:r>
      <w:bookmarkEnd w:id="121"/>
    </w:p>
    <w:p w14:paraId="0F318140">
      <w:pPr>
        <w:pStyle w:val="13"/>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不可抗力的确认</w:t>
      </w:r>
    </w:p>
    <w:p w14:paraId="79383566">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C6574A3">
      <w:pPr>
        <w:pStyle w:val="13"/>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不可抗力的通知</w:t>
      </w:r>
    </w:p>
    <w:p w14:paraId="5B388D12">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2388CF1F">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 不可抗力事件结束后14天内，乙方应向甲方提交清理和修复费用的正式报告及有关资料。</w:t>
      </w:r>
    </w:p>
    <w:p w14:paraId="527E9B19">
      <w:pPr>
        <w:pStyle w:val="13"/>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不可抗力风险的承担</w:t>
      </w:r>
    </w:p>
    <w:p w14:paraId="5E10E8D2">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 不可抗力导致的人员伤亡、财产损失、费用增加和（或）作业期限延误等后果，由合同当事人按以下原则承担：</w:t>
      </w:r>
    </w:p>
    <w:p w14:paraId="49C098DB">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（1）乙方施工设备的损坏由乙方承担；</w:t>
      </w:r>
    </w:p>
    <w:p w14:paraId="7CB4D7DB">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（2）甲方和乙方承担各自人员伤亡和财产的损失；</w:t>
      </w:r>
    </w:p>
    <w:p w14:paraId="40C9E5A5">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（3）因不可抗力影响乙方履行合同约定的义务，已经引起或将引起工期延误的，应当顺延工期，由此导致乙方停工的费用损失由乙方承担；</w:t>
      </w:r>
    </w:p>
    <w:p w14:paraId="1C7BB2CD">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（4）因不可抗力引起或将引起工期延误，甲方要求赶工的，由此增加的赶工费用由甲方承担；</w:t>
      </w:r>
    </w:p>
    <w:p w14:paraId="50871D5E">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（5）乙方在停工期间按照甲方要求照管和清理工程的费用由甲方承担。</w:t>
      </w:r>
    </w:p>
    <w:p w14:paraId="6A7E7025">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FA122D9">
      <w:pPr>
        <w:pStyle w:val="13"/>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 因合同一方迟延履行合同义务，在迟延履行期间遭遇不可抗力的，不免除其违约责任。</w:t>
      </w:r>
    </w:p>
    <w:p w14:paraId="33C2856C">
      <w:pPr>
        <w:pStyle w:val="13"/>
        <w:numPr>
          <w:ilvl w:val="0"/>
          <w:numId w:val="12"/>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因不可抗力解除合同</w:t>
      </w:r>
    </w:p>
    <w:p w14:paraId="4885489D">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22"/>
    <w:bookmarkEnd w:id="123"/>
    <w:bookmarkEnd w:id="124"/>
    <w:p w14:paraId="3C3F9AB5">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5" w:name="_Toc31739"/>
      <w:bookmarkStart w:id="126" w:name="_Toc18393"/>
      <w:bookmarkStart w:id="127" w:name="_Toc11207"/>
      <w:r>
        <w:rPr>
          <w:rFonts w:hint="eastAsia" w:ascii="仿宋_GB2312" w:hAnsi="仿宋_GB2312" w:eastAsia="仿宋_GB2312" w:cs="仿宋_GB2312"/>
          <w:b/>
          <w:bCs/>
          <w:color w:val="000000" w:themeColor="text1"/>
          <w14:textFill>
            <w14:solidFill>
              <w14:schemeClr w14:val="tx1"/>
            </w14:solidFill>
          </w14:textFill>
        </w:rPr>
        <w:t>争议解决</w:t>
      </w:r>
    </w:p>
    <w:p w14:paraId="6F1EEC44">
      <w:pPr>
        <w:pStyle w:val="13"/>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1、争议和解：</w:t>
      </w:r>
      <w:r>
        <w:rPr>
          <w:rFonts w:hint="eastAsia" w:ascii="仿宋_GB2312" w:hAnsi="仿宋_GB2312" w:eastAsia="仿宋_GB2312" w:cs="仿宋_GB2312"/>
          <w:color w:val="000000" w:themeColor="text1"/>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05AD6BB">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在对方收到上述通知之日起</w:t>
      </w:r>
      <w:r>
        <w:rPr>
          <w:rFonts w:hint="eastAsia" w:ascii="仿宋_GB2312" w:hAnsi="仿宋_GB2312" w:eastAsia="仿宋_GB2312" w:cs="仿宋_GB2312"/>
          <w:color w:val="000000" w:themeColor="text1"/>
          <w:u w:val="single"/>
          <w14:textFill>
            <w14:solidFill>
              <w14:schemeClr w14:val="tx1"/>
            </w14:solidFill>
          </w14:textFill>
        </w:rPr>
        <w:t>3个月</w:t>
      </w:r>
      <w:r>
        <w:rPr>
          <w:rFonts w:hint="eastAsia" w:ascii="仿宋_GB2312" w:hAnsi="仿宋_GB2312" w:eastAsia="仿宋_GB2312" w:cs="仿宋_GB2312"/>
          <w:color w:val="000000" w:themeColor="text1"/>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bookmarkEnd w:id="125"/>
    <w:bookmarkEnd w:id="126"/>
    <w:bookmarkEnd w:id="127"/>
    <w:p w14:paraId="07EC7850">
      <w:pPr>
        <w:spacing w:line="400" w:lineRule="exact"/>
        <w:ind w:firstLine="422"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128" w:name="_Hlk126830485"/>
      <w:bookmarkStart w:id="129" w:name="_Hlk126770481"/>
      <w:bookmarkStart w:id="130" w:name="_Toc12970"/>
      <w:r>
        <w:rPr>
          <w:rFonts w:hint="eastAsia" w:ascii="仿宋_GB2312" w:hAnsi="仿宋_GB2312" w:eastAsia="仿宋_GB2312" w:cs="仿宋_GB2312"/>
          <w:b/>
          <w:bCs/>
          <w:color w:val="000000" w:themeColor="text1"/>
          <w14:textFill>
            <w14:solidFill>
              <w14:schemeClr w14:val="tx1"/>
            </w14:solidFill>
          </w14:textFill>
        </w:rPr>
        <w:t>2、</w:t>
      </w:r>
      <w:bookmarkStart w:id="131" w:name="_Hlk127194929"/>
      <w:r>
        <w:rPr>
          <w:rFonts w:hint="eastAsia" w:ascii="仿宋_GB2312" w:hAnsi="仿宋_GB2312" w:eastAsia="仿宋_GB2312" w:cs="仿宋_GB2312"/>
          <w:b/>
          <w:bCs/>
          <w:color w:val="000000" w:themeColor="text1"/>
          <w:kern w:val="0"/>
          <w:sz w:val="24"/>
          <w:szCs w:val="24"/>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14:textFill>
            <w14:solidFill>
              <w14:schemeClr w14:val="tx1"/>
            </w14:solidFill>
          </w14:textFill>
        </w:rPr>
        <w:t>因本合同引起或与之相关任何争议、纠纷或权利主张，和解不成且已超过和解期的,按以下第</w:t>
      </w:r>
      <w:permStart w:id="122" w:edGrp="everyone"/>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2.1.1</w:t>
      </w:r>
      <w:permEnd w:id="122"/>
      <w:r>
        <w:rPr>
          <w:rFonts w:hint="eastAsia" w:ascii="仿宋_GB2312" w:hAnsi="仿宋_GB2312" w:eastAsia="仿宋_GB2312" w:cs="仿宋_GB2312"/>
          <w:color w:val="000000" w:themeColor="text1"/>
          <w:kern w:val="0"/>
          <w:sz w:val="24"/>
          <w:szCs w:val="24"/>
          <w14:textFill>
            <w14:solidFill>
              <w14:schemeClr w14:val="tx1"/>
            </w14:solidFill>
          </w14:textFill>
        </w:rPr>
        <w:t>种方式解决。</w:t>
      </w:r>
    </w:p>
    <w:p w14:paraId="15D04744">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2.1.1双方约定向甲方住所地有管辖权的人民法院提起诉讼。</w:t>
      </w:r>
    </w:p>
    <w:p w14:paraId="724ACA00">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2.1.2双方约定向合同签订地人民法院提起诉讼。</w:t>
      </w:r>
    </w:p>
    <w:p w14:paraId="3A345B16">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2.2.3提交河北省石家庄市仲裁委员会裁决。</w:t>
      </w:r>
    </w:p>
    <w:p w14:paraId="059722DA">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8"/>
      <w:bookmarkEnd w:id="131"/>
      <w:r>
        <w:rPr>
          <w:rFonts w:hint="eastAsia" w:ascii="仿宋_GB2312" w:hAnsi="仿宋_GB2312" w:eastAsia="仿宋_GB2312" w:cs="仿宋_GB2312"/>
          <w:b/>
          <w:bCs/>
          <w:color w:val="000000" w:themeColor="text1"/>
          <w14:textFill>
            <w14:solidFill>
              <w14:schemeClr w14:val="tx1"/>
            </w14:solidFill>
          </w14:textFill>
        </w:rPr>
        <w:t>。</w:t>
      </w:r>
      <w:bookmarkEnd w:id="129"/>
    </w:p>
    <w:p w14:paraId="1220C018">
      <w:pPr>
        <w:pStyle w:val="13"/>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2.3因仲裁或诉讼产生的各项合理费用由双方自行承担，包括但不限于案件受理费、律师费、仲裁费、保全费、保全保险费、差旅费、公证费及鉴定费等因仲裁或诉讼引发的费用。</w:t>
      </w:r>
    </w:p>
    <w:p w14:paraId="0D76035B">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保密义务</w:t>
      </w:r>
    </w:p>
    <w:p w14:paraId="036B7B1A">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D5E3B08">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30B90A7">
      <w:pPr>
        <w:pStyle w:val="13"/>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32" w:name="_Toc3848"/>
      <w:bookmarkStart w:id="133" w:name="_Toc14038"/>
      <w:r>
        <w:rPr>
          <w:rFonts w:hint="eastAsia" w:ascii="仿宋_GB2312" w:hAnsi="仿宋_GB2312" w:eastAsia="仿宋_GB2312" w:cs="仿宋_GB2312"/>
          <w:b/>
          <w:bCs/>
          <w:color w:val="000000" w:themeColor="text1"/>
          <w14:textFill>
            <w14:solidFill>
              <w14:schemeClr w14:val="tx1"/>
            </w14:solidFill>
          </w14:textFill>
        </w:rPr>
        <w:t>其他条款</w:t>
      </w:r>
      <w:bookmarkEnd w:id="130"/>
      <w:bookmarkEnd w:id="132"/>
      <w:bookmarkEnd w:id="133"/>
    </w:p>
    <w:p w14:paraId="5DB91BFA">
      <w:pPr>
        <w:pStyle w:val="13"/>
        <w:numPr>
          <w:ilvl w:val="0"/>
          <w:numId w:val="13"/>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本合同与甲方招标文件、乙方投标文件有相抵触之处，均以本合同条款为准。</w:t>
      </w:r>
    </w:p>
    <w:p w14:paraId="21732056">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2、本合同附件是本合同有效组成部分，与本合同具有同等效力。</w:t>
      </w:r>
    </w:p>
    <w:p w14:paraId="58AC46E7">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3、本合同未尽事宜，按《中华人民共和国民法典》有关规定执行。</w:t>
      </w:r>
    </w:p>
    <w:p w14:paraId="6428E694">
      <w:pPr>
        <w:pStyle w:val="13"/>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4、其他约定</w:t>
      </w:r>
      <w:permStart w:id="123"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123"/>
      <w:r>
        <w:rPr>
          <w:rFonts w:hint="eastAsia" w:ascii="仿宋_GB2312" w:hAnsi="仿宋_GB2312" w:eastAsia="仿宋_GB2312" w:cs="仿宋_GB2312"/>
          <w:color w:val="000000" w:themeColor="text1"/>
          <w14:textFill>
            <w14:solidFill>
              <w14:schemeClr w14:val="tx1"/>
            </w14:solidFill>
          </w14:textFill>
        </w:rPr>
        <w:t>。</w:t>
      </w:r>
    </w:p>
    <w:p w14:paraId="1022B3BB">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34" w:name="_Toc20230"/>
      <w:r>
        <w:rPr>
          <w:rFonts w:hint="eastAsia" w:ascii="仿宋_GB2312" w:hAnsi="仿宋_GB2312" w:eastAsia="仿宋_GB2312" w:cs="仿宋_GB2312"/>
          <w:color w:val="000000" w:themeColor="text1"/>
          <w14:textFill>
            <w14:solidFill>
              <w14:schemeClr w14:val="tx1"/>
            </w14:solidFill>
          </w14:textFill>
        </w:rPr>
        <w:t>以下无正文</w:t>
      </w:r>
      <w:bookmarkEnd w:id="134"/>
    </w:p>
    <w:p w14:paraId="1E55B8FE">
      <w:pPr>
        <w:pStyle w:val="13"/>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14:paraId="59A6BA9E">
      <w:pPr>
        <w:pStyle w:val="13"/>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甲方（盖章）：                        乙方（公章）：</w:t>
      </w:r>
    </w:p>
    <w:p w14:paraId="6C523123">
      <w:pPr>
        <w:pStyle w:val="13"/>
        <w:spacing w:line="400" w:lineRule="atLeast"/>
        <w:jc w:val="both"/>
        <w:rPr>
          <w:rFonts w:hint="eastAsia" w:ascii="仿宋_GB2312" w:hAnsi="仿宋_GB2312" w:eastAsia="仿宋_GB2312" w:cs="仿宋_GB2312"/>
          <w:color w:val="000000" w:themeColor="text1"/>
          <w14:textFill>
            <w14:solidFill>
              <w14:schemeClr w14:val="tx1"/>
            </w14:solidFill>
          </w14:textFill>
        </w:rPr>
      </w:pPr>
    </w:p>
    <w:p w14:paraId="2834019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6E2D59F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5CE13258">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46553D19">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4F15CDD6">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28657D9">
      <w:pPr>
        <w:pStyle w:val="13"/>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46E4CFC9">
      <w:pPr>
        <w:rPr>
          <w:rFonts w:hint="eastAsia" w:ascii="仿宋_GB2312" w:hAnsi="仿宋_GB2312" w:eastAsia="仿宋_GB2312" w:cs="仿宋_GB2312"/>
          <w:color w:val="000000" w:themeColor="text1"/>
          <w:sz w:val="24"/>
          <w14:textFill>
            <w14:solidFill>
              <w14:schemeClr w14:val="tx1"/>
            </w14:solidFill>
          </w14:textFill>
        </w:rPr>
      </w:pPr>
    </w:p>
    <w:p w14:paraId="4B373DB1"/>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6D71">
    <w:pPr>
      <w:pStyle w:val="7"/>
      <w:jc w:val="center"/>
      <w:rPr>
        <w:rFonts w:hint="eastAsia" w:ascii="仿宋" w:hAnsi="仿宋" w:eastAsia="仿宋" w:cs="仿宋"/>
        <w:sz w:val="24"/>
        <w:szCs w:val="36"/>
      </w:rPr>
    </w:pPr>
    <w:r>
      <w:rPr>
        <w:rFonts w:hint="eastAsia" w:ascii="仿宋" w:hAnsi="仿宋" w:eastAsia="仿宋" w:cs="仿宋"/>
        <w:sz w:val="24"/>
        <w:szCs w:val="36"/>
      </w:rPr>
      <w:t>中建三局第*建设工程有限责任公司</w:t>
    </w:r>
  </w:p>
  <w:p w14:paraId="6723503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572B">
    <w:pPr>
      <w:pStyle w:val="7"/>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3E3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86F3">
    <w:pPr>
      <w:pStyle w:val="7"/>
      <w:jc w:val="center"/>
      <w:rPr>
        <w:rFonts w:hint="eastAsia"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40C6">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D569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4D569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AB25">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9A6DE">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09A6DE">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C292">
    <w:pPr>
      <w:pStyle w:val="8"/>
    </w:pPr>
  </w:p>
  <w:p w14:paraId="6EDF0C6A">
    <w:pPr>
      <w:pStyle w:val="8"/>
    </w:pPr>
  </w:p>
  <w:p w14:paraId="7DEC333E">
    <w:pPr>
      <w:pStyle w:val="8"/>
    </w:pPr>
  </w:p>
  <w:p w14:paraId="6976D1B9">
    <w:pPr>
      <w:pStyle w:val="8"/>
    </w:pPr>
  </w:p>
  <w:p w14:paraId="0E589E52">
    <w:pPr>
      <w:pStyle w:val="8"/>
      <w:jc w:val="left"/>
      <w:rPr>
        <w:b/>
        <w:bCs/>
      </w:rPr>
    </w:pPr>
    <w:r>
      <w:rPr>
        <w:b/>
        <w:bCs/>
      </w:rPr>
      <w:t>CSCEC</w:t>
    </w:r>
    <w:r>
      <w:t xml:space="preserve">  </w:t>
    </w:r>
    <w:r>
      <w:rPr>
        <w:rFonts w:hint="eastAsia"/>
        <w:b/>
        <w:bCs/>
      </w:rPr>
      <w:t xml:space="preserve">                                                                                 中建</w:t>
    </w:r>
  </w:p>
  <w:p w14:paraId="78BE69C8">
    <w:pPr>
      <w:pStyle w:val="8"/>
    </w:pPr>
  </w:p>
  <w:p w14:paraId="3BED0E20">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1EB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2EA553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8C1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A03912B">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E17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F6D0B3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dit="readOnly" w:enforcement="1" w:cryptProviderType="rsaFull" w:cryptAlgorithmClass="hash" w:cryptAlgorithmType="typeAny" w:cryptAlgorithmSid="4" w:cryptSpinCount="0" w:hash="Wk81XUQdKeBxuv/J05CSFcJHZ+o=" w:salt="ud4JMgQacca9muL2MYEOK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ZDcxN2JhNjA3NTdlMzI3YjE4MjU1ZGZlOGUyNTIifQ=="/>
  </w:docVars>
  <w:rsids>
    <w:rsidRoot w:val="00903885"/>
    <w:rsid w:val="004E160F"/>
    <w:rsid w:val="006016F9"/>
    <w:rsid w:val="006169DE"/>
    <w:rsid w:val="00903885"/>
    <w:rsid w:val="0097461A"/>
    <w:rsid w:val="00B91922"/>
    <w:rsid w:val="00D4076F"/>
    <w:rsid w:val="00D97146"/>
    <w:rsid w:val="01C55607"/>
    <w:rsid w:val="02D56FC6"/>
    <w:rsid w:val="0560216C"/>
    <w:rsid w:val="059979AF"/>
    <w:rsid w:val="080562DD"/>
    <w:rsid w:val="08FF094D"/>
    <w:rsid w:val="0A897E88"/>
    <w:rsid w:val="0B3348DE"/>
    <w:rsid w:val="0B522A9B"/>
    <w:rsid w:val="0C672215"/>
    <w:rsid w:val="0CDB347F"/>
    <w:rsid w:val="0D765BD1"/>
    <w:rsid w:val="0DB8731C"/>
    <w:rsid w:val="0DFC36AD"/>
    <w:rsid w:val="0F5D461F"/>
    <w:rsid w:val="1003689A"/>
    <w:rsid w:val="11596396"/>
    <w:rsid w:val="11A93B4C"/>
    <w:rsid w:val="145D3676"/>
    <w:rsid w:val="15D92103"/>
    <w:rsid w:val="16D36347"/>
    <w:rsid w:val="189449C5"/>
    <w:rsid w:val="194A79C2"/>
    <w:rsid w:val="199F06C1"/>
    <w:rsid w:val="1CF00880"/>
    <w:rsid w:val="1D2D7C58"/>
    <w:rsid w:val="1DC24035"/>
    <w:rsid w:val="1E9811D0"/>
    <w:rsid w:val="20D34741"/>
    <w:rsid w:val="21237009"/>
    <w:rsid w:val="23FA201E"/>
    <w:rsid w:val="25AB6412"/>
    <w:rsid w:val="25B368EF"/>
    <w:rsid w:val="25D92FC7"/>
    <w:rsid w:val="29143B49"/>
    <w:rsid w:val="2B6B0C1C"/>
    <w:rsid w:val="2C355A9F"/>
    <w:rsid w:val="2EC67693"/>
    <w:rsid w:val="2FEF4D24"/>
    <w:rsid w:val="2FF94048"/>
    <w:rsid w:val="30430236"/>
    <w:rsid w:val="33134E71"/>
    <w:rsid w:val="333619FF"/>
    <w:rsid w:val="34CA032B"/>
    <w:rsid w:val="371B60A2"/>
    <w:rsid w:val="375021F0"/>
    <w:rsid w:val="37A442EA"/>
    <w:rsid w:val="3A58061F"/>
    <w:rsid w:val="3C6A47D3"/>
    <w:rsid w:val="3C85245A"/>
    <w:rsid w:val="3CC4731E"/>
    <w:rsid w:val="3DDE2C63"/>
    <w:rsid w:val="3E4D4BAE"/>
    <w:rsid w:val="3F731D7F"/>
    <w:rsid w:val="40FE2C92"/>
    <w:rsid w:val="41040C4E"/>
    <w:rsid w:val="41232723"/>
    <w:rsid w:val="43D61281"/>
    <w:rsid w:val="45020310"/>
    <w:rsid w:val="4672302A"/>
    <w:rsid w:val="468178D7"/>
    <w:rsid w:val="477C4010"/>
    <w:rsid w:val="47857C94"/>
    <w:rsid w:val="481854DF"/>
    <w:rsid w:val="48E63B97"/>
    <w:rsid w:val="4A3239D7"/>
    <w:rsid w:val="4C03387D"/>
    <w:rsid w:val="4C432A0F"/>
    <w:rsid w:val="4D7E765F"/>
    <w:rsid w:val="4E5F67E1"/>
    <w:rsid w:val="521D6D1B"/>
    <w:rsid w:val="55051E64"/>
    <w:rsid w:val="550A603D"/>
    <w:rsid w:val="55A42C2A"/>
    <w:rsid w:val="55B3316E"/>
    <w:rsid w:val="567F5C39"/>
    <w:rsid w:val="57415D69"/>
    <w:rsid w:val="5A62084C"/>
    <w:rsid w:val="5ABE6729"/>
    <w:rsid w:val="5B123195"/>
    <w:rsid w:val="5E221153"/>
    <w:rsid w:val="5E4E17D8"/>
    <w:rsid w:val="5E7C76E1"/>
    <w:rsid w:val="61C3168D"/>
    <w:rsid w:val="63324F1C"/>
    <w:rsid w:val="655068CB"/>
    <w:rsid w:val="65D43284"/>
    <w:rsid w:val="66576686"/>
    <w:rsid w:val="697275C4"/>
    <w:rsid w:val="6C537AB1"/>
    <w:rsid w:val="6E1E4B68"/>
    <w:rsid w:val="6EFA6A68"/>
    <w:rsid w:val="6FA504B7"/>
    <w:rsid w:val="6FC35D9F"/>
    <w:rsid w:val="6FF4472C"/>
    <w:rsid w:val="721414BF"/>
    <w:rsid w:val="733C129F"/>
    <w:rsid w:val="73CA012E"/>
    <w:rsid w:val="74CB7714"/>
    <w:rsid w:val="75937FD4"/>
    <w:rsid w:val="77F02658"/>
    <w:rsid w:val="784A2271"/>
    <w:rsid w:val="78846A68"/>
    <w:rsid w:val="7A8273F3"/>
    <w:rsid w:val="7BBF53F4"/>
    <w:rsid w:val="7C0B03BB"/>
    <w:rsid w:val="7D4E22FA"/>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uiPriority w:val="0"/>
    <w:rPr>
      <w:color w:val="0000FF"/>
      <w:u w:val="singl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5">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1254</Words>
  <Characters>1311</Characters>
  <Lines>209</Lines>
  <Paragraphs>59</Paragraphs>
  <TotalTime>0</TotalTime>
  <ScaleCrop>false</ScaleCrop>
  <LinksUpToDate>false</LinksUpToDate>
  <CharactersWithSpaces>1659</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2024-11-06T08:21:00Z</dcterms:created>
  <dc:creator>周轶群</dc:creator>
  <cp:lastModifiedBy>刘pa</cp:lastModifiedBy>
  <dcterms:modified xsi:type="dcterms:W3CDTF">2025-02-28T03:08:52Z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9406DE6107F249E8BDE49CC7BF5D780B_13</vt:lpwstr>
  </property>
  <property fmtid="{D5CDD505-2E9C-101B-9397-08002B2CF9AE}" pid="4" name="KSOTemplateDocerSaveRecord">
    <vt:lpwstr>eyJoZGlkIjoiYjlkZTQ4Y2M2MzBlYjdiZTA4ZjAzOWU4ZDFjOWFlMWIiLCJ1c2VySWQiOiI0MTAyOTgxMDQifQ==</vt:lpwstr>
  </property>
</Properties>
</file>