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SZGS-FGZB-唐山高标农田-00</w:t>
      </w:r>
      <w:r>
        <w:rPr>
          <w:rFonts w:hint="eastAsia" w:cs="Times New Roman" w:asciiTheme="majorEastAsia" w:hAnsiTheme="majorEastAsia" w:eastAsiaTheme="majorEastAsia"/>
          <w:b/>
          <w:color w:val="000000"/>
          <w:kern w:val="2"/>
          <w:sz w:val="28"/>
          <w:szCs w:val="28"/>
          <w:highlight w:val="none"/>
          <w:u w:val="single"/>
          <w:lang w:val="en-US" w:eastAsia="zh-CN"/>
        </w:rPr>
        <w:t>2</w:t>
      </w: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河北基础市政工程</w:t>
      </w:r>
      <w:r>
        <w:rPr>
          <w:rFonts w:hint="eastAsia" w:cs="Times New Roman" w:asciiTheme="majorEastAsia" w:hAnsiTheme="majorEastAsia" w:eastAsiaTheme="majorEastAsia"/>
          <w:b/>
          <w:color w:val="000000"/>
          <w:kern w:val="2"/>
          <w:sz w:val="44"/>
          <w:szCs w:val="44"/>
          <w:highlight w:val="none"/>
        </w:rPr>
        <w:t>有限公司</w:t>
      </w:r>
    </w:p>
    <w:p w14:paraId="6C690587">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2024年路南区稻地镇高标准农田</w:t>
      </w:r>
    </w:p>
    <w:p w14:paraId="3255E539">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改造提升项目施工一标段</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eastAsia="zh-CN"/>
        </w:rPr>
        <w:t>预拌混凝土</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河北基础市政工程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04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3B547372">
      <w:pPr>
        <w:spacing w:line="400" w:lineRule="exact"/>
        <w:ind w:firstLine="420" w:firstLineChars="200"/>
        <w:rPr>
          <w:rFonts w:hint="eastAsia" w:ascii="仿宋_GB2312" w:eastAsia="仿宋_GB2312" w:hAnsiTheme="minorEastAsia"/>
          <w:sz w:val="21"/>
          <w:szCs w:val="21"/>
          <w:highlight w:val="none"/>
        </w:rPr>
      </w:pPr>
      <w:bookmarkStart w:id="75" w:name="_GoBack"/>
      <w:bookmarkEnd w:id="75"/>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8A1FC8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2"/>
        <w:gridCol w:w="659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238797549"/>
            <w:bookmarkStart w:id="3" w:name="_Toc287545429"/>
            <w:bookmarkStart w:id="4" w:name="_Toc144974496"/>
            <w:bookmarkStart w:id="5" w:name="_Toc238552194"/>
            <w:bookmarkStart w:id="6" w:name="_Toc152042304"/>
            <w:r>
              <w:rPr>
                <w:rFonts w:hint="eastAsia" w:ascii="仿宋_GB2312" w:eastAsia="仿宋_GB2312" w:cs="宋体" w:hAnsiTheme="minorEastAsia"/>
                <w:sz w:val="21"/>
                <w:szCs w:val="21"/>
                <w:highlight w:val="none"/>
              </w:rPr>
              <w:t>序号</w:t>
            </w:r>
          </w:p>
        </w:tc>
        <w:tc>
          <w:tcPr>
            <w:tcW w:w="940"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0"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0"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预拌混凝土采购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0"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本合同无预付款，货款来源于项目工程结算款。甲方按资金审批计划对货款进行支付。付款期限自双方确认结算金额之日起计算，暂定为在甲乙双方完成月度物资结算手续且甲方收到乙方相应全额发票后， 1 个月内支付不超过当期结算货款的 70 %， 3 个月内支付至不超过当期结算货款的 97 %，余下 3 %结算货款在乙方供货完毕、办理完最终结算后3个月内付清。以此类推。</w:t>
            </w:r>
          </w:p>
        </w:tc>
      </w:tr>
      <w:tr w14:paraId="71843E3C">
        <w:tblPrEx>
          <w:tblCellMar>
            <w:top w:w="0" w:type="dxa"/>
            <w:left w:w="108" w:type="dxa"/>
            <w:bottom w:w="0" w:type="dxa"/>
            <w:right w:w="108"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货币及其他的形式（包括且不限于支票、电汇、银行承兑汇票、商业承兑汇票、保理、信用证、供应链融资等）向乙方付款。（其中非现金付款方式不低于合同总价的/%，期限为六个月，因此产生的相关贴现成本由乙方承担。乙方须保证资金往来账户与本合同所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0"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0"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10000.00</w:t>
            </w:r>
            <w:r>
              <w:rPr>
                <w:rFonts w:hint="eastAsia" w:ascii="仿宋_GB2312" w:eastAsia="仿宋_GB2312" w:cs="宋体" w:hAnsiTheme="minorEastAsia"/>
                <w:sz w:val="21"/>
                <w:szCs w:val="21"/>
                <w:highlight w:val="none"/>
              </w:rPr>
              <w:t>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0"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0"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04</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rPr>
              <w:t>履约保证金：</w:t>
            </w:r>
            <w:r>
              <w:rPr>
                <w:rFonts w:hint="eastAsia" w:ascii="仿宋_GB2312" w:eastAsia="仿宋_GB2312" w:cs="宋体" w:hAnsiTheme="minorEastAsia"/>
                <w:sz w:val="21"/>
                <w:szCs w:val="21"/>
                <w:highlight w:val="none"/>
                <w:u w:val="single"/>
                <w:lang w:val="en-US" w:eastAsia="zh-CN"/>
              </w:rPr>
              <w:t>投标保证金转为履约保证金</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6660"/>
      <w:bookmarkStart w:id="9" w:name="_Toc214339494"/>
      <w:bookmarkStart w:id="10" w:name="_Toc31831"/>
    </w:p>
    <w:p w14:paraId="3DCB1926">
      <w:pPr>
        <w:widowControl/>
        <w:jc w:val="left"/>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SZGS-FGZB-唐山高标农田-00</w:t>
      </w:r>
      <w:r>
        <w:rPr>
          <w:rFonts w:hint="eastAsia" w:ascii="仿宋_GB2312" w:eastAsia="仿宋_GB2312" w:cs="宋体" w:hAnsiTheme="minorEastAsia"/>
          <w:sz w:val="21"/>
          <w:szCs w:val="21"/>
          <w:highlight w:val="none"/>
          <w:u w:val="single"/>
          <w:lang w:val="en-US" w:eastAsia="zh-CN"/>
        </w:rPr>
        <w:t>2</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2024年路南区稻地镇高标准农田改造提升项目施工一标段</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河北省</w:t>
      </w:r>
      <w:r>
        <w:rPr>
          <w:rFonts w:hint="eastAsia" w:ascii="仿宋_GB2312" w:eastAsia="仿宋_GB2312" w:cs="宋体" w:hAnsiTheme="minorEastAsia"/>
          <w:sz w:val="21"/>
          <w:szCs w:val="21"/>
          <w:highlight w:val="none"/>
          <w:u w:val="single"/>
          <w:lang w:val="en-US" w:eastAsia="zh-CN"/>
        </w:rPr>
        <w:t>唐山市路南区稻地镇</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魏明凯</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18832010771</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2024年路南区稻地镇高标准农田改造提升项目施工一标段</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lang w:eastAsia="zh-CN"/>
        </w:rPr>
        <w:t>预拌混凝土</w:t>
      </w:r>
      <w:r>
        <w:rPr>
          <w:rFonts w:hint="eastAsia" w:ascii="仿宋_GB2312" w:eastAsia="仿宋_GB2312" w:hAnsiTheme="minorEastAsia"/>
          <w:sz w:val="21"/>
          <w:szCs w:val="21"/>
          <w:highlight w:val="none"/>
        </w:rPr>
        <w:t>。具体数量详见下表。</w:t>
      </w:r>
    </w:p>
    <w:tbl>
      <w:tblPr>
        <w:tblStyle w:val="35"/>
        <w:tblW w:w="8869" w:type="dxa"/>
        <w:tblInd w:w="79"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预拌混凝土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C30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spacing w:line="240" w:lineRule="auto"/>
              <w:jc w:val="center"/>
              <w:rPr>
                <w:rFonts w:hint="default" w:ascii="仿宋_GB2312" w:eastAsia="仿宋_GB2312" w:hAnsiTheme="minorEastAsia"/>
                <w:sz w:val="21"/>
                <w:szCs w:val="21"/>
                <w:highlight w:val="none"/>
                <w:lang w:val="en-US"/>
              </w:rPr>
            </w:pPr>
            <w:r>
              <w:rPr>
                <w:rFonts w:hint="eastAsia" w:ascii="仿宋_GB2312" w:eastAsia="仿宋_GB2312"/>
                <w:sz w:val="21"/>
                <w:szCs w:val="21"/>
                <w:highlight w:val="none"/>
                <w:lang w:val="en-US" w:eastAsia="zh-CN"/>
              </w:rPr>
              <w:t>3710.00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240" w:lineRule="auto"/>
              <w:jc w:val="center"/>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spacing w:line="240" w:lineRule="auto"/>
              <w:ind w:firstLine="420" w:firstLineChars="200"/>
              <w:jc w:val="left"/>
              <w:rPr>
                <w:rFonts w:hint="eastAsia"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spacing w:line="240" w:lineRule="auto"/>
              <w:ind w:firstLine="420" w:firstLineChars="200"/>
              <w:jc w:val="left"/>
              <w:rPr>
                <w:rFonts w:hint="eastAsia"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spacing w:line="240" w:lineRule="auto"/>
              <w:ind w:firstLine="420" w:firstLineChars="200"/>
              <w:jc w:val="left"/>
              <w:rPr>
                <w:rFonts w:hint="eastAsia"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spacing w:line="240" w:lineRule="auto"/>
              <w:jc w:val="center"/>
              <w:rPr>
                <w:rFonts w:hint="default" w:ascii="仿宋_GB2312" w:eastAsia="仿宋_GB2312" w:hAnsiTheme="minorEastAsia"/>
                <w:sz w:val="21"/>
                <w:szCs w:val="21"/>
                <w:highlight w:val="none"/>
                <w:lang w:val="en-US"/>
              </w:rPr>
            </w:pPr>
            <w:r>
              <w:rPr>
                <w:rFonts w:hint="eastAsia" w:ascii="仿宋_GB2312" w:hAnsi="仿宋" w:eastAsia="仿宋_GB2312"/>
                <w:bCs/>
                <w:color w:val="000000" w:themeColor="text1"/>
                <w:sz w:val="21"/>
                <w:szCs w:val="21"/>
                <w:highlight w:val="none"/>
                <w:lang w:val="en-US" w:eastAsia="zh-CN"/>
              </w:rPr>
              <w:t>3710.00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4.2交货地点：中建路桥集团河北基础市政工程有限公司</w:t>
      </w:r>
      <w:r>
        <w:rPr>
          <w:rFonts w:hint="eastAsia" w:ascii="仿宋_GB2312" w:eastAsia="仿宋_GB2312" w:hAnsiTheme="minorEastAsia"/>
          <w:sz w:val="21"/>
          <w:szCs w:val="21"/>
          <w:highlight w:val="none"/>
          <w:u w:val="single"/>
        </w:rPr>
        <w:t>2024年路南区稻地镇高标准农田改造提升项目施工一标段</w:t>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13050161536100000357</w:t>
      </w:r>
    </w:p>
    <w:p w14:paraId="2EB0DD36">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开 户 行：</w:t>
      </w:r>
      <w:bookmarkStart w:id="19" w:name="_Toc238552208"/>
      <w:bookmarkStart w:id="20" w:name="_Toc238797563"/>
      <w:bookmarkStart w:id="21" w:name="_Toc287545441"/>
      <w:r>
        <w:rPr>
          <w:rFonts w:hint="eastAsia" w:ascii="仿宋_GB2312" w:eastAsia="仿宋_GB2312" w:hAnsiTheme="minorEastAsia"/>
          <w:b/>
          <w:sz w:val="21"/>
          <w:szCs w:val="21"/>
          <w:highlight w:val="none"/>
          <w:u w:val="single"/>
          <w:lang w:val="en-US" w:eastAsia="zh-CN"/>
        </w:rPr>
        <w:t>中国建设银行石家庄建设南大街支行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8053"/>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10683"/>
      <w:bookmarkStart w:id="30" w:name="_Toc214335335"/>
      <w:bookmarkStart w:id="31" w:name="_Toc214331811"/>
      <w:bookmarkStart w:id="32" w:name="_Toc214339496"/>
      <w:bookmarkStart w:id="33" w:name="_Toc214336662"/>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bCs/>
          <w:sz w:val="21"/>
          <w:szCs w:val="21"/>
          <w:highlight w:val="none"/>
          <w:u w:val="single"/>
          <w:lang w:val="en-US" w:eastAsia="zh-CN"/>
        </w:rPr>
        <w:t>1.0</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u w:val="single"/>
          <w:lang w:val="en-US" w:eastAsia="zh-CN"/>
        </w:rPr>
        <w:t>壹万元整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固定单价</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Hlk38441028"/>
      <w:bookmarkStart w:id="40" w:name="_Toc214331812"/>
      <w:bookmarkStart w:id="41" w:name="_Toc214339497"/>
      <w:bookmarkStart w:id="42" w:name="_Toc214333208"/>
      <w:bookmarkStart w:id="43" w:name="_Toc214335336"/>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04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4220"/>
      <w:bookmarkStart w:id="49" w:name="_Toc214336664"/>
      <w:bookmarkStart w:id="50" w:name="_Toc214335337"/>
      <w:bookmarkStart w:id="51" w:name="_Toc214339498"/>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04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河北基础市政工程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4715"/>
      <w:bookmarkStart w:id="58" w:name="_Toc214335338"/>
      <w:bookmarkStart w:id="59" w:name="_Toc214331814"/>
      <w:bookmarkStart w:id="60" w:name="_Toc214339499"/>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4773D299">
      <w:pPr>
        <w:spacing w:line="400" w:lineRule="exact"/>
        <w:jc w:val="both"/>
        <w:outlineLvl w:val="2"/>
        <w:rPr>
          <w:rFonts w:hint="eastAsia" w:ascii="仿宋_GB2312" w:eastAsia="仿宋_GB2312" w:hAnsiTheme="majorEastAsia"/>
          <w:b/>
          <w:bCs/>
          <w:sz w:val="28"/>
          <w:szCs w:val="28"/>
          <w:highlight w:val="none"/>
        </w:rPr>
      </w:pPr>
    </w:p>
    <w:p w14:paraId="25212A1D">
      <w:pPr>
        <w:spacing w:line="400" w:lineRule="exact"/>
        <w:jc w:val="both"/>
        <w:outlineLvl w:val="2"/>
        <w:rPr>
          <w:rFonts w:hint="eastAsia" w:ascii="仿宋_GB2312" w:eastAsia="仿宋_GB2312" w:hAnsiTheme="majorEastAsia"/>
          <w:b/>
          <w:bCs/>
          <w:sz w:val="28"/>
          <w:szCs w:val="28"/>
          <w:highlight w:val="none"/>
        </w:rPr>
      </w:pPr>
    </w:p>
    <w:p w14:paraId="015EA748">
      <w:pPr>
        <w:spacing w:line="400" w:lineRule="exact"/>
        <w:jc w:val="both"/>
        <w:outlineLvl w:val="2"/>
        <w:rPr>
          <w:rFonts w:hint="eastAsia" w:ascii="仿宋_GB2312" w:eastAsia="仿宋_GB2312" w:hAnsiTheme="majorEastAsia"/>
          <w:b/>
          <w:bCs/>
          <w:sz w:val="28"/>
          <w:szCs w:val="28"/>
          <w:highlight w:val="none"/>
        </w:rPr>
      </w:pPr>
    </w:p>
    <w:p w14:paraId="38E4A588">
      <w:pPr>
        <w:spacing w:line="400" w:lineRule="exact"/>
        <w:jc w:val="both"/>
        <w:outlineLvl w:val="2"/>
        <w:rPr>
          <w:rFonts w:hint="eastAsia" w:ascii="仿宋_GB2312" w:eastAsia="仿宋_GB2312" w:hAnsiTheme="majorEastAsia"/>
          <w:b/>
          <w:bCs/>
          <w:sz w:val="28"/>
          <w:szCs w:val="28"/>
          <w:highlight w:val="none"/>
        </w:rPr>
      </w:pPr>
    </w:p>
    <w:p w14:paraId="13BEDC38">
      <w:pPr>
        <w:spacing w:line="400" w:lineRule="exact"/>
        <w:jc w:val="both"/>
        <w:outlineLvl w:val="2"/>
        <w:rPr>
          <w:rFonts w:hint="eastAsia" w:ascii="仿宋_GB2312" w:eastAsia="仿宋_GB2312" w:hAnsiTheme="majorEastAsia"/>
          <w:b/>
          <w:bCs/>
          <w:sz w:val="28"/>
          <w:szCs w:val="28"/>
          <w:highlight w:val="none"/>
        </w:rPr>
      </w:pPr>
    </w:p>
    <w:p w14:paraId="1439A0E7">
      <w:pPr>
        <w:spacing w:line="400" w:lineRule="exact"/>
        <w:jc w:val="both"/>
        <w:outlineLvl w:val="2"/>
        <w:rPr>
          <w:rFonts w:hint="eastAsia" w:ascii="仿宋_GB2312" w:eastAsia="仿宋_GB2312" w:hAnsiTheme="majorEastAsia"/>
          <w:b/>
          <w:bCs/>
          <w:sz w:val="28"/>
          <w:szCs w:val="28"/>
          <w:highlight w:val="none"/>
        </w:rPr>
      </w:pPr>
    </w:p>
    <w:p w14:paraId="36D4C4E3">
      <w:pPr>
        <w:spacing w:line="400" w:lineRule="exact"/>
        <w:jc w:val="both"/>
        <w:outlineLvl w:val="2"/>
        <w:rPr>
          <w:rFonts w:hint="eastAsia" w:ascii="仿宋_GB2312" w:eastAsia="仿宋_GB2312" w:hAnsiTheme="majorEastAsia"/>
          <w:b/>
          <w:bCs/>
          <w:sz w:val="28"/>
          <w:szCs w:val="28"/>
          <w:highlight w:val="none"/>
        </w:rPr>
      </w:pPr>
    </w:p>
    <w:p w14:paraId="45F8B1AB">
      <w:pPr>
        <w:spacing w:line="400" w:lineRule="exact"/>
        <w:jc w:val="both"/>
        <w:outlineLvl w:val="2"/>
        <w:rPr>
          <w:rFonts w:hint="eastAsia" w:ascii="仿宋_GB2312" w:eastAsia="仿宋_GB2312" w:hAnsiTheme="majorEastAsia"/>
          <w:b/>
          <w:bCs/>
          <w:sz w:val="28"/>
          <w:szCs w:val="28"/>
          <w:highlight w:val="none"/>
        </w:rPr>
      </w:pPr>
    </w:p>
    <w:p w14:paraId="2719D296">
      <w:pPr>
        <w:spacing w:line="400" w:lineRule="exact"/>
        <w:jc w:val="both"/>
        <w:outlineLvl w:val="2"/>
        <w:rPr>
          <w:rFonts w:hint="eastAsia" w:ascii="仿宋_GB2312" w:eastAsia="仿宋_GB2312" w:hAnsiTheme="majorEastAsia"/>
          <w:b/>
          <w:bCs/>
          <w:sz w:val="28"/>
          <w:szCs w:val="28"/>
          <w:highlight w:val="none"/>
        </w:rPr>
      </w:pPr>
    </w:p>
    <w:p w14:paraId="44DA2826">
      <w:pPr>
        <w:spacing w:line="400" w:lineRule="exact"/>
        <w:jc w:val="both"/>
        <w:outlineLvl w:val="2"/>
        <w:rPr>
          <w:rFonts w:hint="eastAsia" w:ascii="仿宋_GB2312" w:eastAsia="仿宋_GB2312" w:hAnsiTheme="majorEastAsia"/>
          <w:b/>
          <w:bCs/>
          <w:sz w:val="28"/>
          <w:szCs w:val="28"/>
          <w:highlight w:val="none"/>
        </w:rPr>
      </w:pPr>
    </w:p>
    <w:p w14:paraId="7D4601EB">
      <w:pPr>
        <w:spacing w:line="400" w:lineRule="exact"/>
        <w:jc w:val="both"/>
        <w:outlineLvl w:val="2"/>
        <w:rPr>
          <w:rFonts w:hint="eastAsia" w:ascii="仿宋_GB2312" w:eastAsia="仿宋_GB2312" w:hAnsiTheme="majorEastAsia"/>
          <w:b/>
          <w:bCs/>
          <w:sz w:val="28"/>
          <w:szCs w:val="28"/>
          <w:highlight w:val="none"/>
        </w:rPr>
      </w:pPr>
    </w:p>
    <w:p w14:paraId="3C3E0867">
      <w:pPr>
        <w:spacing w:line="400" w:lineRule="exact"/>
        <w:jc w:val="both"/>
        <w:outlineLvl w:val="2"/>
        <w:rPr>
          <w:rFonts w:hint="eastAsia" w:ascii="仿宋_GB2312" w:eastAsia="仿宋_GB2312" w:hAnsiTheme="majorEastAsia"/>
          <w:b/>
          <w:bCs/>
          <w:sz w:val="28"/>
          <w:szCs w:val="28"/>
          <w:highlight w:val="none"/>
        </w:rPr>
      </w:pPr>
    </w:p>
    <w:p w14:paraId="39ABCB7A">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452533A">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2.1预拌混凝土规范</w:t>
      </w:r>
    </w:p>
    <w:p w14:paraId="27316945">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《混凝土外加剂匀质性试验方法》 (GB/T 8077-2023)</w:t>
      </w:r>
    </w:p>
    <w:p w14:paraId="7F41DECC">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《混凝土外加剂应用技术规范》 (GB 50119-2013)</w:t>
      </w:r>
    </w:p>
    <w:p w14:paraId="6BEB7281">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《混凝土强度检验评定标准》(GB/T 50107-2010)</w:t>
      </w:r>
    </w:p>
    <w:p w14:paraId="0F1FBB5A">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《混凝土质量控制标准》(GB 50164-2011)</w:t>
      </w:r>
    </w:p>
    <w:p w14:paraId="690647FF">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《普通混凝土配合比设计规程》(JGJ 55-2011)</w:t>
      </w:r>
    </w:p>
    <w:p w14:paraId="774CCA53">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《混凝土用水标准》(JGJ 63-2006)</w:t>
      </w:r>
    </w:p>
    <w:p w14:paraId="2E827972">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 (GB 8076-2008)</w:t>
      </w:r>
    </w:p>
    <w:p w14:paraId="67B9FF91">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《通用硅酸盐水泥》 (GB 175-2023)</w:t>
      </w:r>
    </w:p>
    <w:p w14:paraId="07F1322B">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《普通混凝土用砂、石质量及检验方法标准》 (JGJ 52-2006)</w:t>
      </w:r>
    </w:p>
    <w:p w14:paraId="6419EC09">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《预拌混凝土》(GB/T 14902-2012)</w:t>
      </w:r>
    </w:p>
    <w:p w14:paraId="4C292994">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《混凝土泵送施工技术规程》（JGJ/T 10-2011）</w:t>
      </w:r>
    </w:p>
    <w:p w14:paraId="1B98DC55">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《用于水泥和混凝土中的粉煤灰》 (GB/T 1596-2017)</w:t>
      </w:r>
    </w:p>
    <w:p w14:paraId="46AE2F7F">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《混凝土物理力学性能试验方法标准》（GB/T 50081-2019）</w:t>
      </w:r>
    </w:p>
    <w:p w14:paraId="6476F25B">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759677F5">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5CB450B5">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359D8C26">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19D1C17A">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13E867C3">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01DBEF12">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59924C49">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39C8168E">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46396E83">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河北基础市政工程</w:t>
      </w:r>
      <w:r>
        <w:rPr>
          <w:rFonts w:hint="eastAsia" w:ascii="宋体" w:hAnsi="宋体" w:cs="宋体"/>
          <w:b/>
          <w:color w:val="000000"/>
          <w:sz w:val="28"/>
          <w:szCs w:val="28"/>
          <w:highlight w:val="none"/>
        </w:rPr>
        <w:t>有限公司</w:t>
      </w: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2024年路南区稻地镇高标准农田改造提升项目施工一标段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eastAsia="zh-CN"/>
        </w:rPr>
        <w:t>预拌混凝土</w:t>
      </w:r>
      <w:r>
        <w:rPr>
          <w:rFonts w:hint="eastAsia" w:ascii="宋体" w:hAnsi="宋体" w:cs="宋体"/>
          <w:b/>
          <w:color w:val="000000"/>
          <w:sz w:val="28"/>
          <w:szCs w:val="28"/>
          <w:highlight w:val="none"/>
        </w:rPr>
        <w:t>采购项目</w:t>
      </w:r>
    </w:p>
    <w:p w14:paraId="7B076EA3">
      <w:pPr>
        <w:widowControl/>
        <w:tabs>
          <w:tab w:val="left" w:pos="1134"/>
        </w:tabs>
        <w:ind w:firstLine="1405" w:firstLineChars="500"/>
        <w:jc w:val="left"/>
        <w:rPr>
          <w:rFonts w:hint="eastAsia" w:ascii="宋体" w:hAnsi="宋体" w:cs="宋体"/>
          <w:b/>
          <w:color w:val="000000"/>
          <w:sz w:val="28"/>
          <w:szCs w:val="28"/>
          <w:highlight w:val="none"/>
        </w:rPr>
      </w:pPr>
    </w:p>
    <w:p w14:paraId="168CBE16">
      <w:pPr>
        <w:widowControl/>
        <w:tabs>
          <w:tab w:val="left" w:pos="1134"/>
        </w:tabs>
        <w:ind w:firstLine="1405" w:firstLineChars="500"/>
        <w:jc w:val="left"/>
        <w:rPr>
          <w:rFonts w:hint="eastAsia" w:ascii="宋体" w:hAnsi="宋体" w:cs="宋体"/>
          <w:b/>
          <w:color w:val="000000"/>
          <w:sz w:val="28"/>
          <w:szCs w:val="28"/>
          <w:highlight w:val="none"/>
        </w:rPr>
      </w:pPr>
    </w:p>
    <w:p w14:paraId="4EEE9B87">
      <w:pPr>
        <w:widowControl/>
        <w:tabs>
          <w:tab w:val="left" w:pos="1134"/>
        </w:tabs>
        <w:ind w:firstLine="1405" w:firstLineChars="500"/>
        <w:jc w:val="left"/>
        <w:rPr>
          <w:rFonts w:hint="default"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lang w:val="en-US" w:eastAsia="zh-CN"/>
        </w:rPr>
        <w:t>SZGS-FGZB-唐山高标农田-002</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预拌混凝土</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472394A">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eastAsia="zh-CN"/>
        </w:rPr>
        <w:t>预拌混凝土</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9160"/>
      <w:bookmarkStart w:id="65" w:name="_Toc54280344"/>
      <w:bookmarkStart w:id="66" w:name="_Toc54291526"/>
      <w:bookmarkStart w:id="67" w:name="_Toc54281196"/>
      <w:bookmarkStart w:id="68" w:name="_Toc54278961"/>
      <w:bookmarkStart w:id="69" w:name="_Toc53948739"/>
      <w:bookmarkStart w:id="70" w:name="_Toc54280770"/>
      <w:bookmarkStart w:id="71" w:name="_Toc54281622"/>
      <w:bookmarkStart w:id="72" w:name="_Toc5394958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231"/>
        <w:gridCol w:w="620"/>
        <w:gridCol w:w="670"/>
        <w:gridCol w:w="935"/>
        <w:gridCol w:w="855"/>
        <w:gridCol w:w="999"/>
        <w:gridCol w:w="558"/>
        <w:gridCol w:w="1128"/>
        <w:gridCol w:w="829"/>
        <w:gridCol w:w="606"/>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240" w:lineRule="auto"/>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0" w:type="pct"/>
            <w:shd w:val="clear" w:color="auto" w:fill="auto"/>
            <w:vAlign w:val="center"/>
          </w:tcPr>
          <w:p w14:paraId="43CA324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95" w:type="pct"/>
            <w:shd w:val="clear" w:color="auto" w:fill="auto"/>
            <w:vAlign w:val="center"/>
          </w:tcPr>
          <w:p w14:paraId="6C872AB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350" w:type="pct"/>
            <w:shd w:val="clear" w:color="auto" w:fill="auto"/>
            <w:vAlign w:val="center"/>
          </w:tcPr>
          <w:p w14:paraId="15EB3E7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78" w:type="pct"/>
            <w:shd w:val="clear" w:color="auto" w:fill="auto"/>
            <w:vAlign w:val="center"/>
          </w:tcPr>
          <w:p w14:paraId="616F777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28" w:type="pct"/>
            <w:shd w:val="clear" w:color="auto" w:fill="auto"/>
            <w:vAlign w:val="center"/>
          </w:tcPr>
          <w:p w14:paraId="49317B4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83" w:type="pct"/>
            <w:shd w:val="clear" w:color="auto" w:fill="auto"/>
            <w:vAlign w:val="center"/>
          </w:tcPr>
          <w:p w14:paraId="1CE8EDC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64" w:type="pct"/>
            <w:shd w:val="clear" w:color="auto" w:fill="auto"/>
            <w:vAlign w:val="center"/>
          </w:tcPr>
          <w:p w14:paraId="287089B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15" w:type="pct"/>
            <w:shd w:val="clear" w:color="auto" w:fill="auto"/>
            <w:vAlign w:val="center"/>
          </w:tcPr>
          <w:p w14:paraId="634C61D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37" w:type="pct"/>
            <w:shd w:val="clear" w:color="auto" w:fill="auto"/>
            <w:vAlign w:val="center"/>
          </w:tcPr>
          <w:p w14:paraId="5AABEE5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68" w:type="pct"/>
            <w:shd w:val="clear" w:color="auto" w:fill="auto"/>
            <w:vAlign w:val="center"/>
          </w:tcPr>
          <w:p w14:paraId="2F4FBE0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38" w:type="pct"/>
            <w:shd w:val="clear" w:color="auto" w:fill="auto"/>
            <w:vAlign w:val="center"/>
          </w:tcPr>
          <w:p w14:paraId="7910F48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0" w:type="pct"/>
            <w:shd w:val="clear" w:color="auto" w:fill="auto"/>
            <w:vAlign w:val="center"/>
          </w:tcPr>
          <w:p w14:paraId="3703A7B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695" w:type="pct"/>
            <w:shd w:val="clear" w:color="auto" w:fill="auto"/>
            <w:vAlign w:val="center"/>
          </w:tcPr>
          <w:p w14:paraId="2873393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预拌混凝土</w:t>
            </w:r>
          </w:p>
        </w:tc>
        <w:tc>
          <w:tcPr>
            <w:tcW w:w="350" w:type="pct"/>
            <w:shd w:val="clear" w:color="auto" w:fill="auto"/>
            <w:vAlign w:val="center"/>
          </w:tcPr>
          <w:p w14:paraId="52B18CA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C30</w:t>
            </w:r>
          </w:p>
        </w:tc>
        <w:tc>
          <w:tcPr>
            <w:tcW w:w="378" w:type="pct"/>
            <w:shd w:val="clear" w:color="auto" w:fill="auto"/>
            <w:vAlign w:val="center"/>
          </w:tcPr>
          <w:p w14:paraId="5E2BBC3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m³</w:t>
            </w:r>
          </w:p>
        </w:tc>
        <w:tc>
          <w:tcPr>
            <w:tcW w:w="528" w:type="pct"/>
            <w:shd w:val="clear" w:color="auto" w:fill="auto"/>
            <w:vAlign w:val="center"/>
          </w:tcPr>
          <w:p w14:paraId="12D38933">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3710.00</w:t>
            </w:r>
          </w:p>
        </w:tc>
        <w:tc>
          <w:tcPr>
            <w:tcW w:w="483" w:type="pct"/>
            <w:shd w:val="clear" w:color="auto" w:fill="auto"/>
            <w:noWrap/>
            <w:vAlign w:val="center"/>
          </w:tcPr>
          <w:p w14:paraId="1525265B">
            <w:pPr>
              <w:widowControl/>
              <w:spacing w:line="240" w:lineRule="auto"/>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14:paraId="01FFF41E">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315" w:type="pct"/>
            <w:shd w:val="clear" w:color="auto" w:fill="auto"/>
            <w:noWrap/>
            <w:vAlign w:val="center"/>
          </w:tcPr>
          <w:p w14:paraId="297459BB">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637" w:type="pct"/>
            <w:shd w:val="clear" w:color="auto" w:fill="auto"/>
            <w:noWrap/>
            <w:vAlign w:val="center"/>
          </w:tcPr>
          <w:p w14:paraId="7E69C136">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468" w:type="pct"/>
            <w:shd w:val="clear" w:color="auto" w:fill="auto"/>
            <w:noWrap/>
            <w:vAlign w:val="center"/>
          </w:tcPr>
          <w:p w14:paraId="47578662">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338" w:type="pct"/>
            <w:shd w:val="clear" w:color="auto" w:fill="auto"/>
            <w:vAlign w:val="center"/>
          </w:tcPr>
          <w:p w14:paraId="65B0A1F1">
            <w:pPr>
              <w:widowControl/>
              <w:spacing w:line="240" w:lineRule="auto"/>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 w:type="pct"/>
            <w:shd w:val="clear" w:color="auto" w:fill="auto"/>
            <w:vAlign w:val="center"/>
          </w:tcPr>
          <w:p w14:paraId="13CC1AE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合计</w:t>
            </w:r>
          </w:p>
        </w:tc>
        <w:tc>
          <w:tcPr>
            <w:tcW w:w="695" w:type="pct"/>
            <w:shd w:val="clear" w:color="auto" w:fill="auto"/>
            <w:vAlign w:val="center"/>
          </w:tcPr>
          <w:p w14:paraId="421BD60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50" w:type="pct"/>
            <w:shd w:val="clear" w:color="auto" w:fill="auto"/>
            <w:vAlign w:val="center"/>
          </w:tcPr>
          <w:p w14:paraId="29315CD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78" w:type="pct"/>
            <w:shd w:val="clear" w:color="auto" w:fill="auto"/>
            <w:noWrap/>
            <w:vAlign w:val="center"/>
          </w:tcPr>
          <w:p w14:paraId="2D06465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528" w:type="pct"/>
            <w:shd w:val="clear" w:color="auto" w:fill="auto"/>
            <w:vAlign w:val="center"/>
          </w:tcPr>
          <w:p w14:paraId="3825EFDC">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3710.00</w:t>
            </w:r>
          </w:p>
        </w:tc>
        <w:tc>
          <w:tcPr>
            <w:tcW w:w="483" w:type="pct"/>
            <w:shd w:val="clear" w:color="auto" w:fill="auto"/>
            <w:noWrap/>
            <w:vAlign w:val="center"/>
          </w:tcPr>
          <w:p w14:paraId="7F91A5B0">
            <w:pPr>
              <w:widowControl/>
              <w:spacing w:line="240" w:lineRule="auto"/>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14:paraId="5AEF2644">
            <w:pPr>
              <w:widowControl/>
              <w:spacing w:line="240" w:lineRule="auto"/>
              <w:jc w:val="center"/>
              <w:rPr>
                <w:rFonts w:ascii="仿宋_GB2312" w:hAnsi="仿宋_GB2312" w:eastAsia="仿宋_GB2312" w:cs="仿宋_GB2312"/>
                <w:color w:val="000000" w:themeColor="text1"/>
                <w:sz w:val="18"/>
                <w:szCs w:val="18"/>
                <w:highlight w:val="none"/>
              </w:rPr>
            </w:pPr>
          </w:p>
        </w:tc>
        <w:tc>
          <w:tcPr>
            <w:tcW w:w="315" w:type="pct"/>
            <w:shd w:val="clear" w:color="auto" w:fill="auto"/>
            <w:noWrap/>
            <w:vAlign w:val="center"/>
          </w:tcPr>
          <w:p w14:paraId="76CE7117">
            <w:pPr>
              <w:widowControl/>
              <w:spacing w:line="240" w:lineRule="auto"/>
              <w:jc w:val="center"/>
              <w:rPr>
                <w:rFonts w:ascii="仿宋_GB2312" w:hAnsi="仿宋_GB2312" w:eastAsia="仿宋_GB2312" w:cs="仿宋_GB2312"/>
                <w:color w:val="000000" w:themeColor="text1"/>
                <w:sz w:val="18"/>
                <w:szCs w:val="18"/>
                <w:highlight w:val="none"/>
              </w:rPr>
            </w:pPr>
          </w:p>
        </w:tc>
        <w:tc>
          <w:tcPr>
            <w:tcW w:w="637" w:type="pct"/>
            <w:shd w:val="clear" w:color="auto" w:fill="auto"/>
            <w:noWrap/>
            <w:vAlign w:val="center"/>
          </w:tcPr>
          <w:p w14:paraId="45A09E4F">
            <w:pPr>
              <w:widowControl/>
              <w:spacing w:line="240" w:lineRule="auto"/>
              <w:jc w:val="center"/>
              <w:rPr>
                <w:rFonts w:ascii="仿宋_GB2312" w:hAnsi="仿宋_GB2312" w:eastAsia="仿宋_GB2312" w:cs="仿宋_GB2312"/>
                <w:color w:val="000000" w:themeColor="text1"/>
                <w:sz w:val="18"/>
                <w:szCs w:val="18"/>
                <w:highlight w:val="none"/>
              </w:rPr>
            </w:pPr>
          </w:p>
        </w:tc>
        <w:tc>
          <w:tcPr>
            <w:tcW w:w="468" w:type="pct"/>
            <w:shd w:val="clear" w:color="auto" w:fill="auto"/>
            <w:noWrap/>
            <w:vAlign w:val="center"/>
          </w:tcPr>
          <w:p w14:paraId="01DD7A49">
            <w:pPr>
              <w:widowControl/>
              <w:spacing w:line="240" w:lineRule="auto"/>
              <w:jc w:val="center"/>
              <w:rPr>
                <w:rFonts w:ascii="仿宋_GB2312" w:hAnsi="仿宋_GB2312" w:eastAsia="仿宋_GB2312" w:cs="仿宋_GB2312"/>
                <w:color w:val="000000" w:themeColor="text1"/>
                <w:sz w:val="18"/>
                <w:szCs w:val="18"/>
                <w:highlight w:val="none"/>
              </w:rPr>
            </w:pPr>
          </w:p>
        </w:tc>
        <w:tc>
          <w:tcPr>
            <w:tcW w:w="338" w:type="pct"/>
            <w:shd w:val="clear" w:color="auto" w:fill="auto"/>
            <w:noWrap/>
            <w:vAlign w:val="center"/>
          </w:tcPr>
          <w:p w14:paraId="59612F31">
            <w:pPr>
              <w:widowControl/>
              <w:spacing w:line="240" w:lineRule="auto"/>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A0F0740">
            <w:pPr>
              <w:spacing w:line="240" w:lineRule="auto"/>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w:t>
            </w:r>
          </w:p>
        </w:tc>
      </w:tr>
    </w:tbl>
    <w:p w14:paraId="2599CEED">
      <w:pPr>
        <w:spacing w:line="400" w:lineRule="exact"/>
        <w:jc w:val="center"/>
        <w:rPr>
          <w:rFonts w:hint="eastAsia" w:ascii="仿宋_GB2312" w:eastAsia="仿宋_GB2312" w:cs="宋体" w:hAnsiTheme="minorEastAsia"/>
          <w:b/>
          <w:color w:val="000000" w:themeColor="text1"/>
          <w:sz w:val="21"/>
          <w:szCs w:val="21"/>
          <w:highlight w:val="none"/>
        </w:rPr>
      </w:pPr>
    </w:p>
    <w:p w14:paraId="08E01409">
      <w:pPr>
        <w:spacing w:line="360" w:lineRule="auto"/>
        <w:ind w:left="5460" w:hanging="5460" w:hangingChars="2600"/>
        <w:rPr>
          <w:rFonts w:hint="eastAsia" w:ascii="仿宋_GB2312" w:eastAsia="仿宋_GB2312" w:cs="宋体" w:hAnsiTheme="minorEastAsia"/>
          <w:sz w:val="21"/>
          <w:szCs w:val="21"/>
          <w:highlight w:val="none"/>
        </w:rPr>
      </w:pPr>
    </w:p>
    <w:p w14:paraId="4753F23E">
      <w:pPr>
        <w:spacing w:line="360" w:lineRule="auto"/>
        <w:ind w:left="5460" w:hanging="5460" w:hangingChars="2600"/>
        <w:rPr>
          <w:rFonts w:hint="eastAsia" w:ascii="仿宋_GB2312" w:eastAsia="仿宋_GB2312" w:cs="宋体" w:hAnsiTheme="minorEastAsia"/>
          <w:sz w:val="21"/>
          <w:szCs w:val="21"/>
          <w:highlight w:val="none"/>
        </w:rPr>
      </w:pPr>
    </w:p>
    <w:p w14:paraId="7B40F196">
      <w:pPr>
        <w:spacing w:line="360" w:lineRule="auto"/>
        <w:ind w:left="5460" w:hanging="5460" w:hangingChars="2600"/>
        <w:rPr>
          <w:rFonts w:hint="eastAsia" w:ascii="仿宋_GB2312" w:eastAsia="仿宋_GB2312" w:cs="宋体" w:hAnsiTheme="minorEastAsia"/>
          <w:sz w:val="21"/>
          <w:szCs w:val="21"/>
          <w:highlight w:val="none"/>
        </w:rPr>
      </w:pPr>
    </w:p>
    <w:p w14:paraId="1CCFA2D9">
      <w:pPr>
        <w:spacing w:line="360" w:lineRule="auto"/>
        <w:ind w:left="5460" w:hanging="5460" w:hangingChars="2600"/>
        <w:rPr>
          <w:rFonts w:hint="eastAsia" w:ascii="仿宋_GB2312" w:eastAsia="仿宋_GB2312" w:cs="宋体" w:hAnsiTheme="minorEastAsia"/>
          <w:sz w:val="21"/>
          <w:szCs w:val="21"/>
          <w:highlight w:val="none"/>
        </w:rPr>
      </w:pPr>
    </w:p>
    <w:p w14:paraId="34C855CC">
      <w:pPr>
        <w:spacing w:line="360" w:lineRule="auto"/>
        <w:ind w:left="5460" w:hanging="5460" w:hangingChars="2600"/>
        <w:rPr>
          <w:rFonts w:hint="eastAsia" w:ascii="仿宋_GB2312" w:eastAsia="仿宋_GB2312" w:cs="宋体" w:hAnsiTheme="minorEastAsia"/>
          <w:sz w:val="21"/>
          <w:szCs w:val="21"/>
          <w:highlight w:val="none"/>
        </w:rPr>
      </w:pPr>
    </w:p>
    <w:p w14:paraId="52B8BC3C">
      <w:pPr>
        <w:spacing w:line="360" w:lineRule="auto"/>
        <w:ind w:left="5460" w:hanging="5460" w:hangingChars="2600"/>
        <w:jc w:val="right"/>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5FFD9E0">
      <w:pPr>
        <w:spacing w:line="400" w:lineRule="exact"/>
        <w:ind w:firstLine="5250" w:firstLineChars="2500"/>
        <w:jc w:val="left"/>
        <w:rPr>
          <w:rFonts w:hint="eastAsia" w:ascii="仿宋_GB2312" w:eastAsia="仿宋_GB2312" w:cs="宋体" w:hAnsiTheme="minorEastAsia"/>
          <w:kern w:val="0"/>
          <w:sz w:val="21"/>
          <w:szCs w:val="21"/>
          <w:highlight w:val="none"/>
        </w:rPr>
      </w:pP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68623E9F">
      <w:pPr>
        <w:pStyle w:val="311"/>
        <w:spacing w:line="276" w:lineRule="auto"/>
        <w:ind w:firstLine="0" w:firstLineChars="0"/>
        <w:rPr>
          <w:rFonts w:hint="eastAsia" w:ascii="仿宋_GB2312" w:eastAsia="仿宋_GB2312" w:cs="宋体" w:hAnsiTheme="minorEastAsia"/>
          <w:kern w:val="0"/>
          <w:sz w:val="21"/>
          <w:szCs w:val="21"/>
          <w:highlight w:val="none"/>
        </w:rPr>
        <w:sectPr>
          <w:pgSz w:w="12240" w:h="15840"/>
          <w:pgMar w:top="1440" w:right="1800" w:bottom="1440" w:left="1800" w:header="851" w:footer="992" w:gutter="0"/>
          <w:cols w:space="720" w:num="1"/>
          <w:titlePg/>
          <w:docGrid w:linePitch="381" w:charSpace="0"/>
        </w:sectPr>
      </w:pPr>
    </w:p>
    <w:p w14:paraId="20DF7CC5">
      <w:pPr>
        <w:pStyle w:val="311"/>
        <w:spacing w:line="276" w:lineRule="auto"/>
        <w:ind w:firstLine="0" w:firstLineChars="0"/>
        <w:rPr>
          <w:rFonts w:hint="eastAsia" w:ascii="仿宋_GB2312" w:eastAsia="仿宋_GB2312" w:cs="宋体" w:hAnsiTheme="minorEastAsia"/>
          <w:kern w:val="0"/>
          <w:sz w:val="21"/>
          <w:szCs w:val="21"/>
          <w:highlight w:val="none"/>
        </w:rPr>
      </w:pPr>
    </w:p>
    <w:bookmarkEnd w:id="64"/>
    <w:bookmarkEnd w:id="65"/>
    <w:bookmarkEnd w:id="66"/>
    <w:bookmarkEnd w:id="67"/>
    <w:bookmarkEnd w:id="68"/>
    <w:bookmarkEnd w:id="69"/>
    <w:bookmarkEnd w:id="70"/>
    <w:bookmarkEnd w:id="71"/>
    <w:bookmarkEnd w:id="72"/>
    <w:p w14:paraId="6118FD32">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Spec="center" w:tblpY="352"/>
        <w:tblOverlap w:val="never"/>
        <w:tblW w:w="4971" w:type="pct"/>
        <w:jc w:val="center"/>
        <w:tblLayout w:type="fixed"/>
        <w:tblCellMar>
          <w:top w:w="0" w:type="dxa"/>
          <w:left w:w="108" w:type="dxa"/>
          <w:bottom w:w="0" w:type="dxa"/>
          <w:right w:w="108" w:type="dxa"/>
        </w:tblCellMar>
      </w:tblPr>
      <w:tblGrid>
        <w:gridCol w:w="621"/>
        <w:gridCol w:w="1607"/>
        <w:gridCol w:w="1072"/>
        <w:gridCol w:w="621"/>
        <w:gridCol w:w="622"/>
        <w:gridCol w:w="514"/>
        <w:gridCol w:w="611"/>
        <w:gridCol w:w="574"/>
        <w:gridCol w:w="904"/>
        <w:gridCol w:w="729"/>
        <w:gridCol w:w="996"/>
        <w:gridCol w:w="922"/>
        <w:gridCol w:w="1725"/>
        <w:gridCol w:w="984"/>
        <w:gridCol w:w="600"/>
      </w:tblGrid>
      <w:tr w14:paraId="5A3258BA">
        <w:tblPrEx>
          <w:tblCellMar>
            <w:top w:w="0" w:type="dxa"/>
            <w:left w:w="108" w:type="dxa"/>
            <w:bottom w:w="0" w:type="dxa"/>
            <w:right w:w="108" w:type="dxa"/>
          </w:tblCellMar>
        </w:tblPrEx>
        <w:trPr>
          <w:trHeight w:val="405" w:hRule="atLeast"/>
          <w:jc w:val="center"/>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jc w:val="center"/>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jc w:val="center"/>
        </w:trPr>
        <w:tc>
          <w:tcPr>
            <w:tcW w:w="236"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613"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409"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6"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661"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375"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28"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1264" w:hRule="atLeast"/>
          <w:jc w:val="center"/>
        </w:trPr>
        <w:tc>
          <w:tcPr>
            <w:tcW w:w="236"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613"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409"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6"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196"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3"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19"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44"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7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380"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351"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658"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375"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28"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718" w:hRule="atLeast"/>
          <w:jc w:val="center"/>
        </w:trPr>
        <w:tc>
          <w:tcPr>
            <w:tcW w:w="236"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613"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409"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6"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196"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3"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19"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44"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7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380"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351"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658"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375"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28"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1</w:t>
            </w:r>
          </w:p>
        </w:tc>
        <w:tc>
          <w:tcPr>
            <w:tcW w:w="613"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预拌混凝土</w:t>
            </w:r>
          </w:p>
        </w:tc>
        <w:tc>
          <w:tcPr>
            <w:tcW w:w="409"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C30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m³</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hint="eastAsia"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bl>
    <w:p w14:paraId="08FDF8DD">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733EBEE">
      <w:pPr>
        <w:pStyle w:val="311"/>
        <w:spacing w:line="276" w:lineRule="auto"/>
        <w:ind w:firstLine="0" w:firstLineChars="0"/>
        <w:rPr>
          <w:rFonts w:ascii="仿宋" w:hAnsi="仿宋" w:eastAsia="仿宋" w:cs="仿宋_GB2312"/>
          <w:b/>
          <w:bCs/>
          <w:highlight w:val="none"/>
        </w:rPr>
      </w:pPr>
    </w:p>
    <w:p w14:paraId="400C3F69">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578" w:firstLineChars="1900"/>
        <w:jc w:val="right"/>
        <w:textAlignment w:val="auto"/>
        <w:rPr>
          <w:rFonts w:ascii="仿宋" w:hAnsi="仿宋" w:eastAsia="仿宋" w:cs="仿宋_GB2312"/>
          <w:b/>
          <w:bCs/>
          <w:highlight w:val="none"/>
        </w:rPr>
      </w:pPr>
      <w:r>
        <w:rPr>
          <w:rFonts w:hint="eastAsia" w:ascii="仿宋" w:hAnsi="仿宋" w:eastAsia="仿宋" w:cs="仿宋_GB2312"/>
          <w:b/>
          <w:bCs/>
          <w:highlight w:val="none"/>
        </w:rPr>
        <w:t>投标人名称：</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（公章）</w:t>
      </w:r>
    </w:p>
    <w:p w14:paraId="22993AE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rPr>
          <w:rFonts w:hint="eastAsia" w:ascii="仿宋" w:hAnsi="仿宋" w:eastAsia="仿宋" w:cs="仿宋_GB2312"/>
          <w:b/>
          <w:bCs/>
          <w:highlight w:val="none"/>
          <w:lang w:eastAsia="zh-CN"/>
        </w:rPr>
      </w:pP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lang w:eastAsia="zh-CN"/>
        </w:rPr>
        <w:t>：</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签字</w:t>
      </w:r>
      <w:r>
        <w:rPr>
          <w:rFonts w:hint="eastAsia" w:ascii="仿宋" w:hAnsi="仿宋" w:eastAsia="仿宋" w:cs="仿宋_GB2312"/>
          <w:b/>
          <w:bCs/>
          <w:highlight w:val="none"/>
          <w:lang w:eastAsia="zh-CN"/>
        </w:rPr>
        <w:t>）</w:t>
      </w:r>
    </w:p>
    <w:p w14:paraId="590BD34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rPr>
          <w:rFonts w:hint="eastAsia" w:ascii="仿宋" w:hAnsi="仿宋" w:eastAsia="仿宋" w:cs="仿宋_GB2312"/>
          <w:b/>
          <w:bCs/>
          <w:highlight w:val="none"/>
        </w:r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u w:val="single"/>
          <w:lang w:val="en-US" w:eastAsia="zh-CN"/>
        </w:rPr>
        <w:t xml:space="preserve">  </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78C6D1">
      <w:pPr>
        <w:rPr>
          <w:rFonts w:hint="eastAsia" w:ascii="仿宋" w:hAnsi="仿宋" w:eastAsia="仿宋" w:cs="仿宋_GB2312"/>
          <w:b/>
          <w:bCs/>
          <w:highlight w:val="none"/>
        </w:rPr>
        <w:sectPr>
          <w:pgSz w:w="15840" w:h="12240" w:orient="landscape"/>
          <w:pgMar w:top="1800" w:right="1440" w:bottom="1800" w:left="1440" w:header="851" w:footer="992" w:gutter="0"/>
          <w:cols w:space="720" w:num="1"/>
          <w:titlePg/>
          <w:docGrid w:linePitch="381" w:charSpace="0"/>
        </w:sectPr>
      </w:pP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有限公司2024年路南区稻地镇高标准农田改造提升项目施工一标段</w:t>
      </w:r>
      <w:r>
        <w:rPr>
          <w:rFonts w:hint="eastAsia" w:ascii="仿宋_GB2312" w:eastAsia="仿宋_GB2312" w:cs="宋体" w:hAnsiTheme="minorEastAsia"/>
          <w:sz w:val="21"/>
          <w:szCs w:val="21"/>
          <w:highlight w:val="none"/>
          <w:u w:val="single"/>
          <w:lang w:eastAsia="zh-CN"/>
        </w:rPr>
        <w:t>预拌混凝土</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SZGS-FGZB-唐山高标农田-00</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39ABA39">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hint="eastAsia" w:ascii="宋体" w:hAnsi="宋体" w:eastAsiaTheme="minorEastAsia"/>
          <w:sz w:val="21"/>
          <w:szCs w:val="21"/>
          <w:highlight w:val="none"/>
          <w:lang w:val="en-US" w:eastAsia="zh-CN"/>
        </w:rPr>
      </w:pPr>
      <w:r>
        <w:rPr>
          <w:rFonts w:hint="eastAsia" w:ascii="宋体" w:hAnsi="宋体"/>
          <w:sz w:val="21"/>
          <w:szCs w:val="21"/>
          <w:highlight w:val="none"/>
          <w:lang w:val="en-US" w:eastAsia="zh-CN"/>
        </w:rPr>
        <w:t>见附件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16" w:usb3="00000000" w:csb0="6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YjQ5M2MxZWEyNjQwM2QxZGQ5ZGY2NDFmNmNkNTc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7925B19"/>
    <w:rsid w:val="082931CB"/>
    <w:rsid w:val="08DE2A0A"/>
    <w:rsid w:val="09477125"/>
    <w:rsid w:val="0AE10B06"/>
    <w:rsid w:val="0B4E1717"/>
    <w:rsid w:val="0C6B0A2B"/>
    <w:rsid w:val="0E1529C0"/>
    <w:rsid w:val="10E2481B"/>
    <w:rsid w:val="117711C9"/>
    <w:rsid w:val="16BC60CF"/>
    <w:rsid w:val="20C8798E"/>
    <w:rsid w:val="24F00B4F"/>
    <w:rsid w:val="251F693A"/>
    <w:rsid w:val="25844CA4"/>
    <w:rsid w:val="27414953"/>
    <w:rsid w:val="2AC854F7"/>
    <w:rsid w:val="3145400B"/>
    <w:rsid w:val="31CF685F"/>
    <w:rsid w:val="33C466F0"/>
    <w:rsid w:val="3877114E"/>
    <w:rsid w:val="397E2222"/>
    <w:rsid w:val="39B316EF"/>
    <w:rsid w:val="3B9F6BA4"/>
    <w:rsid w:val="3E4E1ADC"/>
    <w:rsid w:val="3F6F0185"/>
    <w:rsid w:val="4552446E"/>
    <w:rsid w:val="45F66B7B"/>
    <w:rsid w:val="48F52D7E"/>
    <w:rsid w:val="4A8C758B"/>
    <w:rsid w:val="4AA24345"/>
    <w:rsid w:val="4C8E75EA"/>
    <w:rsid w:val="52C754D9"/>
    <w:rsid w:val="53316F22"/>
    <w:rsid w:val="561A543D"/>
    <w:rsid w:val="5DE62550"/>
    <w:rsid w:val="5ED66091"/>
    <w:rsid w:val="5F11725E"/>
    <w:rsid w:val="60DB1620"/>
    <w:rsid w:val="64824AEB"/>
    <w:rsid w:val="65535C81"/>
    <w:rsid w:val="65760D83"/>
    <w:rsid w:val="673B5B7F"/>
    <w:rsid w:val="6A136F29"/>
    <w:rsid w:val="6AA33E09"/>
    <w:rsid w:val="6AB477DC"/>
    <w:rsid w:val="6BD2489F"/>
    <w:rsid w:val="6E8910A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table" w:customStyle="1" w:styleId="312">
    <w:name w:val="Table Normal"/>
    <w:semiHidden/>
    <w:unhideWhenUsed/>
    <w:qFormat/>
    <w:uiPriority w:val="0"/>
    <w:tblPr>
      <w:tblCellMar>
        <w:top w:w="0" w:type="dxa"/>
        <w:left w:w="0" w:type="dxa"/>
        <w:bottom w:w="0" w:type="dxa"/>
        <w:right w:w="0" w:type="dxa"/>
      </w:tblCellMar>
    </w:tblPr>
  </w:style>
  <w:style w:type="paragraph" w:customStyle="1" w:styleId="31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8561</Words>
  <Characters>9556</Characters>
  <Lines>92</Lines>
  <Paragraphs>26</Paragraphs>
  <TotalTime>30</TotalTime>
  <ScaleCrop>false</ScaleCrop>
  <LinksUpToDate>false</LinksUpToDate>
  <CharactersWithSpaces>9961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郝zk</cp:lastModifiedBy>
  <cp:lastPrinted>2020-05-07T01:04:00Z</cp:lastPrinted>
  <dcterms:modified xsi:type="dcterms:W3CDTF">2025-04-17T00:37:37Z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FBA7B7A0FA794D6898E6D549F9FCF6C5_12</vt:lpwstr>
  </property>
  <property fmtid="{D5CDD505-2E9C-101B-9397-08002B2CF9AE}" pid="4" name="KSOTemplateDocerSaveRecord">
    <vt:lpwstr>eyJoZGlkIjoiOTc3M2Y5NzIzMDFlZjAyY2Q4Njk5ODkyYjFjNzBiNTQiLCJ1c2VySWQiOiIxMzkxMzcyNTA5In0=</vt:lpwstr>
  </property>
</Properties>
</file>