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eastAsia="宋体"/>
          <w:highlight w:val="none"/>
          <w:u w:val="single"/>
        </w:rPr>
        <w:t>ZJLQ-FG-昂仁县灾后重建</w:t>
      </w:r>
      <w:r>
        <w:rPr>
          <w:rFonts w:hint="eastAsia" w:ascii="宋体" w:hAnsi="宋体" w:eastAsia="宋体"/>
          <w:highlight w:val="none"/>
          <w:u w:val="single"/>
          <w:lang w:val="en-US" w:eastAsia="zh-CN"/>
        </w:rPr>
        <w:t>3</w:t>
      </w:r>
      <w:r>
        <w:rPr>
          <w:rFonts w:hint="eastAsia" w:ascii="宋体" w:hAnsi="宋体" w:eastAsia="宋体"/>
          <w:highlight w:val="none"/>
          <w:u w:val="single"/>
        </w:rPr>
        <w:t>标-00</w:t>
      </w:r>
      <w:r>
        <w:rPr>
          <w:rFonts w:hint="eastAsia" w:ascii="宋体" w:hAnsi="宋体" w:eastAsia="宋体"/>
          <w:highlight w:val="none"/>
          <w:u w:val="single"/>
          <w:lang w:val="en-US" w:eastAsia="zh-CN"/>
        </w:rPr>
        <w:t>5</w:t>
      </w:r>
      <w:r>
        <w:rPr>
          <w:rFonts w:hint="eastAsia" w:eastAsia="仿宋_GB2312"/>
          <w:bCs/>
          <w:color w:val="000000"/>
          <w:sz w:val="28"/>
          <w:szCs w:val="28"/>
          <w:highlight w:val="none"/>
          <w:u w:val="single"/>
        </w:rPr>
        <w:t xml:space="preserve">       </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3"/>
        <w:rPr>
          <w:rFonts w:hint="eastAsia"/>
          <w:highlight w:val="none"/>
        </w:rPr>
      </w:pPr>
    </w:p>
    <w:p w14:paraId="16A3A7D5">
      <w:pPr>
        <w:pStyle w:val="3"/>
        <w:rPr>
          <w:rFonts w:hint="eastAsia"/>
          <w:highlight w:val="none"/>
        </w:rPr>
      </w:pPr>
    </w:p>
    <w:p w14:paraId="3C2CAD2A">
      <w:pPr>
        <w:pStyle w:val="3"/>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4"/>
        <w:spacing w:after="120"/>
        <w:ind w:firstLine="560"/>
        <w:rPr>
          <w:rFonts w:hint="eastAsia" w:ascii="宋体" w:hAnsi="宋体" w:cs="宋体"/>
          <w:b/>
          <w:sz w:val="28"/>
          <w:szCs w:val="28"/>
          <w:highlight w:val="none"/>
        </w:rPr>
      </w:pPr>
    </w:p>
    <w:p w14:paraId="78A9567F">
      <w:pPr>
        <w:pStyle w:val="4"/>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6282BF4F">
      <w:pPr>
        <w:spacing w:line="360" w:lineRule="auto"/>
        <w:ind w:left="3651" w:leftChars="266" w:hanging="3092" w:hangingChars="1100"/>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1E68FBBA">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项目（昂仁县）PC总承包三标段</w:t>
      </w:r>
      <w:r>
        <w:rPr>
          <w:rFonts w:hint="eastAsia" w:ascii="仿宋_GB2312" w:hAnsi="仿宋_GB2312" w:eastAsia="仿宋_GB2312" w:cs="仿宋_GB2312"/>
          <w:b/>
          <w:color w:val="000000"/>
          <w:sz w:val="28"/>
          <w:szCs w:val="28"/>
          <w:highlight w:val="none"/>
        </w:rPr>
        <w:t>】</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bookmarkEnd w:id="0"/>
    <w:p w14:paraId="0C409585">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2"/>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4"/>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4"/>
            <w:rPr>
              <w:highlight w:val="none"/>
            </w:rPr>
          </w:pPr>
        </w:p>
        <w:p w14:paraId="6CA1DCB3">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7A4D6A5E">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7DBAD95A">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756AF12B">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3D617CD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
    </w:p>
    <w:p w14:paraId="252D1622">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EA0B01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17203"/>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定日“6.8”级地震灾后恢复重建民房建设项目（昂仁县）PC总承包三标段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1"/>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1"/>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567"/>
        <w:gridCol w:w="1187"/>
        <w:gridCol w:w="1080"/>
        <w:gridCol w:w="1361"/>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001" w:type="dxa"/>
            <w:gridSpan w:val="11"/>
            <w:shd w:val="clear" w:color="auto" w:fill="auto"/>
            <w:vAlign w:val="center"/>
          </w:tcPr>
          <w:p w14:paraId="1D9156F4">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67"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87"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080"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361"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D9B467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4802076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混凝土空心砖</w:t>
            </w:r>
          </w:p>
        </w:tc>
        <w:tc>
          <w:tcPr>
            <w:tcW w:w="1134" w:type="dxa"/>
            <w:shd w:val="clear" w:color="auto" w:fill="auto"/>
            <w:vAlign w:val="center"/>
          </w:tcPr>
          <w:p w14:paraId="0C5BEBF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vAlign w:val="center"/>
          </w:tcPr>
          <w:p w14:paraId="20EA1271">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7D1EF42">
            <w:pPr>
              <w:widowControl/>
              <w:spacing w:line="400" w:lineRule="atLeast"/>
              <w:jc w:val="center"/>
              <w:textAlignment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735195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4B15B15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53299.00</w:t>
            </w:r>
          </w:p>
        </w:tc>
        <w:tc>
          <w:tcPr>
            <w:tcW w:w="1361" w:type="dxa"/>
            <w:shd w:val="clear" w:color="auto" w:fill="auto"/>
            <w:noWrap/>
            <w:vAlign w:val="center"/>
          </w:tcPr>
          <w:p w14:paraId="00BC6151">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36B1AD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58D398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混凝土实心砖</w:t>
            </w:r>
          </w:p>
        </w:tc>
        <w:tc>
          <w:tcPr>
            <w:tcW w:w="1134" w:type="dxa"/>
            <w:shd w:val="clear" w:color="auto" w:fill="auto"/>
            <w:vAlign w:val="center"/>
          </w:tcPr>
          <w:p w14:paraId="44E87F00">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noWrap/>
            <w:vAlign w:val="center"/>
          </w:tcPr>
          <w:p w14:paraId="29D42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16A259CA">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406AE6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1C3D41D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 w:hAnsi="仿宋" w:eastAsia="仿宋" w:cs="仿宋"/>
                <w:kern w:val="2"/>
                <w:sz w:val="21"/>
                <w:szCs w:val="21"/>
                <w:highlight w:val="none"/>
                <w:lang w:val="en-US" w:eastAsia="zh-CN" w:bidi="ar-SA"/>
              </w:rPr>
              <w:t>10691.00</w:t>
            </w:r>
          </w:p>
        </w:tc>
        <w:tc>
          <w:tcPr>
            <w:tcW w:w="1361" w:type="dxa"/>
            <w:shd w:val="clear" w:color="auto" w:fill="auto"/>
            <w:noWrap/>
            <w:vAlign w:val="center"/>
          </w:tcPr>
          <w:p w14:paraId="1B166BD5">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636D18F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6A173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16C7D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4B3AB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F3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03B03ABA">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361" w:type="dxa"/>
            <w:shd w:val="clear" w:color="auto" w:fill="auto"/>
            <w:vAlign w:val="center"/>
          </w:tcPr>
          <w:p w14:paraId="5FD9790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配件砖</w:t>
            </w:r>
          </w:p>
        </w:tc>
        <w:tc>
          <w:tcPr>
            <w:tcW w:w="1134" w:type="dxa"/>
            <w:shd w:val="clear" w:color="auto" w:fill="auto"/>
            <w:vAlign w:val="center"/>
          </w:tcPr>
          <w:p w14:paraId="79B43A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200*300*50</w:t>
            </w:r>
          </w:p>
        </w:tc>
        <w:tc>
          <w:tcPr>
            <w:tcW w:w="567" w:type="dxa"/>
            <w:shd w:val="clear" w:color="auto" w:fill="auto"/>
            <w:noWrap/>
            <w:vAlign w:val="center"/>
          </w:tcPr>
          <w:p w14:paraId="7269DF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04EF0B9">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0F86EA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0EBE4DDE">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 w:hAnsi="仿宋" w:eastAsia="仿宋" w:cs="仿宋"/>
                <w:kern w:val="2"/>
                <w:sz w:val="21"/>
                <w:szCs w:val="21"/>
                <w:highlight w:val="none"/>
                <w:lang w:val="en-US" w:eastAsia="zh-CN" w:bidi="ar-SA"/>
              </w:rPr>
              <w:t>15000.00</w:t>
            </w:r>
          </w:p>
        </w:tc>
        <w:tc>
          <w:tcPr>
            <w:tcW w:w="1361" w:type="dxa"/>
            <w:shd w:val="clear" w:color="auto" w:fill="auto"/>
            <w:noWrap/>
            <w:vAlign w:val="center"/>
          </w:tcPr>
          <w:p w14:paraId="5C54283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3F62E1D4">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FB3E10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25A019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2C500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01"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1"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1"/>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1"/>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1"/>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1"/>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3444"/>
      <w:bookmarkStart w:id="9" w:name="_Toc15703"/>
      <w:bookmarkStart w:id="10"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2447"/>
      <w:bookmarkStart w:id="14" w:name="_Toc15437"/>
      <w:bookmarkStart w:id="15" w:name="_Toc29361"/>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墙体材料应用统一技术规范》（GB50574-2010）、《建筑材料放射性核素限量》（GB6566-2010）、《民用建筑工程室内环境污染控制规范（2013版）》（GB50325-2010）、《蒸压加气混凝土建筑应用技术规程》（JGJ/T17-2008）、《建筑外墙防水工程技术规程》（JGJ/T235-2011）等相关规范要求）。</w:t>
      </w:r>
    </w:p>
    <w:p w14:paraId="5A0D07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材料质量标准：《蒸压灰砂实心砖和实心砌块》（GB/T 11945-2019）、《承重混凝土多孔砖》（GB25779-2010）、《非承重混凝土空心砖》（GB/T 24492-2009）、《混凝土实心砖》（GB/T 21144-2007）、《烧结普通砖》（GB/T 5101-2017）、《轻集料混凝土小型空心砌块》（GB/T15229-2011）、《蒸压加气混凝土砌块》（GB11968-2006）、《石膏砌块》（JC/T698-2010）、《粉煤灰砖》(JC239-2014)、《BM轻集料隔墙连锁砌块》（11BJZ58））</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22036"/>
      <w:bookmarkStart w:id="17" w:name="_Toc12481"/>
      <w:bookmarkStart w:id="18"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1"/>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1"/>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砌块实际供货尺寸在规范允许尺寸偏差内按照标准尺寸进行计量，如蒸压加气块长宽高尺寸允许偏差为±4mm，±2mm，±2mm，规格为600mm*200mm*250mm的蒸压加气块实际尺寸下限为596mm*198mm*248mm，在规范允许尺寸偏差内按照标准尺寸进行计量结算，即按照600mm*200mm*250mm计算方量，结算时备注砌块实际尺寸以便复核，其他以此类推。（其中BM连锁砌块如20连锁砌块标准尺寸应为395*190*195mm）</w:t>
      </w:r>
      <w:permEnd w:id="41"/>
    </w:p>
    <w:p w14:paraId="2D9C1D4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4231"/>
      <w:bookmarkStart w:id="23" w:name="_Toc22166"/>
      <w:bookmarkStart w:id="24"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1"/>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643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5"/>
    <w:p w14:paraId="3B29E53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9D389BD">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7C3BCB2">
            <w:pPr>
              <w:rPr>
                <w:highlight w:val="none"/>
              </w:rPr>
            </w:pP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1"/>
              <w:jc w:val="both"/>
              <w:rPr>
                <w:rFonts w:hint="default" w:ascii="仿宋_GB2312" w:hAnsi="仿宋_GB2312" w:eastAsia="仿宋_GB2312" w:cs="仿宋_GB2312"/>
                <w:bCs/>
                <w:color w:val="000000" w:themeColor="text1"/>
                <w:kern w:val="2"/>
                <w:highlight w:val="none"/>
                <w:u w:val="single"/>
                <w:lang w:val="en-US"/>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509A33A">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48"/>
    </w:tbl>
    <w:p w14:paraId="49BE35A7">
      <w:pPr>
        <w:pStyle w:val="11"/>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21859"/>
      <w:bookmarkStart w:id="27" w:name="_Toc32138"/>
      <w:bookmarkStart w:id="28"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10245"/>
      <w:bookmarkStart w:id="30" w:name="_Toc12208"/>
      <w:bookmarkStart w:id="31" w:name="_Toc24664"/>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608FBC6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18D58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p>
    <w:p w14:paraId="58664ED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p>
    <w:p w14:paraId="3707737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0"/>
    </w:p>
    <w:p w14:paraId="467907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1"/>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26478"/>
      <w:bookmarkStart w:id="33" w:name="_Toc4701"/>
      <w:bookmarkStart w:id="34"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21939"/>
      <w:bookmarkStart w:id="36" w:name="_Toc15785_WPSOffice_Level1"/>
      <w:bookmarkStart w:id="37" w:name="_Toc6851_WPSOffice_Level1"/>
      <w:bookmarkStart w:id="38" w:name="_Toc7989"/>
      <w:bookmarkStart w:id="39" w:name="_Toc31827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w:t>
      </w:r>
      <w:bookmarkStart w:id="127" w:name="_GoBack"/>
      <w:bookmarkEnd w:id="127"/>
      <w:r>
        <w:rPr>
          <w:rFonts w:hint="eastAsia" w:ascii="仿宋_GB2312" w:hAnsi="仿宋_GB2312" w:eastAsia="仿宋_GB2312" w:cs="仿宋_GB2312"/>
          <w:color w:val="000000" w:themeColor="text1"/>
          <w:highlight w:val="none"/>
          <w14:textFill>
            <w14:solidFill>
              <w14:schemeClr w14:val="tx1"/>
            </w14:solidFill>
          </w14:textFill>
        </w:rPr>
        <w:t>力，未经电子印章服务平台公司提供书面证明材料的电子合同打印版不能作为法律依据。如因乙方使用不当给甲方造成损失，乙方愿自行承担由此造成的全部经济损失和法律责任。</w:t>
      </w:r>
    </w:p>
    <w:p w14:paraId="10C5AEF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6163_WPSOffice_Level1"/>
      <w:bookmarkStart w:id="41" w:name="_Toc19595_WPSOffice_Level1"/>
      <w:bookmarkStart w:id="42" w:name="_Toc8898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23374"/>
      <w:bookmarkStart w:id="44" w:name="_Toc31108"/>
      <w:bookmarkStart w:id="45"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3383_WPSOffice_Level1"/>
      <w:bookmarkStart w:id="47" w:name="_Toc5250_WPSOffice_Level1"/>
      <w:bookmarkStart w:id="48" w:name="_Toc27542"/>
      <w:bookmarkStart w:id="49" w:name="_Toc14040"/>
      <w:bookmarkStart w:id="50" w:name="_Toc16133_WPSOffice_Level1"/>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19768_WPSOffice_Level1"/>
      <w:bookmarkStart w:id="53" w:name="_Toc641_WPSOffice_Level1"/>
      <w:bookmarkStart w:id="54" w:name="_Toc22730_WPSOffice_Level1"/>
      <w:bookmarkStart w:id="55" w:name="_Toc26596"/>
      <w:bookmarkStart w:id="56" w:name="_Toc660"/>
      <w:bookmarkStart w:id="57"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24584_WPSOffice_Level1"/>
      <w:bookmarkStart w:id="59" w:name="_Toc19161_WPSOffice_Level1"/>
      <w:bookmarkStart w:id="60" w:name="_Toc8260_WPSOffice_Level1"/>
      <w:bookmarkStart w:id="61" w:name="_Toc6994"/>
      <w:bookmarkStart w:id="62" w:name="_Toc25961"/>
      <w:bookmarkStart w:id="63"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570C6DB">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07843E">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31445"/>
      <w:bookmarkStart w:id="65" w:name="_Toc25426"/>
      <w:bookmarkStart w:id="66"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346759">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4519"/>
      <w:bookmarkStart w:id="68" w:name="_Toc21254"/>
      <w:bookmarkStart w:id="69"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0"/>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65A8B46">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4" w:name="_Toc11293"/>
      <w:bookmarkStart w:id="75" w:name="_Toc20069"/>
      <w:bookmarkStart w:id="76" w:name="_Toc15118"/>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7" w:name="_Hlk126826529"/>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9726"/>
      <w:bookmarkStart w:id="80" w:name="_Toc24322"/>
      <w:bookmarkStart w:id="81"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9" w:edGrp="everyone"/>
      <w:bookmarkStart w:id="83"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3"/>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9"/>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1"/>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Toc18674"/>
      <w:bookmarkStart w:id="90" w:name="_Toc1869"/>
      <w:bookmarkStart w:id="91" w:name="_Hlk127794870"/>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1"/>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11168"/>
      <w:bookmarkStart w:id="94"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3486"/>
      <w:bookmarkStart w:id="96" w:name="_Toc1717"/>
      <w:bookmarkStart w:id="97"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19191"/>
      <w:bookmarkStart w:id="102" w:name="_Toc11521"/>
      <w:bookmarkStart w:id="103"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2864"/>
      <w:bookmarkStart w:id="105" w:name="_Toc13471"/>
      <w:bookmarkStart w:id="106"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1"/>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1"/>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3441"/>
      <w:bookmarkStart w:id="108" w:name="_Toc29083"/>
      <w:bookmarkStart w:id="109" w:name="_Toc28560"/>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16580"/>
      <w:bookmarkStart w:id="112" w:name="_Toc24603"/>
      <w:bookmarkStart w:id="113"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0852"/>
      <w:bookmarkStart w:id="115" w:name="_Toc18501"/>
      <w:bookmarkStart w:id="116"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7" w:name="_Hlk126770481"/>
      <w:bookmarkStart w:id="118" w:name="_Hlk126830485"/>
      <w:bookmarkStart w:id="119" w:name="_Toc18393"/>
      <w:bookmarkStart w:id="120" w:name="_Toc31739"/>
      <w:bookmarkStart w:id="121"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7"/>
      <w:bookmarkEnd w:id="118"/>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p>
    <w:p w14:paraId="5EBDEF0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EE22AAE">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3848"/>
      <w:bookmarkStart w:id="125"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1"/>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5"/>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E53A42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D59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6E2A01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D8">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7872">
    <w:pPr>
      <w:pStyle w:val="7"/>
    </w:pPr>
  </w:p>
  <w:p w14:paraId="5342CD9E">
    <w:pPr>
      <w:pStyle w:val="7"/>
    </w:pPr>
  </w:p>
  <w:p w14:paraId="51F81FF6">
    <w:pPr>
      <w:pStyle w:val="7"/>
    </w:pPr>
  </w:p>
  <w:p w14:paraId="081C8CEE">
    <w:pPr>
      <w:pStyle w:val="7"/>
    </w:pPr>
  </w:p>
  <w:p w14:paraId="0E62AA6E">
    <w:pPr>
      <w:pStyle w:val="7"/>
      <w:jc w:val="left"/>
      <w:rPr>
        <w:b/>
        <w:bCs/>
      </w:rPr>
    </w:pPr>
    <w:r>
      <w:rPr>
        <w:b/>
        <w:bCs/>
      </w:rPr>
      <w:t>CSCEC</w:t>
    </w:r>
    <w:r>
      <w:t xml:space="preserve">  </w:t>
    </w:r>
    <w:r>
      <w:rPr>
        <w:rFonts w:hint="eastAsia"/>
        <w:b/>
        <w:bCs/>
      </w:rPr>
      <w:t xml:space="preserve">                                                                                 中建</w:t>
    </w:r>
  </w:p>
  <w:p w14:paraId="736F4E1D">
    <w:pPr>
      <w:pStyle w:val="7"/>
    </w:pPr>
  </w:p>
  <w:p w14:paraId="5B01921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45F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14C669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1" w:cryptProviderType="rsaFull" w:cryptAlgorithmClass="hash" w:cryptAlgorithmType="typeAny" w:cryptAlgorithmSid="4" w:cryptSpinCount="0" w:hash="u+8sEFeLuewqyIglApSS9ezGuHw=" w:salt="o5NW+buRqxDr1b/p/SSr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6041CCA"/>
    <w:rsid w:val="06CA1630"/>
    <w:rsid w:val="0E493B37"/>
    <w:rsid w:val="0EC121D7"/>
    <w:rsid w:val="0FD34B7A"/>
    <w:rsid w:val="0FDE5F55"/>
    <w:rsid w:val="110E1DE9"/>
    <w:rsid w:val="11D82BB2"/>
    <w:rsid w:val="134238C8"/>
    <w:rsid w:val="14150A03"/>
    <w:rsid w:val="29D8149B"/>
    <w:rsid w:val="2F936BBE"/>
    <w:rsid w:val="3A595246"/>
    <w:rsid w:val="3AA4410C"/>
    <w:rsid w:val="3E1E38C9"/>
    <w:rsid w:val="3F6A7D5F"/>
    <w:rsid w:val="405558E2"/>
    <w:rsid w:val="432E0166"/>
    <w:rsid w:val="45010097"/>
    <w:rsid w:val="47782013"/>
    <w:rsid w:val="48FB606A"/>
    <w:rsid w:val="4C3D3A9A"/>
    <w:rsid w:val="4E1A675E"/>
    <w:rsid w:val="544A412E"/>
    <w:rsid w:val="59C66246"/>
    <w:rsid w:val="5A540CC5"/>
    <w:rsid w:val="5A992578"/>
    <w:rsid w:val="5F920CC7"/>
    <w:rsid w:val="60CE4333"/>
    <w:rsid w:val="64DA50FD"/>
    <w:rsid w:val="66EE0626"/>
    <w:rsid w:val="693219B1"/>
    <w:rsid w:val="728E539F"/>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23025</Words>
  <Characters>24106</Characters>
  <Lines>0</Lines>
  <Paragraphs>0</Paragraphs>
  <TotalTime>11</TotalTime>
  <ScaleCrop>false</ScaleCrop>
  <LinksUpToDate>false</LinksUpToDate>
  <CharactersWithSpaces>26624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YL虎</cp:lastModifiedBy>
  <dcterms:modified xsi:type="dcterms:W3CDTF">2025-08-18T08:30:17Z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49508C10BC46477A97F25705C5AFDE05_13</vt:lpwstr>
  </property>
  <property fmtid="{D5CDD505-2E9C-101B-9397-08002B2CF9AE}" pid="4" name="KSOTemplateDocerSaveRecord">
    <vt:lpwstr>eyJoZGlkIjoiOWMyMWM0NzM3Y2NmNTgyNmJkOGYwYTdjMzg3YjdhODgiLCJ1c2VySWQiOiI3NDgzNzg5NjUifQ==</vt:lpwstr>
  </property>
</Properties>
</file>