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hint="eastAsia" w:cs="Times New Roman"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lang w:val="en-US" w:eastAsia="zh-CN"/>
        </w:rPr>
        <w:t>·</w:t>
      </w:r>
    </w:p>
    <w:p w14:paraId="2E239C63">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w:t>
      </w:r>
      <w:r>
        <w:rPr>
          <w:rFonts w:hint="eastAsia" w:cs="Times New Roman" w:asciiTheme="majorEastAsia" w:hAnsiTheme="majorEastAsia" w:eastAsiaTheme="majorEastAsia"/>
          <w:b/>
          <w:color w:val="000000"/>
          <w:kern w:val="2"/>
          <w:sz w:val="28"/>
          <w:szCs w:val="28"/>
          <w:highlight w:val="none"/>
          <w:lang w:val="en-US" w:eastAsia="zh-CN"/>
        </w:rPr>
        <w:t>0</w:t>
      </w:r>
      <w:r>
        <w:rPr>
          <w:rFonts w:hint="eastAsia" w:asciiTheme="majorEastAsia" w:hAnsiTheme="majorEastAsia" w:eastAsiaTheme="majorEastAsia"/>
          <w:b/>
          <w:color w:val="000000"/>
          <w:kern w:val="2"/>
          <w:sz w:val="28"/>
          <w:szCs w:val="28"/>
          <w:highlight w:val="none"/>
          <w:lang w:val="en-US" w:eastAsia="zh-CN"/>
        </w:rPr>
        <w:t>9</w:t>
      </w: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B3C14D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none"/>
        </w:rPr>
        <w:fldChar w:fldCharType="begin"/>
      </w:r>
      <w:r>
        <w:rPr>
          <w:rFonts w:hint="eastAsia" w:cs="Times New Roman" w:asciiTheme="majorEastAsia" w:hAnsiTheme="majorEastAsia" w:eastAsiaTheme="majorEastAsia"/>
          <w:b/>
          <w:color w:val="000000"/>
          <w:kern w:val="2"/>
          <w:sz w:val="44"/>
          <w:szCs w:val="44"/>
          <w:highlight w:val="none"/>
          <w:u w:val="non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none"/>
        </w:rPr>
        <w:fldChar w:fldCharType="separate"/>
      </w:r>
      <w:r>
        <w:rPr>
          <w:rFonts w:hint="eastAsia" w:cs="Times New Roman" w:asciiTheme="majorEastAsia" w:hAnsiTheme="majorEastAsia" w:eastAsiaTheme="majorEastAsia"/>
          <w:b/>
          <w:color w:val="000000"/>
          <w:kern w:val="2"/>
          <w:sz w:val="44"/>
          <w:szCs w:val="44"/>
          <w:highlight w:val="none"/>
          <w:u w:val="non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none"/>
        </w:rPr>
        <w:fldChar w:fldCharType="end"/>
      </w:r>
      <w:r>
        <w:rPr>
          <w:rFonts w:hint="eastAsia" w:cs="Times New Roman" w:asciiTheme="majorEastAsia" w:hAnsiTheme="majorEastAsia" w:eastAsiaTheme="majorEastAsia"/>
          <w:b/>
          <w:color w:val="000000"/>
          <w:kern w:val="2"/>
          <w:sz w:val="44"/>
          <w:szCs w:val="44"/>
          <w:highlight w:val="none"/>
          <w:lang w:val="en-US" w:eastAsia="zh-CN"/>
        </w:rPr>
        <w:t>混凝土输送罐车、混凝土输送泵车</w:t>
      </w:r>
      <w:r>
        <w:rPr>
          <w:rFonts w:hint="eastAsia" w:cs="Times New Roman" w:asciiTheme="majorEastAsia" w:hAnsiTheme="majorEastAsia" w:eastAsiaTheme="majorEastAsia"/>
          <w:b/>
          <w:color w:val="000000"/>
          <w:kern w:val="2"/>
          <w:sz w:val="44"/>
          <w:szCs w:val="44"/>
          <w:highlight w:val="none"/>
        </w:rPr>
        <w:t>租赁</w:t>
      </w: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0551C512">
      <w:pPr>
        <w:rPr>
          <w:rFonts w:cs="黑体" w:asciiTheme="majorEastAsia" w:hAnsiTheme="majorEastAsia" w:eastAsiaTheme="majorEastAsia"/>
          <w:b w:val="0"/>
          <w:bCs w:val="0"/>
          <w:kern w:val="2"/>
          <w:sz w:val="32"/>
          <w:szCs w:val="32"/>
          <w:highlight w:val="none"/>
        </w:rPr>
      </w:pPr>
    </w:p>
    <w:p w14:paraId="1F9E8B6E">
      <w:pPr>
        <w:pStyle w:val="2"/>
        <w:rPr>
          <w:rFonts w:cs="黑体" w:asciiTheme="majorEastAsia" w:hAnsiTheme="majorEastAsia" w:eastAsiaTheme="majorEastAsia"/>
          <w:b w:val="0"/>
          <w:bCs w:val="0"/>
          <w:kern w:val="2"/>
          <w:sz w:val="32"/>
          <w:szCs w:val="32"/>
          <w:highlight w:val="none"/>
        </w:rPr>
      </w:pPr>
    </w:p>
    <w:p w14:paraId="7125C5A4">
      <w:pPr>
        <w:pStyle w:val="2"/>
        <w:rPr>
          <w:rFonts w:cs="黑体" w:asciiTheme="majorEastAsia" w:hAnsiTheme="majorEastAsia" w:eastAsiaTheme="majorEastAsia"/>
          <w:b w:val="0"/>
          <w:bCs w:val="0"/>
          <w:kern w:val="2"/>
          <w:sz w:val="32"/>
          <w:szCs w:val="32"/>
          <w:highlight w:val="none"/>
        </w:rPr>
      </w:pPr>
    </w:p>
    <w:p w14:paraId="607912A8">
      <w:pPr>
        <w:pStyle w:val="2"/>
        <w:rPr>
          <w:rFonts w:cs="黑体" w:asciiTheme="majorEastAsia" w:hAnsiTheme="majorEastAsia" w:eastAsiaTheme="majorEastAsia"/>
          <w:b w:val="0"/>
          <w:bCs w:val="0"/>
          <w:kern w:val="2"/>
          <w:sz w:val="32"/>
          <w:szCs w:val="32"/>
          <w:highlight w:val="none"/>
        </w:rPr>
      </w:pPr>
    </w:p>
    <w:p w14:paraId="634C8879">
      <w:pPr>
        <w:pStyle w:val="2"/>
        <w:rPr>
          <w:rFonts w:cs="黑体" w:asciiTheme="majorEastAsia" w:hAnsiTheme="majorEastAsia" w:eastAsiaTheme="majorEastAsia"/>
          <w:b w:val="0"/>
          <w:bCs w:val="0"/>
          <w:kern w:val="2"/>
          <w:sz w:val="32"/>
          <w:szCs w:val="32"/>
          <w:highlight w:val="none"/>
        </w:rPr>
      </w:pPr>
    </w:p>
    <w:p w14:paraId="0425FF3D">
      <w:pPr>
        <w:pStyle w:val="2"/>
        <w:rPr>
          <w:rFonts w:cs="黑体" w:asciiTheme="majorEastAsia" w:hAnsiTheme="majorEastAsia" w:eastAsiaTheme="majorEastAsia"/>
          <w:b w:val="0"/>
          <w:bCs w:val="0"/>
          <w:kern w:val="2"/>
          <w:sz w:val="32"/>
          <w:szCs w:val="32"/>
          <w:highlight w:val="none"/>
        </w:rPr>
      </w:pPr>
    </w:p>
    <w:p w14:paraId="7E9B04D9">
      <w:pPr>
        <w:pStyle w:val="2"/>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8</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27</w:t>
      </w:r>
      <w:r>
        <w:rPr>
          <w:rFonts w:hint="eastAsia" w:cs="Times New Roman" w:asciiTheme="majorEastAsia" w:hAnsiTheme="majorEastAsia" w:eastAsiaTheme="majorEastAsia"/>
          <w:b/>
          <w:color w:val="000000"/>
          <w:kern w:val="2"/>
          <w:sz w:val="28"/>
          <w:szCs w:val="28"/>
          <w:highlight w:val="none"/>
        </w:rPr>
        <w:t>日</w:t>
      </w:r>
    </w:p>
    <w:p w14:paraId="23EA3A52">
      <w:pPr>
        <w:pStyle w:val="19"/>
        <w:rPr>
          <w:rFonts w:hint="eastAsia"/>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44974496"/>
            <w:bookmarkStart w:id="3" w:name="_Toc152045528"/>
            <w:bookmarkStart w:id="4" w:name="_Toc238797549"/>
            <w:bookmarkStart w:id="5" w:name="_Toc152042304"/>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混凝土输送罐车、混凝土输送泵车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A885EC6">
            <w:pPr>
              <w:pStyle w:val="183"/>
              <w:keepNext w:val="0"/>
              <w:keepLines w:val="0"/>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投标人必须满足招标人生产计划需求提供数量足够的机械设备。</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eastAsia="zh-CN"/>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lang w:eastAsia="zh-CN"/>
              </w:rPr>
              <w:t>结算手续且甲方收到乙方相应全额发票后，</w:t>
            </w:r>
            <w:r>
              <w:rPr>
                <w:rFonts w:hint="eastAsia" w:ascii="仿宋_GB2312" w:eastAsia="仿宋_GB2312" w:cs="宋体" w:hAnsiTheme="minorEastAsia"/>
                <w:sz w:val="21"/>
                <w:szCs w:val="21"/>
                <w:highlight w:val="none"/>
                <w:lang w:val="en-US" w:eastAsia="zh-CN"/>
              </w:rPr>
              <w:t>生产期间承租方可根据出租方需要支付部分租金，出租方应在付款前提供相应金额的增值税专用发票，发票税率为9%，次年6月前采用网银支付。出租方未向承租方提供合法有效发票的，承租方有权暂不付款且不构成违约。</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 xml:space="preserve">的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hAnsi="宋体" w:eastAsia="仿宋_GB2312" w:cs="宋体"/>
                <w:color w:val="000000" w:themeColor="text1"/>
                <w:sz w:val="21"/>
                <w:szCs w:val="21"/>
                <w:highlight w:val="none"/>
                <w:u w:val="single"/>
                <w:lang w:val="en-US" w:eastAsia="zh-CN"/>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8</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31</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31831"/>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ZJLQZP-FG-SBZL-新疆乌鲁木齐项目-009</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b w:val="0"/>
          <w:bCs w:val="0"/>
          <w:sz w:val="21"/>
          <w:szCs w:val="21"/>
          <w:highlight w:val="none"/>
          <w:u w:val="single"/>
          <w:lang w:val="en-US" w:eastAsia="zh-CN"/>
        </w:rPr>
        <w:t>混凝土输送罐车、混凝土输送泵车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C978B3">
        <w:tblPrEx>
          <w:tblCellMar>
            <w:top w:w="0" w:type="dxa"/>
            <w:left w:w="108" w:type="dxa"/>
            <w:bottom w:w="0" w:type="dxa"/>
            <w:right w:w="108" w:type="dxa"/>
          </w:tblCellMar>
        </w:tblPrEx>
        <w:trPr>
          <w:trHeight w:val="99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BA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69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混凝土输送罐车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B57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85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B69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207" w:type="dxa"/>
            <w:tcBorders>
              <w:top w:val="single" w:color="000000" w:sz="4" w:space="0"/>
              <w:left w:val="single" w:color="000000" w:sz="4" w:space="0"/>
              <w:right w:val="single" w:color="000000" w:sz="4" w:space="0"/>
            </w:tcBorders>
            <w:vAlign w:val="center"/>
          </w:tcPr>
          <w:p w14:paraId="5CB588B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2F9FF42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3月</w:t>
            </w:r>
          </w:p>
        </w:tc>
        <w:tc>
          <w:tcPr>
            <w:tcW w:w="1577" w:type="dxa"/>
            <w:tcBorders>
              <w:top w:val="single" w:color="000000" w:sz="4" w:space="0"/>
              <w:left w:val="single" w:color="000000" w:sz="4" w:space="0"/>
              <w:right w:val="single" w:color="000000" w:sz="4" w:space="0"/>
            </w:tcBorders>
            <w:shd w:val="clear" w:color="auto" w:fill="auto"/>
            <w:vAlign w:val="center"/>
          </w:tcPr>
          <w:p w14:paraId="0EE0256D">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5CC13A8C">
        <w:tblPrEx>
          <w:tblCellMar>
            <w:top w:w="0" w:type="dxa"/>
            <w:left w:w="108" w:type="dxa"/>
            <w:bottom w:w="0" w:type="dxa"/>
            <w:right w:w="108" w:type="dxa"/>
          </w:tblCellMar>
        </w:tblPrEx>
        <w:trPr>
          <w:trHeight w:val="99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8B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70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混凝土输送泵车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7F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53m-60m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1A1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A1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10000</w:t>
            </w:r>
          </w:p>
        </w:tc>
        <w:tc>
          <w:tcPr>
            <w:tcW w:w="1207" w:type="dxa"/>
            <w:tcBorders>
              <w:top w:val="single" w:color="000000" w:sz="4" w:space="0"/>
              <w:left w:val="single" w:color="000000" w:sz="4" w:space="0"/>
              <w:right w:val="single" w:color="000000" w:sz="4" w:space="0"/>
            </w:tcBorders>
            <w:vAlign w:val="center"/>
          </w:tcPr>
          <w:p w14:paraId="2410306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693D246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10000方</w:t>
            </w:r>
          </w:p>
        </w:tc>
        <w:tc>
          <w:tcPr>
            <w:tcW w:w="1577" w:type="dxa"/>
            <w:tcBorders>
              <w:top w:val="single" w:color="000000" w:sz="4" w:space="0"/>
              <w:left w:val="single" w:color="000000" w:sz="4" w:space="0"/>
              <w:right w:val="single" w:color="000000" w:sz="4" w:space="0"/>
            </w:tcBorders>
            <w:shd w:val="clear" w:color="auto" w:fill="auto"/>
            <w:vAlign w:val="center"/>
          </w:tcPr>
          <w:p w14:paraId="405993F9">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3</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66B098C5">
      <w:pPr>
        <w:spacing w:line="500" w:lineRule="exact"/>
        <w:ind w:firstLine="422" w:firstLineChars="200"/>
        <w:jc w:val="left"/>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225A08E9">
      <w:pPr>
        <w:spacing w:line="500" w:lineRule="exact"/>
        <w:ind w:firstLine="422" w:firstLineChars="200"/>
        <w:jc w:val="left"/>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中国建设银行股份有限公司南京建宁路支行 </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8053"/>
      <w:bookmarkStart w:id="24" w:name="_Toc214336661"/>
      <w:bookmarkStart w:id="25" w:name="_Toc214339495"/>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5335"/>
      <w:bookmarkStart w:id="30" w:name="_Toc214331811"/>
      <w:bookmarkStart w:id="31" w:name="_Toc10683"/>
      <w:bookmarkStart w:id="32" w:name="_Toc214336662"/>
      <w:bookmarkStart w:id="33" w:name="_Toc214339496"/>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6663"/>
      <w:bookmarkStart w:id="40" w:name="_Toc31618"/>
      <w:bookmarkStart w:id="41" w:name="_Toc214333208"/>
      <w:bookmarkStart w:id="42" w:name="_Toc214339497"/>
      <w:bookmarkStart w:id="43" w:name="_Toc214335336"/>
      <w:bookmarkStart w:id="44" w:name="_Toc214331812"/>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9498"/>
      <w:bookmarkStart w:id="47" w:name="_Toc214331813"/>
      <w:bookmarkStart w:id="48" w:name="_Toc214333209"/>
      <w:bookmarkStart w:id="49" w:name="_Toc214336664"/>
      <w:bookmarkStart w:id="50" w:name="_Toc214335337"/>
      <w:bookmarkStart w:id="51" w:name="_Toc4220"/>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30</w:t>
      </w:r>
      <w:bookmarkStart w:id="74" w:name="_GoBack"/>
      <w:bookmarkEnd w:id="74"/>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31</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3210"/>
      <w:bookmarkStart w:id="58" w:name="_Toc214331814"/>
      <w:bookmarkStart w:id="59" w:name="_Toc4715"/>
      <w:bookmarkStart w:id="60" w:name="_Toc214336665"/>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both"/>
        <w:outlineLvl w:val="2"/>
        <w:rPr>
          <w:rFonts w:hint="eastAsia" w:ascii="仿宋_GB2312" w:eastAsia="仿宋_GB2312" w:hAnsiTheme="majorEastAsia"/>
          <w:b/>
          <w:bCs/>
          <w:sz w:val="28"/>
          <w:szCs w:val="28"/>
          <w:highlight w:val="none"/>
        </w:rPr>
      </w:pPr>
    </w:p>
    <w:p w14:paraId="6AD9E01D">
      <w:pPr>
        <w:pStyle w:val="19"/>
        <w:rPr>
          <w:rFonts w:hint="eastAsia"/>
        </w:rPr>
      </w:pPr>
    </w:p>
    <w:p w14:paraId="5C1157CC">
      <w:pPr>
        <w:spacing w:line="400" w:lineRule="exact"/>
        <w:jc w:val="center"/>
        <w:outlineLvl w:val="2"/>
        <w:rPr>
          <w:rFonts w:hint="eastAsia" w:ascii="仿宋_GB2312" w:eastAsia="仿宋_GB2312" w:hAnsiTheme="majorEastAsia"/>
          <w:b/>
          <w:bCs/>
          <w:sz w:val="28"/>
          <w:szCs w:val="28"/>
          <w:highlight w:val="none"/>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混凝土输送罐车、混凝土输送泵车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u w:val="none"/>
          <w:lang w:val="en-US" w:eastAsia="zh-CN"/>
        </w:rPr>
        <w:t>项目经理部</w:t>
      </w:r>
      <w:r>
        <w:rPr>
          <w:rFonts w:hint="eastAsia"/>
          <w:b/>
          <w:kern w:val="2"/>
          <w:sz w:val="28"/>
          <w:szCs w:val="28"/>
          <w:highlight w:val="none"/>
          <w:u w:val="single"/>
          <w:lang w:val="en-US" w:eastAsia="zh-CN"/>
        </w:rPr>
        <w:t>混凝土输送罐车、混凝土输送泵车</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lang w:eastAsia="zh-CN"/>
        </w:rPr>
        <w:t>ZJLQZP-FG-SBZL-新疆乌鲁木齐项目-009</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91526"/>
      <w:bookmarkStart w:id="66" w:name="_Toc54280344"/>
      <w:bookmarkStart w:id="67" w:name="_Toc54281622"/>
      <w:bookmarkStart w:id="68" w:name="_Toc54278961"/>
      <w:bookmarkStart w:id="69" w:name="_Toc53949160"/>
      <w:bookmarkStart w:id="70" w:name="_Toc54280770"/>
      <w:bookmarkStart w:id="71" w:name="_Toc53948739"/>
      <w:bookmarkStart w:id="72" w:name="_Toc53949581"/>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41B22994">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6C7152B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3D13"/>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922DA0"/>
    <w:rsid w:val="0C651341"/>
    <w:rsid w:val="10E54C37"/>
    <w:rsid w:val="12EA61CA"/>
    <w:rsid w:val="15684064"/>
    <w:rsid w:val="17333F41"/>
    <w:rsid w:val="1797680A"/>
    <w:rsid w:val="18C44FE7"/>
    <w:rsid w:val="1A937147"/>
    <w:rsid w:val="1C0E6C38"/>
    <w:rsid w:val="1C5D7A0C"/>
    <w:rsid w:val="1C7F40AD"/>
    <w:rsid w:val="21091B1B"/>
    <w:rsid w:val="213F6B24"/>
    <w:rsid w:val="241C5D02"/>
    <w:rsid w:val="24577437"/>
    <w:rsid w:val="24683870"/>
    <w:rsid w:val="268F27B4"/>
    <w:rsid w:val="26CF75A9"/>
    <w:rsid w:val="276E1DD6"/>
    <w:rsid w:val="27B528BA"/>
    <w:rsid w:val="28A95D87"/>
    <w:rsid w:val="29C42E79"/>
    <w:rsid w:val="2ACC5E0C"/>
    <w:rsid w:val="2E6C1DB0"/>
    <w:rsid w:val="31E73EF5"/>
    <w:rsid w:val="35527BC9"/>
    <w:rsid w:val="3A530650"/>
    <w:rsid w:val="3A830D74"/>
    <w:rsid w:val="3C5A5B19"/>
    <w:rsid w:val="3CB17DD7"/>
    <w:rsid w:val="3CE33EDC"/>
    <w:rsid w:val="3D2911FF"/>
    <w:rsid w:val="3D3C16C8"/>
    <w:rsid w:val="3E4D24C4"/>
    <w:rsid w:val="3F780536"/>
    <w:rsid w:val="42FF0546"/>
    <w:rsid w:val="43BA5F5E"/>
    <w:rsid w:val="44A46546"/>
    <w:rsid w:val="46D223BC"/>
    <w:rsid w:val="4A102497"/>
    <w:rsid w:val="4C5D11DF"/>
    <w:rsid w:val="4CB6460F"/>
    <w:rsid w:val="4D3857A8"/>
    <w:rsid w:val="4E701498"/>
    <w:rsid w:val="51621906"/>
    <w:rsid w:val="51C2073A"/>
    <w:rsid w:val="520C01BB"/>
    <w:rsid w:val="53656549"/>
    <w:rsid w:val="55BC7E01"/>
    <w:rsid w:val="55FD30EB"/>
    <w:rsid w:val="56266C89"/>
    <w:rsid w:val="56986095"/>
    <w:rsid w:val="57DC3697"/>
    <w:rsid w:val="5B1A029B"/>
    <w:rsid w:val="5DF60BAA"/>
    <w:rsid w:val="618C498B"/>
    <w:rsid w:val="61C844D4"/>
    <w:rsid w:val="62445EFE"/>
    <w:rsid w:val="631F0B45"/>
    <w:rsid w:val="6407139D"/>
    <w:rsid w:val="6AFA480D"/>
    <w:rsid w:val="6B0C75DC"/>
    <w:rsid w:val="6CD014F7"/>
    <w:rsid w:val="707C52F7"/>
    <w:rsid w:val="71970B43"/>
    <w:rsid w:val="74C1351E"/>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9865</Words>
  <Characters>10774</Characters>
  <Lines>177</Lines>
  <Paragraphs>49</Paragraphs>
  <TotalTime>6</TotalTime>
  <ScaleCrop>false</ScaleCrop>
  <LinksUpToDate>false</LinksUpToDate>
  <CharactersWithSpaces>11655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2025-08-27T04:26:57Z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1DA4378AC80B4863B6D4888B3D5797B2</vt:lpwstr>
  </property>
  <property fmtid="{D5CDD505-2E9C-101B-9397-08002B2CF9AE}" pid="4" name="KSOTemplateDocerSaveRecord">
    <vt:lpwstr>eyJoZGlkIjoiZDJhOGVmNTdkNWJkY2FjNzYxZjM2MjY1NTRkNWVhMmEiLCJ1c2VySWQiOiI0ODQ0MzQ4OTkifQ==</vt:lpwstr>
  </property>
</Properties>
</file>