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46BA8">
      <w:pPr>
        <w:spacing w:line="360" w:lineRule="auto"/>
        <w:jc w:val="left"/>
        <w:rPr>
          <w:rFonts w:hint="eastAsia" w:eastAsia="仿宋_GB2312"/>
          <w:bCs/>
          <w:color w:val="000000"/>
          <w:sz w:val="28"/>
          <w:szCs w:val="28"/>
          <w:highlight w:val="none"/>
          <w:u w:val="single"/>
        </w:rPr>
      </w:pPr>
      <w:bookmarkStart w:id="0" w:name="_Hlk126831517"/>
      <w:permStart w:id="0" w:edGrp="everyone"/>
      <w:permEnd w:id="0"/>
      <w:r>
        <w:rPr>
          <w:rFonts w:hint="eastAsia" w:eastAsia="仿宋_GB2312"/>
          <w:bCs/>
          <w:color w:val="000000"/>
          <w:sz w:val="28"/>
          <w:szCs w:val="28"/>
          <w:highlight w:val="none"/>
        </w:rPr>
        <w:t>合同编号：</w:t>
      </w:r>
      <w:permStart w:id="1" w:edGrp="everyone"/>
      <w:r>
        <w:rPr>
          <w:rFonts w:hint="eastAsia" w:eastAsia="仿宋_GB2312"/>
          <w:bCs/>
          <w:color w:val="000000"/>
          <w:sz w:val="28"/>
          <w:szCs w:val="28"/>
          <w:highlight w:val="none"/>
          <w:u w:val="single"/>
        </w:rPr>
        <w:t xml:space="preserve">  </w:t>
      </w:r>
      <w:r>
        <w:rPr>
          <w:rFonts w:hint="eastAsia" w:ascii="宋体" w:hAnsi="宋体" w:eastAsia="宋体"/>
          <w:highlight w:val="none"/>
          <w:u w:val="single"/>
        </w:rPr>
        <w:t>ZJLQ-FG-昂仁县灾后重建</w:t>
      </w:r>
      <w:r>
        <w:rPr>
          <w:rFonts w:hint="eastAsia" w:ascii="宋体" w:hAnsi="宋体" w:eastAsia="宋体"/>
          <w:highlight w:val="none"/>
          <w:u w:val="single"/>
          <w:lang w:val="en-US" w:eastAsia="zh-CN"/>
        </w:rPr>
        <w:t>7</w:t>
      </w:r>
      <w:r>
        <w:rPr>
          <w:rFonts w:hint="eastAsia" w:ascii="宋体" w:hAnsi="宋体" w:eastAsia="宋体"/>
          <w:highlight w:val="none"/>
          <w:u w:val="single"/>
        </w:rPr>
        <w:t>标-006</w:t>
      </w:r>
      <w:r>
        <w:rPr>
          <w:rFonts w:hint="eastAsia" w:eastAsia="仿宋_GB2312"/>
          <w:bCs/>
          <w:color w:val="000000"/>
          <w:sz w:val="28"/>
          <w:szCs w:val="28"/>
          <w:highlight w:val="none"/>
          <w:u w:val="single"/>
        </w:rPr>
        <w:t xml:space="preserve">        </w:t>
      </w:r>
      <w:permEnd w:id="1"/>
    </w:p>
    <w:p w14:paraId="7028E310">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2" w:edGrp="everyone"/>
      <w:r>
        <w:rPr>
          <w:rFonts w:hint="eastAsia" w:eastAsia="仿宋_GB2312"/>
          <w:bCs/>
          <w:color w:val="000000"/>
          <w:sz w:val="28"/>
          <w:szCs w:val="28"/>
          <w:highlight w:val="none"/>
          <w:u w:val="single"/>
        </w:rPr>
        <w:t xml:space="preserve">                    </w:t>
      </w:r>
      <w:permEnd w:id="2"/>
    </w:p>
    <w:p w14:paraId="741C9448">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3360;mso-width-relative:page;mso-height-relative:page;" coordsize="21600,21600">
            <v:path/>
            <v:fill opacity="32768f" focussize="0,0"/>
            <v:stroke/>
            <v:imagedata o:title=""/>
            <o:lock v:ext="edit"/>
            <v:textpath on="t" fitshape="t" fitpath="t" trim="t" xscale="f" string="" style="font-size:36pt;v-text-align:center;"/>
          </v:shape>
        </w:pict>
      </w:r>
    </w:p>
    <w:p w14:paraId="573ED83B">
      <w:pPr>
        <w:pStyle w:val="4"/>
        <w:rPr>
          <w:rFonts w:hint="eastAsia"/>
          <w:highlight w:val="none"/>
        </w:rPr>
      </w:pPr>
    </w:p>
    <w:p w14:paraId="5FE9DEF8">
      <w:pPr>
        <w:pStyle w:val="4"/>
        <w:rPr>
          <w:rFonts w:hint="eastAsia"/>
          <w:highlight w:val="none"/>
        </w:rPr>
      </w:pPr>
    </w:p>
    <w:p w14:paraId="0032B077">
      <w:pPr>
        <w:pStyle w:val="4"/>
        <w:rPr>
          <w:rFonts w:hint="eastAsia"/>
          <w:highlight w:val="none"/>
        </w:rPr>
      </w:pPr>
    </w:p>
    <w:p w14:paraId="7918AD79">
      <w:pPr>
        <w:spacing w:line="360" w:lineRule="auto"/>
        <w:jc w:val="center"/>
        <w:rPr>
          <w:rFonts w:hint="eastAsia" w:ascii="华文中宋" w:hAnsi="华文中宋" w:eastAsia="华文中宋" w:cs="华文中宋"/>
          <w:b/>
          <w:sz w:val="52"/>
          <w:szCs w:val="52"/>
          <w:highlight w:val="none"/>
        </w:rPr>
      </w:pPr>
      <w:permStart w:id="3" w:edGrp="everyone"/>
      <w:r>
        <w:rPr>
          <w:rFonts w:hint="eastAsia" w:ascii="华文中宋" w:hAnsi="华文中宋" w:eastAsia="华文中宋" w:cs="华文中宋"/>
          <w:b/>
          <w:sz w:val="52"/>
          <w:szCs w:val="52"/>
          <w:highlight w:val="none"/>
        </w:rPr>
        <w:t>【</w:t>
      </w:r>
      <w:r>
        <w:rPr>
          <w:rFonts w:hint="eastAsia" w:ascii="华文中宋" w:hAnsi="华文中宋" w:eastAsia="华文中宋" w:cs="华文中宋"/>
          <w:b/>
          <w:sz w:val="52"/>
          <w:szCs w:val="52"/>
          <w:highlight w:val="none"/>
          <w:lang w:val="en-US" w:eastAsia="zh-CN"/>
        </w:rPr>
        <w:t>木方、板材</w:t>
      </w:r>
      <w:r>
        <w:rPr>
          <w:rFonts w:hint="eastAsia" w:ascii="华文中宋" w:hAnsi="华文中宋" w:eastAsia="华文中宋" w:cs="华文中宋"/>
          <w:b/>
          <w:sz w:val="52"/>
          <w:szCs w:val="52"/>
          <w:highlight w:val="none"/>
        </w:rPr>
        <w:t>】</w:t>
      </w:r>
      <w:permEnd w:id="3"/>
      <w:r>
        <w:rPr>
          <w:rFonts w:hint="eastAsia" w:ascii="华文中宋" w:hAnsi="华文中宋" w:eastAsia="华文中宋" w:cs="华文中宋"/>
          <w:b/>
          <w:sz w:val="52"/>
          <w:szCs w:val="52"/>
          <w:highlight w:val="none"/>
        </w:rPr>
        <w:t>采购与供应合同</w:t>
      </w:r>
    </w:p>
    <w:p w14:paraId="03D84E81">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2336"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4">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0A573421">
      <w:pPr>
        <w:spacing w:line="360" w:lineRule="auto"/>
        <w:jc w:val="center"/>
        <w:rPr>
          <w:rFonts w:hint="eastAsia" w:ascii="宋体" w:hAnsi="宋体" w:cs="宋体"/>
          <w:b/>
          <w:sz w:val="28"/>
          <w:szCs w:val="28"/>
          <w:highlight w:val="none"/>
        </w:rPr>
      </w:pPr>
    </w:p>
    <w:p w14:paraId="2F6CBB18">
      <w:pPr>
        <w:spacing w:line="360" w:lineRule="auto"/>
        <w:jc w:val="center"/>
        <w:rPr>
          <w:rFonts w:hint="eastAsia" w:ascii="宋体" w:hAnsi="宋体" w:cs="宋体"/>
          <w:b/>
          <w:sz w:val="28"/>
          <w:szCs w:val="28"/>
          <w:highlight w:val="none"/>
        </w:rPr>
      </w:pPr>
    </w:p>
    <w:p w14:paraId="5DB9B7DA">
      <w:pPr>
        <w:spacing w:line="360" w:lineRule="auto"/>
        <w:jc w:val="center"/>
        <w:rPr>
          <w:rFonts w:hint="eastAsia" w:ascii="宋体" w:hAnsi="宋体" w:cs="宋体"/>
          <w:b/>
          <w:sz w:val="28"/>
          <w:szCs w:val="28"/>
          <w:highlight w:val="none"/>
        </w:rPr>
      </w:pPr>
    </w:p>
    <w:p w14:paraId="6A9A5699">
      <w:pPr>
        <w:spacing w:line="360" w:lineRule="auto"/>
        <w:jc w:val="center"/>
        <w:rPr>
          <w:rFonts w:hint="eastAsia" w:ascii="宋体" w:hAnsi="宋体" w:cs="宋体"/>
          <w:b/>
          <w:sz w:val="28"/>
          <w:szCs w:val="28"/>
          <w:highlight w:val="none"/>
        </w:rPr>
      </w:pPr>
    </w:p>
    <w:p w14:paraId="7DDEE88A">
      <w:pPr>
        <w:spacing w:line="360" w:lineRule="auto"/>
        <w:rPr>
          <w:rFonts w:hint="eastAsia" w:ascii="宋体" w:hAnsi="宋体" w:cs="宋体"/>
          <w:b/>
          <w:sz w:val="28"/>
          <w:szCs w:val="28"/>
          <w:highlight w:val="none"/>
        </w:rPr>
      </w:pPr>
    </w:p>
    <w:p w14:paraId="2491A3A2">
      <w:pPr>
        <w:pStyle w:val="5"/>
        <w:spacing w:after="120"/>
        <w:ind w:firstLine="560"/>
        <w:rPr>
          <w:rFonts w:hint="eastAsia" w:ascii="宋体" w:hAnsi="宋体" w:cs="宋体"/>
          <w:b/>
          <w:sz w:val="28"/>
          <w:szCs w:val="28"/>
          <w:highlight w:val="none"/>
        </w:rPr>
      </w:pPr>
    </w:p>
    <w:p w14:paraId="3C3CC732">
      <w:pPr>
        <w:pStyle w:val="5"/>
        <w:spacing w:after="120"/>
        <w:ind w:firstLine="560"/>
        <w:rPr>
          <w:rFonts w:hint="eastAsia" w:ascii="宋体" w:hAnsi="宋体" w:cs="宋体"/>
          <w:b/>
          <w:sz w:val="28"/>
          <w:szCs w:val="28"/>
          <w:highlight w:val="none"/>
        </w:rPr>
      </w:pPr>
    </w:p>
    <w:p w14:paraId="46389760">
      <w:pPr>
        <w:spacing w:line="360" w:lineRule="auto"/>
        <w:rPr>
          <w:rFonts w:hint="eastAsia" w:ascii="仿宋_GB2312" w:hAnsi="仿宋_GB2312" w:eastAsia="仿宋_GB2312" w:cs="仿宋_GB2312"/>
          <w:b/>
          <w:bCs/>
          <w:sz w:val="28"/>
          <w:szCs w:val="28"/>
          <w:highlight w:val="none"/>
        </w:rPr>
      </w:pPr>
    </w:p>
    <w:p w14:paraId="370E18BC">
      <w:pPr>
        <w:spacing w:line="360" w:lineRule="auto"/>
        <w:ind w:firstLine="562" w:firstLineChars="200"/>
        <w:rPr>
          <w:rFonts w:hint="eastAsia" w:ascii="仿宋_GB2312" w:hAnsi="仿宋_GB2312" w:eastAsia="仿宋_GB2312" w:cs="仿宋_GB2312"/>
          <w:b/>
          <w:color w:val="000000"/>
          <w:sz w:val="28"/>
          <w:szCs w:val="28"/>
          <w:highlight w:val="none"/>
        </w:rPr>
      </w:pPr>
      <w:permStart w:id="4" w:edGrp="everyone"/>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【定日“6.8”级地震灾后恢复重建民房建设</w:t>
      </w:r>
    </w:p>
    <w:p w14:paraId="3CD1102E">
      <w:pPr>
        <w:spacing w:line="360" w:lineRule="auto"/>
        <w:ind w:firstLine="562" w:firstLineChars="20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color w:val="000000"/>
          <w:sz w:val="28"/>
          <w:szCs w:val="28"/>
          <w:highlight w:val="none"/>
        </w:rPr>
        <w:t>项目（昂仁县）PC总承包</w:t>
      </w:r>
      <w:r>
        <w:rPr>
          <w:rFonts w:hint="eastAsia" w:ascii="仿宋_GB2312" w:hAnsi="仿宋_GB2312" w:eastAsia="仿宋_GB2312" w:cs="仿宋_GB2312"/>
          <w:b/>
          <w:color w:val="000000"/>
          <w:sz w:val="28"/>
          <w:szCs w:val="28"/>
          <w:highlight w:val="none"/>
          <w:lang w:val="en-US" w:eastAsia="zh-CN"/>
        </w:rPr>
        <w:t>七</w:t>
      </w:r>
      <w:r>
        <w:rPr>
          <w:rFonts w:hint="eastAsia" w:ascii="仿宋_GB2312" w:hAnsi="仿宋_GB2312" w:eastAsia="仿宋_GB2312" w:cs="仿宋_GB2312"/>
          <w:b/>
          <w:color w:val="000000"/>
          <w:sz w:val="28"/>
          <w:szCs w:val="28"/>
          <w:highlight w:val="none"/>
        </w:rPr>
        <w:t>标段】</w:t>
      </w:r>
    </w:p>
    <w:p w14:paraId="3B453B7D">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highlight w:val="none"/>
        </w:rPr>
        <w:t xml:space="preserve">中建路桥集团有限公司 </w:t>
      </w:r>
      <w:r>
        <w:rPr>
          <w:rFonts w:hint="eastAsia" w:ascii="仿宋_GB2312" w:hAnsi="仿宋_GB2312" w:eastAsia="仿宋_GB2312" w:cs="仿宋_GB2312"/>
          <w:b/>
          <w:color w:val="000000"/>
          <w:sz w:val="28"/>
          <w:szCs w:val="28"/>
          <w:highlight w:val="none"/>
          <w:u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451AF158">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5CED8AF2">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06B47A95">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石家庄市桥西区   </w:t>
      </w:r>
      <w:r>
        <w:rPr>
          <w:rFonts w:hint="eastAsia" w:ascii="仿宋_GB2312" w:hAnsi="仿宋_GB2312" w:eastAsia="仿宋_GB2312" w:cs="仿宋_GB2312"/>
          <w:b/>
          <w:color w:val="000000"/>
          <w:sz w:val="28"/>
          <w:szCs w:val="28"/>
          <w:highlight w:val="none"/>
        </w:rPr>
        <w:t xml:space="preserve">   】</w:t>
      </w:r>
    </w:p>
    <w:bookmarkEnd w:id="0"/>
    <w:p w14:paraId="0D0CAA60">
      <w:pPr>
        <w:spacing w:line="480" w:lineRule="auto"/>
        <w:ind w:firstLine="1280" w:firstLineChars="400"/>
        <w:jc w:val="left"/>
        <w:textAlignment w:val="baseline"/>
        <w:rPr>
          <w:rFonts w:ascii="仿宋_GB2312" w:hAnsi="仿宋" w:eastAsia="仿宋_GB2312" w:cs="仿宋"/>
          <w:bCs/>
          <w:color w:val="000000" w:themeColor="text1"/>
          <w:sz w:val="32"/>
          <w:szCs w:val="24"/>
          <w:highlight w:val="none"/>
          <w:u w:val="singl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0" w:footer="975" w:gutter="0"/>
          <w:pgNumType w:start="1"/>
          <w:cols w:space="0" w:num="1"/>
          <w:titlePg/>
          <w:docGrid w:linePitch="312" w:charSpace="0"/>
        </w:sectPr>
      </w:pPr>
    </w:p>
    <w:permEnd w:id="4"/>
    <w:sdt>
      <w:sdtPr>
        <w:rPr>
          <w:rFonts w:asciiTheme="minorHAnsi" w:hAnsiTheme="minorHAnsi" w:eastAsiaTheme="minorEastAsia" w:cstheme="minorBidi"/>
          <w:szCs w:val="22"/>
          <w:highlight w:val="none"/>
        </w:rPr>
        <w:id w:val="147479450"/>
        <w15:color w:val="DBDBDB"/>
        <w:docPartObj>
          <w:docPartGallery w:val="Table of Contents"/>
          <w:docPartUnique/>
        </w:docPartObj>
      </w:sdtPr>
      <w:sdtEndPr>
        <w:rPr>
          <w:rFonts w:ascii="仿宋" w:hAnsi="仿宋" w:eastAsia="仿宋" w:cs="仿宋"/>
          <w:color w:val="000000" w:themeColor="text1"/>
          <w:szCs w:val="22"/>
          <w:highlight w:val="none"/>
          <w14:textFill>
            <w14:solidFill>
              <w14:schemeClr w14:val="tx1"/>
            </w14:solidFill>
          </w14:textFill>
        </w:rPr>
      </w:sdtEndPr>
      <w:sdtContent>
        <w:p w14:paraId="03F68A4F">
          <w:pPr>
            <w:pStyle w:val="5"/>
            <w:rPr>
              <w:highlight w:val="none"/>
            </w:rPr>
          </w:pPr>
        </w:p>
        <w:p w14:paraId="48D61705">
          <w:pPr>
            <w:jc w:val="center"/>
            <w:rPr>
              <w:rFonts w:ascii="黑体" w:hAnsi="黑体" w:eastAsia="黑体" w:cs="黑体"/>
              <w:b/>
              <w:bCs/>
              <w:color w:val="000000" w:themeColor="text1"/>
              <w:sz w:val="36"/>
              <w:szCs w:val="36"/>
              <w:highlight w:val="none"/>
              <w14:textFill>
                <w14:solidFill>
                  <w14:schemeClr w14:val="tx1"/>
                </w14:solidFill>
              </w14:textFill>
            </w:rPr>
          </w:pPr>
          <w:permStart w:id="5" w:edGrp="everyone"/>
          <w:r>
            <w:rPr>
              <w:rFonts w:hint="eastAsia" w:ascii="黑体" w:hAnsi="黑体" w:eastAsia="黑体" w:cs="黑体"/>
              <w:b/>
              <w:bCs/>
              <w:color w:val="000000" w:themeColor="text1"/>
              <w:sz w:val="36"/>
              <w:szCs w:val="36"/>
              <w:highlight w:val="none"/>
              <w14:textFill>
                <w14:solidFill>
                  <w14:schemeClr w14:val="tx1"/>
                </w14:solidFill>
              </w14:textFill>
            </w:rPr>
            <w:t>目</w:t>
          </w:r>
          <w:r>
            <w:rPr>
              <w:rFonts w:ascii="黑体" w:hAnsi="黑体" w:eastAsia="黑体" w:cs="黑体"/>
              <w:b/>
              <w:bCs/>
              <w:color w:val="000000" w:themeColor="text1"/>
              <w:sz w:val="36"/>
              <w:szCs w:val="36"/>
              <w:highlight w:val="none"/>
              <w14:textFill>
                <w14:solidFill>
                  <w14:schemeClr w14:val="tx1"/>
                </w14:solidFill>
              </w14:textFill>
            </w:rPr>
            <w:t xml:space="preserve">  </w:t>
          </w:r>
          <w:r>
            <w:rPr>
              <w:rFonts w:hint="eastAsia" w:ascii="黑体" w:hAnsi="黑体" w:eastAsia="黑体" w:cs="黑体"/>
              <w:b/>
              <w:bCs/>
              <w:color w:val="000000" w:themeColor="text1"/>
              <w:sz w:val="36"/>
              <w:szCs w:val="36"/>
              <w:highlight w:val="none"/>
              <w14:textFill>
                <w14:solidFill>
                  <w14:schemeClr w14:val="tx1"/>
                </w14:solidFill>
              </w14:textFill>
            </w:rPr>
            <w:t>录</w:t>
          </w:r>
        </w:p>
        <w:p w14:paraId="7052BA17">
          <w:pPr>
            <w:pStyle w:val="5"/>
            <w:rPr>
              <w:highlight w:val="none"/>
            </w:rPr>
          </w:pPr>
        </w:p>
        <w:p w14:paraId="28E2A186">
          <w:pPr>
            <w:pStyle w:val="9"/>
            <w:tabs>
              <w:tab w:val="right" w:leader="dot" w:pos="8306"/>
            </w:tabs>
            <w:spacing w:line="312" w:lineRule="auto"/>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TOC \o "1-1" \h \u </w:instrText>
          </w:r>
          <w:r>
            <w:rPr>
              <w:rFonts w:hint="eastAsia" w:ascii="仿宋" w:hAnsi="仿宋" w:eastAsia="仿宋" w:cs="仿宋"/>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"_Toc5953"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_Toc5953 \h </w:instrText>
          </w:r>
          <w:r>
            <w:rPr>
              <w:highlight w:val="none"/>
            </w:rPr>
            <w:fldChar w:fldCharType="separate"/>
          </w:r>
          <w:r>
            <w:rPr>
              <w:highlight w:val="none"/>
            </w:rPr>
            <w:t>1</w:t>
          </w:r>
          <w:r>
            <w:rPr>
              <w:highlight w:val="none"/>
            </w:rPr>
            <w:fldChar w:fldCharType="end"/>
          </w:r>
          <w:r>
            <w:rPr>
              <w:highlight w:val="none"/>
            </w:rPr>
            <w:fldChar w:fldCharType="end"/>
          </w:r>
        </w:p>
        <w:p w14:paraId="56AFCCED">
          <w:pPr>
            <w:pStyle w:val="9"/>
            <w:tabs>
              <w:tab w:val="right" w:leader="dot" w:pos="8306"/>
            </w:tabs>
            <w:spacing w:line="312" w:lineRule="auto"/>
            <w:rPr>
              <w:highlight w:val="none"/>
            </w:rPr>
          </w:pPr>
          <w:r>
            <w:rPr>
              <w:highlight w:val="none"/>
            </w:rPr>
            <w:fldChar w:fldCharType="begin"/>
          </w:r>
          <w:r>
            <w:rPr>
              <w:highlight w:val="none"/>
            </w:rPr>
            <w:instrText xml:space="preserve"> HYPERLINK \l "_Toc640"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_Toc640 \h </w:instrText>
          </w:r>
          <w:r>
            <w:rPr>
              <w:highlight w:val="none"/>
            </w:rPr>
            <w:fldChar w:fldCharType="separate"/>
          </w:r>
          <w:r>
            <w:rPr>
              <w:highlight w:val="none"/>
            </w:rPr>
            <w:t>1</w:t>
          </w:r>
          <w:r>
            <w:rPr>
              <w:highlight w:val="none"/>
            </w:rPr>
            <w:fldChar w:fldCharType="end"/>
          </w:r>
          <w:r>
            <w:rPr>
              <w:highlight w:val="none"/>
            </w:rPr>
            <w:fldChar w:fldCharType="end"/>
          </w:r>
        </w:p>
        <w:p w14:paraId="20F260C1">
          <w:pPr>
            <w:pStyle w:val="9"/>
            <w:tabs>
              <w:tab w:val="right" w:leader="dot" w:pos="8306"/>
            </w:tabs>
            <w:spacing w:line="312" w:lineRule="auto"/>
            <w:rPr>
              <w:highlight w:val="none"/>
            </w:rPr>
          </w:pPr>
          <w:r>
            <w:rPr>
              <w:highlight w:val="none"/>
            </w:rPr>
            <w:fldChar w:fldCharType="begin"/>
          </w:r>
          <w:r>
            <w:rPr>
              <w:highlight w:val="none"/>
            </w:rPr>
            <w:instrText xml:space="preserve"> HYPERLINK \l "_Toc6010"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highlight w:val="none"/>
            </w:rPr>
            <w:fldChar w:fldCharType="begin"/>
          </w:r>
          <w:r>
            <w:rPr>
              <w:highlight w:val="none"/>
            </w:rPr>
            <w:instrText xml:space="preserve"> PAGEREF _Toc6010 \h </w:instrText>
          </w:r>
          <w:r>
            <w:rPr>
              <w:highlight w:val="none"/>
            </w:rPr>
            <w:fldChar w:fldCharType="separate"/>
          </w:r>
          <w:r>
            <w:rPr>
              <w:highlight w:val="none"/>
            </w:rPr>
            <w:t>1</w:t>
          </w:r>
          <w:r>
            <w:rPr>
              <w:highlight w:val="none"/>
            </w:rPr>
            <w:fldChar w:fldCharType="end"/>
          </w:r>
          <w:r>
            <w:rPr>
              <w:highlight w:val="none"/>
            </w:rPr>
            <w:fldChar w:fldCharType="end"/>
          </w:r>
        </w:p>
        <w:p w14:paraId="7FD2BD9B">
          <w:pPr>
            <w:pStyle w:val="9"/>
            <w:tabs>
              <w:tab w:val="right" w:leader="dot" w:pos="8306"/>
            </w:tabs>
            <w:spacing w:line="312" w:lineRule="auto"/>
            <w:rPr>
              <w:highlight w:val="none"/>
            </w:rPr>
          </w:pPr>
          <w:r>
            <w:rPr>
              <w:highlight w:val="none"/>
            </w:rPr>
            <w:fldChar w:fldCharType="begin"/>
          </w:r>
          <w:r>
            <w:rPr>
              <w:highlight w:val="none"/>
            </w:rPr>
            <w:instrText xml:space="preserve"> HYPERLINK \l "_Toc23444"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2</w:t>
          </w:r>
          <w:r>
            <w:rPr>
              <w:highlight w:val="none"/>
            </w:rPr>
            <w:fldChar w:fldCharType="end"/>
          </w:r>
          <w:r>
            <w:rPr>
              <w:highlight w:val="none"/>
            </w:rPr>
            <w:fldChar w:fldCharType="end"/>
          </w:r>
        </w:p>
        <w:p w14:paraId="658A5717">
          <w:pPr>
            <w:pStyle w:val="9"/>
            <w:tabs>
              <w:tab w:val="right" w:leader="dot" w:pos="8306"/>
            </w:tabs>
            <w:spacing w:line="312" w:lineRule="auto"/>
            <w:rPr>
              <w:highlight w:val="none"/>
            </w:rPr>
          </w:pPr>
          <w:r>
            <w:rPr>
              <w:highlight w:val="none"/>
            </w:rPr>
            <w:fldChar w:fldCharType="begin"/>
          </w:r>
          <w:r>
            <w:rPr>
              <w:highlight w:val="none"/>
            </w:rPr>
            <w:instrText xml:space="preserve"> HYPERLINK \l "_Toc12447"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_Toc12447 \h </w:instrText>
          </w:r>
          <w:r>
            <w:rPr>
              <w:highlight w:val="none"/>
            </w:rPr>
            <w:fldChar w:fldCharType="separate"/>
          </w:r>
          <w:r>
            <w:rPr>
              <w:highlight w:val="none"/>
            </w:rPr>
            <w:t>4</w:t>
          </w:r>
          <w:r>
            <w:rPr>
              <w:highlight w:val="none"/>
            </w:rPr>
            <w:fldChar w:fldCharType="end"/>
          </w:r>
          <w:r>
            <w:rPr>
              <w:highlight w:val="none"/>
            </w:rPr>
            <w:fldChar w:fldCharType="end"/>
          </w:r>
        </w:p>
        <w:p w14:paraId="1563E5A1">
          <w:pPr>
            <w:pStyle w:val="9"/>
            <w:tabs>
              <w:tab w:val="right" w:leader="dot" w:pos="8306"/>
            </w:tabs>
            <w:spacing w:line="312" w:lineRule="auto"/>
            <w:rPr>
              <w:highlight w:val="none"/>
            </w:rPr>
          </w:pPr>
          <w:r>
            <w:rPr>
              <w:highlight w:val="none"/>
            </w:rPr>
            <w:fldChar w:fldCharType="begin"/>
          </w:r>
          <w:r>
            <w:rPr>
              <w:highlight w:val="none"/>
            </w:rPr>
            <w:instrText xml:space="preserve"> HYPERLINK \l "_Toc3621"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_Toc3621 \h </w:instrText>
          </w:r>
          <w:r>
            <w:rPr>
              <w:highlight w:val="none"/>
            </w:rPr>
            <w:fldChar w:fldCharType="separate"/>
          </w:r>
          <w:r>
            <w:rPr>
              <w:highlight w:val="none"/>
            </w:rPr>
            <w:t>5</w:t>
          </w:r>
          <w:r>
            <w:rPr>
              <w:highlight w:val="none"/>
            </w:rPr>
            <w:fldChar w:fldCharType="end"/>
          </w:r>
          <w:r>
            <w:rPr>
              <w:highlight w:val="none"/>
            </w:rPr>
            <w:fldChar w:fldCharType="end"/>
          </w:r>
        </w:p>
        <w:p w14:paraId="3ABE9CB6">
          <w:pPr>
            <w:pStyle w:val="9"/>
            <w:tabs>
              <w:tab w:val="right" w:leader="dot" w:pos="8306"/>
            </w:tabs>
            <w:spacing w:line="312" w:lineRule="auto"/>
            <w:rPr>
              <w:highlight w:val="none"/>
            </w:rPr>
          </w:pPr>
          <w:r>
            <w:rPr>
              <w:highlight w:val="none"/>
            </w:rPr>
            <w:fldChar w:fldCharType="begin"/>
          </w:r>
          <w:r>
            <w:rPr>
              <w:highlight w:val="none"/>
            </w:rPr>
            <w:instrText xml:space="preserve"> HYPERLINK \l "_Toc23953"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_Toc23953 \h </w:instrText>
          </w:r>
          <w:r>
            <w:rPr>
              <w:highlight w:val="none"/>
            </w:rPr>
            <w:fldChar w:fldCharType="separate"/>
          </w:r>
          <w:r>
            <w:rPr>
              <w:highlight w:val="none"/>
            </w:rPr>
            <w:t>7</w:t>
          </w:r>
          <w:r>
            <w:rPr>
              <w:highlight w:val="none"/>
            </w:rPr>
            <w:fldChar w:fldCharType="end"/>
          </w:r>
          <w:r>
            <w:rPr>
              <w:highlight w:val="none"/>
            </w:rPr>
            <w:fldChar w:fldCharType="end"/>
          </w:r>
        </w:p>
        <w:p w14:paraId="3A871502">
          <w:pPr>
            <w:pStyle w:val="9"/>
            <w:tabs>
              <w:tab w:val="right" w:leader="dot" w:pos="8306"/>
            </w:tabs>
            <w:spacing w:line="312" w:lineRule="auto"/>
            <w:rPr>
              <w:highlight w:val="none"/>
            </w:rPr>
          </w:pPr>
          <w:r>
            <w:rPr>
              <w:highlight w:val="none"/>
            </w:rPr>
            <w:fldChar w:fldCharType="begin"/>
          </w:r>
          <w:r>
            <w:rPr>
              <w:highlight w:val="none"/>
            </w:rPr>
            <w:instrText xml:space="preserve"> HYPERLINK \l "_Toc32138"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_Toc32138 \h </w:instrText>
          </w:r>
          <w:r>
            <w:rPr>
              <w:highlight w:val="none"/>
            </w:rPr>
            <w:fldChar w:fldCharType="separate"/>
          </w:r>
          <w:r>
            <w:rPr>
              <w:highlight w:val="none"/>
            </w:rPr>
            <w:t>8</w:t>
          </w:r>
          <w:r>
            <w:rPr>
              <w:highlight w:val="none"/>
            </w:rPr>
            <w:fldChar w:fldCharType="end"/>
          </w:r>
          <w:r>
            <w:rPr>
              <w:highlight w:val="none"/>
            </w:rPr>
            <w:fldChar w:fldCharType="end"/>
          </w:r>
        </w:p>
        <w:p w14:paraId="7ED59223">
          <w:pPr>
            <w:pStyle w:val="9"/>
            <w:tabs>
              <w:tab w:val="right" w:leader="dot" w:pos="8306"/>
            </w:tabs>
            <w:spacing w:line="312" w:lineRule="auto"/>
            <w:rPr>
              <w:highlight w:val="none"/>
            </w:rPr>
          </w:pPr>
          <w:r>
            <w:rPr>
              <w:highlight w:val="none"/>
            </w:rPr>
            <w:fldChar w:fldCharType="begin"/>
          </w:r>
          <w:r>
            <w:rPr>
              <w:highlight w:val="none"/>
            </w:rPr>
            <w:instrText xml:space="preserve"> HYPERLINK \l "_Toc24664"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_Toc24664 \h </w:instrText>
          </w:r>
          <w:r>
            <w:rPr>
              <w:highlight w:val="none"/>
            </w:rPr>
            <w:fldChar w:fldCharType="separate"/>
          </w:r>
          <w:r>
            <w:rPr>
              <w:highlight w:val="none"/>
            </w:rPr>
            <w:t>10</w:t>
          </w:r>
          <w:r>
            <w:rPr>
              <w:highlight w:val="none"/>
            </w:rPr>
            <w:fldChar w:fldCharType="end"/>
          </w:r>
          <w:r>
            <w:rPr>
              <w:highlight w:val="none"/>
            </w:rPr>
            <w:fldChar w:fldCharType="end"/>
          </w:r>
        </w:p>
        <w:p w14:paraId="381B1BF0">
          <w:pPr>
            <w:pStyle w:val="9"/>
            <w:tabs>
              <w:tab w:val="right" w:leader="dot" w:pos="8306"/>
            </w:tabs>
            <w:spacing w:line="312" w:lineRule="auto"/>
            <w:rPr>
              <w:highlight w:val="none"/>
            </w:rPr>
          </w:pPr>
          <w:r>
            <w:rPr>
              <w:highlight w:val="none"/>
            </w:rPr>
            <w:fldChar w:fldCharType="begin"/>
          </w:r>
          <w:r>
            <w:rPr>
              <w:highlight w:val="none"/>
            </w:rPr>
            <w:instrText xml:space="preserve"> HYPERLINK \l "_Toc26478" </w:instrText>
          </w:r>
          <w:r>
            <w:rPr>
              <w:highlight w:val="none"/>
            </w:rPr>
            <w:fldChar w:fldCharType="separate"/>
          </w:r>
          <w:r>
            <w:rPr>
              <w:rFonts w:hint="eastAsia" w:ascii="仿宋_GB2312" w:hAnsi="仿宋_GB2312" w:eastAsia="仿宋_GB2312" w:cs="仿宋_GB2312"/>
              <w:kern w:val="0"/>
              <w:sz w:val="28"/>
              <w:szCs w:val="28"/>
              <w:highlight w:val="none"/>
            </w:rPr>
            <w:t>九、合同生效</w:t>
          </w:r>
          <w:r>
            <w:rPr>
              <w:highlight w:val="none"/>
            </w:rPr>
            <w:tab/>
          </w:r>
          <w:r>
            <w:rPr>
              <w:highlight w:val="none"/>
            </w:rPr>
            <w:fldChar w:fldCharType="begin"/>
          </w:r>
          <w:r>
            <w:rPr>
              <w:highlight w:val="none"/>
            </w:rPr>
            <w:instrText xml:space="preserve"> PAGEREF _Toc26478 \h </w:instrText>
          </w:r>
          <w:r>
            <w:rPr>
              <w:highlight w:val="none"/>
            </w:rPr>
            <w:fldChar w:fldCharType="separate"/>
          </w:r>
          <w:r>
            <w:rPr>
              <w:highlight w:val="none"/>
            </w:rPr>
            <w:t>11</w:t>
          </w:r>
          <w:r>
            <w:rPr>
              <w:highlight w:val="none"/>
            </w:rPr>
            <w:fldChar w:fldCharType="end"/>
          </w:r>
          <w:r>
            <w:rPr>
              <w:highlight w:val="none"/>
            </w:rPr>
            <w:fldChar w:fldCharType="end"/>
          </w:r>
        </w:p>
        <w:p w14:paraId="1894A767">
          <w:pPr>
            <w:pStyle w:val="9"/>
            <w:tabs>
              <w:tab w:val="right" w:leader="dot" w:pos="8306"/>
            </w:tabs>
            <w:spacing w:line="312" w:lineRule="auto"/>
            <w:rPr>
              <w:highlight w:val="none"/>
            </w:rPr>
          </w:pPr>
          <w:r>
            <w:rPr>
              <w:highlight w:val="none"/>
            </w:rPr>
            <w:fldChar w:fldCharType="begin"/>
          </w:r>
          <w:r>
            <w:rPr>
              <w:highlight w:val="none"/>
            </w:rPr>
            <w:instrText xml:space="preserve"> HYPERLINK \l "_Toc7321" </w:instrText>
          </w:r>
          <w:r>
            <w:rPr>
              <w:highlight w:val="none"/>
            </w:rPr>
            <w:fldChar w:fldCharType="separate"/>
          </w:r>
          <w:r>
            <w:rPr>
              <w:rFonts w:hint="eastAsia" w:ascii="仿宋_GB2312" w:hAnsi="仿宋_GB2312" w:eastAsia="仿宋_GB2312" w:cs="仿宋_GB2312"/>
              <w:kern w:val="0"/>
              <w:sz w:val="28"/>
              <w:szCs w:val="28"/>
              <w:highlight w:val="none"/>
            </w:rPr>
            <w:t>附件一 授权委托书</w:t>
          </w:r>
          <w:r>
            <w:rPr>
              <w:highlight w:val="none"/>
            </w:rPr>
            <w:tab/>
          </w:r>
          <w:r>
            <w:rPr>
              <w:highlight w:val="none"/>
            </w:rPr>
            <w:fldChar w:fldCharType="begin"/>
          </w:r>
          <w:r>
            <w:rPr>
              <w:highlight w:val="none"/>
            </w:rPr>
            <w:instrText xml:space="preserve"> PAGEREF _Toc7321 \h </w:instrText>
          </w:r>
          <w:r>
            <w:rPr>
              <w:highlight w:val="none"/>
            </w:rPr>
            <w:fldChar w:fldCharType="separate"/>
          </w:r>
          <w:r>
            <w:rPr>
              <w:highlight w:val="none"/>
            </w:rPr>
            <w:t>13</w:t>
          </w:r>
          <w:r>
            <w:rPr>
              <w:highlight w:val="none"/>
            </w:rPr>
            <w:fldChar w:fldCharType="end"/>
          </w:r>
          <w:r>
            <w:rPr>
              <w:highlight w:val="none"/>
            </w:rPr>
            <w:fldChar w:fldCharType="end"/>
          </w:r>
        </w:p>
        <w:p w14:paraId="40785E24">
          <w:pPr>
            <w:pStyle w:val="9"/>
            <w:tabs>
              <w:tab w:val="right" w:leader="dot" w:pos="8306"/>
            </w:tabs>
            <w:spacing w:line="312" w:lineRule="auto"/>
            <w:rPr>
              <w:highlight w:val="none"/>
            </w:rPr>
          </w:pPr>
          <w:r>
            <w:rPr>
              <w:highlight w:val="none"/>
            </w:rPr>
            <w:fldChar w:fldCharType="begin"/>
          </w:r>
          <w:r>
            <w:rPr>
              <w:highlight w:val="none"/>
            </w:rPr>
            <w:instrText xml:space="preserve"> HYPERLINK \l "_Toc21254" </w:instrText>
          </w:r>
          <w:r>
            <w:rPr>
              <w:highlight w:val="none"/>
            </w:rPr>
            <w:fldChar w:fldCharType="separate"/>
          </w:r>
          <w:r>
            <w:rPr>
              <w:rFonts w:hint="eastAsia" w:ascii="仿宋_GB2312" w:hAnsi="仿宋_GB2312" w:eastAsia="仿宋_GB2312" w:cs="仿宋_GB2312"/>
              <w:kern w:val="0"/>
              <w:sz w:val="28"/>
              <w:szCs w:val="28"/>
              <w:highlight w:val="none"/>
            </w:rPr>
            <w:t>附件二 项目部合规权限告知书</w:t>
          </w:r>
          <w:r>
            <w:rPr>
              <w:highlight w:val="none"/>
            </w:rPr>
            <w:tab/>
          </w:r>
          <w:r>
            <w:rPr>
              <w:highlight w:val="none"/>
            </w:rPr>
            <w:fldChar w:fldCharType="begin"/>
          </w:r>
          <w:r>
            <w:rPr>
              <w:highlight w:val="none"/>
            </w:rPr>
            <w:instrText xml:space="preserve"> PAGEREF _Toc21254 \h </w:instrText>
          </w:r>
          <w:r>
            <w:rPr>
              <w:highlight w:val="none"/>
            </w:rPr>
            <w:fldChar w:fldCharType="separate"/>
          </w:r>
          <w:r>
            <w:rPr>
              <w:highlight w:val="none"/>
            </w:rPr>
            <w:t>14</w:t>
          </w:r>
          <w:r>
            <w:rPr>
              <w:highlight w:val="none"/>
            </w:rPr>
            <w:fldChar w:fldCharType="end"/>
          </w:r>
          <w:r>
            <w:rPr>
              <w:highlight w:val="none"/>
            </w:rPr>
            <w:fldChar w:fldCharType="end"/>
          </w:r>
        </w:p>
        <w:p w14:paraId="534609AB">
          <w:pPr>
            <w:pStyle w:val="9"/>
            <w:tabs>
              <w:tab w:val="right" w:leader="dot" w:pos="8306"/>
            </w:tabs>
            <w:spacing w:line="312" w:lineRule="auto"/>
            <w:rPr>
              <w:highlight w:val="none"/>
            </w:rPr>
          </w:pPr>
          <w:r>
            <w:rPr>
              <w:highlight w:val="none"/>
            </w:rPr>
            <w:fldChar w:fldCharType="begin"/>
          </w:r>
          <w:r>
            <w:rPr>
              <w:highlight w:val="none"/>
            </w:rPr>
            <w:instrText xml:space="preserve"> HYPERLINK \l "_Toc20069" </w:instrText>
          </w:r>
          <w:r>
            <w:rPr>
              <w:highlight w:val="none"/>
            </w:rPr>
            <w:fldChar w:fldCharType="separate"/>
          </w:r>
          <w:r>
            <w:rPr>
              <w:rFonts w:hint="eastAsia" w:ascii="仿宋_GB2312" w:hAnsi="仿宋_GB2312" w:eastAsia="仿宋_GB2312" w:cs="仿宋_GB2312"/>
              <w:kern w:val="0"/>
              <w:sz w:val="28"/>
              <w:szCs w:val="28"/>
              <w:highlight w:val="none"/>
            </w:rPr>
            <w:t>附件三 安全管理协议书</w:t>
          </w:r>
          <w:r>
            <w:rPr>
              <w:highlight w:val="none"/>
            </w:rPr>
            <w:tab/>
          </w:r>
          <w:r>
            <w:rPr>
              <w:highlight w:val="none"/>
            </w:rPr>
            <w:fldChar w:fldCharType="begin"/>
          </w:r>
          <w:r>
            <w:rPr>
              <w:highlight w:val="none"/>
            </w:rPr>
            <w:instrText xml:space="preserve"> PAGEREF _Toc20069 \h </w:instrText>
          </w:r>
          <w:r>
            <w:rPr>
              <w:highlight w:val="none"/>
            </w:rPr>
            <w:fldChar w:fldCharType="separate"/>
          </w:r>
          <w:r>
            <w:rPr>
              <w:highlight w:val="none"/>
            </w:rPr>
            <w:t>19</w:t>
          </w:r>
          <w:r>
            <w:rPr>
              <w:highlight w:val="none"/>
            </w:rPr>
            <w:fldChar w:fldCharType="end"/>
          </w:r>
          <w:r>
            <w:rPr>
              <w:highlight w:val="none"/>
            </w:rPr>
            <w:fldChar w:fldCharType="end"/>
          </w:r>
        </w:p>
        <w:p w14:paraId="32CD1E93">
          <w:pPr>
            <w:pStyle w:val="9"/>
            <w:tabs>
              <w:tab w:val="right" w:leader="dot" w:pos="8306"/>
            </w:tabs>
            <w:spacing w:line="312" w:lineRule="auto"/>
            <w:rPr>
              <w:highlight w:val="none"/>
            </w:rPr>
          </w:pPr>
          <w:r>
            <w:rPr>
              <w:highlight w:val="none"/>
            </w:rPr>
            <w:fldChar w:fldCharType="begin"/>
          </w:r>
          <w:r>
            <w:rPr>
              <w:highlight w:val="none"/>
            </w:rPr>
            <w:instrText xml:space="preserve"> HYPERLINK \l "_Toc24322" </w:instrText>
          </w:r>
          <w:r>
            <w:rPr>
              <w:highlight w:val="none"/>
            </w:rPr>
            <w:fldChar w:fldCharType="separate"/>
          </w:r>
          <w:r>
            <w:rPr>
              <w:rFonts w:hint="eastAsia" w:ascii="仿宋_GB2312" w:hAnsi="仿宋_GB2312" w:eastAsia="仿宋_GB2312" w:cs="仿宋_GB2312"/>
              <w:kern w:val="0"/>
              <w:sz w:val="28"/>
              <w:szCs w:val="28"/>
              <w:highlight w:val="none"/>
            </w:rPr>
            <w:t xml:space="preserve">附件四 </w:t>
          </w:r>
          <w:r>
            <w:rPr>
              <w:rFonts w:hint="eastAsia" w:ascii="仿宋_GB2312" w:hAnsi="仿宋_GB2312" w:eastAsia="仿宋_GB2312" w:cs="仿宋_GB2312"/>
              <w:sz w:val="28"/>
              <w:szCs w:val="28"/>
              <w:highlight w:val="none"/>
            </w:rPr>
            <w:t>廉洁从业共建协议</w:t>
          </w:r>
          <w:r>
            <w:rPr>
              <w:highlight w:val="none"/>
            </w:rPr>
            <w:tab/>
          </w:r>
          <w:r>
            <w:rPr>
              <w:highlight w:val="none"/>
            </w:rPr>
            <w:fldChar w:fldCharType="begin"/>
          </w:r>
          <w:r>
            <w:rPr>
              <w:highlight w:val="none"/>
            </w:rPr>
            <w:instrText xml:space="preserve"> PAGEREF _Toc24322 \h </w:instrText>
          </w:r>
          <w:r>
            <w:rPr>
              <w:highlight w:val="none"/>
            </w:rPr>
            <w:fldChar w:fldCharType="separate"/>
          </w:r>
          <w:r>
            <w:rPr>
              <w:highlight w:val="none"/>
            </w:rPr>
            <w:t>23</w:t>
          </w:r>
          <w:r>
            <w:rPr>
              <w:highlight w:val="none"/>
            </w:rPr>
            <w:fldChar w:fldCharType="end"/>
          </w:r>
          <w:r>
            <w:rPr>
              <w:highlight w:val="none"/>
            </w:rPr>
            <w:fldChar w:fldCharType="end"/>
          </w:r>
        </w:p>
        <w:p w14:paraId="78BA12A7">
          <w:pPr>
            <w:pStyle w:val="9"/>
            <w:tabs>
              <w:tab w:val="right" w:leader="dot" w:pos="8306"/>
            </w:tabs>
            <w:spacing w:line="312" w:lineRule="auto"/>
            <w:rPr>
              <w:highlight w:val="none"/>
            </w:rPr>
          </w:pPr>
          <w:r>
            <w:rPr>
              <w:highlight w:val="none"/>
            </w:rPr>
            <w:fldChar w:fldCharType="begin"/>
          </w:r>
          <w:r>
            <w:rPr>
              <w:highlight w:val="none"/>
            </w:rPr>
            <w:instrText xml:space="preserve"> HYPERLINK \l "_Toc18674"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_Toc18674 \h </w:instrText>
          </w:r>
          <w:r>
            <w:rPr>
              <w:highlight w:val="none"/>
            </w:rPr>
            <w:fldChar w:fldCharType="separate"/>
          </w:r>
          <w:r>
            <w:rPr>
              <w:highlight w:val="none"/>
            </w:rPr>
            <w:t>26</w:t>
          </w:r>
          <w:r>
            <w:rPr>
              <w:highlight w:val="none"/>
            </w:rPr>
            <w:fldChar w:fldCharType="end"/>
          </w:r>
          <w:r>
            <w:rPr>
              <w:highlight w:val="none"/>
            </w:rPr>
            <w:fldChar w:fldCharType="end"/>
          </w:r>
        </w:p>
        <w:p w14:paraId="561753E6">
          <w:pPr>
            <w:pStyle w:val="9"/>
            <w:tabs>
              <w:tab w:val="right" w:leader="dot" w:pos="8306"/>
            </w:tabs>
            <w:spacing w:line="312" w:lineRule="auto"/>
            <w:rPr>
              <w:highlight w:val="none"/>
            </w:rPr>
          </w:pPr>
          <w:r>
            <w:rPr>
              <w:highlight w:val="none"/>
            </w:rPr>
            <w:fldChar w:fldCharType="begin"/>
          </w:r>
          <w:r>
            <w:rPr>
              <w:highlight w:val="none"/>
            </w:rPr>
            <w:instrText xml:space="preserve"> HYPERLINK \l "_Toc3066"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26</w:t>
          </w:r>
          <w:r>
            <w:rPr>
              <w:highlight w:val="none"/>
            </w:rPr>
            <w:fldChar w:fldCharType="end"/>
          </w:r>
          <w:r>
            <w:rPr>
              <w:highlight w:val="none"/>
            </w:rPr>
            <w:fldChar w:fldCharType="end"/>
          </w:r>
        </w:p>
        <w:p w14:paraId="4AC02A40">
          <w:pPr>
            <w:pStyle w:val="9"/>
            <w:tabs>
              <w:tab w:val="right" w:leader="dot" w:pos="8306"/>
            </w:tabs>
            <w:spacing w:line="312" w:lineRule="auto"/>
            <w:rPr>
              <w:highlight w:val="none"/>
            </w:rPr>
          </w:pPr>
          <w:r>
            <w:rPr>
              <w:highlight w:val="none"/>
            </w:rPr>
            <w:fldChar w:fldCharType="begin"/>
          </w:r>
          <w:r>
            <w:rPr>
              <w:highlight w:val="none"/>
            </w:rPr>
            <w:instrText xml:space="preserve"> HYPERLINK \l "_Toc965"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_Toc965 \h </w:instrText>
          </w:r>
          <w:r>
            <w:rPr>
              <w:highlight w:val="none"/>
            </w:rPr>
            <w:fldChar w:fldCharType="separate"/>
          </w:r>
          <w:r>
            <w:rPr>
              <w:highlight w:val="none"/>
            </w:rPr>
            <w:t>27</w:t>
          </w:r>
          <w:r>
            <w:rPr>
              <w:highlight w:val="none"/>
            </w:rPr>
            <w:fldChar w:fldCharType="end"/>
          </w:r>
          <w:r>
            <w:rPr>
              <w:highlight w:val="none"/>
            </w:rPr>
            <w:fldChar w:fldCharType="end"/>
          </w:r>
        </w:p>
        <w:p w14:paraId="6EF212C1">
          <w:pPr>
            <w:pStyle w:val="9"/>
            <w:tabs>
              <w:tab w:val="right" w:leader="dot" w:pos="8306"/>
            </w:tabs>
            <w:spacing w:line="312" w:lineRule="auto"/>
            <w:rPr>
              <w:highlight w:val="none"/>
            </w:rPr>
          </w:pPr>
          <w:r>
            <w:rPr>
              <w:highlight w:val="none"/>
            </w:rPr>
            <w:fldChar w:fldCharType="begin"/>
          </w:r>
          <w:r>
            <w:rPr>
              <w:highlight w:val="none"/>
            </w:rPr>
            <w:instrText xml:space="preserve"> HYPERLINK \l "_Toc20335"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29</w:t>
          </w:r>
          <w:r>
            <w:rPr>
              <w:highlight w:val="none"/>
            </w:rPr>
            <w:fldChar w:fldCharType="end"/>
          </w:r>
          <w:r>
            <w:rPr>
              <w:highlight w:val="none"/>
            </w:rPr>
            <w:fldChar w:fldCharType="end"/>
          </w:r>
        </w:p>
        <w:p w14:paraId="1839E864">
          <w:pPr>
            <w:pStyle w:val="9"/>
            <w:tabs>
              <w:tab w:val="right" w:leader="dot" w:pos="8306"/>
            </w:tabs>
            <w:spacing w:line="312" w:lineRule="auto"/>
            <w:rPr>
              <w:highlight w:val="none"/>
            </w:rPr>
          </w:pPr>
          <w:r>
            <w:rPr>
              <w:highlight w:val="none"/>
            </w:rPr>
            <w:fldChar w:fldCharType="begin"/>
          </w:r>
          <w:r>
            <w:rPr>
              <w:highlight w:val="none"/>
            </w:rPr>
            <w:instrText xml:space="preserve"> HYPERLINK \l "_Toc12864"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_Toc12864 \h </w:instrText>
          </w:r>
          <w:r>
            <w:rPr>
              <w:highlight w:val="none"/>
            </w:rPr>
            <w:fldChar w:fldCharType="separate"/>
          </w:r>
          <w:r>
            <w:rPr>
              <w:highlight w:val="none"/>
            </w:rPr>
            <w:t>30</w:t>
          </w:r>
          <w:r>
            <w:rPr>
              <w:highlight w:val="none"/>
            </w:rPr>
            <w:fldChar w:fldCharType="end"/>
          </w:r>
          <w:r>
            <w:rPr>
              <w:highlight w:val="none"/>
            </w:rPr>
            <w:fldChar w:fldCharType="end"/>
          </w:r>
        </w:p>
        <w:p w14:paraId="0DC7F411">
          <w:pPr>
            <w:pStyle w:val="9"/>
            <w:tabs>
              <w:tab w:val="right" w:leader="dot" w:pos="8306"/>
            </w:tabs>
            <w:spacing w:line="312" w:lineRule="auto"/>
            <w:rPr>
              <w:highlight w:val="none"/>
            </w:rPr>
          </w:pPr>
          <w:r>
            <w:rPr>
              <w:highlight w:val="none"/>
            </w:rPr>
            <w:fldChar w:fldCharType="begin"/>
          </w:r>
          <w:r>
            <w:rPr>
              <w:highlight w:val="none"/>
            </w:rPr>
            <w:instrText xml:space="preserve"> HYPERLINK \l "_Toc23441"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_Toc23441 \h </w:instrText>
          </w:r>
          <w:r>
            <w:rPr>
              <w:highlight w:val="none"/>
            </w:rPr>
            <w:fldChar w:fldCharType="separate"/>
          </w:r>
          <w:r>
            <w:rPr>
              <w:highlight w:val="none"/>
            </w:rPr>
            <w:t>30</w:t>
          </w:r>
          <w:r>
            <w:rPr>
              <w:highlight w:val="none"/>
            </w:rPr>
            <w:fldChar w:fldCharType="end"/>
          </w:r>
          <w:r>
            <w:rPr>
              <w:highlight w:val="none"/>
            </w:rPr>
            <w:fldChar w:fldCharType="end"/>
          </w:r>
        </w:p>
        <w:p w14:paraId="6D24CBF2">
          <w:pPr>
            <w:pStyle w:val="9"/>
            <w:tabs>
              <w:tab w:val="right" w:leader="dot" w:pos="8306"/>
            </w:tabs>
            <w:spacing w:line="312" w:lineRule="auto"/>
            <w:rPr>
              <w:highlight w:val="none"/>
            </w:rPr>
          </w:pPr>
          <w:r>
            <w:rPr>
              <w:highlight w:val="none"/>
            </w:rPr>
            <w:fldChar w:fldCharType="begin"/>
          </w:r>
          <w:r>
            <w:rPr>
              <w:highlight w:val="none"/>
            </w:rPr>
            <w:instrText xml:space="preserve"> HYPERLINK \l "_Toc16580"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highlight w:val="none"/>
            </w:rPr>
            <w:fldChar w:fldCharType="begin"/>
          </w:r>
          <w:r>
            <w:rPr>
              <w:highlight w:val="none"/>
            </w:rPr>
            <w:instrText xml:space="preserve"> PAGEREF _Toc16580 \h </w:instrText>
          </w:r>
          <w:r>
            <w:rPr>
              <w:highlight w:val="none"/>
            </w:rPr>
            <w:fldChar w:fldCharType="separate"/>
          </w:r>
          <w:r>
            <w:rPr>
              <w:highlight w:val="none"/>
            </w:rPr>
            <w:t>31</w:t>
          </w:r>
          <w:r>
            <w:rPr>
              <w:highlight w:val="none"/>
            </w:rPr>
            <w:fldChar w:fldCharType="end"/>
          </w:r>
          <w:r>
            <w:rPr>
              <w:highlight w:val="none"/>
            </w:rPr>
            <w:fldChar w:fldCharType="end"/>
          </w:r>
        </w:p>
        <w:p w14:paraId="5A2FC7B8">
          <w:pPr>
            <w:pStyle w:val="9"/>
            <w:tabs>
              <w:tab w:val="right" w:leader="dot" w:pos="8306"/>
            </w:tabs>
            <w:spacing w:line="312" w:lineRule="auto"/>
            <w:rPr>
              <w:highlight w:val="none"/>
            </w:rPr>
          </w:pPr>
          <w:r>
            <w:rPr>
              <w:highlight w:val="none"/>
            </w:rPr>
            <w:fldChar w:fldCharType="begin"/>
          </w:r>
          <w:r>
            <w:rPr>
              <w:highlight w:val="none"/>
            </w:rPr>
            <w:instrText xml:space="preserve"> HYPERLINK \l "_Toc10852"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_Toc10852 \h </w:instrText>
          </w:r>
          <w:r>
            <w:rPr>
              <w:highlight w:val="none"/>
            </w:rPr>
            <w:fldChar w:fldCharType="separate"/>
          </w:r>
          <w:r>
            <w:rPr>
              <w:highlight w:val="none"/>
            </w:rPr>
            <w:t>32</w:t>
          </w:r>
          <w:r>
            <w:rPr>
              <w:highlight w:val="none"/>
            </w:rPr>
            <w:fldChar w:fldCharType="end"/>
          </w:r>
          <w:r>
            <w:rPr>
              <w:highlight w:val="none"/>
            </w:rPr>
            <w:fldChar w:fldCharType="end"/>
          </w:r>
        </w:p>
        <w:p w14:paraId="6AD1E87B">
          <w:pPr>
            <w:pStyle w:val="9"/>
            <w:tabs>
              <w:tab w:val="right" w:leader="dot" w:pos="8306"/>
            </w:tabs>
            <w:spacing w:line="312" w:lineRule="auto"/>
            <w:rPr>
              <w:highlight w:val="none"/>
            </w:rPr>
          </w:pPr>
          <w:r>
            <w:rPr>
              <w:highlight w:val="none"/>
            </w:rPr>
            <w:fldChar w:fldCharType="begin"/>
          </w:r>
          <w:r>
            <w:rPr>
              <w:highlight w:val="none"/>
            </w:rPr>
            <w:instrText xml:space="preserve"> HYPERLINK \l "_Toc11207"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_Toc11207 \h </w:instrText>
          </w:r>
          <w:r>
            <w:rPr>
              <w:highlight w:val="none"/>
            </w:rPr>
            <w:fldChar w:fldCharType="separate"/>
          </w:r>
          <w:r>
            <w:rPr>
              <w:highlight w:val="none"/>
            </w:rPr>
            <w:t>32</w:t>
          </w:r>
          <w:r>
            <w:rPr>
              <w:highlight w:val="none"/>
            </w:rPr>
            <w:fldChar w:fldCharType="end"/>
          </w:r>
          <w:r>
            <w:rPr>
              <w:highlight w:val="none"/>
            </w:rPr>
            <w:fldChar w:fldCharType="end"/>
          </w:r>
        </w:p>
        <w:p w14:paraId="1FC31133">
          <w:pPr>
            <w:pStyle w:val="9"/>
            <w:tabs>
              <w:tab w:val="right" w:leader="dot" w:pos="8306"/>
            </w:tabs>
            <w:spacing w:line="312" w:lineRule="auto"/>
            <w:rPr>
              <w:highlight w:val="none"/>
            </w:rPr>
          </w:pPr>
          <w:r>
            <w:rPr>
              <w:highlight w:val="none"/>
            </w:rPr>
            <w:fldChar w:fldCharType="begin"/>
          </w:r>
          <w:r>
            <w:rPr>
              <w:highlight w:val="none"/>
            </w:rPr>
            <w:instrText xml:space="preserve"> HYPERLINK \l "_Toc3848"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_Toc3848 \h </w:instrText>
          </w:r>
          <w:r>
            <w:rPr>
              <w:highlight w:val="none"/>
            </w:rPr>
            <w:fldChar w:fldCharType="separate"/>
          </w:r>
          <w:r>
            <w:rPr>
              <w:highlight w:val="none"/>
            </w:rPr>
            <w:t>32</w:t>
          </w:r>
          <w:r>
            <w:rPr>
              <w:highlight w:val="none"/>
            </w:rPr>
            <w:fldChar w:fldCharType="end"/>
          </w:r>
          <w:r>
            <w:rPr>
              <w:highlight w:val="none"/>
            </w:rPr>
            <w:fldChar w:fldCharType="end"/>
          </w:r>
        </w:p>
        <w:p w14:paraId="6D6F6E3E">
          <w:pPr>
            <w:spacing w:line="312" w:lineRule="auto"/>
            <w:jc w:val="center"/>
            <w:rPr>
              <w:rFonts w:ascii="仿宋" w:hAnsi="仿宋" w:eastAsia="仿宋" w:cs="仿宋"/>
              <w:color w:val="000000" w:themeColor="text1"/>
              <w:highlight w:val="none"/>
              <w14:textFill>
                <w14:solidFill>
                  <w14:schemeClr w14:val="tx1"/>
                </w14:solidFill>
              </w14:textFill>
            </w:rPr>
            <w:sectPr>
              <w:headerReference r:id="rId7" w:type="first"/>
              <w:footerReference r:id="rId9" w:type="first"/>
              <w:footerReference r:id="rId8" w:type="default"/>
              <w:pgSz w:w="11906" w:h="16838"/>
              <w:pgMar w:top="1440" w:right="1800" w:bottom="1440" w:left="1800" w:header="850" w:footer="975" w:gutter="0"/>
              <w:pgNumType w:start="1"/>
              <w:cols w:space="0" w:num="1"/>
              <w:titlePg/>
              <w:docGrid w:linePitch="312" w:charSpace="0"/>
            </w:sectPr>
          </w:pPr>
          <w:r>
            <w:rPr>
              <w:rFonts w:hint="eastAsia" w:ascii="仿宋" w:hAnsi="仿宋" w:eastAsia="仿宋" w:cs="仿宋"/>
              <w:color w:val="000000" w:themeColor="text1"/>
              <w:highlight w:val="none"/>
              <w14:textFill>
                <w14:solidFill>
                  <w14:schemeClr w14:val="tx1"/>
                </w14:solidFill>
              </w14:textFill>
            </w:rPr>
            <w:fldChar w:fldCharType="end"/>
          </w:r>
          <w:permEnd w:id="5"/>
        </w:p>
      </w:sdtContent>
    </w:sdt>
    <w:p w14:paraId="24B58658">
      <w:pPr>
        <w:pStyle w:val="13"/>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1" w:name="_Toc22574"/>
      <w:bookmarkStart w:id="2" w:name="_Toc5953"/>
      <w:bookmarkStart w:id="3" w:name="_Toc31405"/>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1"/>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2"/>
      <w:bookmarkEnd w:id="3"/>
    </w:p>
    <w:p w14:paraId="05632326">
      <w:pPr>
        <w:pStyle w:val="13"/>
        <w:spacing w:before="240" w:beforeLines="100" w:line="400" w:lineRule="atLeas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permStart w:id="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中建</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集团有限公司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permEnd w:id="6"/>
    </w:p>
    <w:p w14:paraId="3BAE9A44">
      <w:pPr>
        <w:pStyle w:val="13"/>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乙方（卖方）：</w:t>
      </w:r>
      <w:permStart w:id="7"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permEnd w:id="7"/>
    <w:p w14:paraId="633853ED">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根据《中华人民共和国民法典》及有关法律规定，遵循平等、自愿、公平和诚实信用的原则，在对本合同进行充分理解的基础上，双方经友好协商一致，订立本合同并共同遵守。</w:t>
      </w:r>
    </w:p>
    <w:p w14:paraId="79F5B57B">
      <w:pPr>
        <w:pStyle w:val="13"/>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4" w:name="_Toc640"/>
      <w:bookmarkStart w:id="5" w:name="_Toc29946"/>
      <w:bookmarkStart w:id="6" w:name="_Toc17203"/>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4"/>
      <w:bookmarkEnd w:id="5"/>
      <w:bookmarkEnd w:id="6"/>
    </w:p>
    <w:p w14:paraId="17E0D9A2">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8" w:edGrp="everyone"/>
      <w:r>
        <w:rPr>
          <w:rFonts w:hint="eastAsia" w:ascii="仿宋_GB2312" w:hAnsi="仿宋_GB2312" w:eastAsia="仿宋_GB2312" w:cs="仿宋_GB2312"/>
          <w:color w:val="000000" w:themeColor="text1"/>
          <w:highlight w:val="none"/>
          <w:u w:val="single"/>
          <w14:textFill>
            <w14:solidFill>
              <w14:schemeClr w14:val="tx1"/>
            </w14:solidFill>
          </w14:textFill>
        </w:rPr>
        <w:t>定日“6.8”级地震灾后恢复重建民房建设项目（昂仁县）PC总承包</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七</w:t>
      </w:r>
      <w:r>
        <w:rPr>
          <w:rFonts w:hint="eastAsia" w:ascii="仿宋_GB2312" w:hAnsi="仿宋_GB2312" w:eastAsia="仿宋_GB2312" w:cs="仿宋_GB2312"/>
          <w:color w:val="000000" w:themeColor="text1"/>
          <w:highlight w:val="none"/>
          <w:u w:val="single"/>
          <w14:textFill>
            <w14:solidFill>
              <w14:schemeClr w14:val="tx1"/>
            </w14:solidFill>
          </w14:textFill>
        </w:rPr>
        <w:t>标段</w:t>
      </w:r>
      <w:permEnd w:id="8"/>
      <w:r>
        <w:rPr>
          <w:rFonts w:hint="eastAsia" w:ascii="仿宋_GB2312" w:hAnsi="仿宋_GB2312" w:eastAsia="仿宋_GB2312" w:cs="仿宋_GB2312"/>
          <w:color w:val="000000" w:themeColor="text1"/>
          <w:highlight w:val="none"/>
          <w14:textFill>
            <w14:solidFill>
              <w14:schemeClr w14:val="tx1"/>
            </w14:solidFill>
          </w14:textFill>
        </w:rPr>
        <w:t>；</w:t>
      </w:r>
    </w:p>
    <w:p w14:paraId="5B976016">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9" w:edGrp="everyone"/>
      <w:r>
        <w:rPr>
          <w:rFonts w:hint="eastAsia" w:ascii="仿宋_GB2312" w:hAnsi="仿宋_GB2312" w:eastAsia="仿宋_GB2312" w:cs="仿宋_GB2312"/>
          <w:color w:val="000000" w:themeColor="text1"/>
          <w:highlight w:val="none"/>
          <w:u w:val="single"/>
          <w14:textFill>
            <w14:solidFill>
              <w14:schemeClr w14:val="tx1"/>
            </w14:solidFill>
          </w14:textFill>
        </w:rPr>
        <w:t>西藏自治区日喀则市昂仁县</w:t>
      </w:r>
      <w:permEnd w:id="9"/>
      <w:r>
        <w:rPr>
          <w:rFonts w:hint="eastAsia" w:ascii="仿宋_GB2312" w:hAnsi="仿宋_GB2312" w:eastAsia="仿宋_GB2312" w:cs="仿宋_GB2312"/>
          <w:color w:val="000000" w:themeColor="text1"/>
          <w:highlight w:val="none"/>
          <w14:textFill>
            <w14:solidFill>
              <w14:schemeClr w14:val="tx1"/>
            </w14:solidFill>
          </w14:textFill>
        </w:rPr>
        <w:t>；</w:t>
      </w:r>
    </w:p>
    <w:p w14:paraId="2F06DAA7">
      <w:pPr>
        <w:pStyle w:val="13"/>
        <w:numPr>
          <w:ilvl w:val="0"/>
          <w:numId w:val="1"/>
        </w:numPr>
        <w:spacing w:before="120" w:beforeLines="50" w:after="120" w:afterLines="50" w:line="400" w:lineRule="atLeast"/>
        <w:ind w:firstLine="482" w:firstLineChars="200"/>
        <w:outlineLvl w:val="0"/>
        <w:rPr>
          <w:rFonts w:hint="default" w:ascii="仿宋_GB2312" w:hAnsi="仿宋_GB2312" w:eastAsia="仿宋_GB2312" w:cs="仿宋_GB2312"/>
          <w:color w:val="000000" w:themeColor="text1"/>
          <w:highlight w:val="none"/>
          <w:u w:val="single"/>
          <w:lang w:val="en-US" w:eastAsia="zh-CN"/>
          <w14:textFill>
            <w14:solidFill>
              <w14:schemeClr w14:val="tx1"/>
            </w14:solidFill>
          </w14:textFill>
        </w:rPr>
      </w:pPr>
      <w:bookmarkStart w:id="7" w:name="_Toc2931"/>
      <w:bookmarkStart w:id="8" w:name="_Toc23103"/>
      <w:bookmarkStart w:id="9" w:name="_Toc6010"/>
      <w:r>
        <w:rPr>
          <w:rFonts w:hint="eastAsia" w:ascii="仿宋_GB2312" w:hAnsi="仿宋_GB2312" w:eastAsia="仿宋_GB2312" w:cs="仿宋_GB2312"/>
          <w:b/>
          <w:bCs/>
          <w:color w:val="000000" w:themeColor="text1"/>
          <w:highlight w:val="none"/>
          <w14:textFill>
            <w14:solidFill>
              <w14:schemeClr w14:val="tx1"/>
            </w14:solidFill>
          </w14:textFill>
        </w:rPr>
        <w:t>货物清单</w:t>
      </w:r>
      <w:bookmarkEnd w:id="7"/>
      <w:bookmarkEnd w:id="8"/>
      <w:bookmarkEnd w:id="9"/>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价款、计价方式</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877"/>
        <w:gridCol w:w="1581"/>
        <w:gridCol w:w="440"/>
        <w:gridCol w:w="1056"/>
        <w:gridCol w:w="756"/>
        <w:gridCol w:w="839"/>
        <w:gridCol w:w="435"/>
        <w:gridCol w:w="990"/>
        <w:gridCol w:w="756"/>
        <w:gridCol w:w="396"/>
      </w:tblGrid>
      <w:tr w14:paraId="2FB6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58" w:type="pct"/>
            <w:shd w:val="clear" w:color="auto" w:fill="auto"/>
            <w:vAlign w:val="center"/>
          </w:tcPr>
          <w:p w14:paraId="22BF11B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ermStart w:id="10" w:edGrp="everyone"/>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618" w:type="pct"/>
            <w:shd w:val="clear" w:color="auto" w:fill="auto"/>
            <w:vAlign w:val="center"/>
          </w:tcPr>
          <w:p w14:paraId="792FE88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515" w:type="pct"/>
            <w:shd w:val="clear" w:color="auto" w:fill="auto"/>
            <w:vAlign w:val="center"/>
          </w:tcPr>
          <w:p w14:paraId="58DE95F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258" w:type="pct"/>
            <w:shd w:val="clear" w:color="auto" w:fill="auto"/>
            <w:vAlign w:val="center"/>
          </w:tcPr>
          <w:p w14:paraId="58F68DA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71AEF3E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539" w:type="pct"/>
            <w:shd w:val="clear" w:color="auto" w:fill="auto"/>
            <w:vAlign w:val="center"/>
          </w:tcPr>
          <w:p w14:paraId="4DE361A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10AD443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91" w:type="pct"/>
            <w:shd w:val="clear" w:color="auto" w:fill="auto"/>
            <w:vAlign w:val="center"/>
          </w:tcPr>
          <w:p w14:paraId="791BC4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39E763B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010589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573" w:type="pct"/>
            <w:shd w:val="clear" w:color="auto" w:fill="auto"/>
            <w:vAlign w:val="center"/>
          </w:tcPr>
          <w:p w14:paraId="0787AAA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443877D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75C3F8D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322" w:type="pct"/>
            <w:shd w:val="clear" w:color="auto" w:fill="auto"/>
            <w:vAlign w:val="center"/>
          </w:tcPr>
          <w:p w14:paraId="07B7669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0137840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648" w:type="pct"/>
            <w:shd w:val="clear" w:color="auto" w:fill="auto"/>
            <w:vAlign w:val="center"/>
          </w:tcPr>
          <w:p w14:paraId="7B4292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4F4F02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7F21D93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75" w:type="pct"/>
            <w:shd w:val="clear" w:color="auto" w:fill="auto"/>
            <w:vAlign w:val="center"/>
          </w:tcPr>
          <w:p w14:paraId="39261B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11A8751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38FD320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299" w:type="pct"/>
            <w:shd w:val="clear" w:color="auto" w:fill="auto"/>
            <w:vAlign w:val="center"/>
          </w:tcPr>
          <w:p w14:paraId="2689611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65BD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51D6466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1</w:t>
            </w:r>
          </w:p>
        </w:tc>
        <w:tc>
          <w:tcPr>
            <w:tcW w:w="1053" w:type="dxa"/>
            <w:shd w:val="clear" w:color="auto" w:fill="auto"/>
            <w:vAlign w:val="center"/>
          </w:tcPr>
          <w:p w14:paraId="4E8168AD">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 w:hAnsi="仿宋" w:eastAsia="仿宋" w:cs="仿宋"/>
                <w:sz w:val="21"/>
                <w:szCs w:val="21"/>
                <w:highlight w:val="none"/>
                <w:lang w:val="en-US" w:eastAsia="zh-CN"/>
              </w:rPr>
              <w:t>木方</w:t>
            </w:r>
          </w:p>
        </w:tc>
        <w:tc>
          <w:tcPr>
            <w:tcW w:w="878" w:type="dxa"/>
            <w:shd w:val="clear" w:color="auto" w:fill="auto"/>
            <w:vAlign w:val="center"/>
          </w:tcPr>
          <w:p w14:paraId="37C28BEC">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300*8*3cm</w:t>
            </w:r>
          </w:p>
        </w:tc>
        <w:tc>
          <w:tcPr>
            <w:tcW w:w="440" w:type="dxa"/>
            <w:shd w:val="clear" w:color="auto" w:fill="auto"/>
            <w:vAlign w:val="center"/>
          </w:tcPr>
          <w:p w14:paraId="4F7B56FE">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 w:hAnsi="仿宋" w:eastAsia="仿宋" w:cs="仿宋"/>
                <w:sz w:val="21"/>
                <w:szCs w:val="21"/>
                <w:highlight w:val="none"/>
                <w:lang w:val="en-US" w:eastAsia="zh-CN"/>
              </w:rPr>
              <w:t>条</w:t>
            </w:r>
          </w:p>
        </w:tc>
        <w:tc>
          <w:tcPr>
            <w:tcW w:w="919" w:type="dxa"/>
            <w:shd w:val="clear" w:color="auto" w:fill="auto"/>
            <w:vAlign w:val="center"/>
          </w:tcPr>
          <w:p w14:paraId="7007E61A">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10157.00</w:t>
            </w:r>
          </w:p>
        </w:tc>
        <w:tc>
          <w:tcPr>
            <w:tcW w:w="491" w:type="pct"/>
            <w:shd w:val="clear" w:color="auto" w:fill="auto"/>
            <w:noWrap/>
            <w:vAlign w:val="center"/>
          </w:tcPr>
          <w:p w14:paraId="3798B6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2A1AA7C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3095547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1DA8ED4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697DBC3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vAlign w:val="center"/>
          </w:tcPr>
          <w:p w14:paraId="74D0C35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498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59F94F1C">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2</w:t>
            </w:r>
          </w:p>
        </w:tc>
        <w:tc>
          <w:tcPr>
            <w:tcW w:w="1053" w:type="dxa"/>
            <w:shd w:val="clear" w:color="auto" w:fill="auto"/>
            <w:vAlign w:val="center"/>
          </w:tcPr>
          <w:p w14:paraId="5269E14B">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 w:hAnsi="仿宋" w:eastAsia="仿宋" w:cs="仿宋"/>
                <w:sz w:val="21"/>
                <w:szCs w:val="21"/>
                <w:highlight w:val="none"/>
                <w:lang w:val="en-US" w:eastAsia="zh-CN"/>
              </w:rPr>
              <w:t>板材</w:t>
            </w:r>
          </w:p>
        </w:tc>
        <w:tc>
          <w:tcPr>
            <w:tcW w:w="878" w:type="dxa"/>
            <w:shd w:val="clear" w:color="auto" w:fill="auto"/>
            <w:vAlign w:val="center"/>
          </w:tcPr>
          <w:p w14:paraId="0EF19A64">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183*91.5cm</w:t>
            </w:r>
          </w:p>
        </w:tc>
        <w:tc>
          <w:tcPr>
            <w:tcW w:w="440" w:type="dxa"/>
            <w:shd w:val="clear" w:color="auto" w:fill="auto"/>
            <w:noWrap/>
            <w:vAlign w:val="center"/>
          </w:tcPr>
          <w:p w14:paraId="18D30C08">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 w:hAnsi="仿宋" w:eastAsia="仿宋" w:cs="仿宋"/>
                <w:sz w:val="21"/>
                <w:szCs w:val="21"/>
                <w:highlight w:val="none"/>
                <w:lang w:val="en-US" w:eastAsia="zh-CN"/>
              </w:rPr>
              <w:t>张</w:t>
            </w:r>
          </w:p>
        </w:tc>
        <w:tc>
          <w:tcPr>
            <w:tcW w:w="919" w:type="dxa"/>
            <w:shd w:val="clear" w:color="auto" w:fill="auto"/>
            <w:vAlign w:val="center"/>
          </w:tcPr>
          <w:p w14:paraId="499F8201">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 w:hAnsi="仿宋" w:eastAsia="仿宋" w:cs="仿宋"/>
                <w:kern w:val="2"/>
                <w:sz w:val="21"/>
                <w:szCs w:val="21"/>
                <w:highlight w:val="none"/>
                <w:lang w:val="en-US" w:eastAsia="zh-CN" w:bidi="ar-SA"/>
              </w:rPr>
              <w:t>3300.00</w:t>
            </w:r>
          </w:p>
        </w:tc>
        <w:tc>
          <w:tcPr>
            <w:tcW w:w="491" w:type="pct"/>
            <w:shd w:val="clear" w:color="auto" w:fill="auto"/>
            <w:noWrap/>
            <w:vAlign w:val="center"/>
          </w:tcPr>
          <w:p w14:paraId="39EBD48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4C8D26C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11B2EAE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0A537B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2F95376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noWrap/>
            <w:vAlign w:val="center"/>
          </w:tcPr>
          <w:p w14:paraId="1356D0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0ED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0C9DD6B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w:t>
            </w:r>
          </w:p>
        </w:tc>
        <w:tc>
          <w:tcPr>
            <w:tcW w:w="1053" w:type="dxa"/>
            <w:shd w:val="clear" w:color="auto" w:fill="auto"/>
            <w:vAlign w:val="center"/>
          </w:tcPr>
          <w:p w14:paraId="55E0DE18">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 w:hAnsi="仿宋" w:eastAsia="仿宋" w:cs="仿宋"/>
                <w:sz w:val="21"/>
                <w:szCs w:val="21"/>
                <w:highlight w:val="none"/>
                <w:lang w:val="en-US" w:eastAsia="zh-CN"/>
              </w:rPr>
              <w:t>板材</w:t>
            </w:r>
          </w:p>
        </w:tc>
        <w:tc>
          <w:tcPr>
            <w:tcW w:w="878" w:type="dxa"/>
            <w:shd w:val="clear" w:color="auto" w:fill="auto"/>
            <w:vAlign w:val="center"/>
          </w:tcPr>
          <w:p w14:paraId="387DB8DE">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244*122*1.3cm</w:t>
            </w:r>
          </w:p>
        </w:tc>
        <w:tc>
          <w:tcPr>
            <w:tcW w:w="440" w:type="dxa"/>
            <w:shd w:val="clear" w:color="auto" w:fill="auto"/>
            <w:noWrap/>
            <w:vAlign w:val="center"/>
          </w:tcPr>
          <w:p w14:paraId="54DF6CF4">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 w:hAnsi="仿宋" w:eastAsia="仿宋" w:cs="仿宋"/>
                <w:sz w:val="21"/>
                <w:szCs w:val="21"/>
                <w:highlight w:val="none"/>
                <w:lang w:val="en-US" w:eastAsia="zh-CN"/>
              </w:rPr>
              <w:t>张</w:t>
            </w:r>
          </w:p>
        </w:tc>
        <w:tc>
          <w:tcPr>
            <w:tcW w:w="919" w:type="dxa"/>
            <w:shd w:val="clear" w:color="auto" w:fill="auto"/>
            <w:vAlign w:val="center"/>
          </w:tcPr>
          <w:p w14:paraId="499120DB">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 w:hAnsi="仿宋" w:eastAsia="仿宋" w:cs="仿宋"/>
                <w:kern w:val="2"/>
                <w:sz w:val="21"/>
                <w:szCs w:val="21"/>
                <w:highlight w:val="none"/>
                <w:lang w:val="en-US" w:eastAsia="zh-CN" w:bidi="ar-SA"/>
              </w:rPr>
              <w:t>2100.00</w:t>
            </w:r>
          </w:p>
        </w:tc>
        <w:tc>
          <w:tcPr>
            <w:tcW w:w="491" w:type="pct"/>
            <w:shd w:val="clear" w:color="auto" w:fill="auto"/>
            <w:noWrap/>
            <w:vAlign w:val="center"/>
          </w:tcPr>
          <w:p w14:paraId="66C8340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53AB372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4A742D8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6FF01A8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6B1F2AF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noWrap/>
            <w:vAlign w:val="center"/>
          </w:tcPr>
          <w:p w14:paraId="09CC8A7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D0C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67F0D9D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618" w:type="pct"/>
            <w:shd w:val="clear" w:color="auto" w:fill="auto"/>
            <w:vAlign w:val="center"/>
          </w:tcPr>
          <w:p w14:paraId="3625C00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15" w:type="pct"/>
            <w:shd w:val="clear" w:color="auto" w:fill="auto"/>
            <w:vAlign w:val="center"/>
          </w:tcPr>
          <w:p w14:paraId="3B26CE7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258" w:type="pct"/>
            <w:shd w:val="clear" w:color="auto" w:fill="auto"/>
            <w:noWrap/>
            <w:vAlign w:val="center"/>
          </w:tcPr>
          <w:p w14:paraId="67BA0F8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39" w:type="pct"/>
            <w:shd w:val="clear" w:color="auto" w:fill="auto"/>
            <w:vAlign w:val="center"/>
          </w:tcPr>
          <w:p w14:paraId="4842269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 w:hAnsi="仿宋" w:eastAsia="仿宋" w:cs="仿宋"/>
                <w:kern w:val="2"/>
                <w:sz w:val="21"/>
                <w:szCs w:val="21"/>
                <w:highlight w:val="none"/>
                <w:lang w:val="en-US" w:eastAsia="zh-CN" w:bidi="ar-SA"/>
              </w:rPr>
              <w:t>15557.00</w:t>
            </w:r>
          </w:p>
        </w:tc>
        <w:tc>
          <w:tcPr>
            <w:tcW w:w="491" w:type="pct"/>
            <w:shd w:val="clear" w:color="auto" w:fill="auto"/>
            <w:noWrap/>
            <w:vAlign w:val="center"/>
          </w:tcPr>
          <w:p w14:paraId="52C3D1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75AF42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467117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4FADCF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7F96255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noWrap/>
            <w:vAlign w:val="center"/>
          </w:tcPr>
          <w:p w14:paraId="3DCAEE0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661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26A6B8C0">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38CA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6E37E7C7">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permEnd w:id="10"/>
    </w:tbl>
    <w:p w14:paraId="748A5529">
      <w:pPr>
        <w:pStyle w:val="13"/>
        <w:spacing w:line="400" w:lineRule="atLeast"/>
        <w:ind w:left="479" w:leftChars="228"/>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w:t>
      </w:r>
    </w:p>
    <w:p w14:paraId="4C42371A">
      <w:pPr>
        <w:pStyle w:val="13"/>
        <w:numPr>
          <w:ilvl w:val="0"/>
          <w:numId w:val="2"/>
        </w:numPr>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合同单价：</w:t>
      </w:r>
      <w:r>
        <w:rPr>
          <w:rFonts w:hint="eastAsia" w:ascii="仿宋_GB2312" w:hAnsi="仿宋_GB2312" w:eastAsia="仿宋_GB2312" w:cs="仿宋_GB2312"/>
          <w:color w:val="000000" w:themeColor="text1"/>
          <w:highlight w:val="none"/>
          <w14:textFill>
            <w14:solidFill>
              <w14:schemeClr w14:val="tx1"/>
            </w14:solidFill>
          </w14:textFill>
        </w:rPr>
        <w:t>本合同综合单价适用第</w:t>
      </w:r>
      <w:permStart w:id="1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1.1  </w:t>
      </w:r>
      <w:permEnd w:id="11"/>
      <w:r>
        <w:rPr>
          <w:rFonts w:hint="eastAsia" w:ascii="仿宋_GB2312" w:hAnsi="仿宋_GB2312" w:eastAsia="仿宋_GB2312" w:cs="仿宋_GB2312"/>
          <w:color w:val="000000" w:themeColor="text1"/>
          <w:highlight w:val="none"/>
          <w14:textFill>
            <w14:solidFill>
              <w14:schemeClr w14:val="tx1"/>
            </w14:solidFill>
          </w14:textFill>
        </w:rPr>
        <w:t>条</w:t>
      </w:r>
    </w:p>
    <w:p w14:paraId="7B9BC213">
      <w:pPr>
        <w:pStyle w:val="13"/>
        <w:numPr>
          <w:ilvl w:val="255"/>
          <w:numId w:val="0"/>
        </w:numPr>
        <w:spacing w:line="400" w:lineRule="atLeast"/>
        <w:ind w:firstLine="482" w:firstLineChars="200"/>
        <w:outlineLvl w:val="2"/>
        <w:rPr>
          <w:rFonts w:hint="eastAsia"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本合同为</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u w:val="single"/>
          <w14:textFill>
            <w14:solidFill>
              <w14:schemeClr w14:val="tx1"/>
            </w14:solidFill>
          </w14:textFill>
        </w:rPr>
        <w:t>不</w:t>
      </w:r>
      <w:bookmarkStart w:id="10" w:name="_Hlk127188815"/>
      <w:r>
        <w:rPr>
          <w:rFonts w:hint="eastAsia" w:ascii="仿宋_GB2312" w:hAnsi="仿宋_GB2312" w:eastAsia="仿宋_GB2312" w:cs="仿宋_GB2312"/>
          <w:b/>
          <w:bCs/>
          <w:color w:val="000000" w:themeColor="text1"/>
          <w:highlight w:val="none"/>
          <w:u w:val="single"/>
          <w14:textFill>
            <w14:solidFill>
              <w14:schemeClr w14:val="tx1"/>
            </w14:solidFill>
          </w14:textFill>
        </w:rPr>
        <w:t>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color w:val="000000" w:themeColor="text1"/>
          <w:highlight w:val="none"/>
          <w:u w:val="single"/>
          <w14:textFill>
            <w14:solidFill>
              <w14:schemeClr w14:val="tx1"/>
            </w14:solidFill>
          </w14:textFill>
        </w:rPr>
        <w:t>材料费（或设备费）、包装回收费、卸货前损耗费、安装指导费、调试费、测试费（如有）、卸货前保管费（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、码放费、保险费、</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中转</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p w14:paraId="5C6FE3C3">
      <w:pPr>
        <w:pStyle w:val="13"/>
        <w:numPr>
          <w:ilvl w:val="255"/>
          <w:numId w:val="0"/>
        </w:numPr>
        <w:spacing w:line="400" w:lineRule="atLeast"/>
        <w:ind w:firstLine="482" w:firstLineChars="200"/>
        <w:outlineLvl w:val="2"/>
        <w:rPr>
          <w:highlight w:val="none"/>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w:t>
      </w:r>
      <w:r>
        <w:rPr>
          <w:rFonts w:hint="eastAsia" w:ascii="仿宋_GB2312" w:hAnsi="仿宋_GB2312" w:eastAsia="仿宋_GB2312" w:cs="仿宋_GB2312"/>
          <w:b/>
          <w:bCs/>
          <w:color w:val="000000" w:themeColor="text1"/>
          <w:highlight w:val="none"/>
          <w14:textFill>
            <w14:solidFill>
              <w14:schemeClr w14:val="tx1"/>
            </w14:solidFill>
          </w14:textFill>
        </w:rPr>
        <w:t>本合同约定的“</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不含税</w:t>
      </w:r>
      <w:r>
        <w:rPr>
          <w:rFonts w:hint="eastAsia" w:ascii="仿宋_GB2312" w:hAnsi="仿宋_GB2312" w:eastAsia="仿宋_GB2312" w:cs="仿宋_GB2312"/>
          <w:b/>
          <w:bCs/>
          <w:color w:val="000000" w:themeColor="text1"/>
          <w:highlight w:val="none"/>
          <w14:textFill>
            <w14:solidFill>
              <w14:schemeClr w14:val="tx1"/>
            </w14:solidFill>
          </w14:textFill>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p w14:paraId="7809F5FA">
      <w:pPr>
        <w:pStyle w:val="13"/>
        <w:numPr>
          <w:ilvl w:val="0"/>
          <w:numId w:val="0"/>
        </w:numPr>
        <w:spacing w:before="120" w:beforeLines="50" w:after="120" w:afterLines="50" w:line="400" w:lineRule="atLeast"/>
        <w:ind w:firstLine="482" w:firstLineChars="200"/>
        <w:outlineLvl w:val="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1.3</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permStart w:id="12"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                           </w:t>
      </w:r>
      <w:permEnd w:id="12"/>
    </w:p>
    <w:p w14:paraId="4F20F2F5">
      <w:pPr>
        <w:pStyle w:val="13"/>
        <w:numPr>
          <w:ilvl w:val="0"/>
          <w:numId w:val="2"/>
        </w:numPr>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乙方所供物资必须为</w:t>
      </w:r>
      <w:permStart w:id="13"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ermEnd w:id="13"/>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公司生产产品。</w:t>
      </w:r>
    </w:p>
    <w:p w14:paraId="4AAF5B27">
      <w:pPr>
        <w:pStyle w:val="13"/>
        <w:numPr>
          <w:ilvl w:val="0"/>
          <w:numId w:val="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合同工程量：</w:t>
      </w:r>
    </w:p>
    <w:p w14:paraId="47DCD1C2">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highlight w:val="none"/>
          <w14:textFill>
            <w14:solidFill>
              <w14:schemeClr w14:val="tx1"/>
            </w14:solidFill>
          </w14:textFill>
        </w:rPr>
        <w:t>本合同中约定货物工程量为暂定数量；甲乙双方最终结算数量以甲方最终签收的实际数量，并依据合同约定扣除不合格产品、损失等费用后的书面结算数额为准，</w:t>
      </w:r>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乙方不得以合同暂定数量或合同暂定总金额为依据要求甲方支付任何款项，否则按合同第二部分第二条违约条款承担违约责任。</w:t>
      </w:r>
      <w:bookmarkEnd w:id="10"/>
      <w:r>
        <w:rPr>
          <w:rFonts w:hint="eastAsia" w:ascii="仿宋_GB2312" w:hAnsi="仿宋_GB2312" w:eastAsia="仿宋_GB2312" w:cs="仿宋_GB2312"/>
          <w:b/>
          <w:bCs/>
          <w:color w:val="000000" w:themeColor="text1"/>
          <w:highlight w:val="none"/>
          <w14:textFill>
            <w14:solidFill>
              <w14:schemeClr w14:val="tx1"/>
            </w14:solidFill>
          </w14:textFill>
        </w:rPr>
        <w:t xml:space="preserve">   </w:t>
      </w:r>
    </w:p>
    <w:p w14:paraId="7655C09B">
      <w:pPr>
        <w:pStyle w:val="13"/>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 w:name="_Toc15703"/>
      <w:bookmarkStart w:id="12" w:name="_Toc13168"/>
      <w:bookmarkStart w:id="13" w:name="_Toc23444"/>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11"/>
      <w:bookmarkEnd w:id="12"/>
      <w:bookmarkEnd w:id="13"/>
    </w:p>
    <w:p w14:paraId="1E8E635C">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双方协商一致，执行第</w:t>
      </w:r>
      <w:permStart w:id="14"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permEnd w:id="14"/>
      <w:r>
        <w:rPr>
          <w:rFonts w:hint="eastAsia" w:ascii="仿宋_GB2312" w:hAnsi="仿宋_GB2312" w:eastAsia="仿宋_GB2312" w:cs="仿宋_GB2312"/>
          <w:color w:val="000000" w:themeColor="text1"/>
          <w:highlight w:val="none"/>
          <w14:textFill>
            <w14:solidFill>
              <w14:schemeClr w14:val="tx1"/>
            </w14:solidFill>
          </w14:textFill>
        </w:rPr>
        <w:t>种交货方式；</w:t>
      </w:r>
    </w:p>
    <w:p w14:paraId="3AAFC54C">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1.1送货卸车：</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乙方送货至甲方指定地点；合同综合单价已含卸车费用，卸车工作由乙方负责，若由甲方负责卸车，发生的相应费用结算款中扣除。</w:t>
      </w:r>
    </w:p>
    <w:p w14:paraId="69087D49">
      <w:pPr>
        <w:pStyle w:val="13"/>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1.2送货不卸车：</w:t>
      </w:r>
      <w:r>
        <w:rPr>
          <w:rFonts w:hint="eastAsia" w:ascii="仿宋_GB2312" w:hAnsi="仿宋_GB2312" w:eastAsia="仿宋_GB2312" w:cs="仿宋_GB2312"/>
          <w:color w:val="000000" w:themeColor="text1"/>
          <w:highlight w:val="none"/>
          <w14:textFill>
            <w14:solidFill>
              <w14:schemeClr w14:val="tx1"/>
            </w14:solidFill>
          </w14:textFill>
        </w:rPr>
        <w:t>合同综合单价不含卸车费用，卸车工作由甲方组织。</w:t>
      </w:r>
    </w:p>
    <w:p w14:paraId="1AA75640">
      <w:pPr>
        <w:pStyle w:val="13"/>
        <w:spacing w:line="400" w:lineRule="atLeast"/>
        <w:ind w:firstLine="482" w:firstLineChars="20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1.3其他</w:t>
      </w:r>
      <w:permStart w:id="15"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
    <w:permEnd w:id="15"/>
    <w:p w14:paraId="165EDFFB">
      <w:pPr>
        <w:pStyle w:val="13"/>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甲方施工现场材料负责人提前</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16"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5</w:t>
      </w:r>
      <w:permEnd w:id="16"/>
      <w:r>
        <w:rPr>
          <w:rFonts w:hint="eastAsia" w:ascii="仿宋_GB2312" w:hAnsi="仿宋_GB2312" w:eastAsia="仿宋_GB2312" w:cs="仿宋_GB2312"/>
          <w:color w:val="000000" w:themeColor="text1"/>
          <w:highlight w:val="none"/>
          <w14:textFill>
            <w14:solidFill>
              <w14:schemeClr w14:val="tx1"/>
            </w14:solidFill>
          </w14:textFill>
        </w:rPr>
        <w:t>天向乙方提供每批次的需用计划（云筑网订单、计划联系函、电子邮件等），乙方根据甲方所提供的需用计划及时将货物配送至甲方指定堆场。</w:t>
      </w:r>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乙方延期供货次数不超过2次，否则乙方按合同第二部分第二条违约条款承担违约责任。乙方不得因甲方更改需用计划及要求乙方延期交货而向甲方提出索赔</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根据工程项目施工需要，甲方对所采购物资的数量和送货时间如有变更，及时书面通知乙方，乙方按变更后的数量和送货时间供货，新增或减少的物资价格不变。</w:t>
      </w:r>
    </w:p>
    <w:p w14:paraId="427A5FC5">
      <w:pPr>
        <w:pStyle w:val="13"/>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3、交货地点：</w:t>
      </w:r>
      <w:permStart w:id="1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甲方指定的其他地点</w:t>
      </w:r>
      <w:permEnd w:id="17"/>
      <w:r>
        <w:rPr>
          <w:rFonts w:hint="eastAsia" w:ascii="仿宋_GB2312" w:hAnsi="仿宋_GB2312" w:eastAsia="仿宋_GB2312" w:cs="仿宋_GB2312"/>
          <w:color w:val="000000" w:themeColor="text1"/>
          <w:highlight w:val="none"/>
          <w:u w:val="single"/>
          <w14:textFill>
            <w14:solidFill>
              <w14:schemeClr w14:val="tx1"/>
            </w14:solidFill>
          </w14:textFill>
        </w:rPr>
        <w:t>。</w:t>
      </w:r>
    </w:p>
    <w:p w14:paraId="769A0C3E">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permStart w:id="18"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货物清单内容</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8"/>
      <w:r>
        <w:rPr>
          <w:rFonts w:hint="eastAsia" w:ascii="仿宋_GB2312" w:hAnsi="仿宋_GB2312" w:eastAsia="仿宋_GB2312" w:cs="仿宋_GB2312"/>
          <w:color w:val="000000" w:themeColor="text1"/>
          <w:highlight w:val="none"/>
          <w14:textFill>
            <w14:solidFill>
              <w14:schemeClr w14:val="tx1"/>
            </w14:solidFill>
          </w14:textFill>
        </w:rPr>
        <w:t>。</w:t>
      </w:r>
    </w:p>
    <w:p w14:paraId="0D5784B2">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622E74A9">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permStart w:id="19"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于海潮</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1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0"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13293387810</w:t>
      </w:r>
      <w:permEnd w:id="2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1"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2E89F966">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permStart w:id="22"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3"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4"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4DB93353">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4" w:name="_Hlk126833838"/>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合同双方更换代表时应及时书面通知对方，保证货物交接顺利。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为避免货物供应争议，甲方保留拒绝乙方非指定联系人供货的权利，由此产生的费用由乙方承担。甲乙双方授权内容详见附件一、附件二</w:t>
      </w:r>
      <w:bookmarkEnd w:id="14"/>
      <w:r>
        <w:rPr>
          <w:rFonts w:hint="eastAsia" w:ascii="仿宋_GB2312" w:hAnsi="仿宋_GB2312" w:eastAsia="仿宋_GB2312" w:cs="仿宋_GB2312"/>
          <w:color w:val="000000" w:themeColor="text1"/>
          <w:highlight w:val="none"/>
          <w14:textFill>
            <w14:solidFill>
              <w14:schemeClr w14:val="tx1"/>
            </w14:solidFill>
          </w14:textFill>
        </w:rPr>
        <w:t>。</w:t>
      </w:r>
    </w:p>
    <w:p w14:paraId="6C99587B">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p>
    <w:p w14:paraId="77798E79">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6.1运输形式：</w:t>
      </w:r>
      <w:r>
        <w:rPr>
          <w:rFonts w:hint="eastAsia" w:ascii="仿宋_GB2312" w:hAnsi="仿宋_GB2312" w:eastAsia="仿宋_GB2312" w:cs="仿宋_GB2312"/>
          <w:color w:val="000000" w:themeColor="text1"/>
          <w:highlight w:val="none"/>
          <w14:textFill>
            <w14:solidFill>
              <w14:schemeClr w14:val="tx1"/>
            </w14:solidFill>
          </w14:textFill>
        </w:rPr>
        <w:t>乙方须组织专用的运输工具将货物运至甲方指定的地点（工程所在地或甲方指定的其他地点），并应当和甲方共同协商，合理安排送货路线、停车地点。</w:t>
      </w:r>
    </w:p>
    <w:p w14:paraId="09369747">
      <w:pPr>
        <w:pStyle w:val="13"/>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6.2注意事项：</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货物运输过程中，要遵守工程所在地政府的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15" w:name="_Hlk127189046"/>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乙方无法按甲方要求将产品送到指定地点卸货的，甲方有权不予验收，由此给甲方造成的损失由乙方承担</w:t>
      </w:r>
      <w:bookmarkEnd w:id="15"/>
      <w:r>
        <w:rPr>
          <w:rFonts w:hint="eastAsia" w:ascii="仿宋_GB2312" w:hAnsi="仿宋_GB2312" w:eastAsia="仿宋_GB2312" w:cs="仿宋_GB2312"/>
          <w:b/>
          <w:bCs/>
          <w:color w:val="000000" w:themeColor="text1"/>
          <w:highlight w:val="none"/>
          <w14:textFill>
            <w14:solidFill>
              <w14:schemeClr w14:val="tx1"/>
            </w14:solidFill>
          </w14:textFill>
        </w:rPr>
        <w:t>。</w:t>
      </w:r>
    </w:p>
    <w:p w14:paraId="08F39C42">
      <w:pPr>
        <w:pStyle w:val="13"/>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6.3货物的装车、运输、车辆返回全过程出现的安全事故或其它任何意外均由乙方承担责任。装车和运输途中的物资品质发生变化或丢失由乙方负责，由此造成的损失由乙方承担。</w:t>
      </w:r>
    </w:p>
    <w:p w14:paraId="34204581">
      <w:pPr>
        <w:pStyle w:val="13"/>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6.4乙方应对运输人员进行安全管理和安全教育，运输人员遵守交通法规。</w:t>
      </w:r>
    </w:p>
    <w:p w14:paraId="52453B0F">
      <w:pPr>
        <w:pStyle w:val="13"/>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1DD67A31">
      <w:pPr>
        <w:pStyle w:val="13"/>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211DB85F">
      <w:pPr>
        <w:pStyle w:val="13"/>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2E7EAD02">
      <w:pPr>
        <w:pStyle w:val="13"/>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0EAD72BD">
      <w:pPr>
        <w:pStyle w:val="13"/>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4F8F9E84">
      <w:pPr>
        <w:pStyle w:val="13"/>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70A80171">
      <w:pPr>
        <w:pStyle w:val="13"/>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7、货物包装：</w:t>
      </w:r>
    </w:p>
    <w:p w14:paraId="518D1973">
      <w:pPr>
        <w:spacing w:line="400" w:lineRule="atLeast"/>
        <w:ind w:firstLine="482"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7.1包装标准：</w:t>
      </w:r>
      <w:r>
        <w:rPr>
          <w:rFonts w:hint="eastAsia" w:ascii="仿宋_GB2312" w:hAnsi="仿宋_GB2312" w:eastAsia="仿宋_GB2312" w:cs="仿宋_GB2312"/>
          <w:color w:val="auto"/>
          <w:sz w:val="24"/>
          <w:szCs w:val="24"/>
          <w:highlight w:val="none"/>
        </w:rPr>
        <w:t>乙方按照国家或业务主管部门的技术规定执行（标准代号、标准编号及标准名称为</w:t>
      </w:r>
      <w:permStart w:id="25" w:edGrp="everyone"/>
      <w:r>
        <w:rPr>
          <w:rFonts w:hint="eastAsia" w:ascii="仿宋_GB2312" w:hAnsi="仿宋_GB2312" w:eastAsia="仿宋_GB2312" w:cs="仿宋_GB2312"/>
          <w:color w:val="auto"/>
          <w:sz w:val="24"/>
          <w:szCs w:val="24"/>
          <w:highlight w:val="none"/>
          <w:u w:val="single"/>
        </w:rPr>
        <w:t xml:space="preserve">    /  </w:t>
      </w:r>
      <w:permEnd w:id="25"/>
      <w:r>
        <w:rPr>
          <w:rFonts w:hint="eastAsia" w:ascii="仿宋_GB2312" w:hAnsi="仿宋_GB2312" w:eastAsia="仿宋_GB2312" w:cs="仿宋_GB2312"/>
          <w:color w:val="auto"/>
          <w:sz w:val="24"/>
          <w:szCs w:val="24"/>
          <w:highlight w:val="none"/>
        </w:rPr>
        <w:t>）；没有上述标准的，或虽有上述标准，但甲方对包装有特殊要求，按如下约定执行：</w:t>
      </w:r>
      <w:permStart w:id="26" w:edGrp="everyone"/>
      <w:r>
        <w:rPr>
          <w:rFonts w:hint="eastAsia" w:ascii="仿宋_GB2312" w:hAnsi="仿宋_GB2312" w:eastAsia="仿宋_GB2312" w:cs="仿宋_GB2312"/>
          <w:color w:val="auto"/>
          <w:sz w:val="24"/>
          <w:szCs w:val="24"/>
          <w:highlight w:val="none"/>
          <w:u w:val="single"/>
        </w:rPr>
        <w:t xml:space="preserve">   / </w:t>
      </w:r>
      <w:permEnd w:id="26"/>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21370332">
      <w:pPr>
        <w:pStyle w:val="13"/>
        <w:spacing w:line="400" w:lineRule="atLeas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7.2包装回收：</w:t>
      </w:r>
      <w:r>
        <w:rPr>
          <w:rFonts w:hint="eastAsia" w:ascii="仿宋_GB2312" w:hAnsi="仿宋_GB2312" w:eastAsia="仿宋_GB2312" w:cs="仿宋_GB2312"/>
          <w:color w:val="auto"/>
          <w:highlight w:val="none"/>
          <w:u w:val="single"/>
        </w:rPr>
        <w:t>乙方无特别注明视为无包装物回收，有包装物回收时乙方应在收到甲方通知7天内完成包装回收。</w:t>
      </w:r>
    </w:p>
    <w:p w14:paraId="534D54E4">
      <w:pPr>
        <w:pStyle w:val="13"/>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8、安装要求：</w:t>
      </w:r>
      <w:r>
        <w:rPr>
          <w:rFonts w:hint="eastAsia" w:ascii="仿宋_GB2312" w:hAnsi="仿宋_GB2312" w:eastAsia="仿宋_GB2312" w:cs="仿宋_GB2312"/>
          <w:color w:val="auto"/>
          <w:highlight w:val="none"/>
        </w:rPr>
        <w:t>若货物附带安装工作内容，单价已综合考虑不另计价，具体安装内容及要求如下：</w:t>
      </w:r>
      <w:permStart w:id="27" w:edGrp="everyone"/>
      <w:r>
        <w:rPr>
          <w:rFonts w:hint="eastAsia" w:ascii="仿宋_GB2312" w:hAnsi="仿宋_GB2312" w:eastAsia="仿宋_GB2312" w:cs="仿宋_GB2312"/>
          <w:color w:val="auto"/>
          <w:highlight w:val="none"/>
          <w:u w:val="single"/>
        </w:rPr>
        <w:t xml:space="preserve">   /  </w:t>
      </w:r>
      <w:permEnd w:id="27"/>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64ACC81B">
      <w:pPr>
        <w:pStyle w:val="13"/>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9、货物意外灭失风险：</w:t>
      </w:r>
      <w:r>
        <w:rPr>
          <w:rFonts w:hint="eastAsia" w:ascii="仿宋_GB2312" w:hAnsi="仿宋_GB2312" w:eastAsia="仿宋_GB2312" w:cs="仿宋_GB2312"/>
          <w:color w:val="auto"/>
          <w:highlight w:val="none"/>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2B453DA7">
      <w:pPr>
        <w:pStyle w:val="13"/>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auto"/>
          <w:highlight w:val="none"/>
        </w:rPr>
      </w:pPr>
      <w:bookmarkStart w:id="16" w:name="_Toc29361"/>
      <w:bookmarkStart w:id="17" w:name="_Toc15437"/>
      <w:bookmarkStart w:id="18" w:name="_Toc12447"/>
      <w:r>
        <w:rPr>
          <w:rFonts w:hint="eastAsia" w:ascii="仿宋_GB2312" w:hAnsi="仿宋_GB2312" w:eastAsia="仿宋_GB2312" w:cs="仿宋_GB2312"/>
          <w:b/>
          <w:bCs/>
          <w:color w:val="auto"/>
          <w:highlight w:val="none"/>
        </w:rPr>
        <w:t>货物质量</w:t>
      </w:r>
      <w:bookmarkEnd w:id="16"/>
      <w:bookmarkEnd w:id="17"/>
      <w:bookmarkEnd w:id="18"/>
    </w:p>
    <w:p w14:paraId="15B7A066">
      <w:pPr>
        <w:pStyle w:val="13"/>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1、质量要求及技术标准：</w:t>
      </w:r>
    </w:p>
    <w:p w14:paraId="406E5DEB">
      <w:pPr>
        <w:pStyle w:val="13"/>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1.1按照国家标准执行（标准代号、标准编号及标准名称为</w:t>
      </w:r>
      <w:permStart w:id="28" w:edGrp="everyone"/>
      <w:r>
        <w:rPr>
          <w:rFonts w:hint="eastAsia" w:ascii="仿宋_GB2312" w:hAnsi="仿宋_GB2312" w:eastAsia="仿宋_GB2312" w:cs="仿宋_GB2312"/>
          <w:color w:val="auto"/>
          <w:highlight w:val="none"/>
        </w:rPr>
        <w:t>GB/T 16545-2008《</w:t>
      </w:r>
      <w:r>
        <w:rPr>
          <w:rFonts w:hint="default" w:ascii="仿宋_GB2312" w:hAnsi="仿宋_GB2312" w:eastAsia="仿宋_GB2312" w:cs="仿宋_GB2312"/>
          <w:color w:val="auto"/>
          <w:highlight w:val="none"/>
        </w:rPr>
        <w:t>木方》</w:t>
      </w:r>
      <w:r>
        <w:rPr>
          <w:rFonts w:hint="eastAsia" w:ascii="仿宋_GB2312" w:hAnsi="仿宋_GB2312" w:eastAsia="仿宋_GB2312" w:cs="仿宋_GB2312"/>
          <w:color w:val="auto"/>
          <w:highlight w:val="none"/>
          <w:lang w:eastAsia="zh-CN"/>
        </w:rPr>
        <w:t>、GB 18580-2025</w:t>
      </w:r>
      <w:permEnd w:id="28"/>
      <w:r>
        <w:rPr>
          <w:rFonts w:hint="eastAsia" w:ascii="仿宋_GB2312" w:hAnsi="仿宋_GB2312" w:eastAsia="仿宋_GB2312" w:cs="仿宋_GB2312"/>
          <w:color w:val="auto"/>
          <w:highlight w:val="none"/>
        </w:rPr>
        <w:t>）。</w:t>
      </w:r>
    </w:p>
    <w:p w14:paraId="0AAD8622">
      <w:pPr>
        <w:pStyle w:val="13"/>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1.2无国家标准而有部颁标准的，按部颁标准执行。</w:t>
      </w:r>
    </w:p>
    <w:p w14:paraId="440C241D">
      <w:pPr>
        <w:pStyle w:val="13"/>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1.3无国家和部颁标准的，按企业标准执行。</w:t>
      </w:r>
    </w:p>
    <w:p w14:paraId="194071B3">
      <w:pPr>
        <w:pStyle w:val="13"/>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1.4没有上述标准的，或虽有上述标准，但甲方有特殊要求的，按甲乙双方在合同中商定的技术条件、样品或补充的技术要求执行（具体要求</w:t>
      </w:r>
      <w:permStart w:id="29" w:edGrp="everyone"/>
      <w:r>
        <w:rPr>
          <w:rFonts w:hint="eastAsia" w:ascii="仿宋_GB2312" w:hAnsi="仿宋_GB2312" w:eastAsia="仿宋_GB2312" w:cs="仿宋_GB2312"/>
          <w:color w:val="auto"/>
          <w:highlight w:val="none"/>
          <w:u w:val="single"/>
          <w:lang w:val="en-US" w:eastAsia="zh-CN"/>
        </w:rPr>
        <w:t>/</w:t>
      </w:r>
      <w:r>
        <w:rPr>
          <w:rFonts w:hint="eastAsia" w:ascii="仿宋_GB2312" w:hAnsi="仿宋_GB2312" w:eastAsia="仿宋_GB2312" w:cs="仿宋_GB2312"/>
          <w:color w:val="auto"/>
          <w:highlight w:val="none"/>
        </w:rPr>
        <w:t xml:space="preserve"> </w:t>
      </w:r>
      <w:permEnd w:id="29"/>
      <w:r>
        <w:rPr>
          <w:rFonts w:hint="eastAsia" w:ascii="仿宋_GB2312" w:hAnsi="仿宋_GB2312" w:eastAsia="仿宋_GB2312" w:cs="仿宋_GB2312"/>
          <w:color w:val="auto"/>
          <w:highlight w:val="none"/>
        </w:rPr>
        <w:t>）。</w:t>
      </w:r>
    </w:p>
    <w:p w14:paraId="3D9F0FF1">
      <w:pPr>
        <w:pStyle w:val="13"/>
        <w:spacing w:line="400" w:lineRule="atLeast"/>
        <w:ind w:firstLine="480" w:firstLineChars="200"/>
        <w:outlineLvl w:val="1"/>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1.5如乙方有通过国家相关质量体系认证的企业标准，且其标准高于上述标准的，按乙方企业标准执行。产品必须满足中华人民共和国国家、地方及行业最新颁布的相关标准及技术规范，如果规范、标准、要求适用于同一种情况，则以标准高者为准</w:t>
      </w:r>
      <w:r>
        <w:rPr>
          <w:rFonts w:hint="eastAsia" w:ascii="仿宋_GB2312" w:hAnsi="仿宋_GB2312" w:eastAsia="仿宋_GB2312" w:cs="仿宋_GB2312"/>
          <w:color w:val="auto"/>
          <w:highlight w:val="none"/>
          <w:lang w:eastAsia="zh-CN"/>
        </w:rPr>
        <w:t>。</w:t>
      </w:r>
    </w:p>
    <w:p w14:paraId="78CEA718">
      <w:pPr>
        <w:pStyle w:val="13"/>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1.6其他：</w:t>
      </w:r>
      <w:permStart w:id="30" w:edGrp="everyone"/>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u w:val="single"/>
        </w:rPr>
        <w:t xml:space="preserve">/                  </w:t>
      </w:r>
      <w:permEnd w:id="30"/>
      <w:r>
        <w:rPr>
          <w:rFonts w:hint="eastAsia" w:ascii="仿宋_GB2312" w:hAnsi="仿宋_GB2312" w:eastAsia="仿宋_GB2312" w:cs="仿宋_GB2312"/>
          <w:color w:val="auto"/>
          <w:highlight w:val="none"/>
        </w:rPr>
        <w:t>。</w:t>
      </w:r>
    </w:p>
    <w:p w14:paraId="0D5661AB">
      <w:pPr>
        <w:pStyle w:val="13"/>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2、货物附件清单：</w:t>
      </w:r>
      <w:r>
        <w:rPr>
          <w:rFonts w:hint="eastAsia" w:ascii="仿宋_GB2312" w:hAnsi="仿宋_GB2312" w:eastAsia="仿宋_GB2312" w:cs="仿宋_GB2312"/>
          <w:color w:val="auto"/>
          <w:highlight w:val="none"/>
        </w:rPr>
        <w:t>乙方应按甲方要求在交货时提供货物附件清单：</w:t>
      </w:r>
      <w:permStart w:id="31" w:edGrp="everyone"/>
      <w:r>
        <w:rPr>
          <w:rFonts w:hint="eastAsia" w:ascii="仿宋_GB2312" w:hAnsi="仿宋_GB2312" w:eastAsia="仿宋_GB2312" w:cs="仿宋_GB2312"/>
          <w:color w:val="auto"/>
          <w:highlight w:val="none"/>
          <w:u w:val="single"/>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permEnd w:id="31"/>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color w:val="auto"/>
          <w:highlight w:val="none"/>
        </w:rPr>
        <w:t>附件清单明确附件内容及份数同时加印乙方签章于收货时一并交由甲方核验，否则甲方不予办理收料手续。</w:t>
      </w:r>
    </w:p>
    <w:p w14:paraId="4833F580">
      <w:pPr>
        <w:pStyle w:val="13"/>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3、货物质量保修期：</w:t>
      </w:r>
      <w:r>
        <w:rPr>
          <w:rFonts w:hint="eastAsia" w:ascii="仿宋_GB2312" w:hAnsi="仿宋_GB2312" w:eastAsia="仿宋_GB2312" w:cs="仿宋_GB2312"/>
          <w:color w:val="auto"/>
          <w:highlight w:val="none"/>
        </w:rPr>
        <w:t>按下列第</w:t>
      </w:r>
      <w:r>
        <w:rPr>
          <w:rFonts w:hint="eastAsia" w:ascii="仿宋_GB2312" w:hAnsi="仿宋_GB2312" w:eastAsia="仿宋_GB2312" w:cs="仿宋_GB2312"/>
          <w:color w:val="auto"/>
          <w:highlight w:val="none"/>
          <w:u w:val="single"/>
        </w:rPr>
        <w:t xml:space="preserve"> </w:t>
      </w:r>
      <w:permStart w:id="32" w:edGrp="everyone"/>
      <w:r>
        <w:rPr>
          <w:rFonts w:hint="eastAsia" w:ascii="仿宋_GB2312" w:hAnsi="仿宋_GB2312" w:eastAsia="仿宋_GB2312" w:cs="仿宋_GB2312"/>
          <w:color w:val="auto"/>
          <w:highlight w:val="none"/>
          <w:u w:val="single"/>
          <w:lang w:val="en-US" w:eastAsia="zh-CN"/>
        </w:rPr>
        <w:t>3.3</w:t>
      </w:r>
      <w:permEnd w:id="32"/>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项执行（如货物明示或设计的质量保修期/缺陷责任期较长的，以较长者为准）：</w:t>
      </w:r>
    </w:p>
    <w:p w14:paraId="722EC853">
      <w:pPr>
        <w:pStyle w:val="13"/>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3.1质量保修期无</w:t>
      </w:r>
    </w:p>
    <w:p w14:paraId="6D5A36AF">
      <w:pPr>
        <w:pStyle w:val="13"/>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3.2质量保修期为</w:t>
      </w:r>
      <w:permStart w:id="33" w:edGrp="everyone"/>
      <w:r>
        <w:rPr>
          <w:rFonts w:hint="eastAsia" w:ascii="仿宋_GB2312" w:hAnsi="仿宋_GB2312" w:eastAsia="仿宋_GB2312" w:cs="仿宋_GB2312"/>
          <w:color w:val="auto"/>
          <w:highlight w:val="none"/>
          <w:u w:val="single"/>
        </w:rPr>
        <w:t xml:space="preserve">  /   </w:t>
      </w:r>
      <w:permEnd w:id="33"/>
      <w:r>
        <w:rPr>
          <w:rFonts w:hint="eastAsia" w:ascii="仿宋_GB2312" w:hAnsi="仿宋_GB2312" w:eastAsia="仿宋_GB2312" w:cs="仿宋_GB2312"/>
          <w:color w:val="auto"/>
          <w:highlight w:val="none"/>
        </w:rPr>
        <w:t>个月，自货物进场验收合格之日起算；</w:t>
      </w:r>
    </w:p>
    <w:p w14:paraId="25ACB3C3">
      <w:pPr>
        <w:pStyle w:val="13"/>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3.3质量保修期为</w:t>
      </w:r>
      <w:permStart w:id="34"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4</w:t>
      </w:r>
      <w:r>
        <w:rPr>
          <w:rFonts w:hint="eastAsia" w:ascii="仿宋_GB2312" w:hAnsi="仿宋_GB2312" w:eastAsia="仿宋_GB2312" w:cs="仿宋_GB2312"/>
          <w:color w:val="auto"/>
          <w:highlight w:val="none"/>
          <w:u w:val="single"/>
        </w:rPr>
        <w:t xml:space="preserve">  </w:t>
      </w:r>
      <w:permEnd w:id="34"/>
      <w:r>
        <w:rPr>
          <w:rFonts w:hint="eastAsia" w:ascii="仿宋_GB2312" w:hAnsi="仿宋_GB2312" w:eastAsia="仿宋_GB2312" w:cs="仿宋_GB2312"/>
          <w:color w:val="auto"/>
          <w:highlight w:val="none"/>
        </w:rPr>
        <w:t>个月，从工程（送货地工程）竣工验收合格之日（以业主颁发竣工证书所载日期为准）起计算；</w:t>
      </w:r>
    </w:p>
    <w:p w14:paraId="4AFA9E3B">
      <w:pPr>
        <w:pStyle w:val="13"/>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52CA03F6">
      <w:pPr>
        <w:pStyle w:val="13"/>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9" w:name="_Toc12481"/>
      <w:bookmarkStart w:id="20" w:name="_Toc3621"/>
      <w:bookmarkStart w:id="21" w:name="_Toc22036"/>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19"/>
      <w:bookmarkEnd w:id="20"/>
      <w:bookmarkEnd w:id="21"/>
    </w:p>
    <w:p w14:paraId="47107D5D">
      <w:pPr>
        <w:pStyle w:val="13"/>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auto"/>
          <w:highlight w:val="none"/>
        </w:rPr>
        <w:t>货物进场需由甲方物资管理人员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不少于2人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bookmarkStart w:id="22" w:name="_Hlk127189311"/>
      <w:r>
        <w:rPr>
          <w:rFonts w:hint="eastAsia" w:ascii="仿宋_GB2312" w:hAnsi="仿宋_GB2312" w:eastAsia="仿宋_GB2312" w:cs="仿宋_GB2312"/>
          <w:color w:val="auto"/>
          <w:highlight w:val="none"/>
        </w:rPr>
        <w:t>现场责任</w:t>
      </w:r>
      <w:bookmarkEnd w:id="22"/>
      <w:r>
        <w:rPr>
          <w:rFonts w:hint="eastAsia" w:ascii="仿宋_GB2312" w:hAnsi="仿宋_GB2312" w:eastAsia="仿宋_GB2312" w:cs="仿宋_GB2312"/>
          <w:color w:val="auto"/>
          <w:highlight w:val="none"/>
        </w:rPr>
        <w:t>工程师、分包单位和乙方发货联系人共同完成现场验收，现场验收不代表货物质量合格，质量是否合格需要进一步复核确定。</w:t>
      </w:r>
    </w:p>
    <w:p w14:paraId="6D07D633">
      <w:pPr>
        <w:pStyle w:val="13"/>
        <w:numPr>
          <w:ilvl w:val="0"/>
          <w:numId w:val="3"/>
        </w:numPr>
        <w:spacing w:line="400" w:lineRule="atLeast"/>
        <w:ind w:firstLine="482" w:firstLineChars="200"/>
        <w:jc w:val="both"/>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验收方式：</w:t>
      </w:r>
      <w:r>
        <w:rPr>
          <w:rFonts w:hint="eastAsia" w:ascii="仿宋_GB2312" w:hAnsi="仿宋_GB2312" w:eastAsia="仿宋_GB2312" w:cs="仿宋_GB2312"/>
          <w:color w:val="000000" w:themeColor="text1"/>
          <w:highlight w:val="none"/>
          <w:u w:val="single"/>
          <w14:textFill>
            <w14:solidFill>
              <w14:schemeClr w14:val="tx1"/>
            </w14:solidFill>
          </w14:textFill>
        </w:rPr>
        <w:t>以智能地磅、云筑收验货系统为主要载体，结合视频监控系统，完成核对凭证、外观质量验收、数量验收和检测报告四步验收，甲方收货联系人出具</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过磅单、</w:t>
      </w:r>
      <w:r>
        <w:rPr>
          <w:rFonts w:hint="eastAsia" w:ascii="仿宋_GB2312" w:hAnsi="仿宋_GB2312" w:eastAsia="仿宋_GB2312" w:cs="仿宋_GB2312"/>
          <w:color w:val="000000" w:themeColor="text1"/>
          <w:highlight w:val="none"/>
          <w:u w:val="single"/>
          <w14:textFill>
            <w14:solidFill>
              <w14:schemeClr w14:val="tx1"/>
            </w14:solidFill>
          </w14:textFill>
        </w:rPr>
        <w:t>收料单，甲方收货联系人及乙方发货联系人双方签字后视为验收完成。</w:t>
      </w:r>
    </w:p>
    <w:p w14:paraId="43FFA877">
      <w:pPr>
        <w:pStyle w:val="13"/>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35D57DD7">
      <w:pPr>
        <w:pStyle w:val="13"/>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highlight w:val="none"/>
        </w:rPr>
        <w:t>甲乙双方在交货现场以</w:t>
      </w:r>
      <w:permStart w:id="35" w:edGrp="everyone"/>
      <w:r>
        <w:rPr>
          <w:rFonts w:hint="eastAsia" w:ascii="仿宋_GB2312" w:hAnsi="仿宋_GB2312" w:eastAsia="仿宋_GB2312" w:cs="仿宋_GB2312"/>
          <w:highlight w:val="none"/>
          <w:lang w:eastAsia="zh-CN"/>
        </w:rPr>
        <w:t>□</w:t>
      </w:r>
      <w:permEnd w:id="35"/>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permStart w:id="36" w:edGrp="everyone"/>
      <w:r>
        <w:rPr>
          <w:rFonts w:hint="eastAsia" w:ascii="仿宋_GB2312" w:hAnsi="仿宋_GB2312" w:eastAsia="仿宋_GB2312" w:cs="仿宋_GB2312"/>
          <w:highlight w:val="none"/>
          <w:lang w:eastAsia="zh-CN"/>
        </w:rPr>
        <w:t>☑</w:t>
      </w:r>
      <w:permEnd w:id="36"/>
      <w:r>
        <w:rPr>
          <w:rFonts w:hint="eastAsia" w:ascii="仿宋_GB2312" w:hAnsi="仿宋_GB2312" w:eastAsia="仿宋_GB2312" w:cs="仿宋_GB2312"/>
          <w:highlight w:val="none"/>
        </w:rPr>
        <w:t xml:space="preserve"> 计件</w:t>
      </w:r>
      <w:r>
        <w:rPr>
          <w:rFonts w:hint="eastAsia" w:ascii="仿宋_GB2312" w:hAnsi="仿宋_GB2312" w:eastAsia="仿宋_GB2312" w:cs="仿宋_GB2312"/>
          <w:highlight w:val="none"/>
          <w:lang w:val="en-US" w:eastAsia="zh-CN"/>
        </w:rPr>
        <w:t>/</w:t>
      </w:r>
      <w:permStart w:id="37" w:edGrp="everyone"/>
      <w:r>
        <w:rPr>
          <w:rFonts w:hint="eastAsia" w:ascii="仿宋_GB2312" w:hAnsi="仿宋_GB2312" w:eastAsia="仿宋_GB2312" w:cs="仿宋_GB2312"/>
          <w:highlight w:val="none"/>
        </w:rPr>
        <w:t xml:space="preserve">□ </w:t>
      </w:r>
      <w:permEnd w:id="37"/>
      <w:r>
        <w:rPr>
          <w:rFonts w:hint="eastAsia" w:ascii="仿宋_GB2312" w:hAnsi="仿宋_GB2312" w:eastAsia="仿宋_GB2312" w:cs="仿宋_GB2312"/>
          <w:highlight w:val="none"/>
        </w:rPr>
        <w:t>检尺</w:t>
      </w:r>
      <w:r>
        <w:rPr>
          <w:rFonts w:hint="eastAsia" w:ascii="仿宋_GB2312" w:hAnsi="仿宋_GB2312" w:eastAsia="仿宋_GB2312" w:cs="仿宋_GB2312"/>
          <w:highlight w:val="none"/>
          <w:lang w:val="en-US" w:eastAsia="zh-CN"/>
        </w:rPr>
        <w:t>/</w:t>
      </w:r>
      <w:permStart w:id="38" w:edGrp="everyone"/>
      <w:r>
        <w:rPr>
          <w:rFonts w:hint="eastAsia" w:ascii="仿宋_GB2312" w:hAnsi="仿宋_GB2312" w:eastAsia="仿宋_GB2312" w:cs="仿宋_GB2312"/>
          <w:highlight w:val="none"/>
        </w:rPr>
        <w:t xml:space="preserve">□ </w:t>
      </w:r>
      <w:permEnd w:id="38"/>
      <w:r>
        <w:rPr>
          <w:rFonts w:hint="eastAsia" w:ascii="仿宋_GB2312" w:hAnsi="仿宋_GB2312" w:eastAsia="仿宋_GB2312" w:cs="仿宋_GB2312"/>
          <w:highlight w:val="none"/>
        </w:rPr>
        <w:t>其他计量方式</w:t>
      </w:r>
      <w:permStart w:id="39" w:edGrp="everyone"/>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w:t>
      </w:r>
      <w:r>
        <w:rPr>
          <w:rFonts w:hint="eastAsia" w:ascii="仿宋_GB2312" w:hAnsi="仿宋_GB2312" w:eastAsia="仿宋_GB2312" w:cs="仿宋_GB2312"/>
          <w:highlight w:val="none"/>
          <w:u w:val="single"/>
        </w:rPr>
        <w:t xml:space="preserve">    </w:t>
      </w:r>
      <w:permEnd w:id="39"/>
      <w:r>
        <w:rPr>
          <w:rFonts w:hint="eastAsia" w:ascii="仿宋_GB2312" w:hAnsi="仿宋_GB2312" w:eastAsia="仿宋_GB2312" w:cs="仿宋_GB2312"/>
          <w:highlight w:val="none"/>
        </w:rPr>
        <w:t>进行数量验收，乙方应对在甲方工地现场的数量验收数据进行确认。</w:t>
      </w:r>
    </w:p>
    <w:p w14:paraId="27997F8B">
      <w:pPr>
        <w:pStyle w:val="13"/>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3.2数量验收凭据：</w:t>
      </w:r>
      <w:r>
        <w:rPr>
          <w:rFonts w:hint="eastAsia" w:ascii="仿宋_GB2312" w:hAnsi="仿宋_GB2312" w:eastAsia="仿宋_GB2312" w:cs="仿宋_GB2312"/>
          <w:highlight w:val="none"/>
          <w:u w:val="none"/>
        </w:rPr>
        <w:t>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标的物进场的依据，乙方对甲方签字人员权限负有审查义务</w:t>
      </w:r>
      <w:r>
        <w:rPr>
          <w:rFonts w:hint="eastAsia" w:ascii="仿宋_GB2312" w:hAnsi="仿宋_GB2312" w:eastAsia="仿宋_GB2312" w:cs="仿宋_GB2312"/>
          <w:highlight w:val="none"/>
          <w:u w:val="none"/>
          <w:lang w:val="en-US" w:eastAsia="zh-CN"/>
        </w:rPr>
        <w:t>。</w:t>
      </w:r>
    </w:p>
    <w:p w14:paraId="42AEEA02">
      <w:pPr>
        <w:pStyle w:val="13"/>
        <w:spacing w:line="400" w:lineRule="atLeast"/>
        <w:ind w:firstLine="482"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highlight w:val="none"/>
        </w:rPr>
        <w:t>3.3数量争议：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w:t>
      </w:r>
      <w:r>
        <w:rPr>
          <w:rFonts w:hint="eastAsia" w:ascii="仿宋_GB2312" w:hAnsi="仿宋_GB2312" w:eastAsia="仿宋_GB2312" w:cs="仿宋_GB2312"/>
          <w:b/>
          <w:bCs/>
          <w:color w:val="000000" w:themeColor="text1"/>
          <w:highlight w:val="none"/>
          <w14:textFill>
            <w14:solidFill>
              <w14:schemeClr w14:val="tx1"/>
            </w14:solidFill>
          </w14:textFill>
        </w:rPr>
        <w:t>乙方应在3天内作出答复，未回复视为认可甲方验收数量</w:t>
      </w:r>
      <w:r>
        <w:rPr>
          <w:rFonts w:hint="eastAsia" w:ascii="仿宋_GB2312" w:hAnsi="仿宋_GB2312" w:eastAsia="仿宋_GB2312" w:cs="仿宋_GB2312"/>
          <w:color w:val="000000" w:themeColor="text1"/>
          <w:highlight w:val="none"/>
          <w14:textFill>
            <w14:solidFill>
              <w14:schemeClr w14:val="tx1"/>
            </w14:solidFill>
          </w14:textFill>
        </w:rPr>
        <w:t>。</w:t>
      </w:r>
    </w:p>
    <w:p w14:paraId="07ECBFC3">
      <w:pPr>
        <w:pStyle w:val="13"/>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质量验收：</w:t>
      </w:r>
    </w:p>
    <w:p w14:paraId="14A6286B">
      <w:pPr>
        <w:pStyle w:val="13"/>
        <w:spacing w:line="400" w:lineRule="atLeast"/>
        <w:ind w:firstLine="482" w:firstLineChars="200"/>
        <w:rPr>
          <w:rFonts w:ascii="仿宋_GB2312" w:hAnsi="仿宋_GB2312" w:eastAsia="仿宋_GB2312" w:cs="仿宋_GB2312"/>
          <w:color w:val="FF0000"/>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4.1外观验收：</w:t>
      </w:r>
      <w:r>
        <w:rPr>
          <w:rFonts w:hint="eastAsia" w:ascii="仿宋_GB2312" w:hAnsi="仿宋_GB2312" w:eastAsia="仿宋_GB2312" w:cs="仿宋_GB2312"/>
          <w:color w:val="000000" w:themeColor="text1"/>
          <w:highlight w:val="none"/>
          <w14:textFill>
            <w14:solidFill>
              <w14:schemeClr w14:val="tx1"/>
            </w14:solidFill>
          </w14:textFill>
        </w:rPr>
        <w:t>甲方按照本合同约定的标准及乙方提交的货物附件清单中产品质量证明书等资料作为外观验收标准,外观质量符合合同要求方可卸车,否则不得卸车。</w:t>
      </w:r>
    </w:p>
    <w:p w14:paraId="197DAE15">
      <w:pPr>
        <w:spacing w:line="400" w:lineRule="exact"/>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4.2送样要求：</w:t>
      </w:r>
      <w:r>
        <w:rPr>
          <w:rFonts w:hint="eastAsia" w:ascii="仿宋_GB2312" w:hAnsi="仿宋_GB2312" w:eastAsia="仿宋_GB2312" w:cs="仿宋_GB2312"/>
          <w:sz w:val="24"/>
          <w:szCs w:val="24"/>
          <w:highlight w:val="none"/>
        </w:rPr>
        <w:t>对于甲方要求提前送样的货物,乙方应按照甲方要求送审材料样品，样品送审内容包括但不限于材料样品本身，还包括提供样品材料的</w:t>
      </w:r>
      <w:permStart w:id="40" w:edGrp="everyone"/>
      <w:r>
        <w:rPr>
          <w:rFonts w:hint="eastAsia" w:ascii="仿宋_GB2312" w:hAnsi="仿宋_GB2312" w:eastAsia="仿宋_GB2312" w:cs="仿宋_GB2312"/>
          <w:sz w:val="24"/>
          <w:szCs w:val="24"/>
          <w:highlight w:val="none"/>
          <w:u w:val="single"/>
        </w:rPr>
        <w:t>质量、外观、品牌、商标、规格、型号、花色、标识、生产厂家、产品生产许可证、产品质量证明书、出厂合格证、产品检验报告</w:t>
      </w:r>
      <w:permEnd w:id="40"/>
      <w:r>
        <w:rPr>
          <w:rFonts w:hint="eastAsia" w:ascii="仿宋_GB2312" w:hAnsi="仿宋_GB2312" w:eastAsia="仿宋_GB2312" w:cs="仿宋_GB2312"/>
          <w:sz w:val="24"/>
          <w:szCs w:val="24"/>
          <w:highlight w:val="none"/>
        </w:rPr>
        <w:t>等相关的技术质量资料。一旦甲、乙双方签约后且材料的样品得到甲方、业主及监理认可并且封存样品后，未经甲方、业主及监理同意，乙方不得作任何变更。</w:t>
      </w:r>
    </w:p>
    <w:p w14:paraId="2C84D289">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highlight w:val="none"/>
        </w:rPr>
        <w:t>正式交货时材料的相关技术质量资料应保持和样品一致，如所进材料和样品不一致，属乙方违约，</w:t>
      </w:r>
      <w:bookmarkStart w:id="23" w:name="_Hlk126833969"/>
      <w:r>
        <w:rPr>
          <w:rFonts w:hint="eastAsia" w:ascii="仿宋_GB2312" w:hAnsi="仿宋_GB2312" w:eastAsia="仿宋_GB2312" w:cs="仿宋_GB2312"/>
          <w:b/>
          <w:bCs/>
          <w:highlight w:val="none"/>
        </w:rPr>
        <w:t>乙方</w:t>
      </w:r>
      <w:r>
        <w:rPr>
          <w:rFonts w:hint="eastAsia" w:ascii="仿宋_GB2312" w:hAnsi="仿宋_GB2312" w:eastAsia="仿宋_GB2312" w:cs="仿宋_GB2312"/>
          <w:b/>
          <w:bCs/>
          <w:color w:val="auto"/>
          <w:highlight w:val="none"/>
        </w:rPr>
        <w:t>按合同第二部分第二条违约条款</w:t>
      </w:r>
      <w:r>
        <w:rPr>
          <w:rFonts w:hint="eastAsia" w:ascii="仿宋_GB2312" w:hAnsi="仿宋_GB2312" w:eastAsia="仿宋_GB2312" w:cs="仿宋_GB2312"/>
          <w:b/>
          <w:bCs/>
          <w:highlight w:val="none"/>
        </w:rPr>
        <w:t>承担违约责任，并赔偿由此给甲方带来的全部经济损失</w:t>
      </w:r>
      <w:bookmarkEnd w:id="23"/>
      <w:r>
        <w:rPr>
          <w:rFonts w:hint="eastAsia" w:ascii="仿宋_GB2312" w:hAnsi="仿宋_GB2312" w:eastAsia="仿宋_GB2312" w:cs="仿宋_GB2312"/>
          <w:color w:val="000000" w:themeColor="text1"/>
          <w:highlight w:val="none"/>
          <w14:textFill>
            <w14:solidFill>
              <w14:schemeClr w14:val="tx1"/>
            </w14:solidFill>
          </w14:textFill>
        </w:rPr>
        <w:t>。</w:t>
      </w:r>
    </w:p>
    <w:p w14:paraId="0B026F63">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4.3质量检测：</w:t>
      </w:r>
      <w:r>
        <w:rPr>
          <w:rFonts w:hint="eastAsia" w:ascii="仿宋_GB2312" w:hAnsi="仿宋_GB2312" w:eastAsia="仿宋_GB2312" w:cs="仿宋_GB2312"/>
          <w:color w:val="000000" w:themeColor="text1"/>
          <w:highlight w:val="none"/>
          <w14:textFill>
            <w14:solidFill>
              <w14:schemeClr w14:val="tx1"/>
            </w14:solidFill>
          </w14:textFill>
        </w:rPr>
        <w:t>货物应在产品使用前进行检测，待检测合格后方可使用；如检测不合格，由乙方负责在48小时内包退包换，并承担往来运输费、上下车的力资费及相应工期损失、经济损失。</w:t>
      </w:r>
    </w:p>
    <w:p w14:paraId="53F96043">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业主、监理、设计单位及甲方均有权随机抽样对货物进行第三方检测或测试，乙方有责任协助甲方完成相关测试工作，若供货材料抽样检测不合格，乙方应承担相应费用和损失。</w:t>
      </w:r>
    </w:p>
    <w:p w14:paraId="4C5F670D">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4.4质量争议：</w:t>
      </w:r>
      <w:r>
        <w:rPr>
          <w:rFonts w:hint="eastAsia" w:ascii="仿宋_GB2312" w:hAnsi="仿宋_GB2312" w:eastAsia="仿宋_GB2312" w:cs="仿宋_GB2312"/>
          <w:color w:val="000000" w:themeColor="text1"/>
          <w:highlight w:val="none"/>
          <w14:textFill>
            <w14:solidFill>
              <w14:schemeClr w14:val="tx1"/>
            </w14:solidFill>
          </w14:textFill>
        </w:rPr>
        <w:t>货物如有质量异议，应在收货后7天向对方提出，乙方应在3天内作出答复，未回复视为认可货物质量瑕疵或缺陷。因质量发生争议，双方同意共同取样并送交</w:t>
      </w:r>
      <w:permStart w:id="41"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日喀则市</w:t>
      </w:r>
      <w:permEnd w:id="41"/>
      <w:r>
        <w:rPr>
          <w:rFonts w:hint="eastAsia" w:ascii="仿宋_GB2312" w:hAnsi="仿宋_GB2312" w:eastAsia="仿宋_GB2312" w:cs="仿宋_GB2312"/>
          <w:color w:val="000000" w:themeColor="text1"/>
          <w:highlight w:val="none"/>
          <w14:textFill>
            <w14:solidFill>
              <w14:schemeClr w14:val="tx1"/>
            </w14:solidFill>
          </w14:textFill>
        </w:rPr>
        <w:t>检测站进行检验，并以该机构的检验结果为准，因此而发生的费用由责任方承担。如出现不合格品，乙方应在甲方规定时间内包退包换，所发生的费用由乙方承担。</w:t>
      </w:r>
    </w:p>
    <w:p w14:paraId="49289FF3">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5F89A94D">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4.5更换原则：</w:t>
      </w:r>
      <w:r>
        <w:rPr>
          <w:rFonts w:hint="eastAsia" w:ascii="仿宋_GB2312" w:hAnsi="仿宋_GB2312" w:eastAsia="仿宋_GB2312" w:cs="仿宋_GB2312"/>
          <w:color w:val="000000" w:themeColor="text1"/>
          <w:highlight w:val="none"/>
          <w14:textFill>
            <w14:solidFill>
              <w14:schemeClr w14:val="tx1"/>
            </w14:solidFill>
          </w14:textFill>
        </w:rPr>
        <w:t>由于任何一方原因引起产品更换或补发的时间延长,均以不影响工程进度为原则，如造成影响，则由责任方承担由此导致的后果。</w:t>
      </w:r>
    </w:p>
    <w:p w14:paraId="12674762">
      <w:pPr>
        <w:pStyle w:val="13"/>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4.6验收责任：</w:t>
      </w:r>
      <w:r>
        <w:rPr>
          <w:rFonts w:hint="eastAsia" w:ascii="仿宋_GB2312" w:hAnsi="仿宋_GB2312" w:eastAsia="仿宋_GB2312" w:cs="仿宋_GB2312"/>
          <w:color w:val="000000" w:themeColor="text1"/>
          <w:highlight w:val="none"/>
          <w14:textFill>
            <w14:solidFill>
              <w14:schemeClr w14:val="tx1"/>
            </w14:solidFill>
          </w14:textFill>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14:textFill>
            <w14:solidFill>
              <w14:schemeClr w14:val="tx1"/>
            </w14:solidFill>
          </w14:textFill>
        </w:rPr>
        <w:t>所造成的经济损失，甲方可直接从应付款中扣除，乙方对此不持异议。</w:t>
      </w:r>
      <w:r>
        <w:rPr>
          <w:rFonts w:hint="eastAsia" w:ascii="仿宋_GB2312" w:hAnsi="仿宋_GB2312" w:eastAsia="仿宋_GB2312" w:cs="仿宋_GB2312"/>
          <w:color w:val="000000" w:themeColor="text1"/>
          <w:highlight w:val="none"/>
          <w14:textFill>
            <w14:solidFill>
              <w14:schemeClr w14:val="tx1"/>
            </w14:solidFill>
          </w14:textFill>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14:textFill>
            <w14:solidFill>
              <w14:schemeClr w14:val="tx1"/>
            </w14:solidFill>
          </w14:textFill>
        </w:rPr>
        <w:t>若由甲方先行承担的，甲方可在任何一笔</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b/>
          <w:bCs/>
          <w:color w:val="000000" w:themeColor="text1"/>
          <w:highlight w:val="none"/>
          <w14:textFill>
            <w14:solidFill>
              <w14:schemeClr w14:val="tx1"/>
            </w14:solidFill>
          </w14:textFill>
        </w:rPr>
        <w:t>支付中予以扣除，乙方对此不持</w:t>
      </w:r>
      <w:r>
        <w:rPr>
          <w:rFonts w:hint="eastAsia" w:ascii="仿宋_GB2312" w:hAnsi="仿宋_GB2312" w:eastAsia="仿宋_GB2312" w:cs="仿宋_GB2312"/>
          <w:b/>
          <w:bCs/>
          <w:highlight w:val="none"/>
        </w:rPr>
        <w:t>异议。</w:t>
      </w:r>
    </w:p>
    <w:p w14:paraId="4798FBDA">
      <w:pPr>
        <w:pStyle w:val="13"/>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bookmarkStart w:id="24" w:name="_Toc22166"/>
      <w:bookmarkStart w:id="25" w:name="_Toc24231"/>
      <w:bookmarkStart w:id="26" w:name="_Toc23953"/>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4.7</w:t>
      </w:r>
      <w:r>
        <w:rPr>
          <w:rFonts w:hint="eastAsia" w:ascii="仿宋_GB2312" w:hAnsi="仿宋_GB2312" w:eastAsia="仿宋_GB2312" w:cs="仿宋_GB2312"/>
          <w:b w:val="0"/>
          <w:bCs w:val="0"/>
          <w:color w:val="000000" w:themeColor="text1"/>
          <w:highlight w:val="none"/>
          <w14:textFill>
            <w14:solidFill>
              <w14:schemeClr w14:val="tx1"/>
            </w14:solidFill>
          </w14:textFill>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合同含税单价的</w:t>
      </w:r>
      <w:permStart w:id="42"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80</w:t>
      </w:r>
      <w:permEnd w:id="42"/>
      <w:r>
        <w:rPr>
          <w:rFonts w:hint="eastAsia" w:ascii="仿宋_GB2312" w:hAnsi="仿宋_GB2312" w:eastAsia="仿宋_GB2312" w:cs="仿宋_GB2312"/>
          <w:b w:val="0"/>
          <w:bCs w:val="0"/>
          <w:color w:val="000000" w:themeColor="text1"/>
          <w:highlight w:val="none"/>
          <w14:textFill>
            <w14:solidFill>
              <w14:schemeClr w14:val="tx1"/>
            </w14:solidFill>
          </w14:textFill>
        </w:rPr>
        <w:t>%退货，退货数量以实际数量为准。</w:t>
      </w:r>
    </w:p>
    <w:p w14:paraId="2AB0BA59">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其他：</w:t>
      </w:r>
      <w:permStart w:id="43"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43"/>
      <w:r>
        <w:rPr>
          <w:rFonts w:hint="eastAsia" w:ascii="仿宋_GB2312" w:hAnsi="仿宋_GB2312" w:eastAsia="仿宋_GB2312" w:cs="仿宋_GB2312"/>
          <w:color w:val="000000" w:themeColor="text1"/>
          <w:highlight w:val="none"/>
          <w14:textFill>
            <w14:solidFill>
              <w14:schemeClr w14:val="tx1"/>
            </w14:solidFill>
          </w14:textFill>
        </w:rPr>
        <w:t>。</w:t>
      </w:r>
    </w:p>
    <w:p w14:paraId="216EA48E">
      <w:pPr>
        <w:pStyle w:val="13"/>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24"/>
      <w:bookmarkEnd w:id="25"/>
      <w:bookmarkEnd w:id="26"/>
    </w:p>
    <w:p w14:paraId="259F3E1D">
      <w:pPr>
        <w:pStyle w:val="13"/>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08645ACA">
      <w:pPr>
        <w:pStyle w:val="13"/>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所供材料数量，并办理完结算手续。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7C90100D">
      <w:pPr>
        <w:pStyle w:val="13"/>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029C33F1">
      <w:pPr>
        <w:pStyle w:val="13"/>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双方结算分为过程结算及最终结算。过程结算按下表流程进行。最终结算于供货完成、验收合格且未出现任何质量问题后一个月内办理，最终结算需附物资买卖合同结算协议书。</w:t>
      </w:r>
    </w:p>
    <w:p w14:paraId="596FF6BC">
      <w:pPr>
        <w:pStyle w:val="13"/>
        <w:numPr>
          <w:ilvl w:val="0"/>
          <w:numId w:val="4"/>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-12065</wp:posOffset>
                </wp:positionH>
                <wp:positionV relativeFrom="paragraph">
                  <wp:posOffset>101600</wp:posOffset>
                </wp:positionV>
                <wp:extent cx="5080000" cy="1210310"/>
                <wp:effectExtent l="4445" t="5080" r="249555" b="22860"/>
                <wp:wrapTopAndBottom/>
                <wp:docPr id="10" name="组合 10"/>
                <wp:cNvGraphicFramePr/>
                <a:graphic xmlns:a="http://schemas.openxmlformats.org/drawingml/2006/main">
                  <a:graphicData uri="http://schemas.microsoft.com/office/word/2010/wordprocessingGroup">
                    <wpg:wgp>
                      <wpg:cNvGrpSpPr/>
                      <wpg:grpSpPr>
                        <a:xfrm>
                          <a:off x="0" y="0"/>
                          <a:ext cx="5080000" cy="1210310"/>
                          <a:chOff x="2064" y="142451"/>
                          <a:chExt cx="8000" cy="1906"/>
                        </a:xfrm>
                      </wpg:grpSpPr>
                      <wpg:grpSp>
                        <wpg:cNvPr id="2" name="组合 5"/>
                        <wpg:cNvGrpSpPr/>
                        <wpg:grpSpPr>
                          <a:xfrm>
                            <a:off x="2064" y="142451"/>
                            <a:ext cx="8000" cy="1907"/>
                            <a:chOff x="4638" y="144974"/>
                            <a:chExt cx="8000" cy="2118"/>
                          </a:xfrm>
                        </wpg:grpSpPr>
                        <wps:wsp>
                          <wps:cNvPr id="4" name="文本框 3"/>
                          <wps:cNvSpPr txBox="1"/>
                          <wps:spPr>
                            <a:xfrm>
                              <a:off x="4655" y="144974"/>
                              <a:ext cx="3492"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2864A6">
                                <w:pPr>
                                  <w:pStyle w:val="13"/>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4C6CFC">
                                <w:pPr>
                                  <w:pStyle w:val="13"/>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3"/>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8"/>
                          <wps:cNvSpPr txBox="1"/>
                          <wps:spPr>
                            <a:xfrm>
                              <a:off x="4638" y="145859"/>
                              <a:ext cx="3507" cy="12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1B69BD">
                                <w:pPr>
                                  <w:pStyle w:val="13"/>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5458AA">
                                <w:pPr>
                                  <w:pStyle w:val="13"/>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肘形连接符 2"/>
                        <wps:cNvCnPr/>
                        <wps:spPr>
                          <a:xfrm flipH="1">
                            <a:off x="10059" y="142690"/>
                            <a:ext cx="5" cy="973"/>
                          </a:xfrm>
                          <a:prstGeom prst="bentConnector3">
                            <a:avLst>
                              <a:gd name="adj1" fmla="val -7500000"/>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95pt;margin-top:8pt;height:95.3pt;width:400pt;mso-wrap-distance-bottom:0pt;mso-wrap-distance-top:0pt;z-index:251659264;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&#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CyhJiY2QAAAAkBAAAPAAAAAAAAAAEAIAAAACIAAABk&#10;cnMvZG93bnJldi54bWxQSwECFAAUAAAACACHTuJAh3SoIuoEAABqFgAADgAAAAAAAAABACAAAAAo&#10;AQAAZHJzL2Uyb0RvYy54bWxQSwUGAAAAAAYABgBZAQAAhAgAAAAA&#10;">
                <o:lock v:ext="edit" aspectratio="f"/>
                <v:group id="组合 5" o:spid="_x0000_s1026" o:spt="203" style="position:absolute;left:2064;top:142451;height:1907;width:8000;" coordorigin="4638,144974" coordsize="8000,211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文本框 3" o:spid="_x0000_s1026" o:spt="202" type="#_x0000_t202" style="position:absolute;left:4655;top:144974;height:865;width:3492;"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052864A6">
                          <w:pPr>
                            <w:pStyle w:val="13"/>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234C6CFC">
                          <w:pPr>
                            <w:pStyle w:val="13"/>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3"/>
                            <w:outlineLvl w:val="0"/>
                            <w:rPr>
                              <w:rFonts w:ascii="仿宋_GB2312" w:hAnsi="仿宋_GB2312" w:eastAsia="仿宋_GB2312" w:cs="仿宋_GB2312"/>
                            </w:rPr>
                          </w:pPr>
                        </w:p>
                      </w:txbxContent>
                    </v:textbox>
                  </v:shape>
                  <v:shape id="文本框 8" o:spid="_x0000_s1026" o:spt="202" type="#_x0000_t202" style="position:absolute;left:4638;top:145859;height:1233;width:3507;"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D1B69BD">
                          <w:pPr>
                            <w:pStyle w:val="13"/>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15458AA">
                          <w:pPr>
                            <w:pStyle w:val="13"/>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cngGcrgAAADb&#10;AAAADwAAAGRycy9kb3ducmV2LnhtbEVPzYrCMBC+L/gOYQQvi6YKq6UaBQVBvYjVBxiasQ02k9pE&#10;q29vDgseP77/xepla/Gk1hvHCsajBARx4bThUsHlvB2mIHxA1lg7JgVv8rBa9n4WmGnX8YmeeShF&#10;DGGfoYIqhCaT0hcVWfQj1xBH7upaiyHCtpS6xS6G21pOkmQqLRqODRU2tKmouOUPq4C7O5tjbszp&#10;8F77v32Ks+nvQalBf5zMQQR6ha/4373TCiZxffwSf4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ngGcrgAAADbAAAA&#10;DwAAAAAAAAABACAAAAAiAAAAZHJzL2Rvd25yZXYueG1sUEsBAhQAFAAAAAgAh07iQDMvBZ47AAAA&#10;OQAAABAAAAAAAAAAAQAgAAAABwEAAGRycy9zaGFwZXhtbC54bWxQSwUGAAAAAAYABgBbAQAAsQMA&#10;AAAA&#10;" adj="-1620000">
                  <v:fill on="f" focussize="0,0"/>
                  <v:stroke weight="1pt" color="#000000 [3200]" miterlimit="8" joinstyle="miter"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xH665r8AAADb&#10;AAAADwAAAGRycy9kb3ducmV2LnhtbEWPQWvCQBSE74L/YXkFb7pJDqVEVykpQqiWYiyU3h7Z1yQ0&#10;+zbsrjH++26h4HGYmW+YzW4yvRjJ+c6ygnSVgCCure64UfBx3i+fQPiArLG3TApu5GG3nc82mGt7&#10;5RONVWhEhLDPUUEbwpBL6euWDPqVHYij922dwRCla6R2eI1w08ssSR6lwY7jQosDFS3VP9XFKCj7&#10;7Ph6OBafL2lRXt4O7v3reRqVWjykyRpEoCncw//tUivIMvj7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uua/&#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187B5A46">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0598ED16">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permStart w:id="4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44"/>
      <w:r>
        <w:rPr>
          <w:rFonts w:hint="eastAsia" w:ascii="仿宋_GB2312" w:hAnsi="仿宋_GB2312" w:eastAsia="仿宋_GB2312" w:cs="仿宋_GB2312"/>
          <w:color w:val="000000" w:themeColor="text1"/>
          <w:highlight w:val="none"/>
          <w14:textFill>
            <w14:solidFill>
              <w14:schemeClr w14:val="tx1"/>
            </w14:solidFill>
          </w14:textFill>
        </w:rPr>
        <w:t>税率的增值税专用发票，开具金额需与结算金额一致，并加盖与本合同中乙方名称一致的发票专用章（如税务部门要求合同、发票等备案登记的，乙方承担相关费用并办理相关手续）。</w:t>
      </w:r>
    </w:p>
    <w:p w14:paraId="16BD8404">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permStart w:id="4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一般计税方法 </w:t>
      </w:r>
      <w:permEnd w:id="45"/>
      <w:r>
        <w:rPr>
          <w:rFonts w:hint="eastAsia" w:ascii="仿宋_GB2312" w:hAnsi="仿宋_GB2312" w:eastAsia="仿宋_GB2312" w:cs="仿宋_GB2312"/>
          <w:color w:val="000000" w:themeColor="text1"/>
          <w:highlight w:val="none"/>
          <w14:textFill>
            <w14:solidFill>
              <w14:schemeClr w14:val="tx1"/>
            </w14:solidFill>
          </w14:textFill>
        </w:rPr>
        <w:t>。</w:t>
      </w:r>
    </w:p>
    <w:p w14:paraId="2C77A87B">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bookmarkStart w:id="27" w:name="_Hlk126834051"/>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p>
    <w:bookmarkEnd w:id="27"/>
    <w:p w14:paraId="54ED20E0">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4C4409E9">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79C79ED2">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0980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71086F3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ermStart w:id="46" w:edGrp="everyone"/>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3FF5E2F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tcPr>
          <w:p w14:paraId="2A00FE24">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中建路桥集团有限公司</w:t>
            </w:r>
          </w:p>
        </w:tc>
      </w:tr>
      <w:tr w14:paraId="2A95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F6F0D2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000A12D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38F98A7A">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一般纳税人</w:t>
            </w:r>
          </w:p>
        </w:tc>
      </w:tr>
      <w:tr w14:paraId="6709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4D73A623">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6E259BA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006E988D">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91130000401700454L</w:t>
            </w:r>
          </w:p>
        </w:tc>
      </w:tr>
      <w:tr w14:paraId="334F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70711D1">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21400DF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tcPr>
          <w:p w14:paraId="31985EB4">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河北省</w:t>
            </w:r>
            <w:r>
              <w:rPr>
                <w:rFonts w:hint="eastAsia" w:ascii="仿宋_GB2312" w:hAnsi="仿宋_GB2312" w:eastAsia="仿宋_GB2312" w:cs="仿宋_GB2312"/>
                <w:color w:val="000000" w:themeColor="text1"/>
                <w:sz w:val="24"/>
                <w:szCs w:val="24"/>
                <w:highlight w:val="none"/>
                <w14:textFill>
                  <w14:solidFill>
                    <w14:schemeClr w14:val="tx1"/>
                  </w14:solidFill>
                </w14:textFill>
              </w:rPr>
              <w:t>石家庄市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桥西区</w:t>
            </w:r>
            <w:r>
              <w:rPr>
                <w:rFonts w:hint="eastAsia" w:ascii="仿宋_GB2312" w:hAnsi="仿宋_GB2312" w:eastAsia="仿宋_GB2312" w:cs="仿宋_GB2312"/>
                <w:color w:val="000000" w:themeColor="text1"/>
                <w:sz w:val="24"/>
                <w:szCs w:val="24"/>
                <w:highlight w:val="none"/>
                <w14:textFill>
                  <w14:solidFill>
                    <w14:schemeClr w14:val="tx1"/>
                  </w14:solidFill>
                </w14:textFill>
              </w:rPr>
              <w:t>建设南大街70号、0311-86028814</w:t>
            </w:r>
          </w:p>
        </w:tc>
      </w:tr>
      <w:tr w14:paraId="3BA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CB2F5A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BE0DF1D">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77C01D58">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建行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石家庄</w:t>
            </w:r>
            <w:r>
              <w:rPr>
                <w:rFonts w:hint="eastAsia" w:ascii="仿宋_GB2312" w:hAnsi="仿宋_GB2312" w:eastAsia="仿宋_GB2312" w:cs="仿宋_GB2312"/>
                <w:color w:val="000000" w:themeColor="text1"/>
                <w:sz w:val="24"/>
                <w:szCs w:val="24"/>
                <w:highlight w:val="none"/>
                <w14:textFill>
                  <w14:solidFill>
                    <w14:schemeClr w14:val="tx1"/>
                  </w14:solidFill>
                </w14:textFill>
              </w:rPr>
              <w:t>平安大街支行13001618601050504927</w:t>
            </w:r>
          </w:p>
        </w:tc>
      </w:tr>
      <w:tr w14:paraId="131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73764FE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748ED551">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p w14:paraId="29CE57BE">
            <w:pPr>
              <w:rPr>
                <w:highlight w:val="none"/>
              </w:rPr>
            </w:pPr>
          </w:p>
        </w:tc>
        <w:tc>
          <w:tcPr>
            <w:tcW w:w="6143" w:type="dxa"/>
            <w:tcBorders>
              <w:bottom w:val="double" w:color="auto" w:sz="4" w:space="0"/>
              <w:right w:val="single" w:color="auto" w:sz="12" w:space="0"/>
            </w:tcBorders>
          </w:tcPr>
          <w:p w14:paraId="2F01119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1E39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7E2F39C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644A34E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187B41F8">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B81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B1B57E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314772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21EFC6B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5D5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12B376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198F38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480AD485">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0EC5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5088B25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713EF1C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490AF41A">
            <w:pPr>
              <w:pStyle w:val="13"/>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tc>
      </w:tr>
      <w:tr w14:paraId="1AC6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1F4030F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1DD13636">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4D4D6B2D">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permEnd w:id="46"/>
    </w:tbl>
    <w:p w14:paraId="32EA42D1">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4EED526E">
      <w:pPr>
        <w:pStyle w:val="13"/>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8" w:name="_Toc27325"/>
      <w:bookmarkStart w:id="29" w:name="_Toc21859"/>
      <w:bookmarkStart w:id="30" w:name="_Toc32138"/>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28"/>
      <w:bookmarkEnd w:id="29"/>
      <w:bookmarkEnd w:id="30"/>
    </w:p>
    <w:p w14:paraId="1A1E0861">
      <w:pPr>
        <w:pStyle w:val="13"/>
        <w:spacing w:line="400" w:lineRule="atLeast"/>
        <w:ind w:firstLine="482" w:firstLineChars="200"/>
        <w:jc w:val="both"/>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1、支付周期及支付比例：</w:t>
      </w:r>
      <w:r>
        <w:rPr>
          <w:rFonts w:hint="eastAsia" w:ascii="仿宋_GB2312" w:hAnsi="仿宋_GB2312" w:eastAsia="仿宋_GB2312" w:cs="仿宋_GB2312"/>
          <w:color w:val="000000" w:themeColor="text1"/>
          <w:highlight w:val="none"/>
          <w14:textFill>
            <w14:solidFill>
              <w14:schemeClr w14:val="tx1"/>
            </w14:solidFill>
          </w14:textFill>
        </w:rPr>
        <w:t>双方办理完结算后，适用第</w:t>
      </w:r>
      <w:permStart w:id="4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7"/>
      <w:r>
        <w:rPr>
          <w:rFonts w:hint="eastAsia" w:ascii="仿宋_GB2312" w:hAnsi="仿宋_GB2312" w:eastAsia="仿宋_GB2312" w:cs="仿宋_GB2312"/>
          <w:color w:val="000000" w:themeColor="text1"/>
          <w:highlight w:val="none"/>
          <w14:textFill>
            <w14:solidFill>
              <w14:schemeClr w14:val="tx1"/>
            </w14:solidFill>
          </w14:textFill>
        </w:rPr>
        <w:t>条付款条件：</w:t>
      </w:r>
    </w:p>
    <w:p w14:paraId="5C01F295">
      <w:pPr>
        <w:pStyle w:val="13"/>
        <w:spacing w:line="400" w:lineRule="atLeast"/>
        <w:ind w:firstLine="480" w:firstLineChars="200"/>
        <w:jc w:val="both"/>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本合同无预付款，货款来源于项目工程结算款。</w:t>
      </w:r>
      <w:r>
        <w:rPr>
          <w:rFonts w:hint="eastAsia" w:ascii="仿宋_GB2312" w:hAnsi="仿宋_GB2312" w:eastAsia="仿宋_GB2312" w:cs="仿宋_GB2312"/>
          <w:b/>
          <w:bCs/>
          <w:color w:val="000000" w:themeColor="text1"/>
          <w:highlight w:val="none"/>
          <w14:textFill>
            <w14:solidFill>
              <w14:schemeClr w14:val="tx1"/>
            </w14:solidFill>
          </w14:textFill>
        </w:rPr>
        <w:t>甲方按资金审批计划对货款进行支付。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permStart w:id="48"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第一</w:t>
      </w:r>
      <w:permEnd w:id="48"/>
      <w:r>
        <w:rPr>
          <w:rFonts w:hint="eastAsia" w:ascii="仿宋_GB2312" w:hAnsi="仿宋_GB2312" w:eastAsia="仿宋_GB2312" w:cs="仿宋_GB2312"/>
          <w:color w:val="000000" w:themeColor="text1"/>
          <w:highlight w:val="none"/>
          <w14:textFill>
            <w14:solidFill>
              <w14:schemeClr w14:val="tx1"/>
            </w14:solidFill>
          </w14:textFill>
        </w:rPr>
        <w:t>个月内支付当期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49"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90</w:t>
      </w:r>
      <w:permEnd w:id="49"/>
      <w:r>
        <w:rPr>
          <w:rFonts w:hint="eastAsia" w:ascii="仿宋_GB2312" w:hAnsi="仿宋_GB2312" w:eastAsia="仿宋_GB2312" w:cs="仿宋_GB2312"/>
          <w:color w:val="000000" w:themeColor="text1"/>
          <w:highlight w:val="none"/>
          <w14:textFill>
            <w14:solidFill>
              <w14:schemeClr w14:val="tx1"/>
            </w14:solidFill>
          </w14:textFill>
        </w:rPr>
        <w:t>%，</w:t>
      </w:r>
      <w:permStart w:id="5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0"/>
      <w:r>
        <w:rPr>
          <w:rFonts w:hint="eastAsia" w:ascii="仿宋_GB2312" w:hAnsi="仿宋_GB2312" w:eastAsia="仿宋_GB2312" w:cs="仿宋_GB2312"/>
          <w:color w:val="000000" w:themeColor="text1"/>
          <w:highlight w:val="none"/>
          <w14:textFill>
            <w14:solidFill>
              <w14:schemeClr w14:val="tx1"/>
            </w14:solidFill>
          </w14:textFill>
        </w:rPr>
        <w:t>个月内支付至当期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5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1"/>
      <w:r>
        <w:rPr>
          <w:rFonts w:hint="eastAsia" w:ascii="仿宋_GB2312" w:hAnsi="仿宋_GB2312" w:eastAsia="仿宋_GB2312" w:cs="仿宋_GB2312"/>
          <w:color w:val="000000" w:themeColor="text1"/>
          <w:highlight w:val="none"/>
          <w14:textFill>
            <w14:solidFill>
              <w14:schemeClr w14:val="tx1"/>
            </w14:solidFill>
          </w14:textFill>
        </w:rPr>
        <w:t>%，余下</w:t>
      </w:r>
      <w:permStart w:id="5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2"/>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货款在乙方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供货完毕、办理完最终结算后</w:t>
      </w:r>
      <w:permStart w:id="53"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permEnd w:id="53"/>
      <w:r>
        <w:rPr>
          <w:rFonts w:hint="eastAsia" w:ascii="仿宋_GB2312" w:hAnsi="仿宋_GB2312" w:eastAsia="仿宋_GB2312" w:cs="仿宋_GB2312"/>
          <w:color w:val="000000" w:themeColor="text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highlight w:val="none"/>
          <w14:textFill>
            <w14:solidFill>
              <w14:schemeClr w14:val="tx1"/>
            </w14:solidFill>
          </w14:textFill>
        </w:rPr>
        <w:t>付清。以此类推。</w:t>
      </w:r>
    </w:p>
    <w:p w14:paraId="10C99033">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permStart w:id="5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4"/>
    </w:p>
    <w:p w14:paraId="5C948782">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2、支付形式：</w:t>
      </w:r>
      <w:r>
        <w:rPr>
          <w:rFonts w:hint="eastAsia" w:ascii="仿宋_GB2312" w:hAnsi="仿宋_GB2312" w:eastAsia="仿宋_GB2312" w:cs="仿宋_GB2312"/>
          <w:color w:val="000000" w:themeColor="text1"/>
          <w:highlight w:val="none"/>
          <w14:textFill>
            <w14:solidFill>
              <w14:schemeClr w14:val="tx1"/>
            </w14:solidFill>
          </w14:textFill>
        </w:rPr>
        <w:t>本合同付款形式适用第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2.2  </w:t>
      </w:r>
      <w:r>
        <w:rPr>
          <w:rFonts w:hint="eastAsia" w:ascii="仿宋_GB2312" w:hAnsi="仿宋_GB2312" w:eastAsia="仿宋_GB2312" w:cs="仿宋_GB2312"/>
          <w:color w:val="000000" w:themeColor="text1"/>
          <w:highlight w:val="none"/>
          <w14:textFill>
            <w14:solidFill>
              <w14:schemeClr w14:val="tx1"/>
            </w14:solidFill>
          </w14:textFill>
        </w:rPr>
        <w:t>条；</w:t>
      </w:r>
    </w:p>
    <w:p w14:paraId="61146FC2">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7A57583E">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2.2货币及其他的形式（包括且不限于支票、电汇、银行承兑汇票、商业承兑汇票、保理、信用证、供应链融资等）向乙方付款。（其中非现金付款方式不低于合同总价的</w:t>
      </w:r>
      <w:permStart w:id="55"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permEnd w:id="55"/>
      <w:r>
        <w:rPr>
          <w:rFonts w:hint="eastAsia" w:ascii="仿宋_GB2312" w:hAnsi="仿宋_GB2312" w:eastAsia="仿宋_GB2312" w:cs="仿宋_GB2312"/>
          <w:color w:val="000000" w:themeColor="text1"/>
          <w:highlight w:val="none"/>
          <w14:textFill>
            <w14:solidFill>
              <w14:schemeClr w14:val="tx1"/>
            </w14:solidFill>
          </w14:textFill>
        </w:rPr>
        <w:t>%，期限为六个月，因此产生的相关贴现成本由乙方承担。乙方须保证资金往来账户与本合同所约定账户一致，开票单位名称与合同约定名称一致。）</w:t>
      </w:r>
    </w:p>
    <w:p w14:paraId="5BA91023">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3、付款条件：乙方向甲方申请付款时，应先行满足以下条件：</w:t>
      </w:r>
    </w:p>
    <w:p w14:paraId="67B7C19D">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3.1所供产品无质量缺陷，乙方无违约记录，产品出厂合格证明以及检测报告完整无误。</w:t>
      </w:r>
    </w:p>
    <w:p w14:paraId="3CDBC06C">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3AB09F6C">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28A83A73">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4FB83803">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permStart w:id="5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6"/>
    </w:p>
    <w:p w14:paraId="0DE78CBB">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permStart w:id="5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7"/>
    </w:p>
    <w:p w14:paraId="00BE2190">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permStart w:id="5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8"/>
    </w:p>
    <w:p w14:paraId="077A6733">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permStart w:id="5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9"/>
      <w:r>
        <w:rPr>
          <w:rFonts w:hint="eastAsia" w:ascii="仿宋_GB2312" w:hAnsi="仿宋_GB2312" w:eastAsia="仿宋_GB2312" w:cs="仿宋_GB2312"/>
          <w:color w:val="000000" w:themeColor="text1"/>
          <w:highlight w:val="none"/>
          <w14:textFill>
            <w14:solidFill>
              <w14:schemeClr w14:val="tx1"/>
            </w14:solidFill>
          </w14:textFill>
        </w:rPr>
        <w:t>（身份证号：</w:t>
      </w:r>
      <w:permStart w:id="6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0"/>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582D9433">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589A300C">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14BBAEA7">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06031B20">
      <w:pPr>
        <w:spacing w:line="400" w:lineRule="atLeast"/>
        <w:ind w:firstLine="482"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6.1履约保证金缴纳形式：</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乙方在签订合同前应向甲方缴纳合同额的</w:t>
      </w:r>
      <w:permStart w:id="6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14:paraId="225555E6">
      <w:pPr>
        <w:spacing w:line="400" w:lineRule="atLeas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61"/>
      <w:r>
        <w:rPr>
          <w:rFonts w:hint="eastAsia" w:ascii="仿宋_GB2312" w:hAnsi="仿宋_GB2312" w:eastAsia="仿宋_GB2312" w:cs="仿宋_GB2312"/>
          <w:color w:val="000000" w:themeColor="text1"/>
          <w:sz w:val="24"/>
          <w:szCs w:val="24"/>
          <w:highlight w:val="none"/>
          <w14:textFill>
            <w14:solidFill>
              <w14:schemeClr w14:val="tx1"/>
            </w14:solidFill>
          </w14:textFill>
        </w:rPr>
        <w:t>％或</w:t>
      </w:r>
      <w:permStart w:id="62"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10000</w:t>
      </w:r>
      <w:permEnd w:id="62"/>
      <w:r>
        <w:rPr>
          <w:rFonts w:hint="eastAsia" w:ascii="仿宋_GB2312" w:hAnsi="仿宋_GB2312" w:eastAsia="仿宋_GB2312" w:cs="仿宋_GB2312"/>
          <w:color w:val="000000" w:themeColor="text1"/>
          <w:sz w:val="24"/>
          <w:szCs w:val="24"/>
          <w:highlight w:val="none"/>
          <w14:textFill>
            <w14:solidFill>
              <w14:schemeClr w14:val="tx1"/>
            </w14:solidFill>
          </w14:textFill>
        </w:rPr>
        <w:t>元的履约保证金，具体缴纳形式采用第</w:t>
      </w:r>
      <w:permStart w:id="63"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6.1.2</w:t>
      </w:r>
      <w:permEnd w:id="63"/>
      <w:r>
        <w:rPr>
          <w:rFonts w:hint="eastAsia" w:ascii="仿宋_GB2312" w:hAnsi="仿宋_GB2312" w:eastAsia="仿宋_GB2312" w:cs="仿宋_GB2312"/>
          <w:color w:val="000000" w:themeColor="text1"/>
          <w:sz w:val="24"/>
          <w:szCs w:val="24"/>
          <w:highlight w:val="none"/>
          <w14:textFill>
            <w14:solidFill>
              <w14:schemeClr w14:val="tx1"/>
            </w14:solidFill>
          </w14:textFill>
        </w:rPr>
        <w:t>种：</w:t>
      </w:r>
    </w:p>
    <w:p w14:paraId="5470C74E">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4115C8E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34371AFD">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74802C1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6.1.4履约保函（只接受银行保函，不接受商业保函）。</w:t>
      </w:r>
    </w:p>
    <w:p w14:paraId="26031602">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permStart w:id="6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4"/>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3F7FA654">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6.1.6履约保证金缴纳账户：</w:t>
      </w:r>
    </w:p>
    <w:p w14:paraId="268492D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6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中建路桥集团第六工程有限公司</w:t>
      </w:r>
      <w:permEnd w:id="6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5DE2BB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6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1305 0165 5272 0000 0297</w:t>
      </w:r>
      <w:permEnd w:id="66"/>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F6729B4">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6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建行邢台青青家园支行  </w:t>
      </w:r>
      <w:permEnd w:id="67"/>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4EB286FE">
      <w:pPr>
        <w:pStyle w:val="13"/>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6.2.履约保证金退还：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permStart w:id="68"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30</w:t>
      </w:r>
      <w:permEnd w:id="68"/>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319692C4">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已缴纳履约保证金的，如发生以下任何一种情况履约保证金不予退还：</w:t>
      </w:r>
    </w:p>
    <w:p w14:paraId="5BF83DFF">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.1无法正常供货的情况，包括任何原因的不供货或连续5日历天未能按甲方要求的数量供货。</w:t>
      </w:r>
    </w:p>
    <w:p w14:paraId="7E53E143">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.2供应的物资不符合国家、甲方、业主和监理相关标准和要求，且在规定时间内不予调换、处理的情况。</w:t>
      </w:r>
    </w:p>
    <w:p w14:paraId="694F78F7">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6D886EC1">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1169D14E">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如履约保证金不足以弥补甲方损失，甲方有权要求相应补偿。</w:t>
      </w:r>
    </w:p>
    <w:p w14:paraId="3C0A2894">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bookmarkStart w:id="31" w:name="_Toc10245"/>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5A90A0F0">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bookmarkStart w:id="32" w:name="_Toc12208"/>
      <w:bookmarkStart w:id="33" w:name="_Toc24664"/>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如双方因货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w:t>
      </w:r>
    </w:p>
    <w:p w14:paraId="3A6D3229">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9、甲方拖欠线索受理联系人：</w:t>
      </w:r>
    </w:p>
    <w:p w14:paraId="73EDCB42">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项目部联系人：</w:t>
      </w:r>
      <w:permStart w:id="69"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付晓军  </w:t>
      </w:r>
      <w:permEnd w:id="69"/>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0"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15081741749   </w:t>
      </w:r>
      <w:permEnd w:id="70"/>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p>
    <w:p w14:paraId="01D343B1">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公司联系人：</w:t>
      </w:r>
      <w:permStart w:id="71"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张海萍   </w:t>
      </w:r>
      <w:permEnd w:id="71"/>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2"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0319-2620099</w:t>
      </w:r>
      <w:permEnd w:id="72"/>
    </w:p>
    <w:p w14:paraId="54335B34">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公司信访投诉电话：</w:t>
      </w:r>
      <w:permStart w:id="73"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0319-2620099</w:t>
      </w:r>
      <w:permEnd w:id="73"/>
    </w:p>
    <w:p w14:paraId="0467C2FB">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信访投诉邮箱：</w:t>
      </w:r>
      <w:permStart w:id="74"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zjlq6bgsh@163.com</w:t>
      </w:r>
      <w:permEnd w:id="74"/>
    </w:p>
    <w:p w14:paraId="325C55DC">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云筑网中建系统账款投诉平台：https://ts.yzw.cn</w:t>
      </w:r>
    </w:p>
    <w:p w14:paraId="200A400A">
      <w:pPr>
        <w:pStyle w:val="13"/>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permStart w:id="75"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5"/>
      <w:r>
        <w:rPr>
          <w:rFonts w:hint="eastAsia" w:ascii="仿宋_GB2312" w:hAnsi="仿宋_GB2312" w:eastAsia="仿宋_GB2312" w:cs="仿宋_GB2312"/>
          <w:color w:val="000000" w:themeColor="text1"/>
          <w:highlight w:val="none"/>
          <w14:textFill>
            <w14:solidFill>
              <w14:schemeClr w14:val="tx1"/>
            </w14:solidFill>
          </w14:textFill>
        </w:rPr>
        <w:t>。</w:t>
      </w:r>
    </w:p>
    <w:p w14:paraId="4AC043B0">
      <w:pPr>
        <w:pStyle w:val="13"/>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31"/>
      <w:bookmarkEnd w:id="32"/>
      <w:bookmarkEnd w:id="33"/>
    </w:p>
    <w:p w14:paraId="4B8451AC">
      <w:pPr>
        <w:pStyle w:val="13"/>
        <w:numPr>
          <w:ilvl w:val="0"/>
          <w:numId w:val="5"/>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本合同中涉及合同、文件、律师函、诉讼文书的送达地址或邮箱及法律后果作如下约定：</w:t>
      </w:r>
    </w:p>
    <w:p w14:paraId="75BE6E7A">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76"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西藏自治区日喀则市昂仁县定日“6.8”级地震灾后恢复重建民房建设项目（昂仁县）PC总承包七标段项目经理部</w:t>
      </w:r>
      <w:permEnd w:id="76"/>
      <w:r>
        <w:rPr>
          <w:rFonts w:hint="eastAsia" w:ascii="仿宋_GB2312" w:hAnsi="仿宋_GB2312" w:eastAsia="仿宋_GB2312" w:cs="仿宋_GB2312"/>
          <w:color w:val="000000" w:themeColor="text1"/>
          <w:highlight w:val="none"/>
          <w14:textFill>
            <w14:solidFill>
              <w14:schemeClr w14:val="tx1"/>
            </w14:solidFill>
          </w14:textFill>
        </w:rPr>
        <w:t>；</w:t>
      </w:r>
    </w:p>
    <w:p w14:paraId="6104C108">
      <w:pPr>
        <w:pStyle w:val="13"/>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77"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付晓军、15081741749</w:t>
      </w:r>
      <w:permEnd w:id="77"/>
      <w:r>
        <w:rPr>
          <w:rFonts w:hint="eastAsia" w:ascii="仿宋_GB2312" w:hAnsi="仿宋_GB2312" w:eastAsia="仿宋_GB2312" w:cs="仿宋_GB2312"/>
          <w:color w:val="000000" w:themeColor="text1"/>
          <w:highlight w:val="none"/>
          <w14:textFill>
            <w14:solidFill>
              <w14:schemeClr w14:val="tx1"/>
            </w14:solidFill>
          </w14:textFill>
        </w:rPr>
        <w:t>；邮箱：</w:t>
      </w:r>
      <w:permStart w:id="7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8"/>
      <w:r>
        <w:rPr>
          <w:rFonts w:hint="eastAsia" w:ascii="仿宋_GB2312" w:hAnsi="仿宋_GB2312" w:eastAsia="仿宋_GB2312" w:cs="仿宋_GB2312"/>
          <w:color w:val="000000" w:themeColor="text1"/>
          <w:highlight w:val="none"/>
          <w14:textFill>
            <w14:solidFill>
              <w14:schemeClr w14:val="tx1"/>
            </w14:solidFill>
          </w14:textFill>
        </w:rPr>
        <w:t>；</w:t>
      </w:r>
    </w:p>
    <w:p w14:paraId="0738D054">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7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9"/>
      <w:r>
        <w:rPr>
          <w:rFonts w:hint="eastAsia" w:ascii="仿宋_GB2312" w:hAnsi="仿宋_GB2312" w:eastAsia="仿宋_GB2312" w:cs="仿宋_GB2312"/>
          <w:color w:val="000000" w:themeColor="text1"/>
          <w:highlight w:val="none"/>
          <w14:textFill>
            <w14:solidFill>
              <w14:schemeClr w14:val="tx1"/>
            </w14:solidFill>
          </w14:textFill>
        </w:rPr>
        <w:t>；</w:t>
      </w:r>
    </w:p>
    <w:p w14:paraId="0D0B70A8">
      <w:pPr>
        <w:pStyle w:val="13"/>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8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0"/>
      <w:r>
        <w:rPr>
          <w:rFonts w:hint="eastAsia" w:ascii="仿宋_GB2312" w:hAnsi="仿宋_GB2312" w:eastAsia="仿宋_GB2312" w:cs="仿宋_GB2312"/>
          <w:color w:val="000000" w:themeColor="text1"/>
          <w:highlight w:val="none"/>
          <w14:textFill>
            <w14:solidFill>
              <w14:schemeClr w14:val="tx1"/>
            </w14:solidFill>
          </w14:textFill>
        </w:rPr>
        <w:t>；邮箱：</w:t>
      </w:r>
      <w:permStart w:id="8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1"/>
      <w:r>
        <w:rPr>
          <w:rFonts w:hint="eastAsia" w:ascii="仿宋_GB2312" w:hAnsi="仿宋_GB2312" w:eastAsia="仿宋_GB2312" w:cs="仿宋_GB2312"/>
          <w:color w:val="000000" w:themeColor="text1"/>
          <w:highlight w:val="none"/>
          <w14:textFill>
            <w14:solidFill>
              <w14:schemeClr w14:val="tx1"/>
            </w14:solidFill>
          </w14:textFill>
        </w:rPr>
        <w:t>；</w:t>
      </w:r>
    </w:p>
    <w:p w14:paraId="462D0592">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2、双方该送达地址或邮箱适用范围包括双方就合同发生纠纷时的律师函和法律文书的送达，同时包括在争议进入民事诉讼程序（如有）后的一审、二审、再审和执行程序。</w:t>
      </w:r>
    </w:p>
    <w:p w14:paraId="5FC7124D">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0FBA1299">
      <w:pPr>
        <w:pStyle w:val="13"/>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34" w:name="_Toc21843"/>
      <w:bookmarkStart w:id="35" w:name="_Toc26478"/>
      <w:bookmarkStart w:id="36" w:name="_Toc4701"/>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34"/>
      <w:bookmarkEnd w:id="35"/>
      <w:bookmarkEnd w:id="36"/>
    </w:p>
    <w:p w14:paraId="09D5058E">
      <w:pPr>
        <w:pStyle w:val="13"/>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1、本合同签约形式适用第</w:t>
      </w:r>
      <w:permStart w:id="82"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1.2</w:t>
      </w:r>
      <w:permEnd w:id="82"/>
      <w:r>
        <w:rPr>
          <w:rFonts w:hint="eastAsia" w:ascii="仿宋_GB2312" w:hAnsi="仿宋_GB2312" w:eastAsia="仿宋_GB2312" w:cs="仿宋_GB2312"/>
          <w:color w:val="000000" w:themeColor="text1"/>
          <w:highlight w:val="none"/>
          <w14:textFill>
            <w14:solidFill>
              <w14:schemeClr w14:val="tx1"/>
            </w14:solidFill>
          </w14:textFill>
        </w:rPr>
        <w:t>条；</w:t>
      </w:r>
    </w:p>
    <w:p w14:paraId="494C227F">
      <w:pPr>
        <w:pStyle w:val="13"/>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37" w:name="_Toc15785_WPSOffice_Level1"/>
      <w:bookmarkStart w:id="38" w:name="_Toc31827_WPSOffice_Level1"/>
      <w:bookmarkStart w:id="39" w:name="_Toc21939"/>
      <w:bookmarkStart w:id="40" w:name="_Toc7989"/>
      <w:bookmarkStart w:id="41" w:name="_Toc6851_WPSOffice_Level1"/>
      <w:r>
        <w:rPr>
          <w:rFonts w:hint="eastAsia" w:ascii="仿宋_GB2312" w:hAnsi="仿宋_GB2312" w:eastAsia="仿宋_GB2312" w:cs="仿宋_GB2312"/>
          <w:color w:val="000000" w:themeColor="text1"/>
          <w:highlight w:val="none"/>
          <w14:textFill>
            <w14:solidFill>
              <w14:schemeClr w14:val="tx1"/>
            </w14:solidFill>
          </w14:textFill>
        </w:rPr>
        <w:t>1.1双方同意通过云筑网以电子签章的方式签署本合同，本合同自双方加盖电子签章之日起生效。合同生效后，双方均可对本合同进行查阅、下载、打印。下载、打印后的合同可以与云筑网中的电子合同进行比对，如有不同，以云筑网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4E1F31F4">
      <w:pPr>
        <w:pStyle w:val="13"/>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permStart w:id="83"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陆</w:t>
      </w:r>
      <w:permEnd w:id="83"/>
      <w:r>
        <w:rPr>
          <w:rFonts w:hint="eastAsia" w:ascii="仿宋_GB2312" w:hAnsi="仿宋_GB2312" w:eastAsia="仿宋_GB2312" w:cs="仿宋_GB2312"/>
          <w:color w:val="000000" w:themeColor="text1"/>
          <w:highlight w:val="none"/>
          <w14:textFill>
            <w14:solidFill>
              <w14:schemeClr w14:val="tx1"/>
            </w14:solidFill>
          </w14:textFill>
        </w:rPr>
        <w:t>份，甲方执</w:t>
      </w:r>
      <w:permStart w:id="84"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伍</w:t>
      </w:r>
      <w:permEnd w:id="84"/>
      <w:r>
        <w:rPr>
          <w:rFonts w:hint="eastAsia" w:ascii="仿宋_GB2312" w:hAnsi="仿宋_GB2312" w:eastAsia="仿宋_GB2312" w:cs="仿宋_GB2312"/>
          <w:color w:val="000000" w:themeColor="text1"/>
          <w:highlight w:val="none"/>
          <w14:textFill>
            <w14:solidFill>
              <w14:schemeClr w14:val="tx1"/>
            </w14:solidFill>
          </w14:textFill>
        </w:rPr>
        <w:t>份，乙方执</w:t>
      </w:r>
      <w:permStart w:id="85"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壹</w:t>
      </w:r>
      <w:permEnd w:id="85"/>
      <w:r>
        <w:rPr>
          <w:rFonts w:hint="eastAsia" w:ascii="仿宋_GB2312" w:hAnsi="仿宋_GB2312" w:eastAsia="仿宋_GB2312" w:cs="仿宋_GB2312"/>
          <w:color w:val="000000" w:themeColor="text1"/>
          <w:highlight w:val="none"/>
          <w14:textFill>
            <w14:solidFill>
              <w14:schemeClr w14:val="tx1"/>
            </w14:solidFill>
          </w14:textFill>
        </w:rPr>
        <w:t>份。</w:t>
      </w:r>
    </w:p>
    <w:p w14:paraId="30468C57">
      <w:pPr>
        <w:spacing w:line="400" w:lineRule="atLeas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37"/>
      <w:bookmarkEnd w:id="38"/>
      <w:bookmarkEnd w:id="39"/>
      <w:bookmarkEnd w:id="40"/>
      <w:bookmarkEnd w:id="41"/>
      <w:bookmarkStart w:id="42" w:name="_Toc19595_WPSOffice_Level1"/>
      <w:bookmarkStart w:id="43" w:name="_Toc6163_WPSOffice_Level1"/>
      <w:bookmarkStart w:id="44" w:name="_Toc8898_WPSOffice_Level1"/>
    </w:p>
    <w:p w14:paraId="51E53A87">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5" w:name="_Toc23374"/>
      <w:bookmarkStart w:id="46" w:name="_Toc31108"/>
      <w:bookmarkStart w:id="47" w:name="_Toc2377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42"/>
      <w:bookmarkEnd w:id="43"/>
      <w:bookmarkEnd w:id="44"/>
      <w:bookmarkEnd w:id="45"/>
      <w:bookmarkEnd w:id="46"/>
      <w:bookmarkEnd w:id="47"/>
    </w:p>
    <w:p w14:paraId="5C3D72FB">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8" w:name="_Toc16133_WPSOffice_Level1"/>
      <w:bookmarkStart w:id="49" w:name="_Toc14040"/>
      <w:bookmarkStart w:id="50" w:name="_Toc3383_WPSOffice_Level1"/>
      <w:bookmarkStart w:id="51" w:name="_Toc5250_WPSOffice_Level1"/>
      <w:bookmarkStart w:id="52" w:name="_Toc27542"/>
      <w:bookmarkStart w:id="53" w:name="_Toc690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48"/>
      <w:bookmarkEnd w:id="49"/>
      <w:bookmarkEnd w:id="50"/>
      <w:bookmarkEnd w:id="51"/>
      <w:bookmarkEnd w:id="5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bookmarkEnd w:id="53"/>
    </w:p>
    <w:p w14:paraId="610E4D93">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54" w:name="_Toc641_WPSOffice_Level1"/>
      <w:bookmarkStart w:id="55" w:name="_Toc22730_WPSOffice_Level1"/>
      <w:bookmarkStart w:id="56" w:name="_Toc19768_WPSOffice_Level1"/>
      <w:bookmarkStart w:id="57" w:name="_Toc26596"/>
      <w:bookmarkStart w:id="58" w:name="_Toc3486"/>
      <w:bookmarkStart w:id="59" w:name="_Toc66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54"/>
      <w:bookmarkEnd w:id="55"/>
      <w:bookmarkEnd w:id="5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57"/>
      <w:bookmarkEnd w:id="58"/>
      <w:bookmarkEnd w:id="59"/>
    </w:p>
    <w:p w14:paraId="0732E351">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60" w:name="_Toc19161_WPSOffice_Level1"/>
      <w:bookmarkStart w:id="61" w:name="_Toc8260_WPSOffice_Level1"/>
      <w:bookmarkStart w:id="62" w:name="_Toc24584_WPSOffice_Level1"/>
      <w:bookmarkStart w:id="63" w:name="_Toc459"/>
      <w:bookmarkStart w:id="64" w:name="_Toc6994"/>
      <w:bookmarkStart w:id="65" w:name="_Toc25961"/>
      <w:r>
        <w:rPr>
          <w:rFonts w:hint="eastAsia" w:ascii="仿宋_GB2312" w:hAnsi="仿宋_GB2312" w:eastAsia="仿宋_GB2312" w:cs="仿宋_GB2312"/>
          <w:color w:val="000000" w:themeColor="text1"/>
          <w:highlight w:val="none"/>
          <w14:textFill>
            <w14:solidFill>
              <w14:schemeClr w14:val="tx1"/>
            </w14:solidFill>
          </w14:textFill>
        </w:rPr>
        <w:t xml:space="preserve">附件四 </w:t>
      </w:r>
      <w:bookmarkEnd w:id="60"/>
      <w:bookmarkEnd w:id="61"/>
      <w:bookmarkEnd w:id="62"/>
      <w:r>
        <w:rPr>
          <w:rFonts w:hint="eastAsia" w:ascii="仿宋_GB2312" w:hAnsi="仿宋_GB2312" w:eastAsia="仿宋_GB2312" w:cs="仿宋_GB2312"/>
          <w:color w:val="000000" w:themeColor="text1"/>
          <w:highlight w:val="none"/>
          <w14:textFill>
            <w14:solidFill>
              <w14:schemeClr w14:val="tx1"/>
            </w14:solidFill>
          </w14:textFill>
        </w:rPr>
        <w:t>廉洁从业共建协议</w:t>
      </w:r>
      <w:bookmarkEnd w:id="63"/>
      <w:bookmarkEnd w:id="64"/>
      <w:bookmarkEnd w:id="65"/>
    </w:p>
    <w:p w14:paraId="0D4F77DC">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1BC49BB8">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711F15D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53159D93">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63F3CB92">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F501C3F">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1238BA8">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6C3D7439">
      <w:pPr>
        <w:pStyle w:val="13"/>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6FDACB7A">
      <w:pPr>
        <w:pStyle w:val="13"/>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594E8F4F">
      <w:pPr>
        <w:pStyle w:val="13"/>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10" w:type="default"/>
          <w:footerReference r:id="rId11" w:type="default"/>
          <w:pgSz w:w="11906" w:h="16838"/>
          <w:pgMar w:top="1440" w:right="1800" w:bottom="1440" w:left="1800" w:header="850" w:footer="975" w:gutter="0"/>
          <w:pgNumType w:start="1"/>
          <w:cols w:space="0" w:num="1"/>
          <w:docGrid w:linePitch="312" w:charSpace="0"/>
        </w:sectPr>
      </w:pPr>
    </w:p>
    <w:p w14:paraId="2C1BEA80">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14:textFill>
            <w14:solidFill>
              <w14:schemeClr w14:val="tx1"/>
            </w14:solidFill>
          </w14:textFill>
        </w:rPr>
      </w:pPr>
      <w:bookmarkStart w:id="66" w:name="_Toc25426"/>
      <w:bookmarkStart w:id="67" w:name="_Toc31445"/>
      <w:bookmarkStart w:id="68" w:name="_Toc7321"/>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附件一：</w:t>
      </w:r>
      <w:bookmarkEnd w:id="66"/>
      <w:bookmarkEnd w:id="67"/>
      <w:bookmarkEnd w:id="68"/>
    </w:p>
    <w:p w14:paraId="22A8DD24">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7EF0B586">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4D5633C0">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permStart w:id="8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6"/>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8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7"/>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permStart w:id="8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8"/>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permStart w:id="8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9"/>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9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0"/>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permStart w:id="9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1"/>
      <w:r>
        <w:rPr>
          <w:rFonts w:hint="eastAsia" w:ascii="仿宋_GB2312" w:hAnsi="仿宋_GB2312" w:eastAsia="仿宋_GB2312" w:cs="仿宋_GB2312"/>
          <w:color w:val="000000" w:themeColor="text1"/>
          <w:sz w:val="24"/>
          <w:szCs w:val="24"/>
          <w:highlight w:val="none"/>
          <w14:textFill>
            <w14:solidFill>
              <w14:schemeClr w14:val="tx1"/>
            </w14:solidFill>
          </w14:textFill>
        </w:rPr>
        <w:t>项目招投标、合同签署及合同履行等事宜。</w:t>
      </w:r>
    </w:p>
    <w:p w14:paraId="199108A4">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款的收取、发票开具等均具有法律效力，授权人均予以认可。</w:t>
      </w:r>
    </w:p>
    <w:p w14:paraId="4CB806F8">
      <w:pPr>
        <w:keepNext/>
        <w:keepLines/>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permStart w:id="9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2"/>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permStart w:id="9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3"/>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permStart w:id="9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4"/>
      <w:r>
        <w:rPr>
          <w:rFonts w:hint="eastAsia" w:ascii="仿宋_GB2312" w:hAnsi="仿宋_GB2312" w:eastAsia="仿宋_GB2312" w:cs="仿宋_GB2312"/>
          <w:color w:val="000000" w:themeColor="text1"/>
          <w:sz w:val="24"/>
          <w:szCs w:val="24"/>
          <w:highlight w:val="none"/>
          <w14:textFill>
            <w14:solidFill>
              <w14:schemeClr w14:val="tx1"/>
            </w14:solidFill>
          </w14:textFill>
        </w:rPr>
        <w:t>日至</w:t>
      </w:r>
      <w:permStart w:id="9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ermEnd w:id="95"/>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70268024">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37CE0930">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63EB6D37">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28996E1C">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651633DD">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permStart w:id="9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permEnd w:id="96"/>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36D111C6">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0D03E0F3">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代理人（本人签字）：</w:t>
      </w:r>
    </w:p>
    <w:p w14:paraId="0DA4503C">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permStart w:id="9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ermEnd w:id="97"/>
    </w:p>
    <w:tbl>
      <w:tblPr>
        <w:tblStyle w:val="10"/>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615A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470" w:type="dxa"/>
            <w:tcBorders>
              <w:right w:val="single" w:color="000000" w:sz="4" w:space="0"/>
            </w:tcBorders>
            <w:vAlign w:val="center"/>
          </w:tcPr>
          <w:p w14:paraId="30641724">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ermStart w:id="98" w:edGrp="everyone"/>
          </w:p>
        </w:tc>
        <w:tc>
          <w:tcPr>
            <w:tcW w:w="4560" w:type="dxa"/>
            <w:tcBorders>
              <w:left w:val="single" w:color="000000" w:sz="4" w:space="0"/>
            </w:tcBorders>
            <w:vAlign w:val="center"/>
          </w:tcPr>
          <w:p w14:paraId="2A64513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permEnd w:id="98"/>
    </w:tbl>
    <w:p w14:paraId="3A3D4E58">
      <w:pPr>
        <w:spacing w:line="40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10"/>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492F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4ABFA87A">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ermStart w:id="99" w:edGrp="everyone"/>
          </w:p>
        </w:tc>
        <w:tc>
          <w:tcPr>
            <w:tcW w:w="4530" w:type="dxa"/>
            <w:tcBorders>
              <w:left w:val="single" w:color="000000" w:sz="4" w:space="0"/>
            </w:tcBorders>
            <w:vAlign w:val="center"/>
          </w:tcPr>
          <w:p w14:paraId="6619FC2E">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permEnd w:id="99"/>
    </w:tbl>
    <w:p w14:paraId="0325FF7E">
      <w:pPr>
        <w:spacing w:line="40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p w14:paraId="5D409106">
      <w:pPr>
        <w:pStyle w:val="13"/>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pgSz w:w="11906" w:h="16838"/>
          <w:pgMar w:top="1440" w:right="1800" w:bottom="1440" w:left="1800" w:header="850" w:footer="975" w:gutter="0"/>
          <w:cols w:space="0" w:num="1"/>
          <w:docGrid w:linePitch="312" w:charSpace="0"/>
        </w:sectPr>
      </w:pPr>
    </w:p>
    <w:p w14:paraId="5AF9C604">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69" w:name="_Toc16973"/>
      <w:bookmarkStart w:id="70" w:name="_Toc21254"/>
      <w:bookmarkStart w:id="71" w:name="_Toc4519"/>
      <w:r>
        <w:rPr>
          <w:rFonts w:hint="eastAsia" w:ascii="仿宋_GB2312" w:hAnsi="仿宋_GB2312" w:eastAsia="仿宋_GB2312" w:cs="仿宋_GB2312"/>
          <w:color w:val="000000" w:themeColor="text1"/>
          <w:sz w:val="30"/>
          <w:szCs w:val="30"/>
          <w:highlight w:val="none"/>
          <w14:textFill>
            <w14:solidFill>
              <w14:schemeClr w14:val="tx1"/>
            </w14:solidFill>
          </w14:textFill>
        </w:rPr>
        <w:t>附件二：</w:t>
      </w:r>
      <w:bookmarkEnd w:id="69"/>
      <w:bookmarkEnd w:id="70"/>
      <w:bookmarkEnd w:id="71"/>
    </w:p>
    <w:p w14:paraId="60A16B4E">
      <w:pPr>
        <w:spacing w:line="40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49FAF19">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致：</w:t>
      </w:r>
      <w:permStart w:id="100" w:edGrp="everyone"/>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100"/>
      <w:r>
        <w:rPr>
          <w:rFonts w:hint="eastAsia" w:ascii="仿宋_GB2312" w:hAnsi="仿宋_GB2312" w:eastAsia="仿宋_GB2312" w:cs="仿宋_GB2312"/>
          <w:color w:val="000000" w:themeColor="text1"/>
          <w:sz w:val="24"/>
          <w:szCs w:val="24"/>
          <w14:textFill>
            <w14:solidFill>
              <w14:schemeClr w14:val="tx1"/>
            </w14:solidFill>
          </w14:textFill>
        </w:rPr>
        <w:t>（乙方全称）</w:t>
      </w:r>
    </w:p>
    <w:p w14:paraId="5D0D3F7A">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ermStart w:id="101" w:edGrp="everyone"/>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bookmarkStart w:id="72" w:name="_Hlk126830603"/>
      <w:r>
        <w:rPr>
          <w:rFonts w:hint="eastAsia" w:ascii="仿宋_GB2312" w:hAnsi="仿宋_GB2312" w:eastAsia="仿宋_GB2312" w:cs="仿宋_GB2312"/>
          <w:color w:val="000000" w:themeColor="text1"/>
          <w:sz w:val="24"/>
          <w:szCs w:val="24"/>
          <w:u w:val="single"/>
          <w14:textFill>
            <w14:solidFill>
              <w14:schemeClr w14:val="tx1"/>
            </w14:solidFill>
          </w14:textFill>
        </w:rPr>
        <w:t>中建路桥集团有限公司</w:t>
      </w:r>
      <w:permEnd w:id="101"/>
      <w:bookmarkEnd w:id="72"/>
      <w:r>
        <w:rPr>
          <w:rFonts w:hint="eastAsia" w:ascii="仿宋_GB2312" w:hAnsi="仿宋_GB2312" w:eastAsia="仿宋_GB2312" w:cs="仿宋_GB2312"/>
          <w:color w:val="000000" w:themeColor="text1"/>
          <w:sz w:val="24"/>
          <w:szCs w:val="24"/>
          <w:lang w:val="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采购方</w:t>
      </w:r>
      <w:r>
        <w:rPr>
          <w:rFonts w:hint="eastAsia" w:ascii="仿宋_GB2312" w:hAnsi="仿宋_GB2312" w:eastAsia="仿宋_GB2312" w:cs="仿宋_GB2312"/>
          <w:color w:val="000000" w:themeColor="text1"/>
          <w:sz w:val="24"/>
          <w:szCs w:val="24"/>
          <w:lang w:val="zh-CN"/>
          <w14:textFill>
            <w14:solidFill>
              <w14:schemeClr w14:val="tx1"/>
            </w14:solidFill>
          </w14:textFill>
        </w:rPr>
        <w:t>全称，以下简称本公司），系依法成立并有效存续的公司。现向本公司</w:t>
      </w:r>
      <w:permStart w:id="102"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西藏自治区日喀则市昂仁县定日“6.8”级地震灾后恢复重建民房建设项目（昂仁县）PC总承包七</w:t>
      </w:r>
      <w:bookmarkStart w:id="128" w:name="_GoBack"/>
      <w:bookmarkEnd w:id="128"/>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标段项目经理部</w:t>
      </w:r>
      <w:permEnd w:id="102"/>
      <w:r>
        <w:rPr>
          <w:rFonts w:hint="eastAsia" w:ascii="仿宋_GB2312" w:hAnsi="仿宋_GB2312" w:eastAsia="仿宋_GB2312" w:cs="仿宋_GB2312"/>
          <w:color w:val="000000" w:themeColor="text1"/>
          <w:sz w:val="24"/>
          <w:szCs w:val="24"/>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14:textFill>
            <w14:solidFill>
              <w14:schemeClr w14:val="tx1"/>
            </w14:solidFill>
          </w14:textFill>
        </w:rPr>
        <w:t>告知</w:t>
      </w:r>
      <w:r>
        <w:rPr>
          <w:rFonts w:hint="eastAsia" w:ascii="仿宋_GB2312" w:hAnsi="仿宋_GB2312" w:eastAsia="仿宋_GB2312" w:cs="仿宋_GB2312"/>
          <w:color w:val="000000" w:themeColor="text1"/>
          <w:sz w:val="24"/>
          <w:szCs w:val="24"/>
          <w:lang w:val="zh-CN"/>
          <w14:textFill>
            <w14:solidFill>
              <w14:schemeClr w14:val="tx1"/>
            </w14:solidFill>
          </w14:textFill>
        </w:rPr>
        <w:t>书），项目经理</w:t>
      </w:r>
      <w:permStart w:id="103"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付晓军</w:t>
      </w:r>
      <w:permEnd w:id="103"/>
      <w:r>
        <w:rPr>
          <w:rFonts w:hint="eastAsia" w:ascii="仿宋_GB2312" w:hAnsi="仿宋_GB2312" w:eastAsia="仿宋_GB2312" w:cs="仿宋_GB2312"/>
          <w:color w:val="000000" w:themeColor="text1"/>
          <w:sz w:val="24"/>
          <w:szCs w:val="24"/>
          <w14:textFill>
            <w14:solidFill>
              <w14:schemeClr w14:val="tx1"/>
            </w14:solidFill>
          </w14:textFill>
        </w:rPr>
        <w:t>（身份证号：</w:t>
      </w:r>
      <w:permStart w:id="104"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130426198612143215</w:t>
      </w:r>
      <w:permEnd w:id="104"/>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CN"/>
          <w14:textFill>
            <w14:solidFill>
              <w14:schemeClr w14:val="tx1"/>
            </w14:solidFill>
          </w14:textFill>
        </w:rPr>
        <w:t xml:space="preserve">代表本公司行使权限。 </w:t>
      </w:r>
    </w:p>
    <w:p w14:paraId="60490CA7">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一、</w:t>
      </w:r>
      <w:r>
        <w:rPr>
          <w:rFonts w:hint="eastAsia" w:ascii="仿宋_GB2312" w:hAnsi="仿宋_GB2312" w:eastAsia="仿宋_GB2312" w:cs="仿宋_GB2312"/>
          <w:color w:val="000000" w:themeColor="text1"/>
          <w:sz w:val="24"/>
          <w:szCs w:val="24"/>
          <w:lang w:val="zh-CN"/>
          <w14:textFill>
            <w14:solidFill>
              <w14:schemeClr w14:val="tx1"/>
            </w14:solidFill>
          </w14:textFill>
        </w:rPr>
        <w:t>项目部须严格按合同约定行使权利，履行义务。本授权书规定与合同约定相冲突的，以合同约定为准。</w:t>
      </w:r>
    </w:p>
    <w:p w14:paraId="6D773AA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二、项目部行使权限，须由项目经理签字并加盖项目部公章，否则本公司不予认可，亦不承担任何责任。</w:t>
      </w:r>
    </w:p>
    <w:p w14:paraId="12113C2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14:textFill>
            <w14:solidFill>
              <w14:schemeClr w14:val="tx1"/>
            </w14:solidFill>
          </w14:textFill>
        </w:rPr>
        <w:t>不</w:t>
      </w:r>
      <w:r>
        <w:rPr>
          <w:rFonts w:hint="eastAsia" w:ascii="仿宋_GB2312" w:hAnsi="仿宋_GB2312" w:eastAsia="仿宋_GB2312" w:cs="仿宋_GB2312"/>
          <w:color w:val="000000" w:themeColor="text1"/>
          <w:sz w:val="24"/>
          <w:szCs w:val="24"/>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14:textFill>
            <w14:solidFill>
              <w14:schemeClr w14:val="tx1"/>
            </w14:solidFill>
          </w14:textFill>
        </w:rPr>
        <w:t>擅自</w:t>
      </w:r>
      <w:r>
        <w:rPr>
          <w:rFonts w:hint="eastAsia" w:ascii="仿宋_GB2312" w:hAnsi="仿宋_GB2312" w:eastAsia="仿宋_GB2312" w:cs="仿宋_GB2312"/>
          <w:color w:val="000000" w:themeColor="text1"/>
          <w:sz w:val="24"/>
          <w:szCs w:val="24"/>
          <w:lang w:val="zh-CN"/>
          <w14:textFill>
            <w14:solidFill>
              <w14:schemeClr w14:val="tx1"/>
            </w14:solidFill>
          </w14:textFill>
        </w:rPr>
        <w:t>转授权人员以任何形式签字、盖章本公司均不予认可，亦不承担任何责任。</w:t>
      </w:r>
    </w:p>
    <w:p w14:paraId="3A3CB1C1">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四、项目所有合同、协议等具有权利义务性质的文件均需加盖合同专用章，否则本公司不予认可，亦不承担任何责任。</w:t>
      </w:r>
    </w:p>
    <w:p w14:paraId="457C04F1">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41D664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1.项目部有权审批如下事项：</w:t>
      </w:r>
    </w:p>
    <w:tbl>
      <w:tblPr>
        <w:tblStyle w:val="10"/>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24F2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58DA3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1209" w:type="dxa"/>
            <w:vAlign w:val="center"/>
          </w:tcPr>
          <w:p w14:paraId="46C5A47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板块</w:t>
            </w:r>
          </w:p>
        </w:tc>
        <w:tc>
          <w:tcPr>
            <w:tcW w:w="1974" w:type="dxa"/>
            <w:vAlign w:val="center"/>
          </w:tcPr>
          <w:p w14:paraId="2742A1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授权事项</w:t>
            </w:r>
          </w:p>
        </w:tc>
        <w:tc>
          <w:tcPr>
            <w:tcW w:w="5117" w:type="dxa"/>
            <w:vAlign w:val="center"/>
          </w:tcPr>
          <w:p w14:paraId="4249D1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授权权限</w:t>
            </w:r>
          </w:p>
        </w:tc>
      </w:tr>
      <w:tr w14:paraId="0E71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083B6C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p>
        </w:tc>
        <w:tc>
          <w:tcPr>
            <w:tcW w:w="1209" w:type="dxa"/>
            <w:vMerge w:val="restart"/>
            <w:vAlign w:val="center"/>
          </w:tcPr>
          <w:p w14:paraId="2808B3A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总包管理</w:t>
            </w:r>
          </w:p>
        </w:tc>
        <w:tc>
          <w:tcPr>
            <w:tcW w:w="1974" w:type="dxa"/>
            <w:vAlign w:val="center"/>
          </w:tcPr>
          <w:p w14:paraId="70E218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申请开工</w:t>
            </w:r>
          </w:p>
        </w:tc>
        <w:tc>
          <w:tcPr>
            <w:tcW w:w="5117" w:type="dxa"/>
            <w:vAlign w:val="center"/>
          </w:tcPr>
          <w:p w14:paraId="2CE2A8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有权向建设单位申请开工。</w:t>
            </w:r>
          </w:p>
        </w:tc>
      </w:tr>
      <w:tr w14:paraId="4536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AA80B5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p>
        </w:tc>
        <w:tc>
          <w:tcPr>
            <w:tcW w:w="1209" w:type="dxa"/>
            <w:vMerge w:val="continue"/>
            <w:vAlign w:val="center"/>
          </w:tcPr>
          <w:p w14:paraId="0BC885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6BBA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w:t>
            </w:r>
          </w:p>
        </w:tc>
        <w:tc>
          <w:tcPr>
            <w:tcW w:w="5117" w:type="dxa"/>
            <w:vAlign w:val="center"/>
          </w:tcPr>
          <w:p w14:paraId="0812684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施工方案、施工组织设计、技术措施的编制、交底、实施和落实。</w:t>
            </w:r>
          </w:p>
        </w:tc>
      </w:tr>
      <w:tr w14:paraId="4BCD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6485D7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p>
        </w:tc>
        <w:tc>
          <w:tcPr>
            <w:tcW w:w="1209" w:type="dxa"/>
            <w:vMerge w:val="continue"/>
            <w:vAlign w:val="center"/>
          </w:tcPr>
          <w:p w14:paraId="61358A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5E1995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报送工程进度</w:t>
            </w:r>
          </w:p>
        </w:tc>
        <w:tc>
          <w:tcPr>
            <w:tcW w:w="5117" w:type="dxa"/>
            <w:vAlign w:val="center"/>
          </w:tcPr>
          <w:p w14:paraId="1694214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对外报送工程进度计划及调整。</w:t>
            </w:r>
          </w:p>
        </w:tc>
      </w:tr>
      <w:tr w14:paraId="0D9E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39339C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4</w:t>
            </w:r>
          </w:p>
        </w:tc>
        <w:tc>
          <w:tcPr>
            <w:tcW w:w="1209" w:type="dxa"/>
            <w:vMerge w:val="continue"/>
            <w:vAlign w:val="center"/>
          </w:tcPr>
          <w:p w14:paraId="621CA0F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5838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物资需用计划</w:t>
            </w:r>
          </w:p>
        </w:tc>
        <w:tc>
          <w:tcPr>
            <w:tcW w:w="5117" w:type="dxa"/>
            <w:vAlign w:val="center"/>
          </w:tcPr>
          <w:p w14:paraId="7689556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有权向建设单位报送物资需用计划（适用于工程所需材料由建设单位提供）。</w:t>
            </w:r>
          </w:p>
        </w:tc>
      </w:tr>
      <w:tr w14:paraId="5ADE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923EFC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5</w:t>
            </w:r>
          </w:p>
        </w:tc>
        <w:tc>
          <w:tcPr>
            <w:tcW w:w="1209" w:type="dxa"/>
            <w:vMerge w:val="continue"/>
            <w:vAlign w:val="center"/>
          </w:tcPr>
          <w:p w14:paraId="12B2CF8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D062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甲供材过程及质量问题反馈</w:t>
            </w:r>
          </w:p>
        </w:tc>
        <w:tc>
          <w:tcPr>
            <w:tcW w:w="5117" w:type="dxa"/>
            <w:vAlign w:val="center"/>
          </w:tcPr>
          <w:p w14:paraId="05564D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有权就建设单位方供应（控制）的物质，供货过程及质量问题，向建设单位发联系函。</w:t>
            </w:r>
          </w:p>
        </w:tc>
      </w:tr>
      <w:tr w14:paraId="4A8F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2A13A2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6</w:t>
            </w:r>
          </w:p>
        </w:tc>
        <w:tc>
          <w:tcPr>
            <w:tcW w:w="1209" w:type="dxa"/>
            <w:vMerge w:val="continue"/>
            <w:vAlign w:val="center"/>
          </w:tcPr>
          <w:p w14:paraId="1E3FE1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3C918B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废旧物资处理</w:t>
            </w:r>
          </w:p>
        </w:tc>
        <w:tc>
          <w:tcPr>
            <w:tcW w:w="5117" w:type="dxa"/>
            <w:vAlign w:val="center"/>
          </w:tcPr>
          <w:p w14:paraId="24C5926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确定的方案实施处理废旧物资。</w:t>
            </w:r>
          </w:p>
        </w:tc>
      </w:tr>
      <w:tr w14:paraId="45AC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F2622B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7</w:t>
            </w:r>
          </w:p>
        </w:tc>
        <w:tc>
          <w:tcPr>
            <w:tcW w:w="1209" w:type="dxa"/>
            <w:vMerge w:val="continue"/>
            <w:vAlign w:val="center"/>
          </w:tcPr>
          <w:p w14:paraId="250E1F3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9D07A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设计变更、签证、索赔</w:t>
            </w:r>
          </w:p>
        </w:tc>
        <w:tc>
          <w:tcPr>
            <w:tcW w:w="5117" w:type="dxa"/>
            <w:vAlign w:val="center"/>
          </w:tcPr>
          <w:p w14:paraId="3DF045A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有权向建设单位报送设计变更、签证、索赔报价单</w:t>
            </w:r>
          </w:p>
        </w:tc>
      </w:tr>
      <w:tr w14:paraId="44CB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A7CA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8</w:t>
            </w:r>
          </w:p>
        </w:tc>
        <w:tc>
          <w:tcPr>
            <w:tcW w:w="1209" w:type="dxa"/>
            <w:vMerge w:val="continue"/>
            <w:vAlign w:val="center"/>
          </w:tcPr>
          <w:p w14:paraId="6B1A491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A74061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对外报量书</w:t>
            </w:r>
          </w:p>
        </w:tc>
        <w:tc>
          <w:tcPr>
            <w:tcW w:w="5117" w:type="dxa"/>
            <w:vAlign w:val="center"/>
          </w:tcPr>
          <w:p w14:paraId="001BC7C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有权编制对外报量书并报送甲方审核。</w:t>
            </w:r>
          </w:p>
        </w:tc>
      </w:tr>
      <w:tr w14:paraId="73C8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CACE95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9</w:t>
            </w:r>
          </w:p>
        </w:tc>
        <w:tc>
          <w:tcPr>
            <w:tcW w:w="1209" w:type="dxa"/>
            <w:vMerge w:val="continue"/>
            <w:vAlign w:val="center"/>
          </w:tcPr>
          <w:p w14:paraId="708183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3A57D7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付款申请</w:t>
            </w:r>
          </w:p>
        </w:tc>
        <w:tc>
          <w:tcPr>
            <w:tcW w:w="5117" w:type="dxa"/>
            <w:vAlign w:val="center"/>
          </w:tcPr>
          <w:p w14:paraId="6ECAC3D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有权向建设单位提出付款申请。</w:t>
            </w:r>
          </w:p>
        </w:tc>
      </w:tr>
      <w:tr w14:paraId="0403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654D00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10</w:t>
            </w:r>
          </w:p>
        </w:tc>
        <w:tc>
          <w:tcPr>
            <w:tcW w:w="1209" w:type="dxa"/>
            <w:vMerge w:val="continue"/>
            <w:vAlign w:val="center"/>
          </w:tcPr>
          <w:p w14:paraId="5EBE5F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8704C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申请工程竣工验收</w:t>
            </w:r>
          </w:p>
        </w:tc>
        <w:tc>
          <w:tcPr>
            <w:tcW w:w="5117" w:type="dxa"/>
            <w:vAlign w:val="center"/>
          </w:tcPr>
          <w:p w14:paraId="172BBD2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有权报监理单位、建设单位组织验收。验收合格的，有权向建设单位提出竣工验收申请。</w:t>
            </w:r>
          </w:p>
        </w:tc>
      </w:tr>
      <w:tr w14:paraId="6FE3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EA0D4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11</w:t>
            </w:r>
          </w:p>
        </w:tc>
        <w:tc>
          <w:tcPr>
            <w:tcW w:w="1209" w:type="dxa"/>
            <w:vMerge w:val="continue"/>
            <w:vAlign w:val="center"/>
          </w:tcPr>
          <w:p w14:paraId="4B04E6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600191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工程交付</w:t>
            </w:r>
          </w:p>
        </w:tc>
        <w:tc>
          <w:tcPr>
            <w:tcW w:w="5117" w:type="dxa"/>
            <w:vAlign w:val="center"/>
          </w:tcPr>
          <w:p w14:paraId="1CCFED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有权组织向建设单位进行交付，办理工程移交单。</w:t>
            </w:r>
          </w:p>
        </w:tc>
      </w:tr>
      <w:tr w14:paraId="47C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7FE2B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12</w:t>
            </w:r>
          </w:p>
        </w:tc>
        <w:tc>
          <w:tcPr>
            <w:tcW w:w="1209" w:type="dxa"/>
            <w:vMerge w:val="continue"/>
            <w:vAlign w:val="center"/>
          </w:tcPr>
          <w:p w14:paraId="0CE73E5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E4E9DD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撤销保函</w:t>
            </w:r>
          </w:p>
        </w:tc>
        <w:tc>
          <w:tcPr>
            <w:tcW w:w="5117" w:type="dxa"/>
            <w:vAlign w:val="center"/>
          </w:tcPr>
          <w:p w14:paraId="490B0B7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有权办理我公司对外开立的保函撤销相关工作。</w:t>
            </w:r>
          </w:p>
        </w:tc>
      </w:tr>
      <w:tr w14:paraId="2D9F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82223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13</w:t>
            </w:r>
          </w:p>
        </w:tc>
        <w:tc>
          <w:tcPr>
            <w:tcW w:w="1209" w:type="dxa"/>
            <w:vMerge w:val="continue"/>
            <w:vAlign w:val="center"/>
          </w:tcPr>
          <w:p w14:paraId="10C87D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67832B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递交结算资料</w:t>
            </w:r>
          </w:p>
        </w:tc>
        <w:tc>
          <w:tcPr>
            <w:tcW w:w="5117" w:type="dxa"/>
            <w:vAlign w:val="center"/>
          </w:tcPr>
          <w:p w14:paraId="7C3F90B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有权向建设单位递交工程结算书及结算资料。</w:t>
            </w:r>
          </w:p>
        </w:tc>
      </w:tr>
      <w:tr w14:paraId="4D66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3A35C7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14</w:t>
            </w:r>
          </w:p>
        </w:tc>
        <w:tc>
          <w:tcPr>
            <w:tcW w:w="1209" w:type="dxa"/>
            <w:vMerge w:val="continue"/>
            <w:vAlign w:val="center"/>
          </w:tcPr>
          <w:p w14:paraId="0D2039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84B84C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应收账款对账</w:t>
            </w:r>
          </w:p>
        </w:tc>
        <w:tc>
          <w:tcPr>
            <w:tcW w:w="5117" w:type="dxa"/>
            <w:vAlign w:val="center"/>
          </w:tcPr>
          <w:p w14:paraId="74326C0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有权与建设单位进行对账，将双方应收（付）账款金额核对一致。</w:t>
            </w:r>
          </w:p>
        </w:tc>
      </w:tr>
      <w:tr w14:paraId="3B2D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CDE22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15</w:t>
            </w:r>
          </w:p>
        </w:tc>
        <w:tc>
          <w:tcPr>
            <w:tcW w:w="1209" w:type="dxa"/>
            <w:vMerge w:val="continue"/>
            <w:vAlign w:val="center"/>
          </w:tcPr>
          <w:p w14:paraId="026943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B5D45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催款单</w:t>
            </w:r>
          </w:p>
        </w:tc>
        <w:tc>
          <w:tcPr>
            <w:tcW w:w="5117" w:type="dxa"/>
            <w:vAlign w:val="center"/>
          </w:tcPr>
          <w:p w14:paraId="644160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根据《工程施工合同》有关条款，在存在拖欠工程款时，有权向建设单位发函催收。</w:t>
            </w:r>
          </w:p>
        </w:tc>
      </w:tr>
      <w:tr w14:paraId="5ECE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7B259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16</w:t>
            </w:r>
          </w:p>
        </w:tc>
        <w:tc>
          <w:tcPr>
            <w:tcW w:w="1209" w:type="dxa"/>
            <w:vMerge w:val="restart"/>
            <w:vAlign w:val="center"/>
          </w:tcPr>
          <w:p w14:paraId="645D15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分包(供)管理</w:t>
            </w:r>
          </w:p>
        </w:tc>
        <w:tc>
          <w:tcPr>
            <w:tcW w:w="1974" w:type="dxa"/>
            <w:vAlign w:val="center"/>
          </w:tcPr>
          <w:p w14:paraId="61FC6F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分包（供）合同管理</w:t>
            </w:r>
          </w:p>
        </w:tc>
        <w:tc>
          <w:tcPr>
            <w:tcW w:w="5117" w:type="dxa"/>
            <w:vAlign w:val="center"/>
          </w:tcPr>
          <w:p w14:paraId="2C5BF4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/公司审批签约。</w:t>
            </w:r>
          </w:p>
        </w:tc>
      </w:tr>
      <w:tr w14:paraId="2334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0C10D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1209" w:type="dxa"/>
            <w:vMerge w:val="continue"/>
            <w:vAlign w:val="center"/>
          </w:tcPr>
          <w:p w14:paraId="65EF19D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0BF321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合同交底管理</w:t>
            </w:r>
          </w:p>
        </w:tc>
        <w:tc>
          <w:tcPr>
            <w:tcW w:w="5117" w:type="dxa"/>
            <w:vAlign w:val="center"/>
          </w:tcPr>
          <w:p w14:paraId="61F2305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将相关工程洽商记录、施工图纸及会审记录、设计变更通知书或设计变更图发至乙方，并做书面交底。</w:t>
            </w:r>
          </w:p>
        </w:tc>
      </w:tr>
      <w:tr w14:paraId="71C2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D36BC8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27EBD24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CEDAC1B">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sz w:val="24"/>
                <w:szCs w:val="24"/>
                <w:lang w:val="zh-CN"/>
              </w:rPr>
              <w:t>分包合同签证管理</w:t>
            </w:r>
          </w:p>
        </w:tc>
        <w:tc>
          <w:tcPr>
            <w:tcW w:w="5117" w:type="dxa"/>
            <w:vAlign w:val="center"/>
          </w:tcPr>
          <w:p w14:paraId="64F04CE4">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2C6D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2327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4D680B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shd w:val="clear" w:color="auto" w:fill="auto"/>
            <w:vAlign w:val="center"/>
          </w:tcPr>
          <w:p w14:paraId="2B94C803">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分包单位进退场</w:t>
            </w:r>
          </w:p>
        </w:tc>
        <w:tc>
          <w:tcPr>
            <w:tcW w:w="5117" w:type="dxa"/>
            <w:shd w:val="clear" w:color="auto" w:fill="auto"/>
            <w:vAlign w:val="center"/>
          </w:tcPr>
          <w:p w14:paraId="05C9DE9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有权确认分包人员、机械、材料等施工资源进退场。</w:t>
            </w:r>
          </w:p>
        </w:tc>
      </w:tr>
      <w:tr w14:paraId="76C9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0D44E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20</w:t>
            </w:r>
          </w:p>
        </w:tc>
        <w:tc>
          <w:tcPr>
            <w:tcW w:w="1209" w:type="dxa"/>
            <w:vMerge w:val="continue"/>
            <w:vAlign w:val="center"/>
          </w:tcPr>
          <w:p w14:paraId="6BCD97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946530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劳动力分配计划</w:t>
            </w:r>
          </w:p>
        </w:tc>
        <w:tc>
          <w:tcPr>
            <w:tcW w:w="5117" w:type="dxa"/>
            <w:vAlign w:val="center"/>
          </w:tcPr>
          <w:p w14:paraId="29ECA6D6">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有权要求分包方按要求配置劳动力。</w:t>
            </w:r>
          </w:p>
        </w:tc>
      </w:tr>
      <w:tr w14:paraId="43F7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798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1209" w:type="dxa"/>
            <w:vMerge w:val="continue"/>
            <w:vAlign w:val="center"/>
          </w:tcPr>
          <w:p w14:paraId="1485ADD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76B7D47">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现场零星工程指令</w:t>
            </w:r>
          </w:p>
        </w:tc>
        <w:tc>
          <w:tcPr>
            <w:tcW w:w="5117" w:type="dxa"/>
            <w:vAlign w:val="center"/>
          </w:tcPr>
          <w:p w14:paraId="21B1FB04">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有权根据需要向分</w:t>
            </w:r>
            <w:r>
              <w:rPr>
                <w:rFonts w:hint="eastAsia" w:ascii="仿宋_GB2312" w:hAnsi="仿宋_GB2312" w:eastAsia="仿宋_GB2312" w:cs="仿宋_GB2312"/>
                <w:b/>
                <w:bCs/>
                <w:sz w:val="24"/>
                <w:szCs w:val="24"/>
              </w:rPr>
              <w:t>包</w:t>
            </w:r>
            <w:r>
              <w:rPr>
                <w:rFonts w:hint="eastAsia" w:ascii="仿宋_GB2312" w:hAnsi="仿宋_GB2312" w:eastAsia="仿宋_GB2312" w:cs="仿宋_GB2312"/>
                <w:b/>
                <w:bCs/>
                <w:sz w:val="24"/>
                <w:szCs w:val="24"/>
                <w:lang w:val="zh-CN"/>
              </w:rPr>
              <w:t>方签发现场零星工程指令（金额在2万元以内）。</w:t>
            </w:r>
          </w:p>
        </w:tc>
      </w:tr>
      <w:tr w14:paraId="31CC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0976BE5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1209" w:type="dxa"/>
            <w:vMerge w:val="continue"/>
            <w:vAlign w:val="center"/>
          </w:tcPr>
          <w:p w14:paraId="2B7083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restart"/>
            <w:vAlign w:val="center"/>
          </w:tcPr>
          <w:p w14:paraId="16819B5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紧急采购、零星物资采购</w:t>
            </w:r>
          </w:p>
        </w:tc>
        <w:tc>
          <w:tcPr>
            <w:tcW w:w="5117" w:type="dxa"/>
            <w:vAlign w:val="center"/>
          </w:tcPr>
          <w:p w14:paraId="053087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零星采购：</w:t>
            </w:r>
            <w:r>
              <w:rPr>
                <w:rFonts w:hint="eastAsia" w:ascii="仿宋_GB2312" w:hAnsi="仿宋_GB2312" w:eastAsia="仿宋_GB2312" w:cs="仿宋_GB2312"/>
                <w:b/>
                <w:bCs/>
                <w:sz w:val="24"/>
                <w:szCs w:val="24"/>
              </w:rPr>
              <w:t>按制度权限、额度审批后采购。</w:t>
            </w:r>
          </w:p>
        </w:tc>
      </w:tr>
      <w:tr w14:paraId="07F3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075BD1C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209" w:type="dxa"/>
            <w:vMerge w:val="continue"/>
            <w:vAlign w:val="center"/>
          </w:tcPr>
          <w:p w14:paraId="688BA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continue"/>
            <w:vAlign w:val="center"/>
          </w:tcPr>
          <w:p w14:paraId="50EB631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5117" w:type="dxa"/>
            <w:vAlign w:val="center"/>
          </w:tcPr>
          <w:p w14:paraId="71453AF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紧急采购：报公司审核后，项目实施采购。</w:t>
            </w:r>
          </w:p>
        </w:tc>
      </w:tr>
      <w:tr w14:paraId="6041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1DEB92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1209" w:type="dxa"/>
            <w:vMerge w:val="continue"/>
            <w:vAlign w:val="center"/>
          </w:tcPr>
          <w:p w14:paraId="7872254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E0CBDE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材料、料具、设备进退场</w:t>
            </w:r>
          </w:p>
        </w:tc>
        <w:tc>
          <w:tcPr>
            <w:tcW w:w="5117" w:type="dxa"/>
            <w:vAlign w:val="center"/>
          </w:tcPr>
          <w:p w14:paraId="59DF22A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14:textFill>
                  <w14:solidFill>
                    <w14:schemeClr w14:val="tx1"/>
                  </w14:solidFill>
                </w14:textFill>
              </w:rPr>
              <w:t>分供方</w:t>
            </w:r>
            <w:r>
              <w:rPr>
                <w:rFonts w:hint="eastAsia" w:ascii="仿宋_GB2312" w:hAnsi="仿宋_GB2312" w:eastAsia="仿宋_GB2312" w:cs="仿宋_GB2312"/>
                <w:b/>
                <w:bCs/>
                <w:color w:val="000000" w:themeColor="text1"/>
                <w:sz w:val="24"/>
                <w:szCs w:val="24"/>
                <w:lang w:val="zh-CN"/>
                <w14:textFill>
                  <w14:solidFill>
                    <w14:schemeClr w14:val="tx1"/>
                  </w14:solidFill>
                </w14:textFill>
              </w:rPr>
              <w:t>发送物资进退场通知单；有权确认材料、料具、设备及退货材料的进退场单据。</w:t>
            </w:r>
          </w:p>
        </w:tc>
      </w:tr>
      <w:tr w14:paraId="66EB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CE53A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24</w:t>
            </w:r>
          </w:p>
        </w:tc>
        <w:tc>
          <w:tcPr>
            <w:tcW w:w="1209" w:type="dxa"/>
            <w:vMerge w:val="continue"/>
            <w:vAlign w:val="center"/>
          </w:tcPr>
          <w:p w14:paraId="110FC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5AACF2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14:textFill>
                  <w14:solidFill>
                    <w14:schemeClr w14:val="tx1"/>
                  </w14:solidFill>
                </w14:textFill>
              </w:rPr>
              <w:t>检验</w:t>
            </w:r>
          </w:p>
        </w:tc>
        <w:tc>
          <w:tcPr>
            <w:tcW w:w="5117" w:type="dxa"/>
            <w:vAlign w:val="center"/>
          </w:tcPr>
          <w:p w14:paraId="24DA54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14:textFill>
                  <w14:solidFill>
                    <w14:schemeClr w14:val="tx1"/>
                  </w14:solidFill>
                </w14:textFill>
              </w:rPr>
              <w:t>物资</w:t>
            </w:r>
            <w:r>
              <w:rPr>
                <w:rFonts w:hint="eastAsia" w:ascii="仿宋_GB2312" w:hAnsi="仿宋_GB2312" w:eastAsia="仿宋_GB2312" w:cs="仿宋_GB2312"/>
                <w:b/>
                <w:bCs/>
                <w:color w:val="000000" w:themeColor="text1"/>
                <w:sz w:val="24"/>
                <w:szCs w:val="24"/>
                <w:lang w:val="zh-CN"/>
                <w14:textFill>
                  <w14:solidFill>
                    <w14:schemeClr w14:val="tx1"/>
                  </w14:solidFill>
                </w14:textFill>
              </w:rPr>
              <w:t>设备进行检验、试验、检测与计量，联系乙方退货或更换，出具进场设备不合格记录。</w:t>
            </w:r>
          </w:p>
        </w:tc>
      </w:tr>
      <w:tr w14:paraId="332E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07BC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50DCC28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20BFD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物资发放</w:t>
            </w:r>
          </w:p>
        </w:tc>
        <w:tc>
          <w:tcPr>
            <w:tcW w:w="5117" w:type="dxa"/>
            <w:vAlign w:val="center"/>
          </w:tcPr>
          <w:p w14:paraId="436C7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有权确认有关物资发放的领料单、退货单、混凝土浇灌申请表（不含调拨单）。</w:t>
            </w:r>
          </w:p>
        </w:tc>
      </w:tr>
      <w:tr w14:paraId="57D5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9F4AF4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Merge w:val="continue"/>
            <w:vAlign w:val="center"/>
          </w:tcPr>
          <w:p w14:paraId="0AF4EB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E8E97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履约整改通知</w:t>
            </w:r>
          </w:p>
        </w:tc>
        <w:tc>
          <w:tcPr>
            <w:tcW w:w="5117" w:type="dxa"/>
            <w:vAlign w:val="center"/>
          </w:tcPr>
          <w:p w14:paraId="325090F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对分包分供方工程项目的履约情况进行监控和核查，发现问题后，有权通知要求分包分供方进行整改。</w:t>
            </w:r>
          </w:p>
        </w:tc>
      </w:tr>
      <w:tr w14:paraId="00C0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1F49D9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continue"/>
            <w:vAlign w:val="center"/>
          </w:tcPr>
          <w:p w14:paraId="604E89D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0ACAB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分包分供方处罚</w:t>
            </w:r>
          </w:p>
        </w:tc>
        <w:tc>
          <w:tcPr>
            <w:tcW w:w="5117" w:type="dxa"/>
            <w:vAlign w:val="center"/>
          </w:tcPr>
          <w:p w14:paraId="791048A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有权根据合同约定对不服从管理或违约的分包分供方作出处罚的决定。</w:t>
            </w:r>
          </w:p>
        </w:tc>
      </w:tr>
      <w:tr w14:paraId="46CA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62F6D6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28</w:t>
            </w:r>
          </w:p>
        </w:tc>
        <w:tc>
          <w:tcPr>
            <w:tcW w:w="1209" w:type="dxa"/>
            <w:vMerge w:val="continue"/>
            <w:vAlign w:val="center"/>
          </w:tcPr>
          <w:p w14:paraId="1485C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B2AF09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结算初步办理</w:t>
            </w:r>
          </w:p>
        </w:tc>
        <w:tc>
          <w:tcPr>
            <w:tcW w:w="5117" w:type="dxa"/>
            <w:vAlign w:val="center"/>
          </w:tcPr>
          <w:p w14:paraId="695D993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初步编制</w:t>
            </w:r>
            <w:r>
              <w:rPr>
                <w:rFonts w:hint="eastAsia" w:ascii="仿宋_GB2312" w:hAnsi="仿宋_GB2312" w:eastAsia="仿宋_GB2312" w:cs="仿宋_GB2312"/>
                <w:b/>
                <w:bCs/>
                <w:color w:val="000000" w:themeColor="text1"/>
                <w:sz w:val="24"/>
                <w:szCs w:val="24"/>
                <w14:textFill>
                  <w14:solidFill>
                    <w14:schemeClr w14:val="tx1"/>
                  </w14:solidFill>
                </w14:textFill>
              </w:rPr>
              <w:t>分包分供</w:t>
            </w:r>
            <w:r>
              <w:rPr>
                <w:rFonts w:hint="eastAsia" w:ascii="仿宋_GB2312" w:hAnsi="仿宋_GB2312" w:eastAsia="仿宋_GB2312" w:cs="仿宋_GB2312"/>
                <w:b/>
                <w:bCs/>
                <w:color w:val="000000" w:themeColor="text1"/>
                <w:sz w:val="24"/>
                <w:szCs w:val="24"/>
                <w:lang w:val="zh-CN"/>
                <w14:textFill>
                  <w14:solidFill>
                    <w14:schemeClr w14:val="tx1"/>
                  </w14:solidFill>
                </w14:textFill>
              </w:rPr>
              <w:t>结算单提交甲方</w:t>
            </w:r>
            <w:r>
              <w:rPr>
                <w:rFonts w:hint="eastAsia" w:ascii="仿宋_GB2312" w:hAnsi="仿宋_GB2312" w:eastAsia="仿宋_GB2312" w:cs="仿宋_GB2312"/>
                <w:b/>
                <w:bCs/>
                <w:color w:val="000000" w:themeColor="text1"/>
                <w:sz w:val="24"/>
                <w:szCs w:val="24"/>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确认。</w:t>
            </w:r>
          </w:p>
        </w:tc>
      </w:tr>
      <w:tr w14:paraId="1D1E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BEE56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3173AA4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D57B80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分包分供方结算扣款</w:t>
            </w:r>
          </w:p>
        </w:tc>
        <w:tc>
          <w:tcPr>
            <w:tcW w:w="5117" w:type="dxa"/>
            <w:vAlign w:val="center"/>
          </w:tcPr>
          <w:p w14:paraId="693B259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有权在中间结算和最终结算时扣除分包分供方应扣款项（包括但不限于</w:t>
            </w:r>
            <w:r>
              <w:rPr>
                <w:rFonts w:hint="eastAsia" w:ascii="仿宋_GB2312" w:hAnsi="仿宋_GB2312" w:eastAsia="仿宋_GB2312" w:cs="仿宋_GB2312"/>
                <w:b/>
                <w:bCs/>
                <w:color w:val="000000" w:themeColor="text1"/>
                <w:sz w:val="24"/>
                <w:szCs w:val="24"/>
                <w14:textFill>
                  <w14:solidFill>
                    <w14:schemeClr w14:val="tx1"/>
                  </w14:solidFill>
                </w14:textFill>
              </w:rPr>
              <w:t>质保金、</w:t>
            </w:r>
            <w:r>
              <w:rPr>
                <w:rFonts w:hint="eastAsia" w:ascii="仿宋_GB2312" w:hAnsi="仿宋_GB2312" w:eastAsia="仿宋_GB2312" w:cs="仿宋_GB2312"/>
                <w:b/>
                <w:bCs/>
                <w:color w:val="000000" w:themeColor="text1"/>
                <w:sz w:val="24"/>
                <w:szCs w:val="24"/>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BFB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393FAC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30</w:t>
            </w:r>
          </w:p>
        </w:tc>
        <w:tc>
          <w:tcPr>
            <w:tcW w:w="1209" w:type="dxa"/>
            <w:vMerge w:val="restart"/>
            <w:vAlign w:val="center"/>
          </w:tcPr>
          <w:p w14:paraId="4F07B61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安全管理</w:t>
            </w:r>
          </w:p>
        </w:tc>
        <w:tc>
          <w:tcPr>
            <w:tcW w:w="1974" w:type="dxa"/>
            <w:vAlign w:val="center"/>
          </w:tcPr>
          <w:p w14:paraId="75E0C95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事故现场秩序维护</w:t>
            </w:r>
          </w:p>
        </w:tc>
        <w:tc>
          <w:tcPr>
            <w:tcW w:w="5117" w:type="dxa"/>
            <w:vAlign w:val="center"/>
          </w:tcPr>
          <w:p w14:paraId="4B9847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审批（不含安全事故责任认定及赔偿）。</w:t>
            </w:r>
          </w:p>
        </w:tc>
      </w:tr>
      <w:tr w14:paraId="626B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BF9B1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31</w:t>
            </w:r>
          </w:p>
        </w:tc>
        <w:tc>
          <w:tcPr>
            <w:tcW w:w="1209" w:type="dxa"/>
            <w:vMerge w:val="continue"/>
            <w:vAlign w:val="center"/>
          </w:tcPr>
          <w:p w14:paraId="75AE4C2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AAD2D7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安全事故处理方案</w:t>
            </w:r>
          </w:p>
        </w:tc>
        <w:tc>
          <w:tcPr>
            <w:tcW w:w="5117" w:type="dxa"/>
            <w:vAlign w:val="center"/>
          </w:tcPr>
          <w:p w14:paraId="20B532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发生安全事故后，有权启动应急预案。</w:t>
            </w:r>
          </w:p>
        </w:tc>
      </w:tr>
      <w:tr w14:paraId="2817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6F82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32</w:t>
            </w:r>
          </w:p>
        </w:tc>
        <w:tc>
          <w:tcPr>
            <w:tcW w:w="1209" w:type="dxa"/>
            <w:vMerge w:val="continue"/>
            <w:vAlign w:val="center"/>
          </w:tcPr>
          <w:p w14:paraId="047BD2E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D55D7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14:textFill>
                  <w14:solidFill>
                    <w14:schemeClr w14:val="tx1"/>
                  </w14:solidFill>
                </w14:textFill>
              </w:rPr>
              <w:t>整改</w:t>
            </w:r>
          </w:p>
        </w:tc>
        <w:tc>
          <w:tcPr>
            <w:tcW w:w="5117" w:type="dxa"/>
            <w:vAlign w:val="center"/>
          </w:tcPr>
          <w:p w14:paraId="012ED5F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对存在的安全生产隐患，下达《安全隐患整改通知书》</w:t>
            </w:r>
          </w:p>
          <w:p w14:paraId="7CD23A6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对存在重大安全生产隐患，下达《安全隐患局部停工整改令》</w:t>
            </w:r>
          </w:p>
        </w:tc>
      </w:tr>
      <w:tr w14:paraId="0C78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AD45E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33</w:t>
            </w:r>
          </w:p>
        </w:tc>
        <w:tc>
          <w:tcPr>
            <w:tcW w:w="1209" w:type="dxa"/>
            <w:vMerge w:val="restart"/>
            <w:vAlign w:val="center"/>
          </w:tcPr>
          <w:p w14:paraId="0040708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质量管理</w:t>
            </w:r>
          </w:p>
        </w:tc>
        <w:tc>
          <w:tcPr>
            <w:tcW w:w="1974" w:type="dxa"/>
            <w:vAlign w:val="center"/>
          </w:tcPr>
          <w:p w14:paraId="4329E3E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质量验收</w:t>
            </w:r>
          </w:p>
        </w:tc>
        <w:tc>
          <w:tcPr>
            <w:tcW w:w="5117" w:type="dxa"/>
            <w:vAlign w:val="center"/>
          </w:tcPr>
          <w:p w14:paraId="3918EE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有权组织实施质量验收工作。</w:t>
            </w:r>
          </w:p>
        </w:tc>
      </w:tr>
      <w:tr w14:paraId="0174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DA63F2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1209" w:type="dxa"/>
            <w:vMerge w:val="continue"/>
            <w:vAlign w:val="center"/>
          </w:tcPr>
          <w:p w14:paraId="6DD0AEF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9D58C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质量事故应急措施</w:t>
            </w:r>
          </w:p>
        </w:tc>
        <w:tc>
          <w:tcPr>
            <w:tcW w:w="5117" w:type="dxa"/>
            <w:vAlign w:val="center"/>
          </w:tcPr>
          <w:p w14:paraId="107C090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p>
        </w:tc>
      </w:tr>
      <w:tr w14:paraId="2CDC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1619E7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7909968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E1513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质量事故处理方案</w:t>
            </w:r>
          </w:p>
        </w:tc>
        <w:tc>
          <w:tcPr>
            <w:tcW w:w="5117" w:type="dxa"/>
            <w:vAlign w:val="center"/>
          </w:tcPr>
          <w:p w14:paraId="01F4F15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制定质量事故处理方案处理事故相关事宜。</w:t>
            </w:r>
          </w:p>
        </w:tc>
      </w:tr>
      <w:tr w14:paraId="3F36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80BB6C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Align w:val="center"/>
          </w:tcPr>
          <w:p w14:paraId="1470D5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环境管理</w:t>
            </w:r>
          </w:p>
        </w:tc>
        <w:tc>
          <w:tcPr>
            <w:tcW w:w="1974" w:type="dxa"/>
            <w:vAlign w:val="center"/>
          </w:tcPr>
          <w:p w14:paraId="47BD5E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环境污染事故应急措施</w:t>
            </w:r>
          </w:p>
        </w:tc>
        <w:tc>
          <w:tcPr>
            <w:tcW w:w="5117" w:type="dxa"/>
            <w:vAlign w:val="center"/>
          </w:tcPr>
          <w:p w14:paraId="46DD9F5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14:textFill>
                  <w14:solidFill>
                    <w14:schemeClr w14:val="tx1"/>
                  </w14:solidFill>
                </w14:textFill>
              </w:rPr>
              <w:t>子</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w:t>
            </w:r>
          </w:p>
        </w:tc>
      </w:tr>
      <w:tr w14:paraId="25D7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7868E6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restart"/>
            <w:vAlign w:val="center"/>
          </w:tcPr>
          <w:p w14:paraId="4011D39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维保管理</w:t>
            </w:r>
          </w:p>
        </w:tc>
        <w:tc>
          <w:tcPr>
            <w:tcW w:w="1974" w:type="dxa"/>
            <w:vAlign w:val="center"/>
          </w:tcPr>
          <w:p w14:paraId="06EE4CD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维修整改通知</w:t>
            </w:r>
          </w:p>
        </w:tc>
        <w:tc>
          <w:tcPr>
            <w:tcW w:w="5117" w:type="dxa"/>
            <w:vAlign w:val="center"/>
          </w:tcPr>
          <w:p w14:paraId="7F060AB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有权向分包分供方发送维修整改通知。</w:t>
            </w:r>
          </w:p>
        </w:tc>
      </w:tr>
      <w:tr w14:paraId="10FD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EFBE4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306757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079C5D9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协商维修方案</w:t>
            </w:r>
          </w:p>
        </w:tc>
        <w:tc>
          <w:tcPr>
            <w:tcW w:w="5117" w:type="dxa"/>
            <w:vAlign w:val="center"/>
          </w:tcPr>
          <w:p w14:paraId="14BF7BD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对存在的质量问题有权与建设单位协商维修方案。</w:t>
            </w:r>
          </w:p>
        </w:tc>
      </w:tr>
      <w:tr w14:paraId="26FA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CCEDB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74C945F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8D50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组织维修</w:t>
            </w:r>
          </w:p>
        </w:tc>
        <w:tc>
          <w:tcPr>
            <w:tcW w:w="5117" w:type="dxa"/>
            <w:vAlign w:val="center"/>
          </w:tcPr>
          <w:p w14:paraId="1054F9A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有权向建设单位报送维修登记单、维修任务书。</w:t>
            </w:r>
          </w:p>
        </w:tc>
      </w:tr>
      <w:tr w14:paraId="11A2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CF452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40</w:t>
            </w:r>
          </w:p>
        </w:tc>
        <w:tc>
          <w:tcPr>
            <w:tcW w:w="1209" w:type="dxa"/>
            <w:vMerge w:val="continue"/>
            <w:vAlign w:val="center"/>
          </w:tcPr>
          <w:p w14:paraId="440E058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F66D1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维修验收</w:t>
            </w:r>
          </w:p>
        </w:tc>
        <w:tc>
          <w:tcPr>
            <w:tcW w:w="5117" w:type="dxa"/>
            <w:vAlign w:val="center"/>
          </w:tcPr>
          <w:p w14:paraId="50C4313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有权组织建设单位对保修工作进行验收、有权组织对分包分供的维修验收。</w:t>
            </w:r>
          </w:p>
        </w:tc>
      </w:tr>
      <w:tr w14:paraId="236C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355422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41</w:t>
            </w:r>
          </w:p>
        </w:tc>
        <w:tc>
          <w:tcPr>
            <w:tcW w:w="1209" w:type="dxa"/>
            <w:vMerge w:val="restart"/>
            <w:vAlign w:val="center"/>
          </w:tcPr>
          <w:p w14:paraId="48D7C36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催收清欠</w:t>
            </w:r>
          </w:p>
        </w:tc>
        <w:tc>
          <w:tcPr>
            <w:tcW w:w="1974" w:type="dxa"/>
            <w:vAlign w:val="center"/>
          </w:tcPr>
          <w:p w14:paraId="186F72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质保金到期催付</w:t>
            </w:r>
          </w:p>
        </w:tc>
        <w:tc>
          <w:tcPr>
            <w:tcW w:w="5117" w:type="dxa"/>
            <w:vAlign w:val="center"/>
          </w:tcPr>
          <w:p w14:paraId="0677225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有权向建设单位发《保修期满通知书》。</w:t>
            </w:r>
          </w:p>
        </w:tc>
      </w:tr>
      <w:tr w14:paraId="72B9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3E3057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42</w:t>
            </w:r>
          </w:p>
        </w:tc>
        <w:tc>
          <w:tcPr>
            <w:tcW w:w="1209" w:type="dxa"/>
            <w:vMerge w:val="continue"/>
            <w:vAlign w:val="center"/>
          </w:tcPr>
          <w:p w14:paraId="575535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AF8A4A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其他到期应付款催付</w:t>
            </w:r>
          </w:p>
        </w:tc>
        <w:tc>
          <w:tcPr>
            <w:tcW w:w="5117" w:type="dxa"/>
            <w:vAlign w:val="center"/>
          </w:tcPr>
          <w:p w14:paraId="2FD0A7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有权向建设单位发催款函。</w:t>
            </w:r>
          </w:p>
        </w:tc>
      </w:tr>
      <w:tr w14:paraId="3962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05B5F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43</w:t>
            </w:r>
          </w:p>
        </w:tc>
        <w:tc>
          <w:tcPr>
            <w:tcW w:w="1209" w:type="dxa"/>
            <w:vAlign w:val="center"/>
          </w:tcPr>
          <w:p w14:paraId="4B2337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往来函件</w:t>
            </w:r>
          </w:p>
        </w:tc>
        <w:tc>
          <w:tcPr>
            <w:tcW w:w="1974" w:type="dxa"/>
            <w:vAlign w:val="center"/>
          </w:tcPr>
          <w:p w14:paraId="211D905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工程往来函件</w:t>
            </w:r>
          </w:p>
        </w:tc>
        <w:tc>
          <w:tcPr>
            <w:tcW w:w="5117" w:type="dxa"/>
            <w:vAlign w:val="center"/>
          </w:tcPr>
          <w:p w14:paraId="0638500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有权报送或接收项目工程联系函（如图纸会审、技术核定、设计变更通知等）。</w:t>
            </w:r>
          </w:p>
        </w:tc>
      </w:tr>
    </w:tbl>
    <w:p w14:paraId="1CDC181F">
      <w:pPr>
        <w:numPr>
          <w:ilvl w:val="0"/>
          <w:numId w:val="6"/>
        </w:numPr>
        <w:autoSpaceDE w:val="0"/>
        <w:autoSpaceDN w:val="0"/>
        <w:adjustRightInd w:val="0"/>
        <w:spacing w:line="400" w:lineRule="exact"/>
        <w:rPr>
          <w:rFonts w:hint="eastAsia" w:ascii="仿宋_GB2312" w:hAnsi="仿宋_GB2312" w:eastAsia="仿宋_GB2312" w:cs="仿宋_GB2312"/>
          <w:b/>
          <w:bCs/>
          <w:color w:val="000000" w:themeColor="text1"/>
          <w:sz w:val="24"/>
          <w:szCs w:val="24"/>
          <w14:textFill>
            <w14:solidFill>
              <w14:schemeClr w14:val="tx1"/>
            </w14:solidFill>
          </w14:textFill>
        </w:rPr>
      </w:pPr>
      <w:bookmarkStart w:id="73" w:name="_Hlk126826460"/>
      <w:r>
        <w:rPr>
          <w:rFonts w:hint="eastAsia" w:ascii="仿宋_GB2312" w:hAnsi="仿宋_GB2312" w:eastAsia="仿宋_GB2312" w:cs="仿宋_GB2312"/>
          <w:b/>
          <w:bCs/>
          <w:color w:val="000000" w:themeColor="text1"/>
          <w:sz w:val="24"/>
          <w:szCs w:val="24"/>
          <w14:textFill>
            <w14:solidFill>
              <w14:schemeClr w14:val="tx1"/>
            </w14:solidFill>
          </w14:textFill>
        </w:rPr>
        <w:t>项目部无权审批以下事项：</w:t>
      </w:r>
    </w:p>
    <w:bookmarkEnd w:id="73"/>
    <w:tbl>
      <w:tblPr>
        <w:tblStyle w:val="10"/>
        <w:tblW w:w="9037"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304"/>
      </w:tblGrid>
      <w:tr w14:paraId="2EDEEC3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42962EE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bookmarkStart w:id="74" w:name="_Hlk127195047"/>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8304" w:type="dxa"/>
            <w:tcBorders>
              <w:top w:val="single" w:color="auto" w:sz="4" w:space="0"/>
              <w:left w:val="single" w:color="auto" w:sz="4" w:space="0"/>
              <w:bottom w:val="single" w:color="auto" w:sz="4" w:space="0"/>
              <w:right w:val="single" w:color="auto" w:sz="4" w:space="0"/>
            </w:tcBorders>
            <w:vAlign w:val="center"/>
          </w:tcPr>
          <w:p w14:paraId="1693603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禁止性事项</w:t>
            </w:r>
          </w:p>
        </w:tc>
      </w:tr>
      <w:tr w14:paraId="0D0593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18790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8304" w:type="dxa"/>
            <w:tcBorders>
              <w:top w:val="single" w:color="auto" w:sz="4" w:space="0"/>
              <w:left w:val="single" w:color="auto" w:sz="4" w:space="0"/>
              <w:bottom w:val="single" w:color="auto" w:sz="4" w:space="0"/>
              <w:right w:val="single" w:color="auto" w:sz="4" w:space="0"/>
            </w:tcBorders>
            <w:vAlign w:val="center"/>
          </w:tcPr>
          <w:p w14:paraId="7AE70DB3">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69C3EDB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9EFB90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8304" w:type="dxa"/>
            <w:tcBorders>
              <w:top w:val="single" w:color="auto" w:sz="4" w:space="0"/>
              <w:left w:val="single" w:color="auto" w:sz="4" w:space="0"/>
              <w:bottom w:val="single" w:color="auto" w:sz="4" w:space="0"/>
              <w:right w:val="single" w:color="auto" w:sz="4" w:space="0"/>
            </w:tcBorders>
            <w:vAlign w:val="center"/>
          </w:tcPr>
          <w:p w14:paraId="6C99F7CA">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未经分子公司/集团书面批准擅自购买材料、设备。</w:t>
            </w:r>
          </w:p>
        </w:tc>
      </w:tr>
      <w:tr w14:paraId="3A3FE55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C82ECD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8304" w:type="dxa"/>
            <w:tcBorders>
              <w:top w:val="single" w:color="auto" w:sz="4" w:space="0"/>
              <w:left w:val="single" w:color="auto" w:sz="4" w:space="0"/>
              <w:bottom w:val="single" w:color="auto" w:sz="4" w:space="0"/>
              <w:right w:val="single" w:color="auto" w:sz="4" w:space="0"/>
            </w:tcBorders>
            <w:vAlign w:val="center"/>
          </w:tcPr>
          <w:p w14:paraId="65C46412">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14:textFill>
                  <w14:solidFill>
                    <w14:schemeClr w14:val="tx1"/>
                  </w14:solidFill>
                </w14:textFill>
              </w:rPr>
              <w:t>。</w:t>
            </w:r>
          </w:p>
        </w:tc>
      </w:tr>
      <w:tr w14:paraId="365812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04D72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8304" w:type="dxa"/>
            <w:tcBorders>
              <w:top w:val="single" w:color="auto" w:sz="4" w:space="0"/>
              <w:left w:val="single" w:color="auto" w:sz="4" w:space="0"/>
              <w:bottom w:val="single" w:color="auto" w:sz="4" w:space="0"/>
              <w:right w:val="single" w:color="auto" w:sz="4" w:space="0"/>
            </w:tcBorders>
            <w:vAlign w:val="center"/>
          </w:tcPr>
          <w:p w14:paraId="7629A2D1">
            <w:pPr>
              <w:widowControl/>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进行银行贷款等融资活动</w:t>
            </w:r>
          </w:p>
        </w:tc>
      </w:tr>
      <w:tr w14:paraId="38AA1FD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BD90B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8304" w:type="dxa"/>
            <w:tcBorders>
              <w:top w:val="single" w:color="auto" w:sz="4" w:space="0"/>
              <w:left w:val="single" w:color="auto" w:sz="4" w:space="0"/>
              <w:bottom w:val="single" w:color="auto" w:sz="4" w:space="0"/>
              <w:right w:val="single" w:color="auto" w:sz="4" w:space="0"/>
            </w:tcBorders>
            <w:vAlign w:val="center"/>
          </w:tcPr>
          <w:p w14:paraId="0096EA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对外提供担保、出具欠条、签订还款协议、签订调价协议、各类保证书、承诺书。</w:t>
            </w:r>
          </w:p>
        </w:tc>
      </w:tr>
      <w:tr w14:paraId="6A3B25F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194796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8304" w:type="dxa"/>
            <w:tcBorders>
              <w:top w:val="single" w:color="auto" w:sz="4" w:space="0"/>
              <w:left w:val="single" w:color="auto" w:sz="4" w:space="0"/>
              <w:bottom w:val="single" w:color="auto" w:sz="4" w:space="0"/>
              <w:right w:val="single" w:color="auto" w:sz="4" w:space="0"/>
            </w:tcBorders>
            <w:vAlign w:val="center"/>
          </w:tcPr>
          <w:p w14:paraId="68038611">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对外开立各类保函</w:t>
            </w:r>
          </w:p>
        </w:tc>
      </w:tr>
      <w:tr w14:paraId="57CEF06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A2D901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8304" w:type="dxa"/>
            <w:tcBorders>
              <w:top w:val="single" w:color="auto" w:sz="4" w:space="0"/>
              <w:left w:val="single" w:color="auto" w:sz="4" w:space="0"/>
              <w:bottom w:val="single" w:color="auto" w:sz="4" w:space="0"/>
              <w:right w:val="single" w:color="auto" w:sz="4" w:space="0"/>
            </w:tcBorders>
            <w:vAlign w:val="center"/>
          </w:tcPr>
          <w:p w14:paraId="40FD7DC6">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对外拆借资金，以甲方、甲方子企业或甲方项目部名义对外借款。</w:t>
            </w:r>
          </w:p>
        </w:tc>
      </w:tr>
      <w:tr w14:paraId="08AFB1E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8EA0A6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8304" w:type="dxa"/>
            <w:tcBorders>
              <w:top w:val="single" w:color="auto" w:sz="4" w:space="0"/>
              <w:left w:val="single" w:color="auto" w:sz="4" w:space="0"/>
              <w:bottom w:val="single" w:color="auto" w:sz="4" w:space="0"/>
              <w:right w:val="single" w:color="auto" w:sz="4" w:space="0"/>
            </w:tcBorders>
            <w:vAlign w:val="center"/>
          </w:tcPr>
          <w:p w14:paraId="059D902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私设小金库，坐支现金。</w:t>
            </w:r>
          </w:p>
        </w:tc>
      </w:tr>
      <w:tr w14:paraId="7D29EC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74902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8304" w:type="dxa"/>
            <w:tcBorders>
              <w:top w:val="single" w:color="auto" w:sz="4" w:space="0"/>
              <w:left w:val="single" w:color="auto" w:sz="4" w:space="0"/>
              <w:bottom w:val="single" w:color="auto" w:sz="4" w:space="0"/>
              <w:right w:val="single" w:color="auto" w:sz="4" w:space="0"/>
            </w:tcBorders>
            <w:vAlign w:val="center"/>
          </w:tcPr>
          <w:p w14:paraId="26F76D5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超出本综合授权书权限的分包（供）合同签证办理。</w:t>
            </w:r>
          </w:p>
        </w:tc>
      </w:tr>
      <w:tr w14:paraId="340E351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C716A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10</w:t>
            </w:r>
          </w:p>
        </w:tc>
        <w:tc>
          <w:tcPr>
            <w:tcW w:w="8304" w:type="dxa"/>
            <w:tcBorders>
              <w:top w:val="single" w:color="auto" w:sz="4" w:space="0"/>
              <w:left w:val="single" w:color="auto" w:sz="4" w:space="0"/>
              <w:bottom w:val="single" w:color="auto" w:sz="4" w:space="0"/>
              <w:right w:val="single" w:color="auto" w:sz="4" w:space="0"/>
            </w:tcBorders>
            <w:vAlign w:val="center"/>
          </w:tcPr>
          <w:p w14:paraId="361DE60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确认总包结算、确认分包合同结算（含甲指分包）。</w:t>
            </w:r>
          </w:p>
        </w:tc>
      </w:tr>
      <w:tr w14:paraId="4743562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016B2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11</w:t>
            </w:r>
          </w:p>
        </w:tc>
        <w:tc>
          <w:tcPr>
            <w:tcW w:w="8304" w:type="dxa"/>
            <w:tcBorders>
              <w:top w:val="single" w:color="auto" w:sz="4" w:space="0"/>
              <w:left w:val="single" w:color="auto" w:sz="4" w:space="0"/>
              <w:bottom w:val="single" w:color="auto" w:sz="4" w:space="0"/>
              <w:right w:val="single" w:color="auto" w:sz="4" w:space="0"/>
            </w:tcBorders>
            <w:vAlign w:val="center"/>
          </w:tcPr>
          <w:p w14:paraId="21CCC23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确认材料、设备、料具结算及赔偿（含零星材料、甲供材）。</w:t>
            </w:r>
          </w:p>
        </w:tc>
      </w:tr>
      <w:tr w14:paraId="4B37C360">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4DDD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12</w:t>
            </w:r>
          </w:p>
        </w:tc>
        <w:tc>
          <w:tcPr>
            <w:tcW w:w="8304" w:type="dxa"/>
            <w:tcBorders>
              <w:top w:val="single" w:color="auto" w:sz="4" w:space="0"/>
              <w:left w:val="single" w:color="auto" w:sz="4" w:space="0"/>
              <w:bottom w:val="single" w:color="auto" w:sz="4" w:space="0"/>
              <w:right w:val="single" w:color="auto" w:sz="4" w:space="0"/>
            </w:tcBorders>
            <w:vAlign w:val="center"/>
          </w:tcPr>
          <w:p w14:paraId="2F46D3CA">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设立或变更劳动关系（包括签订劳动合同、确认劳动关系等）</w:t>
            </w:r>
          </w:p>
        </w:tc>
      </w:tr>
      <w:tr w14:paraId="70C7BB0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54F0F4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13</w:t>
            </w:r>
          </w:p>
        </w:tc>
        <w:tc>
          <w:tcPr>
            <w:tcW w:w="8304" w:type="dxa"/>
            <w:tcBorders>
              <w:top w:val="single" w:color="auto" w:sz="4" w:space="0"/>
              <w:left w:val="single" w:color="auto" w:sz="4" w:space="0"/>
              <w:bottom w:val="single" w:color="auto" w:sz="4" w:space="0"/>
              <w:right w:val="single" w:color="auto" w:sz="4" w:space="0"/>
            </w:tcBorders>
            <w:vAlign w:val="center"/>
          </w:tcPr>
          <w:p w14:paraId="350A8C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向工伤认定机构提交工伤认定申请或确认工伤事故。</w:t>
            </w:r>
          </w:p>
        </w:tc>
      </w:tr>
      <w:tr w14:paraId="77DF0DC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5E1A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14</w:t>
            </w:r>
          </w:p>
        </w:tc>
        <w:tc>
          <w:tcPr>
            <w:tcW w:w="8304" w:type="dxa"/>
            <w:tcBorders>
              <w:top w:val="single" w:color="auto" w:sz="4" w:space="0"/>
              <w:left w:val="single" w:color="auto" w:sz="4" w:space="0"/>
              <w:bottom w:val="single" w:color="auto" w:sz="4" w:space="0"/>
              <w:right w:val="single" w:color="auto" w:sz="4" w:space="0"/>
            </w:tcBorders>
            <w:vAlign w:val="center"/>
          </w:tcPr>
          <w:p w14:paraId="6A20656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确认第三方维修费用。</w:t>
            </w:r>
          </w:p>
        </w:tc>
      </w:tr>
      <w:tr w14:paraId="1A4253A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321C5E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15</w:t>
            </w:r>
          </w:p>
        </w:tc>
        <w:tc>
          <w:tcPr>
            <w:tcW w:w="8304" w:type="dxa"/>
            <w:tcBorders>
              <w:top w:val="single" w:color="auto" w:sz="4" w:space="0"/>
              <w:left w:val="single" w:color="auto" w:sz="4" w:space="0"/>
              <w:bottom w:val="single" w:color="auto" w:sz="4" w:space="0"/>
              <w:right w:val="single" w:color="auto" w:sz="4" w:space="0"/>
            </w:tcBorders>
            <w:vAlign w:val="center"/>
          </w:tcPr>
          <w:p w14:paraId="01B1BA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决定废旧物资处理方案。</w:t>
            </w:r>
          </w:p>
        </w:tc>
      </w:tr>
      <w:tr w14:paraId="2E7450B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9129C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16</w:t>
            </w:r>
          </w:p>
        </w:tc>
        <w:tc>
          <w:tcPr>
            <w:tcW w:w="8304" w:type="dxa"/>
            <w:tcBorders>
              <w:top w:val="single" w:color="auto" w:sz="4" w:space="0"/>
              <w:left w:val="single" w:color="auto" w:sz="4" w:space="0"/>
              <w:bottom w:val="single" w:color="auto" w:sz="4" w:space="0"/>
              <w:right w:val="single" w:color="auto" w:sz="4" w:space="0"/>
            </w:tcBorders>
            <w:vAlign w:val="center"/>
          </w:tcPr>
          <w:p w14:paraId="44FCB9E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分包分供合同涨价、奖励、补偿、增加合同外的工作范围、变更分包分供合同模式。</w:t>
            </w:r>
          </w:p>
        </w:tc>
      </w:tr>
      <w:tr w14:paraId="0F41726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F4A7E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8304" w:type="dxa"/>
            <w:tcBorders>
              <w:top w:val="single" w:color="auto" w:sz="4" w:space="0"/>
              <w:left w:val="single" w:color="auto" w:sz="4" w:space="0"/>
              <w:bottom w:val="single" w:color="auto" w:sz="4" w:space="0"/>
              <w:right w:val="single" w:color="auto" w:sz="4" w:space="0"/>
            </w:tcBorders>
            <w:vAlign w:val="center"/>
          </w:tcPr>
          <w:p w14:paraId="27F579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危险性较大的分部分项工程安全施工方案。</w:t>
            </w:r>
          </w:p>
        </w:tc>
      </w:tr>
      <w:tr w14:paraId="72D5C984">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CCE4DF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18</w:t>
            </w:r>
          </w:p>
        </w:tc>
        <w:tc>
          <w:tcPr>
            <w:tcW w:w="8304" w:type="dxa"/>
            <w:tcBorders>
              <w:top w:val="single" w:color="auto" w:sz="4" w:space="0"/>
              <w:left w:val="single" w:color="auto" w:sz="4" w:space="0"/>
              <w:bottom w:val="single" w:color="auto" w:sz="4" w:space="0"/>
              <w:right w:val="single" w:color="auto" w:sz="4" w:space="0"/>
            </w:tcBorders>
            <w:vAlign w:val="center"/>
          </w:tcPr>
          <w:p w14:paraId="71916B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接收诉讼法律文书、处理人民法院协助执行通知或参加仲裁、诉讼。</w:t>
            </w:r>
          </w:p>
        </w:tc>
      </w:tr>
      <w:bookmarkEnd w:id="74"/>
    </w:tbl>
    <w:p w14:paraId="0EA0B9D4">
      <w:pPr>
        <w:numPr>
          <w:ilvl w:val="0"/>
          <w:numId w:val="7"/>
        </w:numPr>
        <w:autoSpaceDE w:val="0"/>
        <w:autoSpaceDN w:val="0"/>
        <w:adjustRightInd w:val="0"/>
        <w:spacing w:line="400" w:lineRule="exact"/>
        <w:rPr>
          <w:rFonts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若项目经理发生变更，则由新委任的项目经理承继。</w:t>
      </w:r>
    </w:p>
    <w:p w14:paraId="0B317154">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758FC656">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4705AAA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3F70515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52EE12F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125A275C">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授权单位（盖章）：</w:t>
      </w:r>
    </w:p>
    <w:p w14:paraId="27A4AC8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737C2C35">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7DB8D3AD">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被委托人：</w:t>
      </w: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p>
    <w:p w14:paraId="369D9FBD">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5805F44B">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w:t>
      </w:r>
      <w:r>
        <w:rPr>
          <w:rFonts w:hint="eastAsia" w:ascii="仿宋_GB2312" w:hAnsi="仿宋_GB2312" w:eastAsia="仿宋_GB2312" w:cs="仿宋_GB2312"/>
          <w:color w:val="000000" w:themeColor="text1"/>
          <w:sz w:val="24"/>
          <w:szCs w:val="24"/>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7779CAE4">
      <w:pPr>
        <w:spacing w:line="400" w:lineRule="exact"/>
        <w:ind w:right="210" w:rightChars="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乙方（公章）：           </w:t>
      </w:r>
    </w:p>
    <w:p w14:paraId="16699161">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6AFAF626">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38C20DAF">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被委托人：</w:t>
      </w:r>
    </w:p>
    <w:p w14:paraId="0793D269">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3453E8BB">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32F14AD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2A464CAF">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sectPr>
          <w:footerReference r:id="rId12" w:type="default"/>
          <w:pgSz w:w="11906" w:h="16838"/>
          <w:pgMar w:top="1440" w:right="1800" w:bottom="1440" w:left="1800" w:header="850" w:footer="975" w:gutter="0"/>
          <w:cols w:space="0" w:num="1"/>
          <w:docGrid w:linePitch="312" w:charSpace="0"/>
        </w:sectPr>
      </w:pPr>
      <w:bookmarkStart w:id="75" w:name="_Toc11293"/>
      <w:bookmarkStart w:id="76" w:name="_Toc15118"/>
      <w:bookmarkStart w:id="77" w:name="_Toc20069"/>
    </w:p>
    <w:p w14:paraId="0FD1CB49">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附件三：</w:t>
      </w:r>
      <w:bookmarkEnd w:id="75"/>
      <w:bookmarkEnd w:id="76"/>
      <w:bookmarkEnd w:id="77"/>
    </w:p>
    <w:p w14:paraId="1C0C1D2C">
      <w:pPr>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342A1882">
      <w:pPr>
        <w:wordWrap w:val="0"/>
        <w:spacing w:line="400" w:lineRule="exact"/>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24C16FFB">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bookmarkStart w:id="78" w:name="_Hlk126826529"/>
      <w:permStart w:id="10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集团有限公司</w:t>
      </w:r>
      <w:bookmarkEnd w:id="78"/>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105"/>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1401B41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106" w:edGrp="everyone"/>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ermEnd w:id="106"/>
    </w:p>
    <w:p w14:paraId="30E75F9D">
      <w:pPr>
        <w:pStyle w:val="6"/>
        <w:tabs>
          <w:tab w:val="left" w:pos="2100"/>
        </w:tabs>
        <w:spacing w:line="400" w:lineRule="exact"/>
        <w:ind w:right="210" w:rightChars="100" w:firstLine="432"/>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16E69F79">
      <w:pPr>
        <w:snapToGrid w:val="0"/>
        <w:spacing w:line="400" w:lineRule="exact"/>
        <w:ind w:firstLine="555"/>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第一条 共同约定  </w:t>
      </w:r>
    </w:p>
    <w:p w14:paraId="1650C0E5">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安全生产法》、《中华人民共和国建筑法》、《建设工程安全生产管理条例》、《房屋建筑和市政基础设施工程分包管理办法》《安全生产许可证条例》等一系列有关安全生产的法律法规，严格执行建设部标准</w:t>
      </w:r>
      <w:permStart w:id="107"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JGJ59—2011《建筑安全施工检查标准》</w:t>
      </w:r>
      <w:permEnd w:id="107"/>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等一系列标准规程及</w:t>
      </w:r>
      <w:permStart w:id="108"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日喀则</w:t>
      </w:r>
      <w:permEnd w:id="108"/>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2C0778B6">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74B8FA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3、安全文明施工管理目标、指标：以项目部总包单位制定的为准。</w:t>
      </w:r>
    </w:p>
    <w:p w14:paraId="72B3478A">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547D1BAC">
      <w:pPr>
        <w:pStyle w:val="13"/>
        <w:spacing w:line="40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40A5BFF2">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7BA53031">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40C91C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14217AD8">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1BBBFEEB">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6E0B0FEA">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第三条 甲方的安全责任、权利和义务  </w:t>
      </w:r>
    </w:p>
    <w:p w14:paraId="226141D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7FECDCF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28045711">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09DCC27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58AC619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2AFB16E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2A50B8C0">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62E8096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与安全生产关系直接的大型设备、特种设备、安全设施设备、防护用品进场时，项目安全生产监督管理部门应参与验收，验收合格签字后方可进场。</w:t>
      </w:r>
    </w:p>
    <w:p w14:paraId="68F64B2F">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第四条 乙方的安全责任、权利和义务  </w:t>
      </w:r>
    </w:p>
    <w:p w14:paraId="1228DAF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0A8F26E1">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2、乙方应具备所供货物的运输资质或证照，不得跨资质承运相应货物。若乙方委托第三方单位承运相应货物，不解除乙方应承担本合同项下的义务和责任。</w:t>
      </w:r>
    </w:p>
    <w:p w14:paraId="189D048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7296DCDA">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3484F4D6">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31B38162">
      <w:pPr>
        <w:snapToGrid w:val="0"/>
        <w:spacing w:line="400" w:lineRule="exact"/>
        <w:ind w:firstLine="45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76338E7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7、对甲方所提供的安全设施不能保证安全施工时，应及时提出，也可拒绝施工；在施工中不得未经甲方现场负责人同意私自拆除安全防护设施。 </w:t>
      </w:r>
    </w:p>
    <w:p w14:paraId="5FD733E0">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w:t>
      </w:r>
      <w:permStart w:id="109"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《JGJ59—2011》标准</w:t>
      </w:r>
      <w:permEnd w:id="109"/>
      <w:r>
        <w:rPr>
          <w:rFonts w:hint="eastAsia" w:ascii="仿宋_GB2312" w:hAnsi="仿宋_GB2312" w:eastAsia="仿宋_GB2312" w:cs="仿宋_GB2312"/>
          <w:color w:val="000000" w:themeColor="text1"/>
          <w:sz w:val="24"/>
          <w:szCs w:val="24"/>
          <w:highlight w:val="none"/>
          <w14:textFill>
            <w14:solidFill>
              <w14:schemeClr w14:val="tx1"/>
            </w14:solidFill>
          </w14:textFill>
        </w:rPr>
        <w:t>的设备及工具严禁在工地使用。</w:t>
      </w:r>
    </w:p>
    <w:p w14:paraId="71E79B3A">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4482239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10、必须按规定提取和使用安全技术措施经费，为作业人员提供符合国家标准或行业标准的劳动防护用品，并督促、教育作业人员按照使用规则佩戴、使用。 </w:t>
      </w:r>
    </w:p>
    <w:p w14:paraId="16A1245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11、对甲方人员违章指挥或者可能危及人身安全、财产损失的指挥，乙方有权拒绝。 </w:t>
      </w:r>
    </w:p>
    <w:p w14:paraId="30EBCDB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12、不得进行违反安全法律和其他、安全生产规章制度的行为。</w:t>
      </w:r>
    </w:p>
    <w:p w14:paraId="5D7557E0">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13、乙方对供应的材料在甲方施工场地外运输过程发生的安全事故承担全部责任，不得向甲方提出索赔要求。</w:t>
      </w:r>
    </w:p>
    <w:p w14:paraId="2C206D47">
      <w:pPr>
        <w:spacing w:line="400" w:lineRule="exact"/>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14、乙方对因自身原因发生的安全事故承担全部责任。由于乙方原因而引发的被当地有关部门处罚的各类事件，乙方承担相应罚款、工期损失及经济损失；</w:t>
      </w:r>
    </w:p>
    <w:p w14:paraId="2D849072">
      <w:pPr>
        <w:spacing w:line="400" w:lineRule="exact"/>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15、在施工现场发生事故时，应积极抢救伤员，保护事故现场，防止事故扩大，按甲方要求提供事故有关资料，并配合调查。</w:t>
      </w:r>
    </w:p>
    <w:p w14:paraId="6B90B02B">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第五条 事故处理 </w:t>
      </w:r>
    </w:p>
    <w:p w14:paraId="38B4BEC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w:t>
      </w:r>
      <w:permStart w:id="110"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《生产安全事故报告和调查处理条例》(493号令)</w:t>
      </w:r>
      <w:permEnd w:id="110"/>
      <w:r>
        <w:rPr>
          <w:rFonts w:hint="eastAsia" w:ascii="仿宋_GB2312" w:hAnsi="仿宋_GB2312" w:eastAsia="仿宋_GB2312" w:cs="仿宋_GB2312"/>
          <w:color w:val="000000" w:themeColor="text1"/>
          <w:sz w:val="24"/>
          <w:szCs w:val="24"/>
          <w:highlight w:val="none"/>
          <w14:textFill>
            <w14:solidFill>
              <w14:schemeClr w14:val="tx1"/>
            </w14:solidFill>
          </w14:textFill>
        </w:rPr>
        <w:t>的规定进行事故处理及上报。乙方应及时将事故情况向甲方上报，不得迟报、漏报、谎报或瞒报。</w:t>
      </w:r>
    </w:p>
    <w:p w14:paraId="02740776">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74652E02">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0055BEE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175069CD">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6B6972C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35D2DE9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0C923EF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4B1A286C">
      <w:pPr>
        <w:spacing w:line="400" w:lineRule="exact"/>
        <w:ind w:firstLine="516"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1E0C37E8">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18DCAF5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79" w:name="_Hlk12720318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028659DF">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2FF1507B">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015837B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5C835E27">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47D1ADEA">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08659568">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79"/>
    </w:p>
    <w:p w14:paraId="207D32A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2E40EAA0">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80" w:name="_Toc24322"/>
      <w:bookmarkStart w:id="81" w:name="_Toc9726"/>
      <w:bookmarkStart w:id="82" w:name="_Toc776"/>
      <w:r>
        <w:rPr>
          <w:rFonts w:hint="eastAsia" w:ascii="仿宋_GB2312" w:hAnsi="仿宋_GB2312" w:eastAsia="仿宋_GB2312" w:cs="仿宋_GB2312"/>
          <w:color w:val="000000" w:themeColor="text1"/>
          <w:sz w:val="30"/>
          <w:szCs w:val="30"/>
          <w:highlight w:val="none"/>
          <w14:textFill>
            <w14:solidFill>
              <w14:schemeClr w14:val="tx1"/>
            </w14:solidFill>
          </w14:textFill>
        </w:rPr>
        <w:t>附件四：</w:t>
      </w:r>
      <w:bookmarkEnd w:id="80"/>
      <w:bookmarkEnd w:id="81"/>
      <w:bookmarkEnd w:id="82"/>
    </w:p>
    <w:p w14:paraId="79298B74">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83"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83"/>
    </w:p>
    <w:p w14:paraId="32566F91">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permStart w:id="111" w:edGrp="everyone"/>
      <w:bookmarkStart w:id="84" w:name="_Hlk127190139"/>
      <w:r>
        <w:rPr>
          <w:rFonts w:hint="eastAsia" w:ascii="仿宋_GB2312" w:hAnsi="宋体" w:eastAsia="仿宋_GB2312"/>
          <w:color w:val="000000" w:themeColor="text1"/>
          <w:sz w:val="24"/>
          <w:szCs w:val="24"/>
          <w:highlight w:val="none"/>
          <w:u w:val="single"/>
          <w14:textFill>
            <w14:solidFill>
              <w14:schemeClr w14:val="tx1"/>
            </w14:solidFill>
          </w14:textFill>
        </w:rPr>
        <w:t>中建</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宋体" w:eastAsia="仿宋_GB2312"/>
          <w:color w:val="000000" w:themeColor="text1"/>
          <w:sz w:val="24"/>
          <w:szCs w:val="24"/>
          <w:highlight w:val="none"/>
          <w:u w:val="single"/>
          <w14:textFill>
            <w14:solidFill>
              <w14:schemeClr w14:val="tx1"/>
            </w14:solidFill>
          </w14:textFill>
        </w:rPr>
        <w:t>集团有限公司</w:t>
      </w:r>
      <w:bookmarkEnd w:id="84"/>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ermEnd w:id="111"/>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46693D82">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112"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112"/>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0C05924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7DF9975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5"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85"/>
    </w:p>
    <w:p w14:paraId="55CBB7D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66F9F1C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31F59E7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1155A17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6"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86"/>
    <w:p w14:paraId="0A1BD26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7"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87"/>
    </w:p>
    <w:p w14:paraId="319CB69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3964D91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2.1按照甲方的招（议）标程序确定供应商，确保公正、公平对待所有合作方；不得在招标文件中有针对性地故意设定条件，以不公正的方法确定供应商；</w:t>
      </w:r>
    </w:p>
    <w:p w14:paraId="7479B45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755D0238">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1E9E53B4">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11333E3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3E76F09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53763CF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76905EB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3B5990F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8"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88"/>
    </w:p>
    <w:p w14:paraId="39AB8F2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41417CE8">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根据自己的实力参与甲方的招（议）标，遵守甲方的管理制度；不得在招标之前或过程中，以不正当手段谋求中标。</w:t>
      </w:r>
    </w:p>
    <w:p w14:paraId="3CD71C55">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3518DAE3">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7DADFAE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3684617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1997802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7FEBD967">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不得与甲方员工就标书合同条款中的利益条款进行私下协商或达成默契。</w:t>
      </w:r>
    </w:p>
    <w:p w14:paraId="0BD66E1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63E6838E">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467ED2D6">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0E7ECAE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9"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89"/>
    </w:p>
    <w:p w14:paraId="55FFC9B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302DAB8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14:textFill>
            <w14:solidFill>
              <w14:schemeClr w14:val="tx1"/>
            </w14:solidFill>
          </w14:textFill>
        </w:rPr>
        <w:t>罚款。</w:t>
      </w:r>
    </w:p>
    <w:p w14:paraId="2D9EBB7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501773FD">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367916A4">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7072F1C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79CD07B7">
      <w:pPr>
        <w:widowControl/>
        <w:spacing w:line="400" w:lineRule="exact"/>
        <w:ind w:firstLine="480" w:firstLineChars="20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02E12388">
      <w:pPr>
        <w:pStyle w:val="13"/>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238D7658">
      <w:pPr>
        <w:pStyle w:val="13"/>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BB5FA55">
      <w:pPr>
        <w:pStyle w:val="13"/>
        <w:spacing w:line="400" w:lineRule="exact"/>
        <w:ind w:firstLine="480"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w:t>
      </w:r>
    </w:p>
    <w:p w14:paraId="52D60A99">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9F6BED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0CC9CAA">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A35B870">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1EABFBF1">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6DB7284">
      <w:pPr>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br w:type="page"/>
      </w:r>
    </w:p>
    <w:p w14:paraId="6725C40D">
      <w:pPr>
        <w:pStyle w:val="13"/>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90" w:name="_Toc1869"/>
      <w:bookmarkStart w:id="91" w:name="_Toc18674"/>
      <w:bookmarkStart w:id="92" w:name="_Hlk127794870"/>
      <w:bookmarkStart w:id="93" w:name="_Toc1495"/>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90"/>
      <w:bookmarkEnd w:id="91"/>
      <w:bookmarkEnd w:id="92"/>
    </w:p>
    <w:p w14:paraId="7919CF64">
      <w:pPr>
        <w:pStyle w:val="13"/>
        <w:numPr>
          <w:ilvl w:val="0"/>
          <w:numId w:val="8"/>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94" w:name="_Toc11168"/>
      <w:bookmarkStart w:id="95" w:name="_Toc3066"/>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93"/>
      <w:bookmarkEnd w:id="94"/>
      <w:bookmarkEnd w:id="95"/>
    </w:p>
    <w:p w14:paraId="22BE5DF0">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2DC07B3B">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76EDB5C5">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615E8F33">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恪守契约精神，严格按照合同约定时间和地点完成货物交付，全力保障项目物资设备供应需求。</w:t>
      </w:r>
    </w:p>
    <w:p w14:paraId="6656A45C">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自觉遵守甲方施工现场有关安全文明施工、环境和职业健康安全方面的要求，绝不出现违反安全法律和其他安全生产规章制度的行为，具体要求详见合同附件三。</w:t>
      </w:r>
    </w:p>
    <w:p w14:paraId="1107FDC5">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绝不供应质量不合格货物，加强自身各环节质量管理，绝不出现任何质量或数量瑕疵，严控假冒伪劣货物流通，严格按本合同约定质量标准和数量要求履约生产。</w:t>
      </w:r>
    </w:p>
    <w:p w14:paraId="09CB2BEE">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3A33BFCD">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1.1.6合规拥有货物所有权：</w:t>
      </w:r>
      <w:r>
        <w:rPr>
          <w:rFonts w:hint="eastAsia" w:ascii="仿宋_GB2312" w:hAnsi="仿宋_GB2312" w:eastAsia="仿宋_GB2312" w:cs="仿宋_GB2312"/>
          <w:color w:val="000000" w:themeColor="text1"/>
          <w:highlight w:val="none"/>
          <w14:textFill>
            <w14:solidFill>
              <w14:schemeClr w14:val="tx1"/>
            </w14:solidFill>
          </w14:textFill>
        </w:rPr>
        <w:t>保证对货物具有所有权或受委托代理销售权，并向甲方出具相关凭证。保证交付的货物不附有任何担保权、留置权或设定其他权利负担。</w:t>
      </w:r>
    </w:p>
    <w:p w14:paraId="0015A497">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ascii="仿宋_GB2312" w:hAnsi="仿宋_GB2312" w:eastAsia="仿宋_GB2312" w:cs="仿宋_GB2312"/>
          <w:b/>
          <w:bCs/>
          <w:color w:val="000000" w:themeColor="text1"/>
          <w:highlight w:val="none"/>
          <w14:textFill>
            <w14:solidFill>
              <w14:schemeClr w14:val="tx1"/>
            </w14:solidFill>
          </w14:textFill>
        </w:rPr>
        <w:t>货物知识产权：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3CEDFEE9">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绝不从事任何形式的商业贿赂、利益输送及其他不正当交易；绝不以任何理由为甲方、相关单位或个人组织有可能影响公正执行公务的宴请、娱乐等活动，具体要求详见合同附件四。 </w:t>
      </w:r>
    </w:p>
    <w:p w14:paraId="1DDD6368">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3DBAC1D8">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34AC8898">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1.2.2货物退货与置换：</w:t>
      </w:r>
      <w:r>
        <w:rPr>
          <w:rFonts w:hint="eastAsia" w:ascii="仿宋_GB2312" w:hAnsi="仿宋_GB2312" w:eastAsia="仿宋_GB2312" w:cs="仿宋_GB2312"/>
          <w:color w:val="000000" w:themeColor="text1"/>
          <w:highlight w:val="none"/>
          <w14:textFill>
            <w14:solidFill>
              <w14:schemeClr w14:val="tx1"/>
            </w14:solidFill>
          </w14:textFill>
        </w:rPr>
        <w:t>乙方供应的货物，根据不同情况甲方可选择直接向乙方退货或向乙方置换，乙方同意按甲方选择的方式办理：</w:t>
      </w:r>
    </w:p>
    <w:p w14:paraId="53E5DD8C">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（1）对于未使用且不影响二次销售的材料，若甲方选择退货，则双方按甲方退货后实际收到合格货物数量办理结算。</w:t>
      </w:r>
    </w:p>
    <w:p w14:paraId="01C65612">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（2）对于已使用的材料，若甲方选择置换，则双方协商估算原材料残值并置换等价值新材料。</w:t>
      </w:r>
    </w:p>
    <w:p w14:paraId="1A4BA0A4">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（3）甲方原因产生的退货或者置换产生的运输费用由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承担，装卸费用由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w:t>
      </w:r>
    </w:p>
    <w:p w14:paraId="0EEB862C">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085EEE3F">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2.1材料需用计划：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甲方合理制定材料总需用计划及日常需用计划，并按照合同约定提前通知乙方，给予乙方充足备货期。</w:t>
      </w:r>
    </w:p>
    <w:p w14:paraId="4645F5C0">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配合乙方材料卸货</w:t>
      </w:r>
      <w:r>
        <w:rPr>
          <w:rFonts w:hint="eastAsia" w:ascii="仿宋_GB2312" w:hAnsi="仿宋_GB2312" w:eastAsia="仿宋_GB2312" w:cs="仿宋_GB2312"/>
          <w:color w:val="000000" w:themeColor="text1"/>
          <w:highlight w:val="none"/>
          <w14:textFill>
            <w14:solidFill>
              <w14:schemeClr w14:val="tx1"/>
            </w14:solidFill>
          </w14:textFill>
        </w:rPr>
        <w:t>。</w:t>
      </w:r>
    </w:p>
    <w:p w14:paraId="1AD9E98C">
      <w:pPr>
        <w:pStyle w:val="13"/>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96" w:name="_Toc1717"/>
      <w:bookmarkStart w:id="97" w:name="_Toc13486"/>
      <w:bookmarkStart w:id="98" w:name="_Toc965"/>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96"/>
      <w:bookmarkEnd w:id="97"/>
      <w:bookmarkEnd w:id="98"/>
    </w:p>
    <w:p w14:paraId="2DB8285B">
      <w:pPr>
        <w:pStyle w:val="13"/>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5D58E301">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乙方未能按本合同第三条款中书面计划的要求供应材料，若因非甲方原因致使延期供货的次数超过</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次</w:t>
      </w:r>
      <w:r>
        <w:rPr>
          <w:rFonts w:hint="eastAsia" w:ascii="仿宋_GB2312" w:hAnsi="仿宋_GB2312" w:eastAsia="仿宋_GB2312" w:cs="仿宋_GB2312"/>
          <w:color w:val="000000" w:themeColor="text1"/>
          <w:highlight w:val="none"/>
          <w14:textFill>
            <w14:solidFill>
              <w14:schemeClr w14:val="tx1"/>
            </w14:solidFill>
          </w14:textFill>
        </w:rPr>
        <w:t>，乙方须向甲方支付违约金，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违约金按照5000元每次计，且除违约金外乙方必须承担甲方项目实际工期损失及经济损失。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乙方延迟交付超</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00DB2726">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乙方应全力保障项目的供应，因乙方资源组织问题引起的供应困难，乙方不能或不愿解决的，甲方可寻找其他供应单位代为解决，因此引起的甲方成本增加等相关费用在结算中扣除。</w:t>
      </w:r>
    </w:p>
    <w:p w14:paraId="4B46DFD0">
      <w:pPr>
        <w:pStyle w:val="13"/>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01D1DF02">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38A3D360">
      <w:pPr>
        <w:pStyle w:val="13"/>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不符合约定货物质量标准：</w:t>
      </w:r>
    </w:p>
    <w:p w14:paraId="718ACBA8">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5A41672A">
      <w:pPr>
        <w:pStyle w:val="13"/>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w:t>
      </w:r>
    </w:p>
    <w:p w14:paraId="2798DAC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3.3如果由于物资质量问题，引起工程事故，导致甲方人员或财产损失的，乙方应承担相应的法律责任和经济责任，因此所导致的一切损失由乙方承担，该责任不因合同的终止而减小或解除。</w:t>
      </w:r>
    </w:p>
    <w:p w14:paraId="55385297">
      <w:pPr>
        <w:pStyle w:val="13"/>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10BF4E9B">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permStart w:id="11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113"/>
      <w:r>
        <w:rPr>
          <w:rFonts w:hint="eastAsia" w:ascii="仿宋_GB2312" w:hAnsi="仿宋_GB2312" w:eastAsia="仿宋_GB2312" w:cs="仿宋_GB2312"/>
          <w:color w:val="000000" w:themeColor="text1"/>
          <w:highlight w:val="none"/>
          <w14:textFill>
            <w14:solidFill>
              <w14:schemeClr w14:val="tx1"/>
            </w14:solidFill>
          </w14:textFill>
        </w:rPr>
        <w:t>％增值税税率×2）作为违约金：</w:t>
      </w:r>
    </w:p>
    <w:p w14:paraId="3ABE4967">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005E5C13">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01A7CFC3">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1D39F114">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55E819E7">
      <w:pPr>
        <w:pStyle w:val="13"/>
        <w:spacing w:line="400" w:lineRule="atLeast"/>
        <w:ind w:firstLine="480" w:firstLineChars="200"/>
        <w:rPr>
          <w:rFonts w:ascii="仿宋_GB2312" w:hAnsi="仿宋_GB2312" w:eastAsia="仿宋_GB2312" w:cs="仿宋_GB2312"/>
          <w:strike w:val="0"/>
          <w:dstrike w:val="0"/>
          <w:color w:val="000000" w:themeColor="text1"/>
          <w:highlight w:val="none"/>
          <w14:textFill>
            <w14:solidFill>
              <w14:schemeClr w14:val="tx1"/>
            </w14:solidFill>
          </w14:textFill>
        </w:rPr>
      </w:pPr>
      <w:r>
        <w:rPr>
          <w:rFonts w:hint="eastAsia" w:ascii="仿宋_GB2312" w:hAnsi="仿宋_GB2312" w:eastAsia="仿宋_GB2312" w:cs="仿宋_GB2312"/>
          <w:strike w:val="0"/>
          <w:dstrike w:val="0"/>
          <w:color w:val="000000" w:themeColor="text1"/>
          <w:highlight w:val="none"/>
          <w14:textFill>
            <w14:solidFill>
              <w14:schemeClr w14:val="tx1"/>
            </w14:solidFill>
          </w14:textFill>
        </w:rPr>
        <w:t xml:space="preserve">4.5如乙方未在税务机关要求的期限内缴纳税款，导致甲方无法抵扣进项税的，甲方有权拒绝付款，如已经支付的，甲方有权追回已支付的款项，并要求乙方支付违约金或赔偿损失。 </w:t>
      </w:r>
    </w:p>
    <w:p w14:paraId="3A899642">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4.6提供伪造的增值税专用发票。</w:t>
      </w:r>
    </w:p>
    <w:p w14:paraId="3CC9C686">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4.7虚开增值税专用发票。</w:t>
      </w:r>
    </w:p>
    <w:p w14:paraId="2FF4623F">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4.8其它导致甲方无法进行增值税抵扣的情形。</w:t>
      </w:r>
    </w:p>
    <w:p w14:paraId="3A038434">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124BB440">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若乙方开具或提供的增值税专用发票发生本条第4款情形超过3次的或给甲方造成重大损失的，则乙方除按本款前述约定承担责任外，甲方有权单方解除本合同。</w:t>
      </w:r>
    </w:p>
    <w:p w14:paraId="14EBCC7E">
      <w:pPr>
        <w:pStyle w:val="13"/>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2B0BBFAC">
      <w:pPr>
        <w:pStyle w:val="13"/>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乙方不能满足甲方有关安全文明施工措施、环境和职业健康安全方面的要求时，乙方按照项目实际工期损失、经济损失承担违约金。</w:t>
      </w:r>
    </w:p>
    <w:p w14:paraId="351BFE4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5.2由于乙方原因造成甲方人员人身伤害，乙方应立即采取补救措施，并全额赔偿甲方相关人员损失。</w:t>
      </w:r>
    </w:p>
    <w:p w14:paraId="26F9D6DF">
      <w:pPr>
        <w:pStyle w:val="13"/>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79906B32">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未经甲方书面同意，乙方不得以对甲方享有之任何债权向其他第三方进行转让或提供任何形式之担保或保证等。经甲方同意转让合同权利，不解除乙方应承担本合同项下的义务和责任。</w:t>
      </w:r>
    </w:p>
    <w:p w14:paraId="3E599476">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99" w:name="_Hlk126834115"/>
      <w:bookmarkStart w:id="100" w:name="_Hlk127191104"/>
      <w:r>
        <w:rPr>
          <w:rFonts w:hint="eastAsia" w:ascii="仿宋_GB2312" w:hAnsi="仿宋_GB2312" w:eastAsia="仿宋_GB2312" w:cs="仿宋_GB2312"/>
          <w:b/>
          <w:bCs/>
          <w:color w:val="000000" w:themeColor="text1"/>
          <w:highlight w:val="none"/>
          <w14:textFill>
            <w14:solidFill>
              <w14:schemeClr w14:val="tx1"/>
            </w14:solidFill>
          </w14:textFill>
        </w:rPr>
        <w:t>7、</w:t>
      </w:r>
      <w:bookmarkStart w:id="101" w:name="_Hlk126829881"/>
      <w:r>
        <w:rPr>
          <w:rFonts w:hint="eastAsia" w:ascii="仿宋_GB2312" w:hAnsi="仿宋_GB2312" w:eastAsia="仿宋_GB2312" w:cs="仿宋_GB2312"/>
          <w:b/>
          <w:bCs/>
          <w:color w:val="000000" w:themeColor="text1"/>
          <w:highlight w:val="none"/>
          <w14:textFill>
            <w14:solidFill>
              <w14:schemeClr w14:val="tx1"/>
            </w14:solidFill>
          </w14:textFill>
        </w:rPr>
        <w:t>未履行结算义务：</w:t>
      </w:r>
    </w:p>
    <w:p w14:paraId="760F2D46">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4D98E07E">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color w:val="000000" w:themeColor="text1"/>
          <w:highlight w:val="none"/>
          <w14:textFill>
            <w14:solidFill>
              <w14:schemeClr w14:val="tx1"/>
            </w14:solidFill>
          </w14:textFill>
        </w:rPr>
        <w:t>数据，一经发现处以罚款2万元/次。</w:t>
      </w:r>
    </w:p>
    <w:p w14:paraId="72ABF8A2">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0D119DCC">
      <w:pPr>
        <w:pStyle w:val="13"/>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bookmarkEnd w:id="99"/>
      <w:r>
        <w:rPr>
          <w:rFonts w:hint="eastAsia" w:ascii="仿宋_GB2312" w:hAnsi="仿宋_GB2312" w:eastAsia="仿宋_GB2312" w:cs="仿宋_GB2312"/>
          <w:color w:val="000000" w:themeColor="text1"/>
          <w:highlight w:val="none"/>
          <w14:textFill>
            <w14:solidFill>
              <w14:schemeClr w14:val="tx1"/>
            </w14:solidFill>
          </w14:textFill>
        </w:rPr>
        <w:t>。</w:t>
      </w:r>
      <w:bookmarkEnd w:id="100"/>
      <w:bookmarkEnd w:id="101"/>
    </w:p>
    <w:p w14:paraId="3C815497">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102" w:name="_Toc11521"/>
      <w:bookmarkStart w:id="103" w:name="_Toc19191"/>
      <w:bookmarkStart w:id="104" w:name="_Toc20335"/>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62A560EC">
      <w:pPr>
        <w:pStyle w:val="13"/>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20</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10540F9F">
      <w:pPr>
        <w:pStyle w:val="13"/>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75D918CC">
      <w:pPr>
        <w:pStyle w:val="13"/>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532B1437">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168BA802">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534E8C1F">
      <w:pPr>
        <w:pStyle w:val="13"/>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63A31437">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03450768">
      <w:pPr>
        <w:pStyle w:val="13"/>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102"/>
      <w:bookmarkEnd w:id="103"/>
      <w:bookmarkEnd w:id="104"/>
    </w:p>
    <w:p w14:paraId="1274F4EF">
      <w:pPr>
        <w:pStyle w:val="14"/>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2E0AA980">
      <w:pPr>
        <w:pStyle w:val="14"/>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r>
        <w:rPr>
          <w:rFonts w:hint="eastAsia" w:ascii="仿宋_GB2312" w:hAnsi="仿宋_GB2312" w:eastAsia="仿宋_GB2312" w:cs="仿宋_GB2312"/>
          <w:color w:val="000000" w:themeColor="text1"/>
          <w:sz w:val="24"/>
          <w:highlight w:val="none"/>
          <w14:textFill>
            <w14:solidFill>
              <w14:schemeClr w14:val="tx1"/>
            </w14:solidFill>
          </w14:textFill>
        </w:rPr>
        <w:t>对甲方在规定的检验、安装、调试和验收测试期限内和质量保修期内发现缺陷提出的索赔，乙方应按甲方同意的下述一种或多种方法解决索赔事宜：</w:t>
      </w:r>
    </w:p>
    <w:p w14:paraId="30D5E5C0">
      <w:pPr>
        <w:pStyle w:val="14"/>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37415E89">
      <w:pPr>
        <w:pStyle w:val="14"/>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2.2根据货物的质量缺陷和受损程度以及甲方遭受损失的程度，经双方协商同意降低货物价格。</w:t>
      </w:r>
    </w:p>
    <w:p w14:paraId="559276BD">
      <w:pPr>
        <w:pStyle w:val="14"/>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2.3更换有缺陷的部分货物、零件、部件和设备，或修理缺陷部分，以达到合同规定的规格、质量和性能，乙方承担一切费用和风险，并负担甲方遭受的损失。</w:t>
      </w:r>
    </w:p>
    <w:p w14:paraId="09BF745C">
      <w:pPr>
        <w:pStyle w:val="14"/>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，甲方有权从乙方货款中扣除索赔金额，不足部分，甲方有权向乙方追偿。</w:t>
      </w:r>
    </w:p>
    <w:p w14:paraId="16DC955B">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w:t>
      </w:r>
    </w:p>
    <w:p w14:paraId="7A62D39F">
      <w:pPr>
        <w:pStyle w:val="13"/>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5" w:name="_Toc13562"/>
      <w:bookmarkStart w:id="106" w:name="_Toc13471"/>
      <w:bookmarkStart w:id="107" w:name="_Toc12864"/>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105"/>
      <w:bookmarkEnd w:id="106"/>
      <w:bookmarkEnd w:id="107"/>
    </w:p>
    <w:p w14:paraId="48F24F33">
      <w:pPr>
        <w:pStyle w:val="13"/>
        <w:numPr>
          <w:ilvl w:val="0"/>
          <w:numId w:val="10"/>
        </w:numPr>
        <w:spacing w:line="400" w:lineRule="atLeast"/>
        <w:ind w:firstLine="480" w:firstLineChars="200"/>
        <w:jc w:val="both"/>
        <w:rPr>
          <w:rFonts w:hint="eastAsia" w:ascii="宋体" w:hAnsi="宋体"/>
          <w:szCs w:val="21"/>
          <w:highlight w:val="none"/>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4F37E915">
      <w:pPr>
        <w:pStyle w:val="13"/>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bookmarkStart w:id="108" w:name="_Toc29083"/>
      <w:bookmarkStart w:id="109" w:name="_Toc23441"/>
      <w:bookmarkStart w:id="110" w:name="_Toc28560"/>
      <w:r>
        <w:rPr>
          <w:rFonts w:hint="eastAsia" w:ascii="仿宋_GB2312" w:hAnsi="仿宋_GB2312" w:eastAsia="仿宋_GB2312" w:cs="仿宋_GB2312"/>
          <w:color w:val="000000" w:themeColor="text1"/>
          <w:highlight w:val="none"/>
          <w:lang w:val="en-US" w:eastAsia="zh-CN"/>
          <w14:textFill>
            <w14:solidFill>
              <w14:schemeClr w14:val="tx1"/>
            </w14:solidFill>
          </w14:textFill>
        </w:rPr>
        <w:t>当乙方所供物资超出分供合同标的物的金额不超过原合同金额的10%（含），正常办理结算；分供合同标的物的金额超过原合同金额的10%但不超过30%（含），甲乙双方签订补充协议；分供合同标的物的金额超过原合同金额的30%，则对原合同外的物资重新组织招标。</w:t>
      </w:r>
    </w:p>
    <w:p w14:paraId="670CDD6E">
      <w:pPr>
        <w:pStyle w:val="13"/>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工程建设单位、监理单位及相关部门出台的相关规定文件、市场准入制度造成合同不能执行，甲方不承担任何责任。</w:t>
      </w:r>
    </w:p>
    <w:p w14:paraId="5369AECF">
      <w:pPr>
        <w:pStyle w:val="13"/>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108"/>
      <w:bookmarkEnd w:id="109"/>
      <w:bookmarkEnd w:id="110"/>
    </w:p>
    <w:p w14:paraId="7B54A7FD">
      <w:pPr>
        <w:pStyle w:val="13"/>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11" w:name="_Hlk126831282"/>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24B5CD61">
      <w:pPr>
        <w:pStyle w:val="13"/>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如甲方与业主签订的总承包合同解除或终止，或因业主变更导致甲方无需采购约定材料，则甲方以书面形式通知乙方终止本合同。</w:t>
      </w:r>
    </w:p>
    <w:p w14:paraId="77A604AB">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06E212FC">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3.1乙方所提供的产品无法通过相关部门（如质监、监理、设计方、甲方及当地相关政府部门等）验收合格；</w:t>
      </w:r>
    </w:p>
    <w:p w14:paraId="074BCC5E">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3.2在产品使用后发生因产品质量问题造成人员、财产受到损害的；</w:t>
      </w:r>
    </w:p>
    <w:p w14:paraId="7C7009D8">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3.3乙方将本合同项下权利义务全部或部分转让的；</w:t>
      </w:r>
    </w:p>
    <w:p w14:paraId="3FBAC3CA">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3.4未按本合同约定时间交货累计延误达10日历天；</w:t>
      </w:r>
    </w:p>
    <w:p w14:paraId="5F07BBAD">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3.5因产品质量未达到本合同专用条款第四条技术标准及质量要求和国家、地方政府相关部门的相关规范和要求，在甲方要求时间内无法更换或补充至甲方要求；</w:t>
      </w:r>
    </w:p>
    <w:p w14:paraId="0AA848DC">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3.6甲方发现产品不能满足本合同约定的质量标准时，或在本合同履行过程中，乙方未按甲方的要求及时进行整改的；</w:t>
      </w:r>
    </w:p>
    <w:p w14:paraId="12B19807">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3.7在本合同履行过程中乙方漠视甲方、设计方指令的或未按甲方、设计方指令执行的；</w:t>
      </w:r>
    </w:p>
    <w:p w14:paraId="39ACA74B">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2032456B">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23CF8C8E">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bookmarkEnd w:id="111"/>
      <w:r>
        <w:rPr>
          <w:rFonts w:hint="eastAsia" w:ascii="仿宋_GB2312" w:hAnsi="仿宋_GB2312" w:eastAsia="仿宋_GB2312" w:cs="仿宋_GB2312"/>
          <w:b/>
          <w:bCs/>
          <w:color w:val="000000" w:themeColor="text1"/>
          <w:highlight w:val="none"/>
          <w14:textFill>
            <w14:solidFill>
              <w14:schemeClr w14:val="tx1"/>
            </w14:solidFill>
          </w14:textFill>
        </w:rPr>
        <w:t>。</w:t>
      </w:r>
    </w:p>
    <w:p w14:paraId="22DBC04B">
      <w:pPr>
        <w:pStyle w:val="13"/>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2" w:name="_Toc17777"/>
      <w:bookmarkStart w:id="113" w:name="_Toc24603"/>
      <w:bookmarkStart w:id="114" w:name="_Toc16580"/>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112"/>
      <w:bookmarkEnd w:id="113"/>
      <w:bookmarkEnd w:id="114"/>
    </w:p>
    <w:p w14:paraId="3B25D2A9">
      <w:pPr>
        <w:pStyle w:val="13"/>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不可抗力的确认和通知</w:t>
      </w:r>
    </w:p>
    <w:p w14:paraId="0F8C3D7E">
      <w:pPr>
        <w:pStyle w:val="13"/>
        <w:numPr>
          <w:ilvl w:val="255"/>
          <w:numId w:val="0"/>
        </w:numPr>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eastAsia="zh-Hans"/>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5D74ACE7">
      <w:pPr>
        <w:pStyle w:val="13"/>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46AD6D07">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 不可抗力事件发生后，</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应立即通知</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，并在力所能及的条件下迅速采取措施，尽力减少损失，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应协助</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采取措施。若因</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未能尽力挽救，导致损失扩大的，由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承担全部责任。</w:t>
      </w:r>
    </w:p>
    <w:p w14:paraId="50ECE559">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 不可抗力事件结束后14天内，</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应向</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提交清理和修复费用的正式报告及有关资料。</w:t>
      </w:r>
    </w:p>
    <w:p w14:paraId="67CD9729">
      <w:pPr>
        <w:pStyle w:val="13"/>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不可抗力风险的承担</w:t>
      </w:r>
    </w:p>
    <w:p w14:paraId="742F1815">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 不可抗力导致的人员伤亡、财产损失、费用增加和（或）作业期限延误等后果，由合同当事人按以下原则承担：</w:t>
      </w:r>
    </w:p>
    <w:p w14:paraId="7B09741C">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施工设备的损坏由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868AC1A">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和</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承担各自人员伤亡和财产的损失；</w:t>
      </w:r>
    </w:p>
    <w:p w14:paraId="4DBC6AC5">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（3）因不可抗力影响</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履行合同约定的义务，已经引起或将引起工期延误的，应当顺延工期，由此导致</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停工的费用损失由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306E1EEB">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（4）因不可抗力引起或将引起工期延误，</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要求赶工的，由此增加的赶工费用由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09D09F34">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在停工期间按照</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要求照管和清理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工程的费用由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B595DA7">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7355F74C">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 因合同一方迟延履行合同义务，在迟延履行期间遭遇不可抗力的，不免除其违约责任。</w:t>
      </w:r>
    </w:p>
    <w:p w14:paraId="140200E8">
      <w:pPr>
        <w:pStyle w:val="13"/>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因不可抗力解除合同</w:t>
      </w:r>
    </w:p>
    <w:p w14:paraId="65C380D5">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因不可抗力导致本合同无法履行连续超过84天或累计超过140天的，甲方和乙方均有权解除本合同。本合同解除后，甲方有权暂停对乙方的付款，直到双方就退场达成一致。</w:t>
      </w:r>
    </w:p>
    <w:p w14:paraId="67B052E0">
      <w:pPr>
        <w:pStyle w:val="13"/>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5" w:name="_Toc18501"/>
      <w:bookmarkStart w:id="116" w:name="_Toc10852"/>
      <w:bookmarkStart w:id="117" w:name="_Toc9310"/>
      <w:r>
        <w:rPr>
          <w:rFonts w:hint="eastAsia" w:ascii="仿宋_GB2312" w:hAnsi="仿宋_GB2312" w:eastAsia="仿宋_GB2312" w:cs="仿宋_GB2312"/>
          <w:b/>
          <w:bCs/>
          <w:color w:val="000000" w:themeColor="text1"/>
          <w:highlight w:val="none"/>
          <w14:textFill>
            <w14:solidFill>
              <w14:schemeClr w14:val="tx1"/>
            </w14:solidFill>
          </w14:textFill>
        </w:rPr>
        <w:t>争议解决</w:t>
      </w:r>
      <w:bookmarkEnd w:id="115"/>
      <w:bookmarkEnd w:id="116"/>
      <w:bookmarkEnd w:id="117"/>
    </w:p>
    <w:p w14:paraId="5E4690C1">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1、争议和解：</w:t>
      </w:r>
      <w:r>
        <w:rPr>
          <w:rFonts w:hint="eastAsia" w:ascii="仿宋_GB2312" w:hAnsi="仿宋_GB2312" w:eastAsia="仿宋_GB2312" w:cs="仿宋_GB2312"/>
          <w:color w:val="000000" w:themeColor="text1"/>
          <w:highlight w:val="none"/>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1A0C7F5B">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在对方收到上述通知之日起</w:t>
      </w:r>
      <w:r>
        <w:rPr>
          <w:rFonts w:hint="eastAsia" w:ascii="仿宋_GB2312" w:hAnsi="仿宋_GB2312" w:eastAsia="仿宋_GB2312" w:cs="仿宋_GB2312"/>
          <w:color w:val="000000" w:themeColor="text1"/>
          <w:highlight w:val="none"/>
          <w:u w:val="single"/>
          <w14:textFill>
            <w14:solidFill>
              <w14:schemeClr w14:val="tx1"/>
            </w14:solidFill>
          </w14:textFill>
        </w:rPr>
        <w:t>3个月</w:t>
      </w:r>
      <w:r>
        <w:rPr>
          <w:rFonts w:hint="eastAsia" w:ascii="仿宋_GB2312" w:hAnsi="仿宋_GB2312" w:eastAsia="仿宋_GB2312" w:cs="仿宋_GB2312"/>
          <w:color w:val="000000" w:themeColor="text1"/>
          <w:highlight w:val="none"/>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36F5936A">
      <w:pPr>
        <w:pStyle w:val="13"/>
        <w:spacing w:line="400" w:lineRule="atLeast"/>
        <w:ind w:firstLine="482"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bookmarkStart w:id="118" w:name="_Hlk126770481"/>
      <w:bookmarkStart w:id="119" w:name="_Hlk126830485"/>
      <w:bookmarkStart w:id="120" w:name="_Toc31739"/>
      <w:bookmarkStart w:id="121" w:name="_Toc18393"/>
      <w:bookmarkStart w:id="122" w:name="_Toc11207"/>
      <w:r>
        <w:rPr>
          <w:rFonts w:hint="eastAsia" w:ascii="仿宋_GB2312" w:hAnsi="仿宋_GB2312" w:eastAsia="仿宋_GB2312" w:cs="仿宋_GB2312"/>
          <w:b/>
          <w:bCs/>
          <w:color w:val="000000" w:themeColor="text1"/>
          <w:highlight w:val="none"/>
          <w14:textFill>
            <w14:solidFill>
              <w14:schemeClr w14:val="tx1"/>
            </w14:solidFill>
          </w14:textFill>
        </w:rPr>
        <w:t>2、</w:t>
      </w:r>
      <w:bookmarkEnd w:id="118"/>
      <w:bookmarkEnd w:id="119"/>
      <w:bookmarkStart w:id="123" w:name="_Hlk127194929"/>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争议仲裁：</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因本合同引起或与之相关任何争议、纠纷或权利主张，和解不成且已超过和解期的,双方同意提交石家庄仲裁委员会裁决。</w:t>
      </w:r>
    </w:p>
    <w:p w14:paraId="229698EE">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123"/>
      <w:r>
        <w:rPr>
          <w:rFonts w:hint="eastAsia" w:ascii="仿宋_GB2312" w:hAnsi="仿宋_GB2312" w:eastAsia="仿宋_GB2312" w:cs="仿宋_GB2312"/>
          <w:b/>
          <w:bCs/>
          <w:color w:val="000000" w:themeColor="text1"/>
          <w:highlight w:val="none"/>
          <w14:textFill>
            <w14:solidFill>
              <w14:schemeClr w14:val="tx1"/>
            </w14:solidFill>
          </w14:textFill>
        </w:rPr>
        <w:t>。</w:t>
      </w:r>
    </w:p>
    <w:p w14:paraId="60A9FF2C">
      <w:pPr>
        <w:pStyle w:val="13"/>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none"/>
          <w14:textFill>
            <w14:solidFill>
              <w14:schemeClr w14:val="tx1"/>
            </w14:solidFill>
          </w14:textFill>
        </w:rPr>
        <w:t>因仲裁产生的各项</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none"/>
          <w14:textFill>
            <w14:solidFill>
              <w14:schemeClr w14:val="tx1"/>
            </w14:solidFill>
          </w14:textFill>
        </w:rPr>
        <w:t>费用由双方自行承担，包括但不限于</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none"/>
          <w14:textFill>
            <w14:solidFill>
              <w14:schemeClr w14:val="tx1"/>
            </w14:solidFill>
          </w14:textFill>
        </w:rPr>
        <w:t>律师费、仲裁费、保全费、保全保险费、差旅费、公证费及鉴定费等因仲裁引发的费用。</w:t>
      </w:r>
    </w:p>
    <w:p w14:paraId="06CD15DC">
      <w:pPr>
        <w:pStyle w:val="13"/>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bookmarkEnd w:id="120"/>
      <w:bookmarkEnd w:id="121"/>
      <w:bookmarkEnd w:id="122"/>
    </w:p>
    <w:p w14:paraId="068C82C2">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4" w:name="_Toc12970"/>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323EF5DE">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71633CCD">
      <w:pPr>
        <w:pStyle w:val="13"/>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25" w:name="_Toc3848"/>
      <w:bookmarkStart w:id="126" w:name="_Toc14038"/>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124"/>
      <w:bookmarkEnd w:id="125"/>
      <w:bookmarkEnd w:id="126"/>
    </w:p>
    <w:p w14:paraId="7381ED03">
      <w:pPr>
        <w:pStyle w:val="13"/>
        <w:numPr>
          <w:ilvl w:val="0"/>
          <w:numId w:val="13"/>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本合同与甲方招标文件、乙方投标文件有相抵触之处，均以本合同条款为准。</w:t>
      </w:r>
    </w:p>
    <w:p w14:paraId="0D394E66">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41512C47">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5E32DC3A">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4、其他约定</w:t>
      </w:r>
      <w:permStart w:id="11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114"/>
      <w:r>
        <w:rPr>
          <w:rFonts w:hint="eastAsia" w:ascii="仿宋_GB2312" w:hAnsi="仿宋_GB2312" w:eastAsia="仿宋_GB2312" w:cs="仿宋_GB2312"/>
          <w:color w:val="000000" w:themeColor="text1"/>
          <w:highlight w:val="none"/>
          <w14:textFill>
            <w14:solidFill>
              <w14:schemeClr w14:val="tx1"/>
            </w14:solidFill>
          </w14:textFill>
        </w:rPr>
        <w:t>。</w:t>
      </w:r>
    </w:p>
    <w:p w14:paraId="02CC4D01">
      <w:pPr>
        <w:pStyle w:val="13"/>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bookmarkStart w:id="127" w:name="_Toc20230"/>
      <w:r>
        <w:rPr>
          <w:rFonts w:hint="eastAsia" w:ascii="仿宋_GB2312" w:hAnsi="仿宋_GB2312" w:eastAsia="仿宋_GB2312" w:cs="仿宋_GB2312"/>
          <w:color w:val="000000" w:themeColor="text1"/>
          <w:highlight w:val="none"/>
          <w14:textFill>
            <w14:solidFill>
              <w14:schemeClr w14:val="tx1"/>
            </w14:solidFill>
          </w14:textFill>
        </w:rPr>
        <w:t>以下无正文</w:t>
      </w:r>
      <w:bookmarkEnd w:id="127"/>
    </w:p>
    <w:p w14:paraId="3622F8E4">
      <w:pPr>
        <w:pStyle w:val="13"/>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47AE43FE">
      <w:pPr>
        <w:pStyle w:val="13"/>
        <w:spacing w:line="400" w:lineRule="atLeast"/>
        <w:ind w:firstLine="480" w:firstLineChars="200"/>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甲  方：                               乙  方：</w:t>
      </w:r>
    </w:p>
    <w:p w14:paraId="404CBB7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4266642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2C6BDEA">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9F594FF">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4A2C63CD">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3073886">
      <w:pPr>
        <w:pStyle w:val="13"/>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010F0C5C">
      <w:pPr>
        <w:rPr>
          <w:rFonts w:ascii="仿宋_GB2312" w:hAnsi="仿宋_GB2312" w:eastAsia="仿宋_GB2312" w:cs="仿宋_GB2312"/>
          <w:color w:val="000000" w:themeColor="text1"/>
          <w:sz w:val="24"/>
          <w:highlight w:val="none"/>
          <w14:textFill>
            <w14:solidFill>
              <w14:schemeClr w14:val="tx1"/>
            </w14:solidFill>
          </w14:textFill>
        </w:rPr>
      </w:pPr>
    </w:p>
    <w:p w14:paraId="6B769C1F">
      <w:pPr>
        <w:rPr>
          <w:highlight w:val="none"/>
        </w:rPr>
      </w:pPr>
    </w:p>
    <w:sectPr>
      <w:pgSz w:w="11906" w:h="16838"/>
      <w:pgMar w:top="1440" w:right="1800" w:bottom="1440" w:left="1800"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EB115">
    <w:pPr>
      <w:pStyle w:val="7"/>
      <w:jc w:val="center"/>
      <w:rPr>
        <w:rFonts w:ascii="仿宋" w:hAnsi="仿宋" w:eastAsia="仿宋" w:cs="仿宋"/>
        <w:sz w:val="24"/>
        <w:szCs w:val="36"/>
      </w:rPr>
    </w:pPr>
    <w:r>
      <w:rPr>
        <w:rFonts w:hint="eastAsia" w:ascii="仿宋" w:hAnsi="仿宋" w:eastAsia="仿宋" w:cs="仿宋"/>
        <w:sz w:val="24"/>
        <w:szCs w:val="36"/>
      </w:rPr>
      <w:t>中建三局第*建设工程有限责任公司</w:t>
    </w:r>
  </w:p>
  <w:p w14:paraId="7C5172F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FFDE">
    <w:pPr>
      <w:pStyle w:val="7"/>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1094">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82EB">
    <w:pPr>
      <w:pStyle w:val="7"/>
      <w:jc w:val="center"/>
      <w:rPr>
        <w:rFonts w:ascii="仿宋" w:hAnsi="仿宋" w:eastAsia="仿宋" w:cs="仿宋"/>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D177">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0382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F90382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080C">
    <w:pPr>
      <w:pStyle w:val="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7FDCF">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1C7FDCF">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49B8">
    <w:pPr>
      <w:pStyle w:val="8"/>
    </w:pPr>
  </w:p>
  <w:p w14:paraId="545303D8">
    <w:pPr>
      <w:pStyle w:val="8"/>
    </w:pPr>
  </w:p>
  <w:p w14:paraId="7AE5AE10">
    <w:pPr>
      <w:pStyle w:val="8"/>
    </w:pPr>
  </w:p>
  <w:p w14:paraId="0A2D9CC1">
    <w:pPr>
      <w:pStyle w:val="8"/>
    </w:pPr>
  </w:p>
  <w:p w14:paraId="1DCB81E7">
    <w:pPr>
      <w:pStyle w:val="8"/>
      <w:jc w:val="left"/>
      <w:rPr>
        <w:b/>
        <w:bCs/>
      </w:rPr>
    </w:pPr>
    <w:r>
      <w:rPr>
        <w:b/>
        <w:bCs/>
      </w:rPr>
      <w:t>CSCEC</w:t>
    </w:r>
    <w:r>
      <w:t xml:space="preserve">  </w:t>
    </w:r>
    <w:r>
      <w:rPr>
        <w:rFonts w:hint="eastAsia"/>
        <w:b/>
        <w:bCs/>
      </w:rPr>
      <w:t xml:space="preserve">                                                                                 中建</w:t>
    </w:r>
  </w:p>
  <w:p w14:paraId="3479C5C7">
    <w:pPr>
      <w:pStyle w:val="8"/>
    </w:pPr>
  </w:p>
  <w:p w14:paraId="2CB33D2A">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CFB3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7"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0E39938B">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CC2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7F7CA813">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08B4">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 name="图片 8"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2E51BD73">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CDF988A0"/>
    <w:multiLevelType w:val="singleLevel"/>
    <w:tmpl w:val="CDF988A0"/>
    <w:lvl w:ilvl="0" w:tentative="0">
      <w:start w:val="1"/>
      <w:numFmt w:val="decimal"/>
      <w:suff w:val="nothing"/>
      <w:lvlText w:val="%1、"/>
      <w:lvlJc w:val="left"/>
    </w:lvl>
  </w:abstractNum>
  <w:abstractNum w:abstractNumId="2">
    <w:nsid w:val="D6CC21DA"/>
    <w:multiLevelType w:val="singleLevel"/>
    <w:tmpl w:val="D6CC21DA"/>
    <w:lvl w:ilvl="0" w:tentative="0">
      <w:start w:val="1"/>
      <w:numFmt w:val="decimal"/>
      <w:suff w:val="nothing"/>
      <w:lvlText w:val="%1、"/>
      <w:lvlJc w:val="left"/>
    </w:lvl>
  </w:abstractNum>
  <w:abstractNum w:abstractNumId="3">
    <w:nsid w:val="DA2CD928"/>
    <w:multiLevelType w:val="singleLevel"/>
    <w:tmpl w:val="DA2CD928"/>
    <w:lvl w:ilvl="0" w:tentative="0">
      <w:start w:val="1"/>
      <w:numFmt w:val="decimal"/>
      <w:suff w:val="nothing"/>
      <w:lvlText w:val="%1、"/>
      <w:lvlJc w:val="left"/>
    </w:lvl>
  </w:abstractNum>
  <w:abstractNum w:abstractNumId="4">
    <w:nsid w:val="E0133784"/>
    <w:multiLevelType w:val="singleLevel"/>
    <w:tmpl w:val="E0133784"/>
    <w:lvl w:ilvl="0" w:tentative="0">
      <w:start w:val="1"/>
      <w:numFmt w:val="decimal"/>
      <w:suff w:val="nothing"/>
      <w:lvlText w:val="%1、"/>
      <w:lvlJc w:val="left"/>
    </w:lvl>
  </w:abstractNum>
  <w:abstractNum w:abstractNumId="5">
    <w:nsid w:val="EEFD7662"/>
    <w:multiLevelType w:val="singleLevel"/>
    <w:tmpl w:val="EEFD7662"/>
    <w:lvl w:ilvl="0" w:tentative="0">
      <w:start w:val="1"/>
      <w:numFmt w:val="decimal"/>
      <w:suff w:val="nothing"/>
      <w:lvlText w:val="%1、"/>
      <w:lvlJc w:val="left"/>
    </w:lvl>
  </w:abstractNum>
  <w:abstractNum w:abstractNumId="6">
    <w:nsid w:val="EFACCE70"/>
    <w:multiLevelType w:val="singleLevel"/>
    <w:tmpl w:val="EFACCE70"/>
    <w:lvl w:ilvl="0" w:tentative="0">
      <w:start w:val="1"/>
      <w:numFmt w:val="chineseCounting"/>
      <w:suff w:val="nothing"/>
      <w:lvlText w:val="%1、"/>
      <w:lvlJc w:val="left"/>
      <w:rPr>
        <w:rFonts w:hint="eastAsia"/>
      </w:rPr>
    </w:lvl>
  </w:abstractNum>
  <w:abstractNum w:abstractNumId="7">
    <w:nsid w:val="F4B4D53B"/>
    <w:multiLevelType w:val="singleLevel"/>
    <w:tmpl w:val="F4B4D53B"/>
    <w:lvl w:ilvl="0" w:tentative="0">
      <w:start w:val="1"/>
      <w:numFmt w:val="decimal"/>
      <w:suff w:val="nothing"/>
      <w:lvlText w:val="%1、"/>
      <w:lvlJc w:val="left"/>
    </w:lvl>
  </w:abstractNum>
  <w:abstractNum w:abstractNumId="8">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9">
    <w:nsid w:val="1C870535"/>
    <w:multiLevelType w:val="singleLevel"/>
    <w:tmpl w:val="1C870535"/>
    <w:lvl w:ilvl="0" w:tentative="0">
      <w:start w:val="1"/>
      <w:numFmt w:val="decimal"/>
      <w:suff w:val="nothing"/>
      <w:lvlText w:val="%1、"/>
      <w:lvlJc w:val="left"/>
      <w:rPr>
        <w:rFonts w:hint="default"/>
        <w:b/>
        <w:bCs/>
      </w:rPr>
    </w:lvl>
  </w:abstractNum>
  <w:abstractNum w:abstractNumId="10">
    <w:nsid w:val="1D9874AA"/>
    <w:multiLevelType w:val="singleLevel"/>
    <w:tmpl w:val="1D9874AA"/>
    <w:lvl w:ilvl="0" w:tentative="0">
      <w:start w:val="1"/>
      <w:numFmt w:val="chineseCounting"/>
      <w:suff w:val="nothing"/>
      <w:lvlText w:val="%1、"/>
      <w:lvlJc w:val="left"/>
      <w:rPr>
        <w:rFonts w:hint="eastAsia"/>
      </w:rPr>
    </w:lvl>
  </w:abstractNum>
  <w:abstractNum w:abstractNumId="11">
    <w:nsid w:val="567023B9"/>
    <w:multiLevelType w:val="singleLevel"/>
    <w:tmpl w:val="567023B9"/>
    <w:lvl w:ilvl="0" w:tentative="0">
      <w:start w:val="1"/>
      <w:numFmt w:val="decimal"/>
      <w:suff w:val="nothing"/>
      <w:lvlText w:val="%1、"/>
      <w:lvlJc w:val="left"/>
    </w:lvl>
  </w:abstractNum>
  <w:abstractNum w:abstractNumId="12">
    <w:nsid w:val="5A99D076"/>
    <w:multiLevelType w:val="singleLevel"/>
    <w:tmpl w:val="5A99D076"/>
    <w:lvl w:ilvl="0" w:tentative="0">
      <w:start w:val="2"/>
      <w:numFmt w:val="decimal"/>
      <w:lvlText w:val="%1."/>
      <w:lvlJc w:val="left"/>
      <w:pPr>
        <w:tabs>
          <w:tab w:val="left" w:pos="312"/>
        </w:tabs>
        <w:ind w:left="480" w:firstLine="0"/>
      </w:pPr>
    </w:lvl>
  </w:abstractNum>
  <w:num w:numId="1">
    <w:abstractNumId w:val="6"/>
  </w:num>
  <w:num w:numId="2">
    <w:abstractNumId w:val="3"/>
  </w:num>
  <w:num w:numId="3">
    <w:abstractNumId w:val="9"/>
  </w:num>
  <w:num w:numId="4">
    <w:abstractNumId w:val="5"/>
  </w:num>
  <w:num w:numId="5">
    <w:abstractNumId w:val="7"/>
  </w:num>
  <w:num w:numId="6">
    <w:abstractNumId w:val="12"/>
  </w:num>
  <w:num w:numId="7">
    <w:abstractNumId w:val="8"/>
  </w:num>
  <w:num w:numId="8">
    <w:abstractNumId w:val="10"/>
  </w:num>
  <w:num w:numId="9">
    <w:abstractNumId w:val="11"/>
  </w:num>
  <w:num w:numId="10">
    <w:abstractNumId w:val="2"/>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UQDHhZ+/1vSEb4qynrfAH7eeMY0=" w:salt="2uOz9scX8dfETHkQeXrCD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000000"/>
    <w:rsid w:val="02005B8D"/>
    <w:rsid w:val="0560216C"/>
    <w:rsid w:val="07677F35"/>
    <w:rsid w:val="07E22A1E"/>
    <w:rsid w:val="087D170E"/>
    <w:rsid w:val="0C2C12C5"/>
    <w:rsid w:val="0CDB347F"/>
    <w:rsid w:val="0DB8731C"/>
    <w:rsid w:val="0F5D461F"/>
    <w:rsid w:val="10122848"/>
    <w:rsid w:val="11A93B4C"/>
    <w:rsid w:val="14926CC5"/>
    <w:rsid w:val="15064E11"/>
    <w:rsid w:val="15F405EB"/>
    <w:rsid w:val="161401DB"/>
    <w:rsid w:val="194A79C2"/>
    <w:rsid w:val="199F06C1"/>
    <w:rsid w:val="1CCD2EB3"/>
    <w:rsid w:val="1DCE5781"/>
    <w:rsid w:val="1E8C6B08"/>
    <w:rsid w:val="1E9811D0"/>
    <w:rsid w:val="20677AD3"/>
    <w:rsid w:val="20D34741"/>
    <w:rsid w:val="24E6773E"/>
    <w:rsid w:val="25AB6412"/>
    <w:rsid w:val="27001DCB"/>
    <w:rsid w:val="27044385"/>
    <w:rsid w:val="2809000E"/>
    <w:rsid w:val="281C1F8A"/>
    <w:rsid w:val="282D2989"/>
    <w:rsid w:val="29143B49"/>
    <w:rsid w:val="2B6B0C1C"/>
    <w:rsid w:val="2CF52523"/>
    <w:rsid w:val="2CFF55C1"/>
    <w:rsid w:val="2F363C4A"/>
    <w:rsid w:val="2F642E8E"/>
    <w:rsid w:val="2FD92135"/>
    <w:rsid w:val="2FF75092"/>
    <w:rsid w:val="329F4483"/>
    <w:rsid w:val="33134E71"/>
    <w:rsid w:val="35966615"/>
    <w:rsid w:val="37A442EA"/>
    <w:rsid w:val="38C55C94"/>
    <w:rsid w:val="3A58061F"/>
    <w:rsid w:val="3DDE2C63"/>
    <w:rsid w:val="3EA80078"/>
    <w:rsid w:val="3EF518D7"/>
    <w:rsid w:val="4493311A"/>
    <w:rsid w:val="47857C94"/>
    <w:rsid w:val="4B7613B8"/>
    <w:rsid w:val="4C03387D"/>
    <w:rsid w:val="4D7E765F"/>
    <w:rsid w:val="4DAC7892"/>
    <w:rsid w:val="4F461FE7"/>
    <w:rsid w:val="4F8151E4"/>
    <w:rsid w:val="4FC41AE4"/>
    <w:rsid w:val="55C3101A"/>
    <w:rsid w:val="57206CE0"/>
    <w:rsid w:val="57415D69"/>
    <w:rsid w:val="577657E8"/>
    <w:rsid w:val="5D403159"/>
    <w:rsid w:val="5E361890"/>
    <w:rsid w:val="5E4E17D8"/>
    <w:rsid w:val="5EE82A63"/>
    <w:rsid w:val="637A221F"/>
    <w:rsid w:val="64E908CD"/>
    <w:rsid w:val="66576686"/>
    <w:rsid w:val="66F260F2"/>
    <w:rsid w:val="697275C4"/>
    <w:rsid w:val="69F85DC8"/>
    <w:rsid w:val="6ADE3093"/>
    <w:rsid w:val="6BFE7C2B"/>
    <w:rsid w:val="6C537AB1"/>
    <w:rsid w:val="6D441D97"/>
    <w:rsid w:val="6E3470A8"/>
    <w:rsid w:val="6EEF5F38"/>
    <w:rsid w:val="6FA504B7"/>
    <w:rsid w:val="721414BF"/>
    <w:rsid w:val="733C129F"/>
    <w:rsid w:val="7474679E"/>
    <w:rsid w:val="74B25521"/>
    <w:rsid w:val="75723680"/>
    <w:rsid w:val="75F93477"/>
    <w:rsid w:val="784A2271"/>
    <w:rsid w:val="7C8A307B"/>
    <w:rsid w:val="7D4E22FA"/>
    <w:rsid w:val="7E55487E"/>
    <w:rsid w:val="7F4C316E"/>
    <w:rsid w:val="7F4C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eastAsia="宋体" w:cs="宋体"/>
      <w:kern w:val="44"/>
      <w:sz w:val="21"/>
      <w:szCs w:val="21"/>
    </w:rPr>
  </w:style>
  <w:style w:type="paragraph" w:styleId="3">
    <w:name w:val="annotation text"/>
    <w:basedOn w:val="1"/>
    <w:autoRedefine/>
    <w:qFormat/>
    <w:uiPriority w:val="0"/>
    <w:pPr>
      <w:jc w:val="left"/>
    </w:pPr>
  </w:style>
  <w:style w:type="paragraph" w:styleId="4">
    <w:name w:val="Body Text"/>
    <w:basedOn w:val="1"/>
    <w:next w:val="1"/>
    <w:autoRedefine/>
    <w:qFormat/>
    <w:uiPriority w:val="0"/>
    <w:rPr>
      <w:szCs w:val="28"/>
    </w:rPr>
  </w:style>
  <w:style w:type="paragraph" w:styleId="5">
    <w:name w:val="Plain Text"/>
    <w:basedOn w:val="1"/>
    <w:autoRedefine/>
    <w:qFormat/>
    <w:uiPriority w:val="0"/>
    <w:rPr>
      <w:rFonts w:ascii="黑体" w:hAnsi="Courier New" w:eastAsia="黑体" w:cs="Times New Roman"/>
      <w:szCs w:val="20"/>
    </w:rPr>
  </w:style>
  <w:style w:type="paragraph" w:styleId="6">
    <w:name w:val="Body Text Indent 2"/>
    <w:basedOn w:val="1"/>
    <w:autoRedefine/>
    <w:qFormat/>
    <w:uiPriority w:val="0"/>
    <w:pPr>
      <w:ind w:firstLine="540" w:firstLineChars="180"/>
    </w:pPr>
    <w:rPr>
      <w:rFonts w:ascii="仿宋_GB2312" w:hAnsi="Calibri" w:eastAsia="仿宋_GB2312" w:cs="Times New Roman"/>
      <w:sz w:val="30"/>
      <w:szCs w:val="24"/>
    </w:rPr>
  </w:style>
  <w:style w:type="paragraph" w:styleId="7">
    <w:name w:val="footer"/>
    <w:basedOn w:val="1"/>
    <w:autoRedefine/>
    <w:qFormat/>
    <w:uiPriority w:val="99"/>
    <w:pPr>
      <w:tabs>
        <w:tab w:val="center" w:pos="4153"/>
        <w:tab w:val="right" w:pos="8306"/>
      </w:tabs>
      <w:snapToGrid w:val="0"/>
      <w:jc w:val="left"/>
    </w:pPr>
    <w:rPr>
      <w:rFonts w:ascii="Calibri" w:hAnsi="Calibri" w:eastAsia="宋体" w:cs="Times New Roman"/>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paragraph" w:styleId="9">
    <w:name w:val="toc 1"/>
    <w:basedOn w:val="1"/>
    <w:next w:val="1"/>
    <w:autoRedefine/>
    <w:qFormat/>
    <w:uiPriority w:val="0"/>
    <w:rPr>
      <w:rFonts w:ascii="Calibri" w:hAnsi="Calibri" w:eastAsia="宋体" w:cs="Times New Roman"/>
    </w:rPr>
  </w:style>
  <w:style w:type="character" w:styleId="12">
    <w:name w:val="Emphasis"/>
    <w:basedOn w:val="11"/>
    <w:qFormat/>
    <w:uiPriority w:val="0"/>
    <w:rPr>
      <w:i/>
    </w:rPr>
  </w:style>
  <w:style w:type="paragraph" w:customStyle="1" w:styleId="13">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14352</Words>
  <Characters>14903</Characters>
  <Lines>0</Lines>
  <Paragraphs>0</Paragraphs>
  <TotalTime>1</TotalTime>
  <ScaleCrop>false</ScaleCrop>
  <LinksUpToDate>false</LinksUpToDate>
  <CharactersWithSpaces>16548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2023-11-09T02:14:00Z</dcterms:created>
  <dc:creator>周轶群</dc:creator>
  <cp:lastModifiedBy>潮</cp:lastModifiedBy>
  <dcterms:modified xsi:type="dcterms:W3CDTF">2025-09-10T02:19:21Z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30019D8101584DED9F9105C93A3B0518_12</vt:lpwstr>
  </property>
  <property fmtid="{D5CDD505-2E9C-101B-9397-08002B2CF9AE}" pid="4" name="KSOTemplateDocerSaveRecord">
    <vt:lpwstr>eyJoZGlkIjoiMmQ2ZTg5ZjA5MzgxZWMzZDdhMmQxZTlhYTBjNjAxYjciLCJ1c2VySWQiOiI5NTM4MTE3NDgifQ==</vt:lpwstr>
  </property>
</Properties>
</file>