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20CA1">
      <w:pPr>
        <w:spacing w:line="360" w:lineRule="auto"/>
        <w:jc w:val="left"/>
        <w:rPr>
          <w:rFonts w:hint="eastAsia" w:eastAsia="仿宋_GB2312"/>
          <w:bCs/>
          <w:color w:val="000000"/>
          <w:sz w:val="28"/>
          <w:szCs w:val="28"/>
          <w:highlight w:val="none"/>
          <w:u w:val="single"/>
        </w:rPr>
      </w:pPr>
      <w:bookmarkStart w:id="0" w:name="_Hlk126831517"/>
      <w:r>
        <w:rPr>
          <w:rFonts w:hint="eastAsia" w:eastAsia="仿宋_GB2312"/>
          <w:bCs/>
          <w:color w:val="000000"/>
          <w:sz w:val="28"/>
          <w:szCs w:val="28"/>
          <w:highlight w:val="none"/>
        </w:rPr>
        <w:t>合同编号：</w:t>
      </w:r>
      <w:permStart w:id="0" w:edGrp="everyone"/>
      <w:r>
        <w:rPr>
          <w:rFonts w:hint="eastAsia" w:asciiTheme="minorEastAsia" w:hAnsiTheme="minorEastAsia"/>
          <w:u w:val="single"/>
          <w:lang w:eastAsia="zh-CN"/>
        </w:rPr>
        <w:t>ZJLQ-FGWZ-G515新改建2标-0</w:t>
      </w:r>
      <w:r>
        <w:rPr>
          <w:rFonts w:hint="eastAsia" w:asciiTheme="minorEastAsia" w:hAnsiTheme="minorEastAsia"/>
          <w:u w:val="single"/>
          <w:lang w:val="en-US" w:eastAsia="zh-CN"/>
        </w:rPr>
        <w:t>48</w:t>
      </w:r>
      <w:permEnd w:id="0"/>
    </w:p>
    <w:p w14:paraId="52986D00">
      <w:pPr>
        <w:wordWrap w:val="0"/>
        <w:spacing w:line="640" w:lineRule="exact"/>
        <w:jc w:val="both"/>
        <w:rPr>
          <w:rFonts w:ascii="仿宋_GB2312" w:hAnsi="仿宋" w:eastAsia="仿宋_GB2312" w:cs="仿宋"/>
          <w:color w:val="000000" w:themeColor="text1"/>
          <w:sz w:val="24"/>
          <w:szCs w:val="24"/>
          <w:highlight w:val="none"/>
          <w14:textFill>
            <w14:solidFill>
              <w14:schemeClr w14:val="tx1"/>
            </w14:solidFill>
          </w14:textFill>
        </w:rPr>
      </w:pPr>
      <w:r>
        <w:rPr>
          <w:rFonts w:hint="eastAsia" w:eastAsia="仿宋_GB2312"/>
          <w:bCs/>
          <w:color w:val="000000"/>
          <w:sz w:val="28"/>
          <w:szCs w:val="28"/>
          <w:highlight w:val="none"/>
        </w:rPr>
        <w:t>框架协议：</w:t>
      </w:r>
      <w:permStart w:id="1" w:edGrp="everyone"/>
      <w:r>
        <w:rPr>
          <w:rFonts w:hint="eastAsia" w:eastAsia="仿宋_GB2312"/>
          <w:bCs/>
          <w:color w:val="000000"/>
          <w:sz w:val="28"/>
          <w:szCs w:val="28"/>
          <w:highlight w:val="none"/>
          <w:u w:val="single"/>
        </w:rPr>
        <w:t xml:space="preserve">                    </w:t>
      </w:r>
      <w:permEnd w:id="1"/>
    </w:p>
    <w:p w14:paraId="0194957D">
      <w:pPr>
        <w:spacing w:line="360" w:lineRule="auto"/>
        <w:jc w:val="left"/>
        <w:rPr>
          <w:rFonts w:hint="eastAsia" w:ascii="仿宋_GB2312" w:hAnsi="仿宋_GB2312" w:eastAsia="仿宋_GB2312" w:cs="仿宋_GB2312"/>
          <w:sz w:val="28"/>
          <w:szCs w:val="28"/>
          <w:highlight w:val="none"/>
        </w:rPr>
      </w:pPr>
      <w:r>
        <w:rPr>
          <w:highlight w:val="none"/>
        </w:rPr>
        <w:pict>
          <v:shape id="_x0000_s1026" o:spid="_x0000_s1026" o:spt="136" type="#_x0000_t136" style="position:absolute;left:0pt;margin-left:100pt;margin-top:100pt;height:100pt;width:200pt;z-index:251662336;mso-width-relative:page;mso-height-relative:page;" coordsize="21600,21600">
            <v:path/>
            <v:fill opacity="32768f" focussize="0,0"/>
            <v:stroke/>
            <v:imagedata o:title=""/>
            <o:lock v:ext="edit"/>
            <v:textpath on="t" fitshape="t" fitpath="t" trim="t" xscale="f" string="" style="font-size:36pt;v-text-align:center;"/>
          </v:shape>
        </w:pict>
      </w:r>
    </w:p>
    <w:p w14:paraId="3B247847">
      <w:pPr>
        <w:pStyle w:val="4"/>
        <w:rPr>
          <w:rFonts w:hint="eastAsia"/>
          <w:highlight w:val="none"/>
        </w:rPr>
      </w:pPr>
    </w:p>
    <w:p w14:paraId="112F984F">
      <w:pPr>
        <w:pStyle w:val="4"/>
        <w:rPr>
          <w:rFonts w:hint="eastAsia"/>
          <w:highlight w:val="none"/>
        </w:rPr>
      </w:pPr>
    </w:p>
    <w:p w14:paraId="7C9A267F">
      <w:pPr>
        <w:pStyle w:val="4"/>
        <w:rPr>
          <w:rFonts w:hint="eastAsia"/>
          <w:highlight w:val="none"/>
        </w:rPr>
      </w:pPr>
    </w:p>
    <w:p w14:paraId="08892164">
      <w:pPr>
        <w:spacing w:line="360" w:lineRule="auto"/>
        <w:jc w:val="center"/>
        <w:rPr>
          <w:rFonts w:hint="eastAsia" w:ascii="华文中宋" w:hAnsi="华文中宋" w:eastAsia="华文中宋" w:cs="华文中宋"/>
          <w:b/>
          <w:sz w:val="52"/>
          <w:szCs w:val="52"/>
          <w:highlight w:val="none"/>
        </w:rPr>
      </w:pPr>
      <w:r>
        <w:rPr>
          <w:rFonts w:hint="eastAsia" w:ascii="华文中宋" w:hAnsi="华文中宋" w:eastAsia="华文中宋" w:cs="华文中宋"/>
          <w:b/>
          <w:sz w:val="52"/>
          <w:szCs w:val="52"/>
          <w:highlight w:val="none"/>
        </w:rPr>
        <w:t>【</w:t>
      </w:r>
      <w:r>
        <w:rPr>
          <w:rFonts w:hint="eastAsia" w:ascii="华文中宋" w:hAnsi="华文中宋" w:eastAsia="华文中宋" w:cs="华文中宋"/>
          <w:b/>
          <w:sz w:val="52"/>
          <w:szCs w:val="52"/>
          <w:highlight w:val="none"/>
          <w:lang w:val="en-US" w:eastAsia="zh-CN"/>
        </w:rPr>
        <w:t>碎石</w:t>
      </w:r>
      <w:r>
        <w:rPr>
          <w:rFonts w:hint="eastAsia" w:ascii="华文中宋" w:hAnsi="华文中宋" w:eastAsia="华文中宋" w:cs="华文中宋"/>
          <w:b/>
          <w:sz w:val="52"/>
          <w:szCs w:val="52"/>
          <w:highlight w:val="none"/>
        </w:rPr>
        <w:t>】采购与供应合同</w:t>
      </w:r>
    </w:p>
    <w:p w14:paraId="41840F08">
      <w:pPr>
        <w:spacing w:line="360" w:lineRule="auto"/>
        <w:jc w:val="center"/>
        <w:rPr>
          <w:rFonts w:hint="eastAsia" w:ascii="宋体" w:hAnsi="宋体" w:cs="宋体"/>
          <w:b/>
          <w:sz w:val="28"/>
          <w:szCs w:val="28"/>
          <w:highlight w:val="none"/>
        </w:rPr>
      </w:pPr>
      <w:r>
        <w:rPr>
          <w:highlight w:val="none"/>
        </w:rPr>
        <w:drawing>
          <wp:anchor distT="0" distB="0" distL="114300" distR="114300" simplePos="0" relativeHeight="251661312" behindDoc="1" locked="0" layoutInCell="1" allowOverlap="1">
            <wp:simplePos x="0" y="0"/>
            <wp:positionH relativeFrom="column">
              <wp:posOffset>1829435</wp:posOffset>
            </wp:positionH>
            <wp:positionV relativeFrom="paragraph">
              <wp:posOffset>245745</wp:posOffset>
            </wp:positionV>
            <wp:extent cx="1685925" cy="2352675"/>
            <wp:effectExtent l="0" t="0" r="9525" b="9525"/>
            <wp:wrapNone/>
            <wp:docPr id="13" name="图片 3"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说明: 图片1"/>
                    <pic:cNvPicPr>
                      <a:picLocks noChangeAspect="1"/>
                    </pic:cNvPicPr>
                  </pic:nvPicPr>
                  <pic:blipFill>
                    <a:blip r:embed="rId14">
                      <a:clrChange>
                        <a:clrFrom>
                          <a:srgbClr val="FEFEFC"/>
                        </a:clrFrom>
                        <a:clrTo>
                          <a:srgbClr val="FEFEFC">
                            <a:alpha val="0"/>
                          </a:srgbClr>
                        </a:clrTo>
                      </a:clrChange>
                    </a:blip>
                    <a:stretch>
                      <a:fillRect/>
                    </a:stretch>
                  </pic:blipFill>
                  <pic:spPr>
                    <a:xfrm>
                      <a:off x="0" y="0"/>
                      <a:ext cx="1685925" cy="2352675"/>
                    </a:xfrm>
                    <a:prstGeom prst="rect">
                      <a:avLst/>
                    </a:prstGeom>
                    <a:noFill/>
                    <a:ln>
                      <a:noFill/>
                    </a:ln>
                  </pic:spPr>
                </pic:pic>
              </a:graphicData>
            </a:graphic>
          </wp:anchor>
        </w:drawing>
      </w:r>
    </w:p>
    <w:p w14:paraId="179CF150">
      <w:pPr>
        <w:spacing w:line="360" w:lineRule="auto"/>
        <w:jc w:val="center"/>
        <w:rPr>
          <w:rFonts w:hint="eastAsia" w:ascii="宋体" w:hAnsi="宋体" w:cs="宋体"/>
          <w:b/>
          <w:sz w:val="28"/>
          <w:szCs w:val="28"/>
          <w:highlight w:val="none"/>
        </w:rPr>
      </w:pPr>
    </w:p>
    <w:p w14:paraId="475190A1">
      <w:pPr>
        <w:spacing w:line="360" w:lineRule="auto"/>
        <w:jc w:val="center"/>
        <w:rPr>
          <w:rFonts w:hint="eastAsia" w:ascii="宋体" w:hAnsi="宋体" w:cs="宋体"/>
          <w:b/>
          <w:sz w:val="28"/>
          <w:szCs w:val="28"/>
          <w:highlight w:val="none"/>
        </w:rPr>
      </w:pPr>
    </w:p>
    <w:p w14:paraId="2E19ADC3">
      <w:pPr>
        <w:spacing w:line="360" w:lineRule="auto"/>
        <w:jc w:val="center"/>
        <w:rPr>
          <w:rFonts w:hint="eastAsia" w:ascii="宋体" w:hAnsi="宋体" w:cs="宋体"/>
          <w:b/>
          <w:sz w:val="28"/>
          <w:szCs w:val="28"/>
          <w:highlight w:val="none"/>
        </w:rPr>
      </w:pPr>
    </w:p>
    <w:p w14:paraId="63CE733C">
      <w:pPr>
        <w:spacing w:line="360" w:lineRule="auto"/>
        <w:jc w:val="center"/>
        <w:rPr>
          <w:rFonts w:hint="eastAsia" w:ascii="宋体" w:hAnsi="宋体" w:cs="宋体"/>
          <w:b/>
          <w:sz w:val="28"/>
          <w:szCs w:val="28"/>
          <w:highlight w:val="none"/>
        </w:rPr>
      </w:pPr>
    </w:p>
    <w:p w14:paraId="3569D3B9">
      <w:pPr>
        <w:spacing w:line="360" w:lineRule="auto"/>
        <w:rPr>
          <w:rFonts w:hint="eastAsia" w:ascii="宋体" w:hAnsi="宋体" w:cs="宋体"/>
          <w:b/>
          <w:sz w:val="28"/>
          <w:szCs w:val="28"/>
          <w:highlight w:val="none"/>
        </w:rPr>
      </w:pPr>
    </w:p>
    <w:p w14:paraId="674955DF">
      <w:pPr>
        <w:pStyle w:val="6"/>
        <w:spacing w:after="120"/>
        <w:ind w:firstLine="560"/>
        <w:rPr>
          <w:rFonts w:hint="eastAsia" w:ascii="宋体" w:hAnsi="宋体" w:cs="宋体"/>
          <w:b/>
          <w:sz w:val="28"/>
          <w:szCs w:val="28"/>
          <w:highlight w:val="none"/>
        </w:rPr>
      </w:pPr>
    </w:p>
    <w:p w14:paraId="66D5F41E">
      <w:pPr>
        <w:pStyle w:val="6"/>
        <w:spacing w:after="120"/>
        <w:ind w:firstLine="560"/>
        <w:rPr>
          <w:rFonts w:hint="eastAsia" w:ascii="宋体" w:hAnsi="宋体" w:cs="宋体"/>
          <w:b/>
          <w:sz w:val="28"/>
          <w:szCs w:val="28"/>
          <w:highlight w:val="none"/>
        </w:rPr>
      </w:pPr>
    </w:p>
    <w:p w14:paraId="0FB32003">
      <w:pPr>
        <w:spacing w:line="360" w:lineRule="auto"/>
        <w:rPr>
          <w:rFonts w:hint="eastAsia" w:ascii="仿宋_GB2312" w:hAnsi="仿宋_GB2312" w:eastAsia="仿宋_GB2312" w:cs="仿宋_GB2312"/>
          <w:b/>
          <w:bCs/>
          <w:sz w:val="28"/>
          <w:szCs w:val="28"/>
          <w:highlight w:val="none"/>
        </w:rPr>
      </w:pPr>
    </w:p>
    <w:p w14:paraId="224FFA79">
      <w:pPr>
        <w:spacing w:line="360" w:lineRule="auto"/>
        <w:ind w:firstLine="562" w:firstLineChars="200"/>
        <w:rPr>
          <w:rFonts w:hint="eastAsia" w:ascii="仿宋_GB2312" w:hAnsi="仿宋_GB2312" w:eastAsia="仿宋_GB2312" w:cs="仿宋_GB2312"/>
          <w:sz w:val="28"/>
          <w:szCs w:val="28"/>
          <w:highlight w:val="none"/>
        </w:rPr>
      </w:pPr>
      <w:permStart w:id="2" w:edGrp="everyone"/>
      <w:r>
        <w:rPr>
          <w:rFonts w:hint="eastAsia" w:ascii="仿宋_GB2312" w:hAnsi="仿宋_GB2312" w:eastAsia="仿宋_GB2312" w:cs="仿宋_GB2312"/>
          <w:b/>
          <w:bCs/>
          <w:sz w:val="28"/>
          <w:szCs w:val="28"/>
          <w:highlight w:val="none"/>
        </w:rPr>
        <w:t>项目名称：</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国道G515新改建2标项目</w:t>
      </w:r>
      <w:r>
        <w:rPr>
          <w:rFonts w:hint="eastAsia" w:ascii="仿宋_GB2312" w:hAnsi="仿宋_GB2312" w:eastAsia="仿宋_GB2312" w:cs="仿宋_GB2312"/>
          <w:b/>
          <w:color w:val="000000"/>
          <w:sz w:val="28"/>
          <w:szCs w:val="28"/>
          <w:highlight w:val="none"/>
        </w:rPr>
        <w:t xml:space="preserve">      】</w:t>
      </w:r>
    </w:p>
    <w:p w14:paraId="1A63846B">
      <w:pPr>
        <w:spacing w:line="360" w:lineRule="auto"/>
        <w:ind w:firstLine="562" w:firstLineChars="200"/>
        <w:jc w:val="both"/>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甲    方：</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bCs/>
          <w:sz w:val="28"/>
          <w:szCs w:val="28"/>
          <w:highlight w:val="none"/>
        </w:rPr>
        <w:t xml:space="preserve">中建路桥集团有限公司 </w:t>
      </w:r>
      <w:r>
        <w:rPr>
          <w:rFonts w:hint="eastAsia" w:ascii="仿宋_GB2312" w:hAnsi="仿宋_GB2312" w:eastAsia="仿宋_GB2312" w:cs="仿宋_GB2312"/>
          <w:b/>
          <w:color w:val="000000"/>
          <w:sz w:val="28"/>
          <w:szCs w:val="28"/>
          <w:highlight w:val="none"/>
          <w:u w:val="none"/>
        </w:rPr>
        <w:t xml:space="preserve">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p>
    <w:p w14:paraId="6A64CEDC">
      <w:pPr>
        <w:spacing w:line="360" w:lineRule="auto"/>
        <w:ind w:firstLine="562" w:firstLineChars="200"/>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乙    方：</w:t>
      </w:r>
      <w:r>
        <w:rPr>
          <w:rFonts w:hint="eastAsia" w:ascii="仿宋_GB2312" w:hAnsi="仿宋_GB2312" w:eastAsia="仿宋_GB2312" w:cs="仿宋_GB2312"/>
          <w:b/>
          <w:color w:val="000000"/>
          <w:sz w:val="28"/>
          <w:szCs w:val="28"/>
          <w:highlight w:val="none"/>
        </w:rPr>
        <w:t>【                                  】</w:t>
      </w:r>
    </w:p>
    <w:p w14:paraId="11F919DA">
      <w:pPr>
        <w:spacing w:line="360" w:lineRule="auto"/>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签订时间：</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bCs/>
          <w:sz w:val="28"/>
          <w:szCs w:val="28"/>
          <w:highlight w:val="none"/>
        </w:rPr>
        <w:t xml:space="preserve">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p>
    <w:p w14:paraId="165F99E1">
      <w:pPr>
        <w:spacing w:line="360" w:lineRule="auto"/>
        <w:ind w:firstLine="562" w:firstLineChars="200"/>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bCs/>
          <w:sz w:val="28"/>
          <w:szCs w:val="28"/>
          <w:highlight w:val="none"/>
        </w:rPr>
        <w:t>签订地点：</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bCs/>
          <w:sz w:val="28"/>
          <w:szCs w:val="28"/>
          <w:highlight w:val="none"/>
        </w:rPr>
        <w:t>石家庄市</w:t>
      </w:r>
      <w:r>
        <w:rPr>
          <w:rFonts w:hint="eastAsia" w:ascii="仿宋_GB2312" w:hAnsi="仿宋_GB2312" w:eastAsia="仿宋_GB2312" w:cs="仿宋_GB2312"/>
          <w:b/>
          <w:bCs/>
          <w:sz w:val="28"/>
          <w:szCs w:val="28"/>
          <w:highlight w:val="none"/>
          <w:lang w:val="en-US" w:eastAsia="zh-CN"/>
        </w:rPr>
        <w:t>桥西区</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val="en-US" w:eastAsia="zh-CN"/>
        </w:rPr>
        <w:t xml:space="preserve">  </w:t>
      </w:r>
      <w:r>
        <w:rPr>
          <w:rFonts w:hint="eastAsia" w:ascii="仿宋_GB2312" w:hAnsi="仿宋_GB2312" w:eastAsia="仿宋_GB2312" w:cs="仿宋_GB2312"/>
          <w:b/>
          <w:color w:val="000000"/>
          <w:sz w:val="28"/>
          <w:szCs w:val="28"/>
          <w:highlight w:val="none"/>
        </w:rPr>
        <w:t xml:space="preserve">     】</w:t>
      </w:r>
      <w:bookmarkEnd w:id="0"/>
    </w:p>
    <w:permEnd w:id="2"/>
    <w:p w14:paraId="4B46A2B8">
      <w:pPr>
        <w:spacing w:line="480" w:lineRule="auto"/>
        <w:ind w:firstLine="1280" w:firstLineChars="400"/>
        <w:jc w:val="left"/>
        <w:textAlignment w:val="baseline"/>
        <w:rPr>
          <w:rFonts w:ascii="仿宋_GB2312" w:hAnsi="仿宋" w:eastAsia="仿宋_GB2312" w:cs="仿宋"/>
          <w:bCs/>
          <w:color w:val="000000" w:themeColor="text1"/>
          <w:sz w:val="32"/>
          <w:szCs w:val="24"/>
          <w:highlight w:val="none"/>
          <w:u w:val="single"/>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800" w:bottom="1440" w:left="1800" w:header="850" w:footer="975" w:gutter="0"/>
          <w:pgNumType w:start="1"/>
          <w:cols w:space="0" w:num="1"/>
          <w:titlePg/>
          <w:docGrid w:linePitch="312" w:charSpace="0"/>
        </w:sectPr>
      </w:pPr>
    </w:p>
    <w:sdt>
      <w:sdtPr>
        <w:rPr>
          <w:rFonts w:asciiTheme="minorHAnsi" w:hAnsiTheme="minorHAnsi" w:eastAsiaTheme="minorEastAsia" w:cstheme="minorBidi"/>
          <w:szCs w:val="22"/>
          <w:highlight w:val="none"/>
        </w:rPr>
        <w:id w:val="147479450"/>
        <w15:color w:val="DBDBDB"/>
        <w:docPartObj>
          <w:docPartGallery w:val="Table of Contents"/>
          <w:docPartUnique/>
        </w:docPartObj>
      </w:sdtPr>
      <w:sdtEndPr>
        <w:rPr>
          <w:rFonts w:ascii="仿宋" w:hAnsi="仿宋" w:eastAsia="仿宋" w:cs="仿宋"/>
          <w:color w:val="000000" w:themeColor="text1"/>
          <w:szCs w:val="22"/>
          <w:highlight w:val="none"/>
          <w14:textFill>
            <w14:solidFill>
              <w14:schemeClr w14:val="tx1"/>
            </w14:solidFill>
          </w14:textFill>
        </w:rPr>
      </w:sdtEndPr>
      <w:sdtContent>
        <w:p w14:paraId="6E356C6B">
          <w:pPr>
            <w:pStyle w:val="6"/>
            <w:rPr>
              <w:highlight w:val="none"/>
            </w:rPr>
          </w:pPr>
        </w:p>
        <w:p w14:paraId="18B969F2">
          <w:pPr>
            <w:jc w:val="center"/>
            <w:rPr>
              <w:rFonts w:ascii="黑体" w:hAnsi="黑体" w:eastAsia="黑体" w:cs="黑体"/>
              <w:b/>
              <w:bCs/>
              <w:color w:val="000000" w:themeColor="text1"/>
              <w:sz w:val="36"/>
              <w:szCs w:val="36"/>
              <w:highlight w:val="none"/>
              <w14:textFill>
                <w14:solidFill>
                  <w14:schemeClr w14:val="tx1"/>
                </w14:solidFill>
              </w14:textFill>
            </w:rPr>
          </w:pPr>
          <w:permStart w:id="3" w:edGrp="everyone"/>
          <w:r>
            <w:rPr>
              <w:rFonts w:hint="eastAsia" w:ascii="黑体" w:hAnsi="黑体" w:eastAsia="黑体" w:cs="黑体"/>
              <w:b/>
              <w:bCs/>
              <w:color w:val="000000" w:themeColor="text1"/>
              <w:sz w:val="36"/>
              <w:szCs w:val="36"/>
              <w:highlight w:val="none"/>
              <w14:textFill>
                <w14:solidFill>
                  <w14:schemeClr w14:val="tx1"/>
                </w14:solidFill>
              </w14:textFill>
            </w:rPr>
            <w:t>目</w:t>
          </w:r>
          <w:r>
            <w:rPr>
              <w:rFonts w:ascii="黑体" w:hAnsi="黑体" w:eastAsia="黑体" w:cs="黑体"/>
              <w:b/>
              <w:bCs/>
              <w:color w:val="000000" w:themeColor="text1"/>
              <w:sz w:val="36"/>
              <w:szCs w:val="36"/>
              <w:highlight w:val="none"/>
              <w14:textFill>
                <w14:solidFill>
                  <w14:schemeClr w14:val="tx1"/>
                </w14:solidFill>
              </w14:textFill>
            </w:rPr>
            <w:t xml:space="preserve">  </w:t>
          </w:r>
          <w:r>
            <w:rPr>
              <w:rFonts w:hint="eastAsia" w:ascii="黑体" w:hAnsi="黑体" w:eastAsia="黑体" w:cs="黑体"/>
              <w:b/>
              <w:bCs/>
              <w:color w:val="000000" w:themeColor="text1"/>
              <w:sz w:val="36"/>
              <w:szCs w:val="36"/>
              <w:highlight w:val="none"/>
              <w14:textFill>
                <w14:solidFill>
                  <w14:schemeClr w14:val="tx1"/>
                </w14:solidFill>
              </w14:textFill>
            </w:rPr>
            <w:t>录</w:t>
          </w:r>
        </w:p>
        <w:p w14:paraId="6704254F">
          <w:pPr>
            <w:pStyle w:val="6"/>
            <w:rPr>
              <w:highlight w:val="none"/>
            </w:rPr>
          </w:pPr>
        </w:p>
        <w:p w14:paraId="643BFA35">
          <w:pPr>
            <w:pStyle w:val="10"/>
            <w:tabs>
              <w:tab w:val="right" w:leader="dot" w:pos="8306"/>
            </w:tabs>
            <w:spacing w:line="312" w:lineRule="auto"/>
            <w:rPr>
              <w:highlight w:val="none"/>
            </w:rPr>
          </w:pP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TOC \o "1-1" \h \u </w:instrText>
          </w:r>
          <w:r>
            <w:rPr>
              <w:rFonts w:hint="eastAsia" w:ascii="仿宋" w:hAnsi="仿宋" w:eastAsia="仿宋" w:cs="仿宋"/>
              <w:color w:val="000000" w:themeColor="text1"/>
              <w:highlight w:val="none"/>
              <w14:textFill>
                <w14:solidFill>
                  <w14:schemeClr w14:val="tx1"/>
                </w14:solidFill>
              </w14:textFill>
            </w:rPr>
            <w:fldChar w:fldCharType="separate"/>
          </w:r>
          <w:r>
            <w:rPr>
              <w:highlight w:val="none"/>
            </w:rPr>
            <w:fldChar w:fldCharType="begin"/>
          </w:r>
          <w:r>
            <w:rPr>
              <w:highlight w:val="none"/>
            </w:rPr>
            <w:instrText xml:space="preserve"> HYPERLINK \l "_Toc5953" </w:instrText>
          </w:r>
          <w:r>
            <w:rPr>
              <w:highlight w:val="none"/>
            </w:rPr>
            <w:fldChar w:fldCharType="separate"/>
          </w:r>
          <w:r>
            <w:rPr>
              <w:rFonts w:hint="eastAsia" w:ascii="黑体" w:hAnsi="黑体" w:eastAsia="黑体" w:cs="黑体"/>
              <w:bCs/>
              <w:sz w:val="30"/>
              <w:szCs w:val="30"/>
              <w:highlight w:val="none"/>
            </w:rPr>
            <w:t>第一部分 专用条款</w:t>
          </w:r>
          <w:r>
            <w:rPr>
              <w:highlight w:val="none"/>
            </w:rPr>
            <w:tab/>
          </w:r>
          <w:r>
            <w:rPr>
              <w:highlight w:val="none"/>
            </w:rPr>
            <w:fldChar w:fldCharType="begin"/>
          </w:r>
          <w:r>
            <w:rPr>
              <w:highlight w:val="none"/>
            </w:rPr>
            <w:instrText xml:space="preserve"> PAGEREF _Toc5953 \h </w:instrText>
          </w:r>
          <w:r>
            <w:rPr>
              <w:highlight w:val="none"/>
            </w:rPr>
            <w:fldChar w:fldCharType="separate"/>
          </w:r>
          <w:r>
            <w:rPr>
              <w:highlight w:val="none"/>
            </w:rPr>
            <w:t>1</w:t>
          </w:r>
          <w:r>
            <w:rPr>
              <w:highlight w:val="none"/>
            </w:rPr>
            <w:fldChar w:fldCharType="end"/>
          </w:r>
          <w:r>
            <w:rPr>
              <w:highlight w:val="none"/>
            </w:rPr>
            <w:fldChar w:fldCharType="end"/>
          </w:r>
        </w:p>
        <w:p w14:paraId="44F4D9E7">
          <w:pPr>
            <w:pStyle w:val="10"/>
            <w:tabs>
              <w:tab w:val="right" w:leader="dot" w:pos="8306"/>
            </w:tabs>
            <w:spacing w:line="312" w:lineRule="auto"/>
            <w:rPr>
              <w:highlight w:val="none"/>
            </w:rPr>
          </w:pPr>
          <w:r>
            <w:rPr>
              <w:highlight w:val="none"/>
            </w:rPr>
            <w:fldChar w:fldCharType="begin"/>
          </w:r>
          <w:r>
            <w:rPr>
              <w:highlight w:val="none"/>
            </w:rPr>
            <w:instrText xml:space="preserve"> HYPERLINK \l "_Toc640" </w:instrText>
          </w:r>
          <w:r>
            <w:rPr>
              <w:highlight w:val="none"/>
            </w:rPr>
            <w:fldChar w:fldCharType="separate"/>
          </w:r>
          <w:r>
            <w:rPr>
              <w:rFonts w:hint="eastAsia" w:ascii="仿宋_GB2312" w:hAnsi="仿宋_GB2312" w:eastAsia="仿宋_GB2312" w:cs="仿宋_GB2312"/>
              <w:kern w:val="0"/>
              <w:sz w:val="28"/>
              <w:szCs w:val="28"/>
              <w:highlight w:val="none"/>
            </w:rPr>
            <w:t>一、工程概况</w:t>
          </w:r>
          <w:r>
            <w:rPr>
              <w:highlight w:val="none"/>
            </w:rPr>
            <w:tab/>
          </w:r>
          <w:r>
            <w:rPr>
              <w:highlight w:val="none"/>
            </w:rPr>
            <w:fldChar w:fldCharType="begin"/>
          </w:r>
          <w:r>
            <w:rPr>
              <w:highlight w:val="none"/>
            </w:rPr>
            <w:instrText xml:space="preserve"> PAGEREF _Toc640 \h </w:instrText>
          </w:r>
          <w:r>
            <w:rPr>
              <w:highlight w:val="none"/>
            </w:rPr>
            <w:fldChar w:fldCharType="separate"/>
          </w:r>
          <w:r>
            <w:rPr>
              <w:highlight w:val="none"/>
            </w:rPr>
            <w:t>1</w:t>
          </w:r>
          <w:r>
            <w:rPr>
              <w:highlight w:val="none"/>
            </w:rPr>
            <w:fldChar w:fldCharType="end"/>
          </w:r>
          <w:r>
            <w:rPr>
              <w:highlight w:val="none"/>
            </w:rPr>
            <w:fldChar w:fldCharType="end"/>
          </w:r>
        </w:p>
        <w:p w14:paraId="0C937B42">
          <w:pPr>
            <w:pStyle w:val="10"/>
            <w:tabs>
              <w:tab w:val="right" w:leader="dot" w:pos="8306"/>
            </w:tabs>
            <w:spacing w:line="312" w:lineRule="auto"/>
            <w:rPr>
              <w:highlight w:val="none"/>
            </w:rPr>
          </w:pPr>
          <w:r>
            <w:rPr>
              <w:highlight w:val="none"/>
            </w:rPr>
            <w:fldChar w:fldCharType="begin"/>
          </w:r>
          <w:r>
            <w:rPr>
              <w:highlight w:val="none"/>
            </w:rPr>
            <w:instrText xml:space="preserve"> HYPERLINK \l "_Toc6010" </w:instrText>
          </w:r>
          <w:r>
            <w:rPr>
              <w:highlight w:val="none"/>
            </w:rPr>
            <w:fldChar w:fldCharType="separate"/>
          </w:r>
          <w:r>
            <w:rPr>
              <w:rFonts w:hint="eastAsia" w:ascii="仿宋_GB2312" w:hAnsi="仿宋_GB2312" w:eastAsia="仿宋_GB2312" w:cs="仿宋_GB2312"/>
              <w:kern w:val="0"/>
              <w:sz w:val="28"/>
              <w:szCs w:val="28"/>
              <w:highlight w:val="none"/>
            </w:rPr>
            <w:t>二、货物清单</w:t>
          </w:r>
          <w:r>
            <w:rPr>
              <w:highlight w:val="none"/>
            </w:rPr>
            <w:tab/>
          </w:r>
          <w:r>
            <w:rPr>
              <w:highlight w:val="none"/>
            </w:rPr>
            <w:fldChar w:fldCharType="begin"/>
          </w:r>
          <w:r>
            <w:rPr>
              <w:highlight w:val="none"/>
            </w:rPr>
            <w:instrText xml:space="preserve"> PAGEREF _Toc6010 \h </w:instrText>
          </w:r>
          <w:r>
            <w:rPr>
              <w:highlight w:val="none"/>
            </w:rPr>
            <w:fldChar w:fldCharType="separate"/>
          </w:r>
          <w:r>
            <w:rPr>
              <w:highlight w:val="none"/>
            </w:rPr>
            <w:t>1</w:t>
          </w:r>
          <w:r>
            <w:rPr>
              <w:highlight w:val="none"/>
            </w:rPr>
            <w:fldChar w:fldCharType="end"/>
          </w:r>
          <w:r>
            <w:rPr>
              <w:highlight w:val="none"/>
            </w:rPr>
            <w:fldChar w:fldCharType="end"/>
          </w:r>
        </w:p>
        <w:p w14:paraId="1505E866">
          <w:pPr>
            <w:pStyle w:val="10"/>
            <w:tabs>
              <w:tab w:val="right" w:leader="dot" w:pos="8306"/>
            </w:tabs>
            <w:spacing w:line="312" w:lineRule="auto"/>
            <w:rPr>
              <w:highlight w:val="none"/>
            </w:rPr>
          </w:pPr>
          <w:r>
            <w:rPr>
              <w:highlight w:val="none"/>
            </w:rPr>
            <w:fldChar w:fldCharType="begin"/>
          </w:r>
          <w:r>
            <w:rPr>
              <w:highlight w:val="none"/>
            </w:rPr>
            <w:instrText xml:space="preserve"> HYPERLINK \l "_Toc23444" </w:instrText>
          </w:r>
          <w:r>
            <w:rPr>
              <w:highlight w:val="none"/>
            </w:rPr>
            <w:fldChar w:fldCharType="separate"/>
          </w:r>
          <w:r>
            <w:rPr>
              <w:rFonts w:hint="eastAsia" w:ascii="仿宋_GB2312" w:hAnsi="仿宋_GB2312" w:eastAsia="仿宋_GB2312" w:cs="仿宋_GB2312"/>
              <w:kern w:val="0"/>
              <w:sz w:val="28"/>
              <w:szCs w:val="28"/>
              <w:highlight w:val="none"/>
            </w:rPr>
            <w:t>三、货物供应</w:t>
          </w:r>
          <w:r>
            <w:rPr>
              <w:highlight w:val="none"/>
            </w:rPr>
            <w:tab/>
          </w:r>
          <w:r>
            <w:rPr>
              <w:highlight w:val="none"/>
            </w:rPr>
            <w:fldChar w:fldCharType="begin"/>
          </w:r>
          <w:r>
            <w:rPr>
              <w:highlight w:val="none"/>
            </w:rPr>
            <w:instrText xml:space="preserve"> PAGEREF _Toc23444 \h </w:instrText>
          </w:r>
          <w:r>
            <w:rPr>
              <w:highlight w:val="none"/>
            </w:rPr>
            <w:fldChar w:fldCharType="separate"/>
          </w:r>
          <w:r>
            <w:rPr>
              <w:highlight w:val="none"/>
            </w:rPr>
            <w:t>2</w:t>
          </w:r>
          <w:r>
            <w:rPr>
              <w:highlight w:val="none"/>
            </w:rPr>
            <w:fldChar w:fldCharType="end"/>
          </w:r>
          <w:r>
            <w:rPr>
              <w:highlight w:val="none"/>
            </w:rPr>
            <w:fldChar w:fldCharType="end"/>
          </w:r>
        </w:p>
        <w:p w14:paraId="3BC90028">
          <w:pPr>
            <w:pStyle w:val="10"/>
            <w:tabs>
              <w:tab w:val="right" w:leader="dot" w:pos="8306"/>
            </w:tabs>
            <w:spacing w:line="312" w:lineRule="auto"/>
            <w:rPr>
              <w:highlight w:val="none"/>
            </w:rPr>
          </w:pPr>
          <w:r>
            <w:rPr>
              <w:highlight w:val="none"/>
            </w:rPr>
            <w:fldChar w:fldCharType="begin"/>
          </w:r>
          <w:r>
            <w:rPr>
              <w:highlight w:val="none"/>
            </w:rPr>
            <w:instrText xml:space="preserve"> HYPERLINK \l "_Toc12447" </w:instrText>
          </w:r>
          <w:r>
            <w:rPr>
              <w:highlight w:val="none"/>
            </w:rPr>
            <w:fldChar w:fldCharType="separate"/>
          </w:r>
          <w:r>
            <w:rPr>
              <w:rFonts w:hint="eastAsia" w:ascii="仿宋_GB2312" w:hAnsi="仿宋_GB2312" w:eastAsia="仿宋_GB2312" w:cs="仿宋_GB2312"/>
              <w:kern w:val="0"/>
              <w:sz w:val="28"/>
              <w:szCs w:val="28"/>
              <w:highlight w:val="none"/>
            </w:rPr>
            <w:t>四、货物质量</w:t>
          </w:r>
          <w:r>
            <w:rPr>
              <w:highlight w:val="none"/>
            </w:rPr>
            <w:tab/>
          </w:r>
          <w:r>
            <w:rPr>
              <w:highlight w:val="none"/>
            </w:rPr>
            <w:fldChar w:fldCharType="begin"/>
          </w:r>
          <w:r>
            <w:rPr>
              <w:highlight w:val="none"/>
            </w:rPr>
            <w:instrText xml:space="preserve"> PAGEREF _Toc12447 \h </w:instrText>
          </w:r>
          <w:r>
            <w:rPr>
              <w:highlight w:val="none"/>
            </w:rPr>
            <w:fldChar w:fldCharType="separate"/>
          </w:r>
          <w:r>
            <w:rPr>
              <w:highlight w:val="none"/>
            </w:rPr>
            <w:t>4</w:t>
          </w:r>
          <w:r>
            <w:rPr>
              <w:highlight w:val="none"/>
            </w:rPr>
            <w:fldChar w:fldCharType="end"/>
          </w:r>
          <w:r>
            <w:rPr>
              <w:highlight w:val="none"/>
            </w:rPr>
            <w:fldChar w:fldCharType="end"/>
          </w:r>
        </w:p>
        <w:p w14:paraId="1E2516E5">
          <w:pPr>
            <w:pStyle w:val="10"/>
            <w:tabs>
              <w:tab w:val="right" w:leader="dot" w:pos="8306"/>
            </w:tabs>
            <w:spacing w:line="312" w:lineRule="auto"/>
            <w:rPr>
              <w:highlight w:val="none"/>
            </w:rPr>
          </w:pPr>
          <w:r>
            <w:rPr>
              <w:highlight w:val="none"/>
            </w:rPr>
            <w:fldChar w:fldCharType="begin"/>
          </w:r>
          <w:r>
            <w:rPr>
              <w:highlight w:val="none"/>
            </w:rPr>
            <w:instrText xml:space="preserve"> HYPERLINK \l "_Toc3621" </w:instrText>
          </w:r>
          <w:r>
            <w:rPr>
              <w:highlight w:val="none"/>
            </w:rPr>
            <w:fldChar w:fldCharType="separate"/>
          </w:r>
          <w:r>
            <w:rPr>
              <w:rFonts w:hint="eastAsia" w:ascii="仿宋_GB2312" w:hAnsi="仿宋_GB2312" w:eastAsia="仿宋_GB2312" w:cs="仿宋_GB2312"/>
              <w:kern w:val="0"/>
              <w:sz w:val="28"/>
              <w:szCs w:val="28"/>
              <w:highlight w:val="none"/>
            </w:rPr>
            <w:t>五、货物验收</w:t>
          </w:r>
          <w:r>
            <w:rPr>
              <w:highlight w:val="none"/>
            </w:rPr>
            <w:tab/>
          </w:r>
          <w:r>
            <w:rPr>
              <w:highlight w:val="none"/>
            </w:rPr>
            <w:fldChar w:fldCharType="begin"/>
          </w:r>
          <w:r>
            <w:rPr>
              <w:highlight w:val="none"/>
            </w:rPr>
            <w:instrText xml:space="preserve"> PAGEREF _Toc3621 \h </w:instrText>
          </w:r>
          <w:r>
            <w:rPr>
              <w:highlight w:val="none"/>
            </w:rPr>
            <w:fldChar w:fldCharType="separate"/>
          </w:r>
          <w:r>
            <w:rPr>
              <w:highlight w:val="none"/>
            </w:rPr>
            <w:t>6</w:t>
          </w:r>
          <w:r>
            <w:rPr>
              <w:highlight w:val="none"/>
            </w:rPr>
            <w:fldChar w:fldCharType="end"/>
          </w:r>
          <w:r>
            <w:rPr>
              <w:highlight w:val="none"/>
            </w:rPr>
            <w:fldChar w:fldCharType="end"/>
          </w:r>
        </w:p>
        <w:p w14:paraId="53F01CFF">
          <w:pPr>
            <w:pStyle w:val="10"/>
            <w:tabs>
              <w:tab w:val="right" w:leader="dot" w:pos="8306"/>
            </w:tabs>
            <w:spacing w:line="312" w:lineRule="auto"/>
            <w:rPr>
              <w:highlight w:val="none"/>
            </w:rPr>
          </w:pPr>
          <w:r>
            <w:rPr>
              <w:highlight w:val="none"/>
            </w:rPr>
            <w:fldChar w:fldCharType="begin"/>
          </w:r>
          <w:r>
            <w:rPr>
              <w:highlight w:val="none"/>
            </w:rPr>
            <w:instrText xml:space="preserve"> HYPERLINK \l "_Toc23953" </w:instrText>
          </w:r>
          <w:r>
            <w:rPr>
              <w:highlight w:val="none"/>
            </w:rPr>
            <w:fldChar w:fldCharType="separate"/>
          </w:r>
          <w:r>
            <w:rPr>
              <w:rFonts w:hint="eastAsia" w:ascii="仿宋_GB2312" w:hAnsi="仿宋_GB2312" w:eastAsia="仿宋_GB2312" w:cs="仿宋_GB2312"/>
              <w:kern w:val="0"/>
              <w:sz w:val="28"/>
              <w:szCs w:val="28"/>
              <w:highlight w:val="none"/>
            </w:rPr>
            <w:t>六、货物结算</w:t>
          </w:r>
          <w:r>
            <w:rPr>
              <w:highlight w:val="none"/>
            </w:rPr>
            <w:tab/>
          </w:r>
          <w:r>
            <w:rPr>
              <w:highlight w:val="none"/>
            </w:rPr>
            <w:fldChar w:fldCharType="begin"/>
          </w:r>
          <w:r>
            <w:rPr>
              <w:highlight w:val="none"/>
            </w:rPr>
            <w:instrText xml:space="preserve"> PAGEREF _Toc23953 \h </w:instrText>
          </w:r>
          <w:r>
            <w:rPr>
              <w:highlight w:val="none"/>
            </w:rPr>
            <w:fldChar w:fldCharType="separate"/>
          </w:r>
          <w:r>
            <w:rPr>
              <w:highlight w:val="none"/>
            </w:rPr>
            <w:t>8</w:t>
          </w:r>
          <w:r>
            <w:rPr>
              <w:highlight w:val="none"/>
            </w:rPr>
            <w:fldChar w:fldCharType="end"/>
          </w:r>
          <w:r>
            <w:rPr>
              <w:highlight w:val="none"/>
            </w:rPr>
            <w:fldChar w:fldCharType="end"/>
          </w:r>
        </w:p>
        <w:p w14:paraId="1DE9A76F">
          <w:pPr>
            <w:pStyle w:val="10"/>
            <w:tabs>
              <w:tab w:val="right" w:leader="dot" w:pos="8306"/>
            </w:tabs>
            <w:spacing w:line="312" w:lineRule="auto"/>
            <w:rPr>
              <w:highlight w:val="none"/>
            </w:rPr>
          </w:pPr>
          <w:r>
            <w:rPr>
              <w:highlight w:val="none"/>
            </w:rPr>
            <w:fldChar w:fldCharType="begin"/>
          </w:r>
          <w:r>
            <w:rPr>
              <w:highlight w:val="none"/>
            </w:rPr>
            <w:instrText xml:space="preserve"> HYPERLINK \l "_Toc32138" </w:instrText>
          </w:r>
          <w:r>
            <w:rPr>
              <w:highlight w:val="none"/>
            </w:rPr>
            <w:fldChar w:fldCharType="separate"/>
          </w:r>
          <w:r>
            <w:rPr>
              <w:rFonts w:hint="eastAsia" w:ascii="仿宋_GB2312" w:hAnsi="仿宋_GB2312" w:eastAsia="仿宋_GB2312" w:cs="仿宋_GB2312"/>
              <w:kern w:val="0"/>
              <w:sz w:val="28"/>
              <w:szCs w:val="28"/>
              <w:highlight w:val="none"/>
            </w:rPr>
            <w:t>七、货物付款</w:t>
          </w:r>
          <w:r>
            <w:rPr>
              <w:highlight w:val="none"/>
            </w:rPr>
            <w:tab/>
          </w:r>
          <w:r>
            <w:rPr>
              <w:highlight w:val="none"/>
            </w:rPr>
            <w:fldChar w:fldCharType="begin"/>
          </w:r>
          <w:r>
            <w:rPr>
              <w:highlight w:val="none"/>
            </w:rPr>
            <w:instrText xml:space="preserve"> PAGEREF _Toc32138 \h </w:instrText>
          </w:r>
          <w:r>
            <w:rPr>
              <w:highlight w:val="none"/>
            </w:rPr>
            <w:fldChar w:fldCharType="separate"/>
          </w:r>
          <w:r>
            <w:rPr>
              <w:highlight w:val="none"/>
            </w:rPr>
            <w:t>10</w:t>
          </w:r>
          <w:r>
            <w:rPr>
              <w:highlight w:val="none"/>
            </w:rPr>
            <w:fldChar w:fldCharType="end"/>
          </w:r>
          <w:r>
            <w:rPr>
              <w:highlight w:val="none"/>
            </w:rPr>
            <w:fldChar w:fldCharType="end"/>
          </w:r>
        </w:p>
        <w:p w14:paraId="5A4EDA9E">
          <w:pPr>
            <w:pStyle w:val="10"/>
            <w:tabs>
              <w:tab w:val="right" w:leader="dot" w:pos="8306"/>
            </w:tabs>
            <w:spacing w:line="312" w:lineRule="auto"/>
            <w:rPr>
              <w:highlight w:val="none"/>
            </w:rPr>
          </w:pPr>
          <w:r>
            <w:rPr>
              <w:highlight w:val="none"/>
            </w:rPr>
            <w:fldChar w:fldCharType="begin"/>
          </w:r>
          <w:r>
            <w:rPr>
              <w:highlight w:val="none"/>
            </w:rPr>
            <w:instrText xml:space="preserve"> HYPERLINK \l "_Toc24664" </w:instrText>
          </w:r>
          <w:r>
            <w:rPr>
              <w:highlight w:val="none"/>
            </w:rPr>
            <w:fldChar w:fldCharType="separate"/>
          </w:r>
          <w:r>
            <w:rPr>
              <w:rFonts w:hint="eastAsia" w:ascii="仿宋_GB2312" w:hAnsi="仿宋_GB2312" w:eastAsia="仿宋_GB2312" w:cs="仿宋_GB2312"/>
              <w:kern w:val="0"/>
              <w:sz w:val="28"/>
              <w:szCs w:val="28"/>
              <w:highlight w:val="none"/>
            </w:rPr>
            <w:t>八、通知与送达</w:t>
          </w:r>
          <w:r>
            <w:rPr>
              <w:highlight w:val="none"/>
            </w:rPr>
            <w:tab/>
          </w:r>
          <w:r>
            <w:rPr>
              <w:highlight w:val="none"/>
            </w:rPr>
            <w:fldChar w:fldCharType="begin"/>
          </w:r>
          <w:r>
            <w:rPr>
              <w:highlight w:val="none"/>
            </w:rPr>
            <w:instrText xml:space="preserve"> PAGEREF _Toc24664 \h </w:instrText>
          </w:r>
          <w:r>
            <w:rPr>
              <w:highlight w:val="none"/>
            </w:rPr>
            <w:fldChar w:fldCharType="separate"/>
          </w:r>
          <w:r>
            <w:rPr>
              <w:highlight w:val="none"/>
            </w:rPr>
            <w:t>10</w:t>
          </w:r>
          <w:r>
            <w:rPr>
              <w:highlight w:val="none"/>
            </w:rPr>
            <w:fldChar w:fldCharType="end"/>
          </w:r>
          <w:r>
            <w:rPr>
              <w:highlight w:val="none"/>
            </w:rPr>
            <w:fldChar w:fldCharType="end"/>
          </w:r>
        </w:p>
        <w:p w14:paraId="3AD1E90F">
          <w:pPr>
            <w:pStyle w:val="10"/>
            <w:tabs>
              <w:tab w:val="right" w:leader="dot" w:pos="8306"/>
            </w:tabs>
            <w:spacing w:line="312" w:lineRule="auto"/>
            <w:rPr>
              <w:highlight w:val="none"/>
            </w:rPr>
          </w:pPr>
          <w:r>
            <w:rPr>
              <w:highlight w:val="none"/>
            </w:rPr>
            <w:fldChar w:fldCharType="begin"/>
          </w:r>
          <w:r>
            <w:rPr>
              <w:highlight w:val="none"/>
            </w:rPr>
            <w:instrText xml:space="preserve"> HYPERLINK \l "_Toc26478" </w:instrText>
          </w:r>
          <w:r>
            <w:rPr>
              <w:highlight w:val="none"/>
            </w:rPr>
            <w:fldChar w:fldCharType="separate"/>
          </w:r>
          <w:r>
            <w:rPr>
              <w:rFonts w:hint="eastAsia" w:ascii="仿宋_GB2312" w:hAnsi="仿宋_GB2312" w:eastAsia="仿宋_GB2312" w:cs="仿宋_GB2312"/>
              <w:kern w:val="0"/>
              <w:sz w:val="28"/>
              <w:szCs w:val="28"/>
              <w:highlight w:val="none"/>
            </w:rPr>
            <w:t>九、合同生效</w:t>
          </w:r>
          <w:r>
            <w:rPr>
              <w:highlight w:val="none"/>
            </w:rPr>
            <w:tab/>
          </w:r>
          <w:r>
            <w:rPr>
              <w:highlight w:val="none"/>
            </w:rPr>
            <w:fldChar w:fldCharType="begin"/>
          </w:r>
          <w:r>
            <w:rPr>
              <w:highlight w:val="none"/>
            </w:rPr>
            <w:instrText xml:space="preserve"> PAGEREF _Toc26478 \h </w:instrText>
          </w:r>
          <w:r>
            <w:rPr>
              <w:highlight w:val="none"/>
            </w:rPr>
            <w:fldChar w:fldCharType="separate"/>
          </w:r>
          <w:r>
            <w:rPr>
              <w:highlight w:val="none"/>
            </w:rPr>
            <w:t>12</w:t>
          </w:r>
          <w:r>
            <w:rPr>
              <w:highlight w:val="none"/>
            </w:rPr>
            <w:fldChar w:fldCharType="end"/>
          </w:r>
          <w:r>
            <w:rPr>
              <w:highlight w:val="none"/>
            </w:rPr>
            <w:fldChar w:fldCharType="end"/>
          </w:r>
        </w:p>
        <w:p w14:paraId="21BD5304">
          <w:pPr>
            <w:pStyle w:val="10"/>
            <w:tabs>
              <w:tab w:val="right" w:leader="dot" w:pos="8306"/>
            </w:tabs>
            <w:spacing w:line="312" w:lineRule="auto"/>
            <w:rPr>
              <w:highlight w:val="none"/>
            </w:rPr>
          </w:pPr>
          <w:r>
            <w:rPr>
              <w:highlight w:val="none"/>
            </w:rPr>
            <w:fldChar w:fldCharType="begin"/>
          </w:r>
          <w:r>
            <w:rPr>
              <w:highlight w:val="none"/>
            </w:rPr>
            <w:instrText xml:space="preserve"> HYPERLINK \l "_Toc7321" </w:instrText>
          </w:r>
          <w:r>
            <w:rPr>
              <w:highlight w:val="none"/>
            </w:rPr>
            <w:fldChar w:fldCharType="separate"/>
          </w:r>
          <w:r>
            <w:rPr>
              <w:rFonts w:hint="eastAsia" w:ascii="仿宋_GB2312" w:hAnsi="仿宋_GB2312" w:eastAsia="仿宋_GB2312" w:cs="仿宋_GB2312"/>
              <w:kern w:val="0"/>
              <w:sz w:val="28"/>
              <w:szCs w:val="28"/>
              <w:highlight w:val="none"/>
            </w:rPr>
            <w:t>附件一 授权委托书</w:t>
          </w:r>
          <w:r>
            <w:rPr>
              <w:highlight w:val="none"/>
            </w:rPr>
            <w:tab/>
          </w:r>
          <w:r>
            <w:rPr>
              <w:highlight w:val="none"/>
            </w:rPr>
            <w:fldChar w:fldCharType="begin"/>
          </w:r>
          <w:r>
            <w:rPr>
              <w:highlight w:val="none"/>
            </w:rPr>
            <w:instrText xml:space="preserve"> PAGEREF _Toc7321 \h </w:instrText>
          </w:r>
          <w:r>
            <w:rPr>
              <w:highlight w:val="none"/>
            </w:rPr>
            <w:fldChar w:fldCharType="separate"/>
          </w:r>
          <w:r>
            <w:rPr>
              <w:highlight w:val="none"/>
            </w:rPr>
            <w:t>14</w:t>
          </w:r>
          <w:r>
            <w:rPr>
              <w:highlight w:val="none"/>
            </w:rPr>
            <w:fldChar w:fldCharType="end"/>
          </w:r>
          <w:r>
            <w:rPr>
              <w:highlight w:val="none"/>
            </w:rPr>
            <w:fldChar w:fldCharType="end"/>
          </w:r>
        </w:p>
        <w:p w14:paraId="32402FA5">
          <w:pPr>
            <w:pStyle w:val="10"/>
            <w:tabs>
              <w:tab w:val="right" w:leader="dot" w:pos="8306"/>
            </w:tabs>
            <w:spacing w:line="312" w:lineRule="auto"/>
            <w:rPr>
              <w:highlight w:val="none"/>
            </w:rPr>
          </w:pPr>
          <w:r>
            <w:rPr>
              <w:highlight w:val="none"/>
            </w:rPr>
            <w:fldChar w:fldCharType="begin"/>
          </w:r>
          <w:r>
            <w:rPr>
              <w:highlight w:val="none"/>
            </w:rPr>
            <w:instrText xml:space="preserve"> HYPERLINK \l "_Toc21254" </w:instrText>
          </w:r>
          <w:r>
            <w:rPr>
              <w:highlight w:val="none"/>
            </w:rPr>
            <w:fldChar w:fldCharType="separate"/>
          </w:r>
          <w:r>
            <w:rPr>
              <w:rFonts w:hint="eastAsia" w:ascii="仿宋_GB2312" w:hAnsi="仿宋_GB2312" w:eastAsia="仿宋_GB2312" w:cs="仿宋_GB2312"/>
              <w:kern w:val="0"/>
              <w:sz w:val="28"/>
              <w:szCs w:val="28"/>
              <w:highlight w:val="none"/>
            </w:rPr>
            <w:t>附件二 项目部合规权限告知书</w:t>
          </w:r>
          <w:r>
            <w:rPr>
              <w:highlight w:val="none"/>
            </w:rPr>
            <w:tab/>
          </w:r>
          <w:r>
            <w:rPr>
              <w:highlight w:val="none"/>
            </w:rPr>
            <w:fldChar w:fldCharType="begin"/>
          </w:r>
          <w:r>
            <w:rPr>
              <w:highlight w:val="none"/>
            </w:rPr>
            <w:instrText xml:space="preserve"> PAGEREF _Toc21254 \h </w:instrText>
          </w:r>
          <w:r>
            <w:rPr>
              <w:highlight w:val="none"/>
            </w:rPr>
            <w:fldChar w:fldCharType="separate"/>
          </w:r>
          <w:r>
            <w:rPr>
              <w:highlight w:val="none"/>
            </w:rPr>
            <w:t>15</w:t>
          </w:r>
          <w:r>
            <w:rPr>
              <w:highlight w:val="none"/>
            </w:rPr>
            <w:fldChar w:fldCharType="end"/>
          </w:r>
          <w:r>
            <w:rPr>
              <w:highlight w:val="none"/>
            </w:rPr>
            <w:fldChar w:fldCharType="end"/>
          </w:r>
        </w:p>
        <w:p w14:paraId="01B8018C">
          <w:pPr>
            <w:pStyle w:val="10"/>
            <w:tabs>
              <w:tab w:val="right" w:leader="dot" w:pos="8306"/>
            </w:tabs>
            <w:spacing w:line="312" w:lineRule="auto"/>
            <w:rPr>
              <w:highlight w:val="none"/>
            </w:rPr>
          </w:pPr>
          <w:r>
            <w:rPr>
              <w:highlight w:val="none"/>
            </w:rPr>
            <w:fldChar w:fldCharType="begin"/>
          </w:r>
          <w:r>
            <w:rPr>
              <w:highlight w:val="none"/>
            </w:rPr>
            <w:instrText xml:space="preserve"> HYPERLINK \l "_Toc20069" </w:instrText>
          </w:r>
          <w:r>
            <w:rPr>
              <w:highlight w:val="none"/>
            </w:rPr>
            <w:fldChar w:fldCharType="separate"/>
          </w:r>
          <w:r>
            <w:rPr>
              <w:rFonts w:hint="eastAsia" w:ascii="仿宋_GB2312" w:hAnsi="仿宋_GB2312" w:eastAsia="仿宋_GB2312" w:cs="仿宋_GB2312"/>
              <w:kern w:val="0"/>
              <w:sz w:val="28"/>
              <w:szCs w:val="28"/>
              <w:highlight w:val="none"/>
            </w:rPr>
            <w:t>附件三 安全管理协议书</w:t>
          </w:r>
          <w:r>
            <w:rPr>
              <w:highlight w:val="none"/>
            </w:rPr>
            <w:tab/>
          </w:r>
          <w:r>
            <w:rPr>
              <w:highlight w:val="none"/>
            </w:rPr>
            <w:fldChar w:fldCharType="begin"/>
          </w:r>
          <w:r>
            <w:rPr>
              <w:highlight w:val="none"/>
            </w:rPr>
            <w:instrText xml:space="preserve"> PAGEREF _Toc20069 \h </w:instrText>
          </w:r>
          <w:r>
            <w:rPr>
              <w:highlight w:val="none"/>
            </w:rPr>
            <w:fldChar w:fldCharType="separate"/>
          </w:r>
          <w:r>
            <w:rPr>
              <w:highlight w:val="none"/>
            </w:rPr>
            <w:t>20</w:t>
          </w:r>
          <w:r>
            <w:rPr>
              <w:highlight w:val="none"/>
            </w:rPr>
            <w:fldChar w:fldCharType="end"/>
          </w:r>
          <w:r>
            <w:rPr>
              <w:highlight w:val="none"/>
            </w:rPr>
            <w:fldChar w:fldCharType="end"/>
          </w:r>
        </w:p>
        <w:p w14:paraId="037A3918">
          <w:pPr>
            <w:pStyle w:val="10"/>
            <w:tabs>
              <w:tab w:val="right" w:leader="dot" w:pos="8306"/>
            </w:tabs>
            <w:spacing w:line="312" w:lineRule="auto"/>
            <w:rPr>
              <w:highlight w:val="none"/>
            </w:rPr>
          </w:pPr>
          <w:r>
            <w:rPr>
              <w:highlight w:val="none"/>
            </w:rPr>
            <w:fldChar w:fldCharType="begin"/>
          </w:r>
          <w:r>
            <w:rPr>
              <w:highlight w:val="none"/>
            </w:rPr>
            <w:instrText xml:space="preserve"> HYPERLINK \l "_Toc24322" </w:instrText>
          </w:r>
          <w:r>
            <w:rPr>
              <w:highlight w:val="none"/>
            </w:rPr>
            <w:fldChar w:fldCharType="separate"/>
          </w:r>
          <w:r>
            <w:rPr>
              <w:rFonts w:hint="eastAsia" w:ascii="仿宋_GB2312" w:hAnsi="仿宋_GB2312" w:eastAsia="仿宋_GB2312" w:cs="仿宋_GB2312"/>
              <w:kern w:val="0"/>
              <w:sz w:val="28"/>
              <w:szCs w:val="28"/>
              <w:highlight w:val="none"/>
            </w:rPr>
            <w:t xml:space="preserve">附件四 </w:t>
          </w:r>
          <w:r>
            <w:rPr>
              <w:rFonts w:hint="eastAsia" w:ascii="仿宋_GB2312" w:hAnsi="仿宋_GB2312" w:eastAsia="仿宋_GB2312" w:cs="仿宋_GB2312"/>
              <w:sz w:val="28"/>
              <w:szCs w:val="28"/>
              <w:highlight w:val="none"/>
            </w:rPr>
            <w:t>廉洁从业共建协议</w:t>
          </w:r>
          <w:r>
            <w:rPr>
              <w:highlight w:val="none"/>
            </w:rPr>
            <w:tab/>
          </w:r>
          <w:r>
            <w:rPr>
              <w:highlight w:val="none"/>
            </w:rPr>
            <w:fldChar w:fldCharType="begin"/>
          </w:r>
          <w:r>
            <w:rPr>
              <w:highlight w:val="none"/>
            </w:rPr>
            <w:instrText xml:space="preserve"> PAGEREF _Toc24322 \h </w:instrText>
          </w:r>
          <w:r>
            <w:rPr>
              <w:highlight w:val="none"/>
            </w:rPr>
            <w:fldChar w:fldCharType="separate"/>
          </w:r>
          <w:r>
            <w:rPr>
              <w:highlight w:val="none"/>
            </w:rPr>
            <w:t>24</w:t>
          </w:r>
          <w:r>
            <w:rPr>
              <w:highlight w:val="none"/>
            </w:rPr>
            <w:fldChar w:fldCharType="end"/>
          </w:r>
          <w:r>
            <w:rPr>
              <w:highlight w:val="none"/>
            </w:rPr>
            <w:fldChar w:fldCharType="end"/>
          </w:r>
        </w:p>
        <w:p w14:paraId="490CB9F4">
          <w:pPr>
            <w:pStyle w:val="10"/>
            <w:tabs>
              <w:tab w:val="right" w:leader="dot" w:pos="8306"/>
            </w:tabs>
            <w:spacing w:line="312" w:lineRule="auto"/>
            <w:rPr>
              <w:highlight w:val="none"/>
            </w:rPr>
          </w:pPr>
          <w:r>
            <w:rPr>
              <w:highlight w:val="none"/>
            </w:rPr>
            <w:fldChar w:fldCharType="begin"/>
          </w:r>
          <w:r>
            <w:rPr>
              <w:highlight w:val="none"/>
            </w:rPr>
            <w:instrText xml:space="preserve"> HYPERLINK \l "_Toc18674" </w:instrText>
          </w:r>
          <w:r>
            <w:rPr>
              <w:highlight w:val="none"/>
            </w:rPr>
            <w:fldChar w:fldCharType="separate"/>
          </w:r>
          <w:r>
            <w:rPr>
              <w:rFonts w:hint="eastAsia" w:ascii="黑体" w:hAnsi="黑体" w:eastAsia="黑体" w:cs="黑体"/>
              <w:bCs/>
              <w:sz w:val="30"/>
              <w:szCs w:val="30"/>
              <w:highlight w:val="none"/>
            </w:rPr>
            <w:t>第二部分 通用条款</w:t>
          </w:r>
          <w:r>
            <w:rPr>
              <w:highlight w:val="none"/>
            </w:rPr>
            <w:tab/>
          </w:r>
          <w:r>
            <w:rPr>
              <w:highlight w:val="none"/>
            </w:rPr>
            <w:fldChar w:fldCharType="begin"/>
          </w:r>
          <w:r>
            <w:rPr>
              <w:highlight w:val="none"/>
            </w:rPr>
            <w:instrText xml:space="preserve"> PAGEREF _Toc18674 \h </w:instrText>
          </w:r>
          <w:r>
            <w:rPr>
              <w:highlight w:val="none"/>
            </w:rPr>
            <w:fldChar w:fldCharType="separate"/>
          </w:r>
          <w:r>
            <w:rPr>
              <w:highlight w:val="none"/>
            </w:rPr>
            <w:t>27</w:t>
          </w:r>
          <w:r>
            <w:rPr>
              <w:highlight w:val="none"/>
            </w:rPr>
            <w:fldChar w:fldCharType="end"/>
          </w:r>
          <w:r>
            <w:rPr>
              <w:highlight w:val="none"/>
            </w:rPr>
            <w:fldChar w:fldCharType="end"/>
          </w:r>
        </w:p>
        <w:p w14:paraId="71DA615D">
          <w:pPr>
            <w:pStyle w:val="10"/>
            <w:tabs>
              <w:tab w:val="right" w:leader="dot" w:pos="8306"/>
            </w:tabs>
            <w:spacing w:line="312" w:lineRule="auto"/>
            <w:rPr>
              <w:highlight w:val="none"/>
            </w:rPr>
          </w:pPr>
          <w:r>
            <w:rPr>
              <w:highlight w:val="none"/>
            </w:rPr>
            <w:fldChar w:fldCharType="begin"/>
          </w:r>
          <w:r>
            <w:rPr>
              <w:highlight w:val="none"/>
            </w:rPr>
            <w:instrText xml:space="preserve"> HYPERLINK \l "_Toc3066" </w:instrText>
          </w:r>
          <w:r>
            <w:rPr>
              <w:highlight w:val="none"/>
            </w:rPr>
            <w:fldChar w:fldCharType="separate"/>
          </w:r>
          <w:r>
            <w:rPr>
              <w:rFonts w:hint="eastAsia" w:ascii="仿宋_GB2312" w:hAnsi="仿宋_GB2312" w:eastAsia="仿宋_GB2312" w:cs="仿宋_GB2312"/>
              <w:kern w:val="0"/>
              <w:sz w:val="28"/>
              <w:szCs w:val="28"/>
              <w:highlight w:val="none"/>
            </w:rPr>
            <w:t>一、货物合同附随义务</w:t>
          </w:r>
          <w:r>
            <w:rPr>
              <w:highlight w:val="none"/>
            </w:rPr>
            <w:tab/>
          </w:r>
          <w:r>
            <w:rPr>
              <w:highlight w:val="none"/>
            </w:rPr>
            <w:fldChar w:fldCharType="begin"/>
          </w:r>
          <w:r>
            <w:rPr>
              <w:highlight w:val="none"/>
            </w:rPr>
            <w:instrText xml:space="preserve"> PAGEREF _Toc3066 \h </w:instrText>
          </w:r>
          <w:r>
            <w:rPr>
              <w:highlight w:val="none"/>
            </w:rPr>
            <w:fldChar w:fldCharType="separate"/>
          </w:r>
          <w:r>
            <w:rPr>
              <w:highlight w:val="none"/>
            </w:rPr>
            <w:t>27</w:t>
          </w:r>
          <w:r>
            <w:rPr>
              <w:highlight w:val="none"/>
            </w:rPr>
            <w:fldChar w:fldCharType="end"/>
          </w:r>
          <w:r>
            <w:rPr>
              <w:highlight w:val="none"/>
            </w:rPr>
            <w:fldChar w:fldCharType="end"/>
          </w:r>
        </w:p>
        <w:p w14:paraId="36825153">
          <w:pPr>
            <w:pStyle w:val="10"/>
            <w:tabs>
              <w:tab w:val="right" w:leader="dot" w:pos="8306"/>
            </w:tabs>
            <w:spacing w:line="312" w:lineRule="auto"/>
            <w:rPr>
              <w:highlight w:val="none"/>
            </w:rPr>
          </w:pPr>
          <w:r>
            <w:rPr>
              <w:highlight w:val="none"/>
            </w:rPr>
            <w:fldChar w:fldCharType="begin"/>
          </w:r>
          <w:r>
            <w:rPr>
              <w:highlight w:val="none"/>
            </w:rPr>
            <w:instrText xml:space="preserve"> HYPERLINK \l "_Toc965" </w:instrText>
          </w:r>
          <w:r>
            <w:rPr>
              <w:highlight w:val="none"/>
            </w:rPr>
            <w:fldChar w:fldCharType="separate"/>
          </w:r>
          <w:r>
            <w:rPr>
              <w:rFonts w:hint="eastAsia" w:ascii="仿宋_GB2312" w:hAnsi="仿宋_GB2312" w:eastAsia="仿宋_GB2312" w:cs="仿宋_GB2312"/>
              <w:kern w:val="0"/>
              <w:sz w:val="28"/>
              <w:szCs w:val="28"/>
              <w:highlight w:val="none"/>
            </w:rPr>
            <w:t>二、货物违约责任</w:t>
          </w:r>
          <w:r>
            <w:rPr>
              <w:highlight w:val="none"/>
            </w:rPr>
            <w:tab/>
          </w:r>
          <w:r>
            <w:rPr>
              <w:highlight w:val="none"/>
            </w:rPr>
            <w:fldChar w:fldCharType="begin"/>
          </w:r>
          <w:r>
            <w:rPr>
              <w:highlight w:val="none"/>
            </w:rPr>
            <w:instrText xml:space="preserve"> PAGEREF _Toc965 \h </w:instrText>
          </w:r>
          <w:r>
            <w:rPr>
              <w:highlight w:val="none"/>
            </w:rPr>
            <w:fldChar w:fldCharType="separate"/>
          </w:r>
          <w:r>
            <w:rPr>
              <w:highlight w:val="none"/>
            </w:rPr>
            <w:t>28</w:t>
          </w:r>
          <w:r>
            <w:rPr>
              <w:highlight w:val="none"/>
            </w:rPr>
            <w:fldChar w:fldCharType="end"/>
          </w:r>
          <w:r>
            <w:rPr>
              <w:highlight w:val="none"/>
            </w:rPr>
            <w:fldChar w:fldCharType="end"/>
          </w:r>
        </w:p>
        <w:p w14:paraId="137CAF21">
          <w:pPr>
            <w:pStyle w:val="10"/>
            <w:tabs>
              <w:tab w:val="right" w:leader="dot" w:pos="8306"/>
            </w:tabs>
            <w:spacing w:line="312" w:lineRule="auto"/>
            <w:rPr>
              <w:highlight w:val="none"/>
            </w:rPr>
          </w:pPr>
          <w:r>
            <w:rPr>
              <w:highlight w:val="none"/>
            </w:rPr>
            <w:fldChar w:fldCharType="begin"/>
          </w:r>
          <w:r>
            <w:rPr>
              <w:highlight w:val="none"/>
            </w:rPr>
            <w:instrText xml:space="preserve"> HYPERLINK \l "_Toc20335" </w:instrText>
          </w:r>
          <w:r>
            <w:rPr>
              <w:highlight w:val="none"/>
            </w:rPr>
            <w:fldChar w:fldCharType="separate"/>
          </w:r>
          <w:r>
            <w:rPr>
              <w:rFonts w:hint="eastAsia" w:ascii="仿宋_GB2312" w:hAnsi="仿宋_GB2312" w:eastAsia="仿宋_GB2312" w:cs="仿宋_GB2312"/>
              <w:kern w:val="0"/>
              <w:sz w:val="28"/>
              <w:szCs w:val="28"/>
              <w:highlight w:val="none"/>
            </w:rPr>
            <w:t>三、货物缺陷索赔</w:t>
          </w:r>
          <w:r>
            <w:rPr>
              <w:highlight w:val="none"/>
            </w:rPr>
            <w:tab/>
          </w:r>
          <w:r>
            <w:rPr>
              <w:highlight w:val="none"/>
            </w:rPr>
            <w:fldChar w:fldCharType="begin"/>
          </w:r>
          <w:r>
            <w:rPr>
              <w:highlight w:val="none"/>
            </w:rPr>
            <w:instrText xml:space="preserve"> PAGEREF _Toc20335 \h </w:instrText>
          </w:r>
          <w:r>
            <w:rPr>
              <w:highlight w:val="none"/>
            </w:rPr>
            <w:fldChar w:fldCharType="separate"/>
          </w:r>
          <w:r>
            <w:rPr>
              <w:highlight w:val="none"/>
            </w:rPr>
            <w:t>30</w:t>
          </w:r>
          <w:r>
            <w:rPr>
              <w:highlight w:val="none"/>
            </w:rPr>
            <w:fldChar w:fldCharType="end"/>
          </w:r>
          <w:r>
            <w:rPr>
              <w:highlight w:val="none"/>
            </w:rPr>
            <w:fldChar w:fldCharType="end"/>
          </w:r>
        </w:p>
        <w:p w14:paraId="425A5C3B">
          <w:pPr>
            <w:pStyle w:val="10"/>
            <w:tabs>
              <w:tab w:val="right" w:leader="dot" w:pos="8306"/>
            </w:tabs>
            <w:spacing w:line="312" w:lineRule="auto"/>
            <w:rPr>
              <w:highlight w:val="none"/>
            </w:rPr>
          </w:pPr>
          <w:r>
            <w:rPr>
              <w:highlight w:val="none"/>
            </w:rPr>
            <w:fldChar w:fldCharType="begin"/>
          </w:r>
          <w:r>
            <w:rPr>
              <w:highlight w:val="none"/>
            </w:rPr>
            <w:instrText xml:space="preserve"> HYPERLINK \l "_Toc12864" </w:instrText>
          </w:r>
          <w:r>
            <w:rPr>
              <w:highlight w:val="none"/>
            </w:rPr>
            <w:fldChar w:fldCharType="separate"/>
          </w:r>
          <w:r>
            <w:rPr>
              <w:rFonts w:hint="eastAsia" w:ascii="仿宋_GB2312" w:hAnsi="仿宋_GB2312" w:eastAsia="仿宋_GB2312" w:cs="仿宋_GB2312"/>
              <w:kern w:val="0"/>
              <w:sz w:val="28"/>
              <w:szCs w:val="28"/>
              <w:highlight w:val="none"/>
            </w:rPr>
            <w:t>四、合同变更</w:t>
          </w:r>
          <w:r>
            <w:rPr>
              <w:highlight w:val="none"/>
            </w:rPr>
            <w:tab/>
          </w:r>
          <w:r>
            <w:rPr>
              <w:highlight w:val="none"/>
            </w:rPr>
            <w:fldChar w:fldCharType="begin"/>
          </w:r>
          <w:r>
            <w:rPr>
              <w:highlight w:val="none"/>
            </w:rPr>
            <w:instrText xml:space="preserve"> PAGEREF _Toc12864 \h </w:instrText>
          </w:r>
          <w:r>
            <w:rPr>
              <w:highlight w:val="none"/>
            </w:rPr>
            <w:fldChar w:fldCharType="separate"/>
          </w:r>
          <w:r>
            <w:rPr>
              <w:highlight w:val="none"/>
            </w:rPr>
            <w:t>31</w:t>
          </w:r>
          <w:r>
            <w:rPr>
              <w:highlight w:val="none"/>
            </w:rPr>
            <w:fldChar w:fldCharType="end"/>
          </w:r>
          <w:r>
            <w:rPr>
              <w:highlight w:val="none"/>
            </w:rPr>
            <w:fldChar w:fldCharType="end"/>
          </w:r>
        </w:p>
        <w:p w14:paraId="5C780A68">
          <w:pPr>
            <w:pStyle w:val="10"/>
            <w:tabs>
              <w:tab w:val="right" w:leader="dot" w:pos="8306"/>
            </w:tabs>
            <w:spacing w:line="312" w:lineRule="auto"/>
            <w:rPr>
              <w:highlight w:val="none"/>
            </w:rPr>
          </w:pPr>
          <w:r>
            <w:rPr>
              <w:highlight w:val="none"/>
            </w:rPr>
            <w:fldChar w:fldCharType="begin"/>
          </w:r>
          <w:r>
            <w:rPr>
              <w:highlight w:val="none"/>
            </w:rPr>
            <w:instrText xml:space="preserve"> HYPERLINK \l "_Toc23441" </w:instrText>
          </w:r>
          <w:r>
            <w:rPr>
              <w:highlight w:val="none"/>
            </w:rPr>
            <w:fldChar w:fldCharType="separate"/>
          </w:r>
          <w:r>
            <w:rPr>
              <w:rFonts w:hint="eastAsia" w:ascii="仿宋_GB2312" w:hAnsi="仿宋_GB2312" w:eastAsia="仿宋_GB2312" w:cs="仿宋_GB2312"/>
              <w:kern w:val="0"/>
              <w:sz w:val="28"/>
              <w:szCs w:val="28"/>
              <w:highlight w:val="none"/>
            </w:rPr>
            <w:t>五、合同解除</w:t>
          </w:r>
          <w:r>
            <w:rPr>
              <w:highlight w:val="none"/>
            </w:rPr>
            <w:tab/>
          </w:r>
          <w:r>
            <w:rPr>
              <w:highlight w:val="none"/>
            </w:rPr>
            <w:fldChar w:fldCharType="begin"/>
          </w:r>
          <w:r>
            <w:rPr>
              <w:highlight w:val="none"/>
            </w:rPr>
            <w:instrText xml:space="preserve"> PAGEREF _Toc23441 \h </w:instrText>
          </w:r>
          <w:r>
            <w:rPr>
              <w:highlight w:val="none"/>
            </w:rPr>
            <w:fldChar w:fldCharType="separate"/>
          </w:r>
          <w:r>
            <w:rPr>
              <w:highlight w:val="none"/>
            </w:rPr>
            <w:t>31</w:t>
          </w:r>
          <w:r>
            <w:rPr>
              <w:highlight w:val="none"/>
            </w:rPr>
            <w:fldChar w:fldCharType="end"/>
          </w:r>
          <w:r>
            <w:rPr>
              <w:highlight w:val="none"/>
            </w:rPr>
            <w:fldChar w:fldCharType="end"/>
          </w:r>
        </w:p>
        <w:p w14:paraId="0C804BB7">
          <w:pPr>
            <w:pStyle w:val="10"/>
            <w:tabs>
              <w:tab w:val="right" w:leader="dot" w:pos="8306"/>
            </w:tabs>
            <w:spacing w:line="312" w:lineRule="auto"/>
            <w:rPr>
              <w:highlight w:val="none"/>
            </w:rPr>
          </w:pPr>
          <w:r>
            <w:rPr>
              <w:highlight w:val="none"/>
            </w:rPr>
            <w:fldChar w:fldCharType="begin"/>
          </w:r>
          <w:r>
            <w:rPr>
              <w:highlight w:val="none"/>
            </w:rPr>
            <w:instrText xml:space="preserve"> HYPERLINK \l "_Toc16580" </w:instrText>
          </w:r>
          <w:r>
            <w:rPr>
              <w:highlight w:val="none"/>
            </w:rPr>
            <w:fldChar w:fldCharType="separate"/>
          </w:r>
          <w:r>
            <w:rPr>
              <w:rFonts w:hint="eastAsia" w:ascii="仿宋_GB2312" w:hAnsi="仿宋_GB2312" w:eastAsia="仿宋_GB2312" w:cs="仿宋_GB2312"/>
              <w:kern w:val="0"/>
              <w:sz w:val="28"/>
              <w:szCs w:val="28"/>
              <w:highlight w:val="none"/>
            </w:rPr>
            <w:t>六、不可抗力</w:t>
          </w:r>
          <w:r>
            <w:rPr>
              <w:highlight w:val="none"/>
            </w:rPr>
            <w:tab/>
          </w:r>
          <w:r>
            <w:rPr>
              <w:highlight w:val="none"/>
            </w:rPr>
            <w:fldChar w:fldCharType="begin"/>
          </w:r>
          <w:r>
            <w:rPr>
              <w:highlight w:val="none"/>
            </w:rPr>
            <w:instrText xml:space="preserve"> PAGEREF _Toc16580 \h </w:instrText>
          </w:r>
          <w:r>
            <w:rPr>
              <w:highlight w:val="none"/>
            </w:rPr>
            <w:fldChar w:fldCharType="separate"/>
          </w:r>
          <w:r>
            <w:rPr>
              <w:highlight w:val="none"/>
            </w:rPr>
            <w:t>32</w:t>
          </w:r>
          <w:r>
            <w:rPr>
              <w:highlight w:val="none"/>
            </w:rPr>
            <w:fldChar w:fldCharType="end"/>
          </w:r>
          <w:r>
            <w:rPr>
              <w:highlight w:val="none"/>
            </w:rPr>
            <w:fldChar w:fldCharType="end"/>
          </w:r>
        </w:p>
        <w:p w14:paraId="0077A01B">
          <w:pPr>
            <w:pStyle w:val="10"/>
            <w:tabs>
              <w:tab w:val="right" w:leader="dot" w:pos="8306"/>
            </w:tabs>
            <w:spacing w:line="312" w:lineRule="auto"/>
            <w:rPr>
              <w:highlight w:val="none"/>
            </w:rPr>
          </w:pPr>
          <w:r>
            <w:rPr>
              <w:highlight w:val="none"/>
            </w:rPr>
            <w:fldChar w:fldCharType="begin"/>
          </w:r>
          <w:r>
            <w:rPr>
              <w:highlight w:val="none"/>
            </w:rPr>
            <w:instrText xml:space="preserve"> HYPERLINK \l "_Toc10852" </w:instrText>
          </w:r>
          <w:r>
            <w:rPr>
              <w:highlight w:val="none"/>
            </w:rPr>
            <w:fldChar w:fldCharType="separate"/>
          </w:r>
          <w:r>
            <w:rPr>
              <w:rFonts w:hint="eastAsia" w:ascii="仿宋_GB2312" w:hAnsi="仿宋_GB2312" w:eastAsia="仿宋_GB2312" w:cs="仿宋_GB2312"/>
              <w:kern w:val="0"/>
              <w:sz w:val="28"/>
              <w:szCs w:val="28"/>
              <w:highlight w:val="none"/>
            </w:rPr>
            <w:t>七、争议解决</w:t>
          </w:r>
          <w:r>
            <w:rPr>
              <w:highlight w:val="none"/>
            </w:rPr>
            <w:tab/>
          </w:r>
          <w:r>
            <w:rPr>
              <w:highlight w:val="none"/>
            </w:rPr>
            <w:fldChar w:fldCharType="begin"/>
          </w:r>
          <w:r>
            <w:rPr>
              <w:highlight w:val="none"/>
            </w:rPr>
            <w:instrText xml:space="preserve"> PAGEREF _Toc10852 \h </w:instrText>
          </w:r>
          <w:r>
            <w:rPr>
              <w:highlight w:val="none"/>
            </w:rPr>
            <w:fldChar w:fldCharType="separate"/>
          </w:r>
          <w:r>
            <w:rPr>
              <w:highlight w:val="none"/>
            </w:rPr>
            <w:t>32</w:t>
          </w:r>
          <w:r>
            <w:rPr>
              <w:highlight w:val="none"/>
            </w:rPr>
            <w:fldChar w:fldCharType="end"/>
          </w:r>
          <w:r>
            <w:rPr>
              <w:highlight w:val="none"/>
            </w:rPr>
            <w:fldChar w:fldCharType="end"/>
          </w:r>
        </w:p>
        <w:p w14:paraId="6FA2EFC5">
          <w:pPr>
            <w:pStyle w:val="10"/>
            <w:tabs>
              <w:tab w:val="right" w:leader="dot" w:pos="8306"/>
            </w:tabs>
            <w:spacing w:line="312" w:lineRule="auto"/>
            <w:rPr>
              <w:highlight w:val="none"/>
            </w:rPr>
          </w:pPr>
          <w:r>
            <w:rPr>
              <w:highlight w:val="none"/>
            </w:rPr>
            <w:fldChar w:fldCharType="begin"/>
          </w:r>
          <w:r>
            <w:rPr>
              <w:highlight w:val="none"/>
            </w:rPr>
            <w:instrText xml:space="preserve"> HYPERLINK \l "_Toc11207" </w:instrText>
          </w:r>
          <w:r>
            <w:rPr>
              <w:highlight w:val="none"/>
            </w:rPr>
            <w:fldChar w:fldCharType="separate"/>
          </w:r>
          <w:r>
            <w:rPr>
              <w:rFonts w:hint="eastAsia" w:ascii="仿宋_GB2312" w:hAnsi="仿宋_GB2312" w:eastAsia="仿宋_GB2312" w:cs="仿宋_GB2312"/>
              <w:kern w:val="0"/>
              <w:sz w:val="28"/>
              <w:szCs w:val="28"/>
              <w:highlight w:val="none"/>
            </w:rPr>
            <w:t>八、保密义务</w:t>
          </w:r>
          <w:r>
            <w:rPr>
              <w:highlight w:val="none"/>
            </w:rPr>
            <w:tab/>
          </w:r>
          <w:r>
            <w:rPr>
              <w:highlight w:val="none"/>
            </w:rPr>
            <w:fldChar w:fldCharType="begin"/>
          </w:r>
          <w:r>
            <w:rPr>
              <w:highlight w:val="none"/>
            </w:rPr>
            <w:instrText xml:space="preserve"> PAGEREF _Toc11207 \h </w:instrText>
          </w:r>
          <w:r>
            <w:rPr>
              <w:highlight w:val="none"/>
            </w:rPr>
            <w:fldChar w:fldCharType="separate"/>
          </w:r>
          <w:r>
            <w:rPr>
              <w:highlight w:val="none"/>
            </w:rPr>
            <w:t>33</w:t>
          </w:r>
          <w:r>
            <w:rPr>
              <w:highlight w:val="none"/>
            </w:rPr>
            <w:fldChar w:fldCharType="end"/>
          </w:r>
          <w:r>
            <w:rPr>
              <w:highlight w:val="none"/>
            </w:rPr>
            <w:fldChar w:fldCharType="end"/>
          </w:r>
        </w:p>
        <w:p w14:paraId="3C5D184D">
          <w:pPr>
            <w:pStyle w:val="10"/>
            <w:tabs>
              <w:tab w:val="right" w:leader="dot" w:pos="8306"/>
            </w:tabs>
            <w:spacing w:line="312" w:lineRule="auto"/>
            <w:rPr>
              <w:highlight w:val="none"/>
            </w:rPr>
          </w:pPr>
          <w:r>
            <w:rPr>
              <w:highlight w:val="none"/>
            </w:rPr>
            <w:fldChar w:fldCharType="begin"/>
          </w:r>
          <w:r>
            <w:rPr>
              <w:highlight w:val="none"/>
            </w:rPr>
            <w:instrText xml:space="preserve"> HYPERLINK \l "_Toc3848" </w:instrText>
          </w:r>
          <w:r>
            <w:rPr>
              <w:highlight w:val="none"/>
            </w:rPr>
            <w:fldChar w:fldCharType="separate"/>
          </w:r>
          <w:r>
            <w:rPr>
              <w:rFonts w:hint="eastAsia" w:ascii="仿宋_GB2312" w:hAnsi="仿宋_GB2312" w:eastAsia="仿宋_GB2312" w:cs="仿宋_GB2312"/>
              <w:kern w:val="0"/>
              <w:sz w:val="28"/>
              <w:szCs w:val="28"/>
              <w:highlight w:val="none"/>
            </w:rPr>
            <w:t>九、其他条款</w:t>
          </w:r>
          <w:r>
            <w:rPr>
              <w:highlight w:val="none"/>
            </w:rPr>
            <w:tab/>
          </w:r>
          <w:r>
            <w:rPr>
              <w:highlight w:val="none"/>
            </w:rPr>
            <w:fldChar w:fldCharType="begin"/>
          </w:r>
          <w:r>
            <w:rPr>
              <w:highlight w:val="none"/>
            </w:rPr>
            <w:instrText xml:space="preserve"> PAGEREF _Toc3848 \h </w:instrText>
          </w:r>
          <w:r>
            <w:rPr>
              <w:highlight w:val="none"/>
            </w:rPr>
            <w:fldChar w:fldCharType="separate"/>
          </w:r>
          <w:r>
            <w:rPr>
              <w:highlight w:val="none"/>
            </w:rPr>
            <w:t>33</w:t>
          </w:r>
          <w:r>
            <w:rPr>
              <w:highlight w:val="none"/>
            </w:rPr>
            <w:fldChar w:fldCharType="end"/>
          </w:r>
          <w:r>
            <w:rPr>
              <w:highlight w:val="none"/>
            </w:rPr>
            <w:fldChar w:fldCharType="end"/>
          </w:r>
        </w:p>
        <w:p w14:paraId="7B472F8E">
          <w:pPr>
            <w:spacing w:line="312" w:lineRule="auto"/>
            <w:jc w:val="center"/>
            <w:rPr>
              <w:rFonts w:ascii="仿宋" w:hAnsi="仿宋" w:eastAsia="仿宋" w:cs="仿宋"/>
              <w:color w:val="000000" w:themeColor="text1"/>
              <w:highlight w:val="none"/>
              <w14:textFill>
                <w14:solidFill>
                  <w14:schemeClr w14:val="tx1"/>
                </w14:solidFill>
              </w14:textFill>
            </w:rPr>
            <w:sectPr>
              <w:headerReference r:id="rId7" w:type="first"/>
              <w:footerReference r:id="rId9" w:type="first"/>
              <w:footerReference r:id="rId8" w:type="default"/>
              <w:pgSz w:w="11906" w:h="16838"/>
              <w:pgMar w:top="1440" w:right="1800" w:bottom="1440" w:left="1800" w:header="850" w:footer="975" w:gutter="0"/>
              <w:pgNumType w:start="1"/>
              <w:cols w:space="0" w:num="1"/>
              <w:titlePg/>
              <w:docGrid w:linePitch="312" w:charSpace="0"/>
            </w:sectPr>
          </w:pPr>
          <w:r>
            <w:rPr>
              <w:rFonts w:hint="eastAsia" w:ascii="仿宋" w:hAnsi="仿宋" w:eastAsia="仿宋" w:cs="仿宋"/>
              <w:color w:val="000000" w:themeColor="text1"/>
              <w:highlight w:val="none"/>
              <w14:textFill>
                <w14:solidFill>
                  <w14:schemeClr w14:val="tx1"/>
                </w14:solidFill>
              </w14:textFill>
            </w:rPr>
            <w:fldChar w:fldCharType="end"/>
          </w:r>
          <w:permEnd w:id="3"/>
        </w:p>
      </w:sdtContent>
    </w:sdt>
    <w:p w14:paraId="51414A06">
      <w:pPr>
        <w:pStyle w:val="14"/>
        <w:jc w:val="center"/>
        <w:outlineLvl w:val="0"/>
        <w:rPr>
          <w:rFonts w:ascii="仿宋" w:hAnsi="仿宋" w:eastAsia="仿宋" w:cs="仿宋"/>
          <w:b/>
          <w:bCs/>
          <w:color w:val="000000" w:themeColor="text1"/>
          <w:sz w:val="32"/>
          <w:szCs w:val="32"/>
          <w:highlight w:val="none"/>
          <w14:textFill>
            <w14:solidFill>
              <w14:schemeClr w14:val="tx1"/>
            </w14:solidFill>
          </w14:textFill>
        </w:rPr>
      </w:pPr>
      <w:bookmarkStart w:id="1" w:name="_Toc22574"/>
      <w:bookmarkStart w:id="2" w:name="_Toc5953"/>
      <w:bookmarkStart w:id="3" w:name="_Toc31405"/>
      <w:r>
        <w:rPr>
          <w:rFonts w:hint="eastAsia" w:ascii="黑体" w:hAnsi="黑体" w:eastAsia="黑体" w:cs="黑体"/>
          <w:b/>
          <w:bCs/>
          <w:color w:val="000000" w:themeColor="text1"/>
          <w:sz w:val="32"/>
          <w:szCs w:val="32"/>
          <w:highlight w:val="none"/>
          <w14:textFill>
            <w14:solidFill>
              <w14:schemeClr w14:val="tx1"/>
            </w14:solidFill>
          </w14:textFill>
        </w:rPr>
        <w:t>第一部分</w:t>
      </w:r>
      <w:bookmarkEnd w:id="1"/>
      <w:r>
        <w:rPr>
          <w:rFonts w:hint="eastAsia" w:ascii="黑体" w:hAnsi="黑体" w:eastAsia="黑体" w:cs="黑体"/>
          <w:b/>
          <w:bCs/>
          <w:color w:val="000000" w:themeColor="text1"/>
          <w:sz w:val="32"/>
          <w:szCs w:val="32"/>
          <w:highlight w:val="none"/>
          <w14:textFill>
            <w14:solidFill>
              <w14:schemeClr w14:val="tx1"/>
            </w14:solidFill>
          </w14:textFill>
        </w:rPr>
        <w:t xml:space="preserve"> 专用条款</w:t>
      </w:r>
      <w:bookmarkEnd w:id="2"/>
      <w:bookmarkEnd w:id="3"/>
    </w:p>
    <w:p w14:paraId="6C584434">
      <w:pPr>
        <w:pStyle w:val="14"/>
        <w:spacing w:before="240" w:beforeLines="100" w:line="400" w:lineRule="atLeast"/>
        <w:rPr>
          <w:rFonts w:hint="default"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甲方（买方）： </w:t>
      </w:r>
      <w:permStart w:id="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中建</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路桥</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集团有限公司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w:t>
      </w:r>
      <w:permEnd w:id="4"/>
    </w:p>
    <w:p w14:paraId="4E908077">
      <w:pPr>
        <w:pStyle w:val="14"/>
        <w:spacing w:line="400" w:lineRule="atLeast"/>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乙方（卖方）： </w:t>
      </w:r>
      <w:permStart w:id="5"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
    </w:p>
    <w:p w14:paraId="747BF1A7">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根据《中华人民共和国民法典》及有关法律规定，遵循平等、自愿、公平和诚实信用的原则，在对本合同进行充分理解的基础上，双方经友好协商一致，订立本合同并共同遵守。</w:t>
      </w:r>
    </w:p>
    <w:p w14:paraId="73736801">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4" w:name="_Toc640"/>
      <w:bookmarkStart w:id="5" w:name="_Toc17203"/>
      <w:bookmarkStart w:id="6" w:name="_Toc29946"/>
      <w:r>
        <w:rPr>
          <w:rFonts w:hint="eastAsia" w:ascii="仿宋_GB2312" w:hAnsi="仿宋_GB2312" w:eastAsia="仿宋_GB2312" w:cs="仿宋_GB2312"/>
          <w:b/>
          <w:bCs/>
          <w:color w:val="000000" w:themeColor="text1"/>
          <w:highlight w:val="none"/>
          <w14:textFill>
            <w14:solidFill>
              <w14:schemeClr w14:val="tx1"/>
            </w14:solidFill>
          </w14:textFill>
        </w:rPr>
        <w:t>工程概况</w:t>
      </w:r>
      <w:bookmarkEnd w:id="4"/>
      <w:bookmarkEnd w:id="5"/>
      <w:bookmarkEnd w:id="6"/>
    </w:p>
    <w:p w14:paraId="0D7D9700">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1、工程名称：</w:t>
      </w:r>
      <w:permStart w:id="6" w:edGrp="everyone"/>
      <w:r>
        <w:rPr>
          <w:rFonts w:hint="default" w:ascii="仿宋_GB2312" w:hAnsi="仿宋_GB2312" w:eastAsia="仿宋_GB2312" w:cs="仿宋_GB2312"/>
          <w:color w:val="000000" w:themeColor="text1"/>
          <w:highlight w:val="none"/>
          <w:u w:val="single"/>
          <w:lang w:val="en-US" w:eastAsia="zh-CN"/>
          <w14:textFill>
            <w14:solidFill>
              <w14:schemeClr w14:val="tx1"/>
            </w14:solidFill>
          </w14:textFill>
        </w:rPr>
        <w:t>国道G515定州至浚县公路宁晋县小枣村至隆尧县尧东庄段新改建工程施工第二标段</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6"/>
      <w:r>
        <w:rPr>
          <w:rFonts w:hint="eastAsia" w:ascii="仿宋_GB2312" w:hAnsi="仿宋_GB2312" w:eastAsia="仿宋_GB2312" w:cs="仿宋_GB2312"/>
          <w:color w:val="000000" w:themeColor="text1"/>
          <w:highlight w:val="none"/>
          <w14:textFill>
            <w14:solidFill>
              <w14:schemeClr w14:val="tx1"/>
            </w14:solidFill>
          </w14:textFill>
        </w:rPr>
        <w:t>；</w:t>
      </w:r>
    </w:p>
    <w:p w14:paraId="050DFD57">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2、工程地点：</w:t>
      </w:r>
      <w:permStart w:id="7"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河北省邢台市柏乡县</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7"/>
      <w:r>
        <w:rPr>
          <w:rFonts w:hint="eastAsia" w:ascii="仿宋_GB2312" w:hAnsi="仿宋_GB2312" w:eastAsia="仿宋_GB2312" w:cs="仿宋_GB2312"/>
          <w:color w:val="000000" w:themeColor="text1"/>
          <w:highlight w:val="none"/>
          <w14:textFill>
            <w14:solidFill>
              <w14:schemeClr w14:val="tx1"/>
            </w14:solidFill>
          </w14:textFill>
        </w:rPr>
        <w:t>；</w:t>
      </w:r>
    </w:p>
    <w:p w14:paraId="50B6EDA5">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7" w:name="_Toc6010"/>
      <w:bookmarkStart w:id="8" w:name="_Toc23103"/>
      <w:bookmarkStart w:id="9" w:name="_Toc2931"/>
      <w:r>
        <w:rPr>
          <w:rFonts w:hint="eastAsia" w:ascii="仿宋_GB2312" w:hAnsi="仿宋_GB2312" w:eastAsia="仿宋_GB2312" w:cs="仿宋_GB2312"/>
          <w:b/>
          <w:bCs/>
          <w:color w:val="000000" w:themeColor="text1"/>
          <w:highlight w:val="none"/>
          <w14:textFill>
            <w14:solidFill>
              <w14:schemeClr w14:val="tx1"/>
            </w14:solidFill>
          </w14:textFill>
        </w:rPr>
        <w:t>货物清单</w:t>
      </w:r>
      <w:bookmarkEnd w:id="7"/>
      <w:bookmarkEnd w:id="8"/>
      <w:bookmarkEnd w:id="9"/>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569"/>
        <w:gridCol w:w="994"/>
        <w:gridCol w:w="994"/>
        <w:gridCol w:w="572"/>
        <w:gridCol w:w="578"/>
        <w:gridCol w:w="996"/>
        <w:gridCol w:w="785"/>
        <w:gridCol w:w="572"/>
        <w:gridCol w:w="997"/>
        <w:gridCol w:w="786"/>
        <w:gridCol w:w="588"/>
      </w:tblGrid>
      <w:tr w14:paraId="15FA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38" w:type="pct"/>
            <w:shd w:val="clear" w:color="auto" w:fill="auto"/>
            <w:vAlign w:val="center"/>
          </w:tcPr>
          <w:p w14:paraId="7B4AA697">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permStart w:id="8" w:edGrp="everyone"/>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序号</w:t>
            </w:r>
          </w:p>
        </w:tc>
        <w:tc>
          <w:tcPr>
            <w:tcW w:w="590" w:type="pct"/>
            <w:shd w:val="clear" w:color="auto" w:fill="auto"/>
            <w:vAlign w:val="center"/>
          </w:tcPr>
          <w:p w14:paraId="0375AEF6">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货物名称</w:t>
            </w:r>
          </w:p>
        </w:tc>
        <w:tc>
          <w:tcPr>
            <w:tcW w:w="590" w:type="pct"/>
            <w:shd w:val="clear" w:color="auto" w:fill="auto"/>
            <w:vAlign w:val="center"/>
          </w:tcPr>
          <w:p w14:paraId="475FA2A7">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货物</w:t>
            </w:r>
          </w:p>
          <w:p w14:paraId="4514333F">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规格参数</w:t>
            </w:r>
          </w:p>
        </w:tc>
        <w:tc>
          <w:tcPr>
            <w:tcW w:w="339" w:type="pct"/>
            <w:shd w:val="clear" w:color="auto" w:fill="auto"/>
            <w:vAlign w:val="center"/>
          </w:tcPr>
          <w:p w14:paraId="4F736E24">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计量</w:t>
            </w:r>
          </w:p>
          <w:p w14:paraId="51BB80EA">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单位</w:t>
            </w:r>
          </w:p>
        </w:tc>
        <w:tc>
          <w:tcPr>
            <w:tcW w:w="341" w:type="pct"/>
            <w:shd w:val="clear" w:color="auto" w:fill="auto"/>
            <w:vAlign w:val="center"/>
          </w:tcPr>
          <w:p w14:paraId="4A63F40B">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暂定</w:t>
            </w:r>
          </w:p>
          <w:p w14:paraId="0715E682">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数量</w:t>
            </w:r>
          </w:p>
        </w:tc>
        <w:tc>
          <w:tcPr>
            <w:tcW w:w="591" w:type="pct"/>
            <w:shd w:val="clear" w:color="auto" w:fill="auto"/>
            <w:vAlign w:val="center"/>
          </w:tcPr>
          <w:p w14:paraId="1A2C99D5">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不含税</w:t>
            </w:r>
          </w:p>
          <w:p w14:paraId="2BD019C6">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综合单价</w:t>
            </w:r>
          </w:p>
          <w:p w14:paraId="6166BFA4">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（元）</w:t>
            </w:r>
          </w:p>
        </w:tc>
        <w:tc>
          <w:tcPr>
            <w:tcW w:w="466" w:type="pct"/>
            <w:shd w:val="clear" w:color="auto" w:fill="auto"/>
            <w:vAlign w:val="center"/>
          </w:tcPr>
          <w:p w14:paraId="109D4DAA">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不含税</w:t>
            </w:r>
          </w:p>
          <w:p w14:paraId="08FC39F9">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合价</w:t>
            </w:r>
          </w:p>
          <w:p w14:paraId="77AC393D">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（元）</w:t>
            </w:r>
          </w:p>
        </w:tc>
        <w:tc>
          <w:tcPr>
            <w:tcW w:w="339" w:type="pct"/>
            <w:shd w:val="clear" w:color="auto" w:fill="auto"/>
            <w:vAlign w:val="center"/>
          </w:tcPr>
          <w:p w14:paraId="162D509C">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增值</w:t>
            </w:r>
          </w:p>
          <w:p w14:paraId="5928CDE8">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税率</w:t>
            </w:r>
          </w:p>
        </w:tc>
        <w:tc>
          <w:tcPr>
            <w:tcW w:w="591" w:type="pct"/>
            <w:shd w:val="clear" w:color="auto" w:fill="auto"/>
            <w:vAlign w:val="center"/>
          </w:tcPr>
          <w:p w14:paraId="4E3D640E">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含税</w:t>
            </w:r>
          </w:p>
          <w:p w14:paraId="66401E32">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综合单价</w:t>
            </w:r>
          </w:p>
          <w:p w14:paraId="68A749C8">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 xml:space="preserve">（元）  </w:t>
            </w:r>
          </w:p>
        </w:tc>
        <w:tc>
          <w:tcPr>
            <w:tcW w:w="466" w:type="pct"/>
            <w:shd w:val="clear" w:color="auto" w:fill="auto"/>
            <w:vAlign w:val="center"/>
          </w:tcPr>
          <w:p w14:paraId="1B03AE7C">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含税</w:t>
            </w:r>
          </w:p>
          <w:p w14:paraId="0519227D">
            <w:pPr>
              <w:widowControl/>
              <w:snapToGrid w:val="0"/>
              <w:jc w:val="center"/>
              <w:textAlignment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合价</w:t>
            </w:r>
          </w:p>
          <w:p w14:paraId="6B596A28">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 xml:space="preserve">（元）  </w:t>
            </w:r>
          </w:p>
        </w:tc>
        <w:tc>
          <w:tcPr>
            <w:tcW w:w="345" w:type="pct"/>
            <w:shd w:val="clear" w:color="auto" w:fill="auto"/>
            <w:vAlign w:val="center"/>
          </w:tcPr>
          <w:p w14:paraId="16A5B0A1">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lang w:bidi="ar"/>
                <w14:textFill>
                  <w14:solidFill>
                    <w14:schemeClr w14:val="tx1"/>
                  </w14:solidFill>
                </w14:textFill>
              </w:rPr>
              <w:t>备注</w:t>
            </w:r>
          </w:p>
        </w:tc>
      </w:tr>
      <w:tr w14:paraId="6526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17A75210">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eastAsia="仿宋_GB2312"/>
                <w:sz w:val="18"/>
                <w:szCs w:val="18"/>
                <w:highlight w:val="none"/>
              </w:rPr>
              <w:t>1</w:t>
            </w:r>
          </w:p>
        </w:tc>
        <w:tc>
          <w:tcPr>
            <w:tcW w:w="994" w:type="dxa"/>
            <w:shd w:val="clear" w:color="auto" w:fill="auto"/>
            <w:vAlign w:val="center"/>
          </w:tcPr>
          <w:p w14:paraId="4F531054">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基层石料</w:t>
            </w:r>
          </w:p>
        </w:tc>
        <w:tc>
          <w:tcPr>
            <w:tcW w:w="995" w:type="dxa"/>
            <w:shd w:val="clear" w:color="auto" w:fill="auto"/>
            <w:vAlign w:val="center"/>
          </w:tcPr>
          <w:p w14:paraId="3FEA0D05">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10-30mm</w:t>
            </w:r>
          </w:p>
        </w:tc>
        <w:tc>
          <w:tcPr>
            <w:tcW w:w="572" w:type="dxa"/>
            <w:shd w:val="clear" w:color="auto" w:fill="auto"/>
            <w:vAlign w:val="center"/>
          </w:tcPr>
          <w:p w14:paraId="7249D742">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1D4DCDC4">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37800</w:t>
            </w:r>
          </w:p>
        </w:tc>
        <w:tc>
          <w:tcPr>
            <w:tcW w:w="591" w:type="pct"/>
            <w:shd w:val="clear" w:color="auto" w:fill="auto"/>
            <w:noWrap/>
            <w:vAlign w:val="center"/>
          </w:tcPr>
          <w:p w14:paraId="1598DC94">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4B157C74">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39" w:type="pct"/>
            <w:shd w:val="clear" w:color="auto" w:fill="auto"/>
            <w:noWrap/>
            <w:vAlign w:val="center"/>
          </w:tcPr>
          <w:p w14:paraId="38DD853D">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91" w:type="pct"/>
            <w:shd w:val="clear" w:color="auto" w:fill="auto"/>
            <w:noWrap/>
            <w:vAlign w:val="center"/>
          </w:tcPr>
          <w:p w14:paraId="3A7CFC4D">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1A5C801D">
            <w:pPr>
              <w:widowControl/>
              <w:snapToGrid w:val="0"/>
              <w:jc w:val="center"/>
              <w:textAlignment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45" w:type="pct"/>
            <w:shd w:val="clear" w:color="auto" w:fill="auto"/>
            <w:vAlign w:val="center"/>
          </w:tcPr>
          <w:p w14:paraId="03FEBEEF">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4DEA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540E82BC">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eastAsia="仿宋_GB2312"/>
                <w:sz w:val="18"/>
                <w:szCs w:val="18"/>
                <w:highlight w:val="none"/>
              </w:rPr>
              <w:t>2</w:t>
            </w:r>
          </w:p>
        </w:tc>
        <w:tc>
          <w:tcPr>
            <w:tcW w:w="994" w:type="dxa"/>
            <w:shd w:val="clear" w:color="auto" w:fill="auto"/>
            <w:vAlign w:val="center"/>
          </w:tcPr>
          <w:p w14:paraId="2E9E49D7">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基层石料</w:t>
            </w:r>
          </w:p>
        </w:tc>
        <w:tc>
          <w:tcPr>
            <w:tcW w:w="995" w:type="dxa"/>
            <w:shd w:val="clear" w:color="auto" w:fill="auto"/>
            <w:vAlign w:val="center"/>
          </w:tcPr>
          <w:p w14:paraId="1A28AFDD">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10-20mm</w:t>
            </w:r>
          </w:p>
        </w:tc>
        <w:tc>
          <w:tcPr>
            <w:tcW w:w="572" w:type="dxa"/>
            <w:shd w:val="clear" w:color="auto" w:fill="auto"/>
            <w:noWrap/>
            <w:vAlign w:val="center"/>
          </w:tcPr>
          <w:p w14:paraId="6B1F3218">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1B68454F">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49100</w:t>
            </w:r>
          </w:p>
        </w:tc>
        <w:tc>
          <w:tcPr>
            <w:tcW w:w="591" w:type="pct"/>
            <w:shd w:val="clear" w:color="auto" w:fill="auto"/>
            <w:noWrap/>
            <w:vAlign w:val="center"/>
          </w:tcPr>
          <w:p w14:paraId="2A3BD8E5">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12AD1F2A">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39" w:type="pct"/>
            <w:shd w:val="clear" w:color="auto" w:fill="auto"/>
            <w:noWrap/>
            <w:vAlign w:val="center"/>
          </w:tcPr>
          <w:p w14:paraId="07B4BC16">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91" w:type="pct"/>
            <w:shd w:val="clear" w:color="auto" w:fill="auto"/>
            <w:noWrap/>
            <w:vAlign w:val="center"/>
          </w:tcPr>
          <w:p w14:paraId="7497ECD6">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0D3EB7B8">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45" w:type="pct"/>
            <w:shd w:val="clear" w:color="auto" w:fill="auto"/>
            <w:noWrap/>
            <w:vAlign w:val="center"/>
          </w:tcPr>
          <w:p w14:paraId="1D95F757">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7755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3427EB93">
            <w:pPr>
              <w:spacing w:line="500" w:lineRule="exact"/>
              <w:jc w:val="center"/>
              <w:rPr>
                <w:rFonts w:ascii="仿宋_GB2312" w:hAnsi="仿宋_GB2312" w:eastAsia="仿宋_GB2312" w:cs="仿宋_GB2312"/>
                <w:color w:val="000000" w:themeColor="text1"/>
                <w:kern w:val="0"/>
                <w:sz w:val="18"/>
                <w:szCs w:val="18"/>
                <w:highlight w:val="none"/>
                <w:lang w:bidi="ar"/>
                <w14:textFill>
                  <w14:solidFill>
                    <w14:schemeClr w14:val="tx1"/>
                  </w14:solidFill>
                </w14:textFill>
              </w:rPr>
            </w:pPr>
            <w:r>
              <w:rPr>
                <w:rFonts w:hint="eastAsia" w:ascii="仿宋_GB2312" w:eastAsia="仿宋_GB2312"/>
                <w:sz w:val="18"/>
                <w:szCs w:val="18"/>
                <w:highlight w:val="none"/>
              </w:rPr>
              <w:t>3</w:t>
            </w:r>
          </w:p>
        </w:tc>
        <w:tc>
          <w:tcPr>
            <w:tcW w:w="994" w:type="dxa"/>
            <w:shd w:val="clear" w:color="auto" w:fill="auto"/>
            <w:vAlign w:val="center"/>
          </w:tcPr>
          <w:p w14:paraId="48470D90">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基层石料</w:t>
            </w:r>
          </w:p>
        </w:tc>
        <w:tc>
          <w:tcPr>
            <w:tcW w:w="995" w:type="dxa"/>
            <w:shd w:val="clear" w:color="auto" w:fill="auto"/>
            <w:vAlign w:val="center"/>
          </w:tcPr>
          <w:p w14:paraId="01E95510">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5-10mm</w:t>
            </w:r>
          </w:p>
        </w:tc>
        <w:tc>
          <w:tcPr>
            <w:tcW w:w="572" w:type="dxa"/>
            <w:shd w:val="clear" w:color="auto" w:fill="auto"/>
            <w:noWrap/>
            <w:vAlign w:val="center"/>
          </w:tcPr>
          <w:p w14:paraId="1EB054B4">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796F24F0">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50400</w:t>
            </w:r>
          </w:p>
        </w:tc>
        <w:tc>
          <w:tcPr>
            <w:tcW w:w="591" w:type="pct"/>
            <w:shd w:val="clear" w:color="auto" w:fill="auto"/>
            <w:noWrap/>
            <w:vAlign w:val="center"/>
          </w:tcPr>
          <w:p w14:paraId="0259D286">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30BB6801">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39" w:type="pct"/>
            <w:shd w:val="clear" w:color="auto" w:fill="auto"/>
            <w:noWrap/>
            <w:vAlign w:val="center"/>
          </w:tcPr>
          <w:p w14:paraId="603E84F1">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91" w:type="pct"/>
            <w:shd w:val="clear" w:color="auto" w:fill="auto"/>
            <w:noWrap/>
            <w:vAlign w:val="center"/>
          </w:tcPr>
          <w:p w14:paraId="05D9D590">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noWrap/>
            <w:vAlign w:val="center"/>
          </w:tcPr>
          <w:p w14:paraId="6D2AB699">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45" w:type="pct"/>
            <w:shd w:val="clear" w:color="auto" w:fill="auto"/>
            <w:noWrap/>
            <w:vAlign w:val="center"/>
          </w:tcPr>
          <w:p w14:paraId="6772BE62">
            <w:pPr>
              <w:widowControl/>
              <w:snapToGrid w:val="0"/>
              <w:spacing w:line="400" w:lineRule="atLeast"/>
              <w:jc w:val="center"/>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243A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35A48D89">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4</w:t>
            </w:r>
          </w:p>
        </w:tc>
        <w:tc>
          <w:tcPr>
            <w:tcW w:w="994" w:type="dxa"/>
            <w:shd w:val="clear" w:color="auto" w:fill="auto"/>
            <w:vAlign w:val="center"/>
          </w:tcPr>
          <w:p w14:paraId="0A8E310D">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基层石料</w:t>
            </w:r>
          </w:p>
        </w:tc>
        <w:tc>
          <w:tcPr>
            <w:tcW w:w="995" w:type="dxa"/>
            <w:shd w:val="clear" w:color="auto" w:fill="auto"/>
            <w:vAlign w:val="center"/>
          </w:tcPr>
          <w:p w14:paraId="2AE64335">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石粉</w:t>
            </w:r>
          </w:p>
        </w:tc>
        <w:tc>
          <w:tcPr>
            <w:tcW w:w="572" w:type="dxa"/>
            <w:shd w:val="clear" w:color="auto" w:fill="auto"/>
            <w:vAlign w:val="center"/>
          </w:tcPr>
          <w:p w14:paraId="6D9351A1">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2B1F6999">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62000</w:t>
            </w:r>
          </w:p>
        </w:tc>
        <w:tc>
          <w:tcPr>
            <w:tcW w:w="591" w:type="pct"/>
            <w:shd w:val="clear" w:color="auto" w:fill="auto"/>
            <w:vAlign w:val="center"/>
          </w:tcPr>
          <w:p w14:paraId="152783C7">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vAlign w:val="center"/>
          </w:tcPr>
          <w:p w14:paraId="185B845C">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39" w:type="pct"/>
            <w:shd w:val="clear" w:color="auto" w:fill="auto"/>
            <w:vAlign w:val="center"/>
          </w:tcPr>
          <w:p w14:paraId="44E82D1C">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91" w:type="pct"/>
            <w:shd w:val="clear" w:color="auto" w:fill="auto"/>
            <w:vAlign w:val="center"/>
          </w:tcPr>
          <w:p w14:paraId="50DB5615">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vAlign w:val="center"/>
          </w:tcPr>
          <w:p w14:paraId="1A60D933">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45" w:type="pct"/>
            <w:shd w:val="clear" w:color="auto" w:fill="auto"/>
            <w:vAlign w:val="center"/>
          </w:tcPr>
          <w:p w14:paraId="4152E340">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19FC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7809F0D3">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5</w:t>
            </w:r>
          </w:p>
        </w:tc>
        <w:tc>
          <w:tcPr>
            <w:tcW w:w="994" w:type="dxa"/>
            <w:shd w:val="clear" w:color="auto" w:fill="auto"/>
            <w:vAlign w:val="center"/>
          </w:tcPr>
          <w:p w14:paraId="6BD5EFA9">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24B33366">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10-20mm</w:t>
            </w:r>
          </w:p>
        </w:tc>
        <w:tc>
          <w:tcPr>
            <w:tcW w:w="572" w:type="dxa"/>
            <w:shd w:val="clear" w:color="auto" w:fill="auto"/>
            <w:vAlign w:val="center"/>
          </w:tcPr>
          <w:p w14:paraId="36EF8480">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68088786">
            <w:pPr>
              <w:spacing w:line="500" w:lineRule="exact"/>
              <w:jc w:val="center"/>
              <w:rPr>
                <w:rFonts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12500</w:t>
            </w:r>
          </w:p>
        </w:tc>
        <w:tc>
          <w:tcPr>
            <w:tcW w:w="591" w:type="pct"/>
            <w:shd w:val="clear" w:color="auto" w:fill="auto"/>
            <w:vAlign w:val="center"/>
          </w:tcPr>
          <w:p w14:paraId="300B4EB4">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vAlign w:val="center"/>
          </w:tcPr>
          <w:p w14:paraId="0164BE0D">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39" w:type="pct"/>
            <w:shd w:val="clear" w:color="auto" w:fill="auto"/>
            <w:vAlign w:val="center"/>
          </w:tcPr>
          <w:p w14:paraId="3821D881">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591" w:type="pct"/>
            <w:shd w:val="clear" w:color="auto" w:fill="auto"/>
            <w:vAlign w:val="center"/>
          </w:tcPr>
          <w:p w14:paraId="1304871E">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466" w:type="pct"/>
            <w:shd w:val="clear" w:color="auto" w:fill="auto"/>
            <w:vAlign w:val="center"/>
          </w:tcPr>
          <w:p w14:paraId="00F94D64">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c>
          <w:tcPr>
            <w:tcW w:w="345" w:type="pct"/>
            <w:shd w:val="clear" w:color="auto" w:fill="auto"/>
            <w:vAlign w:val="center"/>
          </w:tcPr>
          <w:p w14:paraId="7EAFC1F1">
            <w:pPr>
              <w:widowControl/>
              <w:snapToGrid w:val="0"/>
              <w:jc w:val="left"/>
              <w:rPr>
                <w:rFonts w:ascii="仿宋_GB2312" w:hAnsi="仿宋_GB2312" w:eastAsia="仿宋_GB2312" w:cs="仿宋_GB2312"/>
                <w:color w:val="000000" w:themeColor="text1"/>
                <w:sz w:val="18"/>
                <w:szCs w:val="18"/>
                <w:highlight w:val="none"/>
                <w14:textFill>
                  <w14:solidFill>
                    <w14:schemeClr w14:val="tx1"/>
                  </w14:solidFill>
                </w14:textFill>
              </w:rPr>
            </w:pPr>
          </w:p>
        </w:tc>
      </w:tr>
      <w:tr w14:paraId="583C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35569371">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6</w:t>
            </w:r>
          </w:p>
        </w:tc>
        <w:tc>
          <w:tcPr>
            <w:tcW w:w="994" w:type="dxa"/>
            <w:shd w:val="clear" w:color="auto" w:fill="auto"/>
            <w:vAlign w:val="center"/>
          </w:tcPr>
          <w:p w14:paraId="7D678D4F">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7CF6E9D5">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10-15mm</w:t>
            </w:r>
          </w:p>
        </w:tc>
        <w:tc>
          <w:tcPr>
            <w:tcW w:w="572" w:type="dxa"/>
            <w:shd w:val="clear" w:color="auto" w:fill="auto"/>
            <w:vAlign w:val="center"/>
          </w:tcPr>
          <w:p w14:paraId="73BE1F98">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568EF053">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8800</w:t>
            </w:r>
          </w:p>
        </w:tc>
        <w:tc>
          <w:tcPr>
            <w:tcW w:w="591" w:type="pct"/>
            <w:shd w:val="clear" w:color="auto" w:fill="auto"/>
            <w:vAlign w:val="center"/>
          </w:tcPr>
          <w:p w14:paraId="34BA277C">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7870F10D">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39" w:type="pct"/>
            <w:shd w:val="clear" w:color="auto" w:fill="auto"/>
            <w:vAlign w:val="center"/>
          </w:tcPr>
          <w:p w14:paraId="3222A40B">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591" w:type="pct"/>
            <w:shd w:val="clear" w:color="auto" w:fill="auto"/>
            <w:vAlign w:val="center"/>
          </w:tcPr>
          <w:p w14:paraId="139082C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132E88D9">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45" w:type="pct"/>
            <w:shd w:val="clear" w:color="auto" w:fill="auto"/>
            <w:vAlign w:val="center"/>
          </w:tcPr>
          <w:p w14:paraId="1E23263E">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r>
      <w:tr w14:paraId="5B3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29EED50A">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7</w:t>
            </w:r>
          </w:p>
        </w:tc>
        <w:tc>
          <w:tcPr>
            <w:tcW w:w="994" w:type="dxa"/>
            <w:shd w:val="clear" w:color="auto" w:fill="auto"/>
            <w:vAlign w:val="center"/>
          </w:tcPr>
          <w:p w14:paraId="712466CE">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3A2C8456">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5-10mm</w:t>
            </w:r>
          </w:p>
        </w:tc>
        <w:tc>
          <w:tcPr>
            <w:tcW w:w="572" w:type="dxa"/>
            <w:shd w:val="clear" w:color="auto" w:fill="auto"/>
            <w:vAlign w:val="center"/>
          </w:tcPr>
          <w:p w14:paraId="089F7DBC">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213F2ED6">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15500</w:t>
            </w:r>
          </w:p>
        </w:tc>
        <w:tc>
          <w:tcPr>
            <w:tcW w:w="591" w:type="pct"/>
            <w:shd w:val="clear" w:color="auto" w:fill="auto"/>
            <w:vAlign w:val="center"/>
          </w:tcPr>
          <w:p w14:paraId="1B78A0AC">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602B616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39" w:type="pct"/>
            <w:shd w:val="clear" w:color="auto" w:fill="auto"/>
            <w:vAlign w:val="center"/>
          </w:tcPr>
          <w:p w14:paraId="43E74A1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591" w:type="pct"/>
            <w:shd w:val="clear" w:color="auto" w:fill="auto"/>
            <w:vAlign w:val="center"/>
          </w:tcPr>
          <w:p w14:paraId="1571E31D">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6EF1827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45" w:type="pct"/>
            <w:shd w:val="clear" w:color="auto" w:fill="auto"/>
            <w:vAlign w:val="center"/>
          </w:tcPr>
          <w:p w14:paraId="3BED4798">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r>
      <w:tr w14:paraId="083A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4EDBFE1D">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8</w:t>
            </w:r>
          </w:p>
        </w:tc>
        <w:tc>
          <w:tcPr>
            <w:tcW w:w="994" w:type="dxa"/>
            <w:shd w:val="clear" w:color="auto" w:fill="auto"/>
            <w:vAlign w:val="center"/>
          </w:tcPr>
          <w:p w14:paraId="4C686E30">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3DA05F06">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3-5mm</w:t>
            </w:r>
          </w:p>
        </w:tc>
        <w:tc>
          <w:tcPr>
            <w:tcW w:w="572" w:type="dxa"/>
            <w:shd w:val="clear" w:color="auto" w:fill="auto"/>
            <w:vAlign w:val="center"/>
          </w:tcPr>
          <w:p w14:paraId="6BD0F94C">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3C8D4AF1">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7200</w:t>
            </w:r>
          </w:p>
        </w:tc>
        <w:tc>
          <w:tcPr>
            <w:tcW w:w="591" w:type="pct"/>
            <w:shd w:val="clear" w:color="auto" w:fill="auto"/>
            <w:vAlign w:val="center"/>
          </w:tcPr>
          <w:p w14:paraId="69F03EA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7B973D20">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39" w:type="pct"/>
            <w:shd w:val="clear" w:color="auto" w:fill="auto"/>
            <w:vAlign w:val="center"/>
          </w:tcPr>
          <w:p w14:paraId="7E088328">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591" w:type="pct"/>
            <w:shd w:val="clear" w:color="auto" w:fill="auto"/>
            <w:vAlign w:val="center"/>
          </w:tcPr>
          <w:p w14:paraId="5F72AAB2">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3B311D0D">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45" w:type="pct"/>
            <w:shd w:val="clear" w:color="auto" w:fill="auto"/>
            <w:vAlign w:val="center"/>
          </w:tcPr>
          <w:p w14:paraId="0EBD8D3A">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r>
      <w:tr w14:paraId="1911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55EC072A">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9</w:t>
            </w:r>
          </w:p>
        </w:tc>
        <w:tc>
          <w:tcPr>
            <w:tcW w:w="994" w:type="dxa"/>
            <w:shd w:val="clear" w:color="auto" w:fill="auto"/>
            <w:vAlign w:val="center"/>
          </w:tcPr>
          <w:p w14:paraId="6C5E2F5E">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6CDEDC9B">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机制砂</w:t>
            </w:r>
          </w:p>
        </w:tc>
        <w:tc>
          <w:tcPr>
            <w:tcW w:w="572" w:type="dxa"/>
            <w:shd w:val="clear" w:color="auto" w:fill="auto"/>
            <w:vAlign w:val="center"/>
          </w:tcPr>
          <w:p w14:paraId="5D5ED8F3">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39CDB447">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19600</w:t>
            </w:r>
          </w:p>
        </w:tc>
        <w:tc>
          <w:tcPr>
            <w:tcW w:w="591" w:type="pct"/>
            <w:shd w:val="clear" w:color="auto" w:fill="auto"/>
            <w:vAlign w:val="center"/>
          </w:tcPr>
          <w:p w14:paraId="6CF336A8">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790A5F0F">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39" w:type="pct"/>
            <w:shd w:val="clear" w:color="auto" w:fill="auto"/>
            <w:vAlign w:val="center"/>
          </w:tcPr>
          <w:p w14:paraId="48A26B3C">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591" w:type="pct"/>
            <w:shd w:val="clear" w:color="auto" w:fill="auto"/>
            <w:vAlign w:val="center"/>
          </w:tcPr>
          <w:p w14:paraId="749325F7">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6245887E">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45" w:type="pct"/>
            <w:shd w:val="clear" w:color="auto" w:fill="auto"/>
            <w:vAlign w:val="center"/>
          </w:tcPr>
          <w:p w14:paraId="1D5EE0F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r>
      <w:tr w14:paraId="1E99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69" w:type="dxa"/>
            <w:shd w:val="clear" w:color="auto" w:fill="auto"/>
            <w:vAlign w:val="center"/>
          </w:tcPr>
          <w:p w14:paraId="4F4F88DA">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10</w:t>
            </w:r>
          </w:p>
        </w:tc>
        <w:tc>
          <w:tcPr>
            <w:tcW w:w="994" w:type="dxa"/>
            <w:shd w:val="clear" w:color="auto" w:fill="auto"/>
            <w:vAlign w:val="center"/>
          </w:tcPr>
          <w:p w14:paraId="7751A015">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沥青石料</w:t>
            </w:r>
          </w:p>
        </w:tc>
        <w:tc>
          <w:tcPr>
            <w:tcW w:w="995" w:type="dxa"/>
            <w:shd w:val="clear" w:color="auto" w:fill="auto"/>
            <w:vAlign w:val="center"/>
          </w:tcPr>
          <w:p w14:paraId="67327F47">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矿粉</w:t>
            </w:r>
          </w:p>
        </w:tc>
        <w:tc>
          <w:tcPr>
            <w:tcW w:w="572" w:type="dxa"/>
            <w:shd w:val="clear" w:color="auto" w:fill="auto"/>
            <w:vAlign w:val="center"/>
          </w:tcPr>
          <w:p w14:paraId="1E988B46">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吨</w:t>
            </w:r>
          </w:p>
        </w:tc>
        <w:tc>
          <w:tcPr>
            <w:tcW w:w="575" w:type="dxa"/>
            <w:shd w:val="clear" w:color="auto" w:fill="auto"/>
            <w:vAlign w:val="center"/>
          </w:tcPr>
          <w:p w14:paraId="27134733">
            <w:pPr>
              <w:spacing w:line="500" w:lineRule="exact"/>
              <w:jc w:val="center"/>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仿宋" w:eastAsia="仿宋_GB2312"/>
                <w:bCs/>
                <w:color w:val="000000" w:themeColor="text1"/>
                <w:sz w:val="18"/>
                <w:szCs w:val="18"/>
                <w:highlight w:val="none"/>
                <w:lang w:val="en-US" w:eastAsia="zh-CN"/>
                <w14:textFill>
                  <w14:solidFill>
                    <w14:schemeClr w14:val="tx1"/>
                  </w14:solidFill>
                </w14:textFill>
              </w:rPr>
              <w:t>2000</w:t>
            </w:r>
          </w:p>
        </w:tc>
        <w:tc>
          <w:tcPr>
            <w:tcW w:w="591" w:type="pct"/>
            <w:shd w:val="clear" w:color="auto" w:fill="auto"/>
            <w:vAlign w:val="center"/>
          </w:tcPr>
          <w:p w14:paraId="1AE506C7">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3DC31683">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39" w:type="pct"/>
            <w:shd w:val="clear" w:color="auto" w:fill="auto"/>
            <w:vAlign w:val="center"/>
          </w:tcPr>
          <w:p w14:paraId="29DEC09D">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591" w:type="pct"/>
            <w:shd w:val="clear" w:color="auto" w:fill="auto"/>
            <w:vAlign w:val="center"/>
          </w:tcPr>
          <w:p w14:paraId="1C28F255">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466" w:type="pct"/>
            <w:shd w:val="clear" w:color="auto" w:fill="auto"/>
            <w:vAlign w:val="center"/>
          </w:tcPr>
          <w:p w14:paraId="7DF052A2">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c>
          <w:tcPr>
            <w:tcW w:w="345" w:type="pct"/>
            <w:shd w:val="clear" w:color="auto" w:fill="auto"/>
            <w:vAlign w:val="center"/>
          </w:tcPr>
          <w:p w14:paraId="3E4D3ED4">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p>
        </w:tc>
      </w:tr>
      <w:tr w14:paraId="2D93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000" w:type="pct"/>
            <w:gridSpan w:val="11"/>
            <w:shd w:val="clear" w:color="auto" w:fill="auto"/>
            <w:vAlign w:val="center"/>
          </w:tcPr>
          <w:p w14:paraId="58FD4654">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宋体" w:eastAsia="仿宋_GB2312"/>
                <w:b/>
                <w:bCs/>
                <w:color w:val="000000" w:themeColor="text1"/>
                <w:sz w:val="18"/>
                <w:szCs w:val="18"/>
                <w:highlight w:val="none"/>
                <w14:textFill>
                  <w14:solidFill>
                    <w14:schemeClr w14:val="tx1"/>
                  </w14:solidFill>
                </w14:textFill>
              </w:rPr>
              <w:t>不含增值税总价（暂定）</w:t>
            </w:r>
            <w:r>
              <w:rPr>
                <w:rFonts w:hint="eastAsia" w:ascii="仿宋_GB2312" w:hAnsi="宋体" w:eastAsia="仿宋_GB2312"/>
                <w:color w:val="000000" w:themeColor="text1"/>
                <w:sz w:val="18"/>
                <w:szCs w:val="18"/>
                <w:highlight w:val="none"/>
                <w14:textFill>
                  <w14:solidFill>
                    <w14:schemeClr w14:val="tx1"/>
                  </w14:solidFill>
                </w14:textFill>
              </w:rPr>
              <w:t>：人民币</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宋体" w:eastAsia="仿宋_GB2312"/>
                <w:color w:val="000000" w:themeColor="text1"/>
                <w:sz w:val="18"/>
                <w:szCs w:val="18"/>
                <w:highlight w:val="none"/>
                <w14:textFill>
                  <w14:solidFill>
                    <w14:schemeClr w14:val="tx1"/>
                  </w14:solidFill>
                </w14:textFill>
              </w:rPr>
              <w:t>元（大写：</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宋体" w:eastAsia="仿宋_GB2312"/>
                <w:color w:val="000000" w:themeColor="text1"/>
                <w:sz w:val="18"/>
                <w:szCs w:val="18"/>
                <w:highlight w:val="none"/>
                <w14:textFill>
                  <w14:solidFill>
                    <w14:schemeClr w14:val="tx1"/>
                  </w14:solidFill>
                </w14:textFill>
              </w:rPr>
              <w:t>元 ）；</w:t>
            </w:r>
          </w:p>
        </w:tc>
      </w:tr>
      <w:tr w14:paraId="6C49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000" w:type="pct"/>
            <w:gridSpan w:val="11"/>
            <w:shd w:val="clear" w:color="auto" w:fill="auto"/>
            <w:vAlign w:val="center"/>
          </w:tcPr>
          <w:p w14:paraId="56106E1E">
            <w:pPr>
              <w:widowControl/>
              <w:snapToGrid w:val="0"/>
              <w:jc w:val="left"/>
              <w:rPr>
                <w:rFonts w:hint="eastAsia" w:ascii="仿宋_GB2312" w:hAnsi="宋体" w:eastAsia="仿宋_GB2312"/>
                <w:b/>
                <w:bCs/>
                <w:color w:val="000000" w:themeColor="text1"/>
                <w:sz w:val="18"/>
                <w:szCs w:val="18"/>
                <w:highlight w:val="none"/>
                <w14:textFill>
                  <w14:solidFill>
                    <w14:schemeClr w14:val="tx1"/>
                  </w14:solidFill>
                </w14:textFill>
              </w:rPr>
            </w:pPr>
            <w:r>
              <w:rPr>
                <w:rFonts w:hint="eastAsia" w:ascii="仿宋_GB2312" w:hAnsi="宋体" w:eastAsia="仿宋_GB2312"/>
                <w:b/>
                <w:bCs/>
                <w:color w:val="000000" w:themeColor="text1"/>
                <w:sz w:val="18"/>
                <w:szCs w:val="18"/>
                <w:highlight w:val="none"/>
                <w14:textFill>
                  <w14:solidFill>
                    <w14:schemeClr w14:val="tx1"/>
                  </w14:solidFill>
                </w14:textFill>
              </w:rPr>
              <w:t>含增值税总价（暂定）</w:t>
            </w:r>
            <w:r>
              <w:rPr>
                <w:rFonts w:hint="eastAsia" w:ascii="仿宋_GB2312" w:hAnsi="宋体" w:eastAsia="仿宋_GB2312"/>
                <w:color w:val="000000" w:themeColor="text1"/>
                <w:sz w:val="18"/>
                <w:szCs w:val="18"/>
                <w:highlight w:val="none"/>
                <w14:textFill>
                  <w14:solidFill>
                    <w14:schemeClr w14:val="tx1"/>
                  </w14:solidFill>
                </w14:textFill>
              </w:rPr>
              <w:t>：</w:t>
            </w:r>
            <w:r>
              <w:rPr>
                <w:rFonts w:hint="eastAsia" w:ascii="仿宋_GB2312" w:hAnsi="仿宋_GB2312" w:eastAsia="仿宋_GB2312" w:cs="仿宋_GB2312"/>
                <w:color w:val="000000" w:themeColor="text1"/>
                <w:sz w:val="18"/>
                <w:szCs w:val="18"/>
                <w:highlight w:val="none"/>
                <w14:textFill>
                  <w14:solidFill>
                    <w14:schemeClr w14:val="tx1"/>
                  </w14:solidFill>
                </w14:textFill>
              </w:rPr>
              <w:t>不含增值税暂定总价*（1+增值税税率）=</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14:textFill>
                  <w14:solidFill>
                    <w14:schemeClr w14:val="tx1"/>
                  </w14:solidFill>
                </w14:textFill>
              </w:rPr>
              <w:t>元（大写：</w:t>
            </w:r>
            <w:r>
              <w:rPr>
                <w:rFonts w:hint="eastAsia" w:ascii="仿宋_GB2312" w:hAnsi="仿宋_GB2312" w:eastAsia="仿宋_GB2312" w:cs="仿宋_GB2312"/>
                <w:color w:val="000000" w:themeColor="text1"/>
                <w:sz w:val="18"/>
                <w:szCs w:val="1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14:textFill>
                  <w14:solidFill>
                    <w14:schemeClr w14:val="tx1"/>
                  </w14:solidFill>
                </w14:textFill>
              </w:rPr>
              <w:t>元）</w:t>
            </w:r>
          </w:p>
        </w:tc>
      </w:tr>
      <w:permEnd w:id="8"/>
    </w:tbl>
    <w:p w14:paraId="234E6327">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说明：</w:t>
      </w:r>
    </w:p>
    <w:p w14:paraId="453384E8">
      <w:pPr>
        <w:pStyle w:val="14"/>
        <w:numPr>
          <w:ilvl w:val="0"/>
          <w:numId w:val="2"/>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合同单价：</w:t>
      </w:r>
      <w:r>
        <w:rPr>
          <w:rFonts w:hint="eastAsia" w:ascii="仿宋_GB2312" w:hAnsi="仿宋_GB2312" w:eastAsia="仿宋_GB2312" w:cs="仿宋_GB2312"/>
          <w:color w:val="000000" w:themeColor="text1"/>
          <w:highlight w:val="none"/>
          <w14:textFill>
            <w14:solidFill>
              <w14:schemeClr w14:val="tx1"/>
            </w14:solidFill>
          </w14:textFill>
        </w:rPr>
        <w:t>本合同综合单价适用第</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Start w:id="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1.1  </w:t>
      </w:r>
      <w:permEnd w:id="9"/>
      <w:r>
        <w:rPr>
          <w:rFonts w:hint="eastAsia" w:ascii="仿宋_GB2312" w:hAnsi="仿宋_GB2312" w:eastAsia="仿宋_GB2312" w:cs="仿宋_GB2312"/>
          <w:color w:val="000000" w:themeColor="text1"/>
          <w:highlight w:val="none"/>
          <w14:textFill>
            <w14:solidFill>
              <w14:schemeClr w14:val="tx1"/>
            </w14:solidFill>
          </w14:textFill>
        </w:rPr>
        <w:t>条</w:t>
      </w:r>
    </w:p>
    <w:p w14:paraId="4BFCA958">
      <w:pPr>
        <w:pStyle w:val="14"/>
        <w:numPr>
          <w:ilvl w:val="255"/>
          <w:numId w:val="0"/>
        </w:numPr>
        <w:spacing w:line="400" w:lineRule="atLeast"/>
        <w:ind w:firstLine="482" w:firstLineChars="200"/>
        <w:rPr>
          <w:rFonts w:ascii="仿宋_GB2312" w:hAnsi="仿宋_GB2312" w:eastAsia="仿宋_GB2312" w:cs="仿宋_GB2312"/>
          <w:b/>
          <w:bCs/>
          <w:color w:val="000000" w:themeColor="text1"/>
          <w:highlight w:val="none"/>
          <w:u w:val="singl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1.1本合同为</w:t>
      </w:r>
      <w:r>
        <w:rPr>
          <w:rFonts w:hint="eastAsia" w:ascii="仿宋_GB2312" w:hAnsi="仿宋_GB2312" w:eastAsia="仿宋_GB2312" w:cs="仿宋_GB2312"/>
          <w:b/>
          <w:bCs/>
          <w:color w:val="000000" w:themeColor="text1"/>
          <w:highlight w:val="none"/>
          <w:lang w:eastAsia="zh-Hans"/>
          <w14:textFill>
            <w14:solidFill>
              <w14:schemeClr w14:val="tx1"/>
            </w14:solidFill>
          </w14:textFill>
        </w:rPr>
        <w:t>固定</w:t>
      </w:r>
      <w:r>
        <w:rPr>
          <w:rFonts w:hint="eastAsia" w:ascii="仿宋_GB2312" w:hAnsi="仿宋_GB2312" w:eastAsia="仿宋_GB2312" w:cs="仿宋_GB2312"/>
          <w:b/>
          <w:bCs/>
          <w:color w:val="000000" w:themeColor="text1"/>
          <w:highlight w:val="none"/>
          <w14:textFill>
            <w14:solidFill>
              <w14:schemeClr w14:val="tx1"/>
            </w14:solidFill>
          </w14:textFill>
        </w:rPr>
        <w:t>单价合同；</w:t>
      </w:r>
      <w:r>
        <w:rPr>
          <w:rFonts w:hint="eastAsia" w:ascii="仿宋_GB2312" w:hAnsi="仿宋_GB2312" w:eastAsia="仿宋_GB2312" w:cs="仿宋_GB2312"/>
          <w:b/>
          <w:bCs/>
          <w:color w:val="000000" w:themeColor="text1"/>
          <w:highlight w:val="none"/>
          <w:u w:val="single"/>
          <w14:textFill>
            <w14:solidFill>
              <w14:schemeClr w14:val="tx1"/>
            </w14:solidFill>
          </w14:textFill>
        </w:rPr>
        <w:t>不含增值税综合单价为物资运至工地的单价包括</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但不限于</w:t>
      </w:r>
      <w:r>
        <w:rPr>
          <w:rFonts w:hint="eastAsia" w:ascii="仿宋_GB2312" w:hAnsi="仿宋_GB2312" w:eastAsia="仿宋_GB2312" w:cs="仿宋_GB2312"/>
          <w:b/>
          <w:bCs/>
          <w:color w:val="000000" w:themeColor="text1"/>
          <w:highlight w:val="none"/>
          <w:u w:val="single"/>
          <w14:textFill>
            <w14:solidFill>
              <w14:schemeClr w14:val="tx1"/>
            </w14:solidFill>
          </w14:textFill>
        </w:rPr>
        <w:t>材料费（或设备费）、包装回收费、卸货前损耗费、安装指导费、调试费、检测费、卸货前保管费（如有）、税金、包装费、上车人力及机械资费（由乙方自行协调，甲方只进行指定场地和材料验收工作）、出库费、出厂检测费（包括但不限于到场后的第三方检测费用）</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、码放费、保险费、</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中转</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仓储费、驻厂监造费、运输造成的道路污染的清理及维修费用、</w:t>
      </w:r>
      <w:r>
        <w:rPr>
          <w:rFonts w:hint="eastAsia" w:ascii="仿宋_GB2312" w:hAnsi="仿宋_GB2312" w:eastAsia="仿宋_GB2312" w:cs="仿宋_GB2312"/>
          <w:b/>
          <w:bCs/>
          <w:color w:val="000000" w:themeColor="text1"/>
          <w:highlight w:val="none"/>
          <w:u w:val="single"/>
          <w14:textFill>
            <w14:solidFill>
              <w14:schemeClr w14:val="tx1"/>
            </w14:solidFill>
          </w14:textFill>
        </w:rPr>
        <w:t>出库吊装费、运输费、过江过桥费、高速公路费等，含工地卸货费挂钩卸车人工费</w:t>
      </w:r>
      <w:r>
        <w:rPr>
          <w:rFonts w:hint="eastAsia" w:ascii="仿宋_GB2312" w:hAnsi="仿宋_GB2312" w:eastAsia="仿宋_GB2312" w:cs="仿宋_GB2312"/>
          <w:b/>
          <w:bCs/>
          <w:color w:val="000000" w:themeColor="text1"/>
          <w:highlight w:val="none"/>
          <w:u w:val="single"/>
          <w:lang w:eastAsia="zh-CN"/>
          <w14:textFill>
            <w14:solidFill>
              <w14:schemeClr w14:val="tx1"/>
            </w14:solidFill>
          </w14:textFill>
        </w:rPr>
        <w:t>、</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资料费、财务费、</w:t>
      </w:r>
      <w:r>
        <w:rPr>
          <w:rFonts w:hint="eastAsia" w:ascii="仿宋_GB2312" w:hAnsi="仿宋_GB2312" w:eastAsia="仿宋_GB2312" w:cs="仿宋_GB2312"/>
          <w:b/>
          <w:bCs/>
          <w:color w:val="000000" w:themeColor="text1"/>
          <w:highlight w:val="none"/>
          <w:u w:val="single"/>
          <w14:textFill>
            <w14:solidFill>
              <w14:schemeClr w14:val="tx1"/>
            </w14:solidFill>
          </w14:textFill>
        </w:rPr>
        <w:t>乙方合理的利润、管理费、市场价格波动带来的风险、向有关部门缴纳的各项费用以及政策性文件所规定的各项应有费用等乙方履行本合同规定义务的全部价款与费税</w:t>
      </w:r>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等一切费用</w:t>
      </w:r>
      <w:r>
        <w:rPr>
          <w:rFonts w:hint="eastAsia" w:ascii="仿宋_GB2312" w:hAnsi="仿宋_GB2312" w:eastAsia="仿宋_GB2312" w:cs="仿宋_GB2312"/>
          <w:b/>
          <w:bCs/>
          <w:color w:val="000000" w:themeColor="text1"/>
          <w:highlight w:val="none"/>
          <w:u w:val="single"/>
          <w14:textFill>
            <w14:solidFill>
              <w14:schemeClr w14:val="tx1"/>
            </w14:solidFill>
          </w14:textFill>
        </w:rPr>
        <w:t>乙方不得以任何理由向甲方另行索要其它费用，，除本合同规定的因素外，不得因政府政策变动、市场环境改变、增值税以外其他税费税率调整等而调整。除合同条款另有约定外，乙方在合同签订前和签订时已确定采用的专利、专有技术、技术秘密的使用费已包含在签约合同价中</w:t>
      </w:r>
      <w:r>
        <w:rPr>
          <w:rFonts w:hint="eastAsia" w:ascii="仿宋_GB2312" w:hAnsi="仿宋_GB2312" w:eastAsia="仿宋_GB2312" w:cs="仿宋_GB2312"/>
          <w:b/>
          <w:bCs/>
          <w:color w:val="000000" w:themeColor="text1"/>
          <w:highlight w:val="none"/>
          <w14:textFill>
            <w14:solidFill>
              <w14:schemeClr w14:val="tx1"/>
            </w14:solidFill>
          </w14:textFill>
        </w:rPr>
        <w:t>。</w:t>
      </w:r>
    </w:p>
    <w:p w14:paraId="08587F5A">
      <w:pPr>
        <w:pStyle w:val="14"/>
        <w:numPr>
          <w:ilvl w:val="255"/>
          <w:numId w:val="0"/>
        </w:numPr>
        <w:spacing w:line="400" w:lineRule="atLeast"/>
        <w:ind w:firstLine="482" w:firstLineChars="200"/>
        <w:outlineLvl w:val="2"/>
        <w:rPr>
          <w:highlight w:val="none"/>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1.2</w:t>
      </w:r>
      <w:r>
        <w:rPr>
          <w:rFonts w:hint="eastAsia" w:ascii="仿宋_GB2312" w:hAnsi="仿宋_GB2312" w:eastAsia="仿宋_GB2312" w:cs="仿宋_GB2312"/>
          <w:b/>
          <w:bCs/>
          <w:color w:val="000000" w:themeColor="text1"/>
          <w:highlight w:val="none"/>
          <w14:textFill>
            <w14:solidFill>
              <w14:schemeClr w14:val="tx1"/>
            </w14:solidFill>
          </w14:textFill>
        </w:rPr>
        <w:t>本合同约定的“</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不含税</w:t>
      </w:r>
      <w:r>
        <w:rPr>
          <w:rFonts w:hint="eastAsia" w:ascii="仿宋_GB2312" w:hAnsi="仿宋_GB2312" w:eastAsia="仿宋_GB2312" w:cs="仿宋_GB2312"/>
          <w:b/>
          <w:bCs/>
          <w:color w:val="000000" w:themeColor="text1"/>
          <w:highlight w:val="none"/>
          <w14:textFill>
            <w14:solidFill>
              <w14:schemeClr w14:val="tx1"/>
            </w14:solidFill>
          </w14:textFill>
        </w:rPr>
        <w:t>综合单价”为固定单价，即不受市场变化影响，且无论进场数量多少价格亦不发生变化</w:t>
      </w:r>
      <w:r>
        <w:rPr>
          <w:rFonts w:hint="eastAsia" w:ascii="仿宋_GB2312" w:hAnsi="仿宋_GB2312" w:eastAsia="仿宋_GB2312" w:cs="仿宋_GB2312"/>
          <w:b/>
          <w:bCs/>
          <w:color w:val="000000" w:themeColor="text1"/>
          <w:highlight w:val="none"/>
          <w:lang w:eastAsia="zh-CN"/>
          <w14:textFill>
            <w14:solidFill>
              <w14:schemeClr w14:val="tx1"/>
            </w14:solidFill>
          </w14:textFill>
        </w:rPr>
        <w:t>。</w:t>
      </w:r>
    </w:p>
    <w:p w14:paraId="5FA788DD">
      <w:pPr>
        <w:pStyle w:val="14"/>
        <w:numPr>
          <w:ilvl w:val="0"/>
          <w:numId w:val="0"/>
        </w:numPr>
        <w:spacing w:before="120" w:beforeLines="50" w:after="120" w:afterLines="50" w:line="400" w:lineRule="atLeast"/>
        <w:ind w:firstLine="482" w:firstLineChars="200"/>
        <w:outlineLvl w:val="0"/>
        <w:rPr>
          <w:rFonts w:hint="default" w:ascii="仿宋_GB2312" w:hAnsi="仿宋_GB2312" w:eastAsia="仿宋_GB2312" w:cs="仿宋_GB2312"/>
          <w:b/>
          <w:bCs/>
          <w:color w:val="000000" w:themeColor="text1"/>
          <w:highlight w:val="none"/>
          <w:u w:val="singl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1.3</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其他：</w:t>
      </w:r>
      <w:permStart w:id="10" w:edGrp="everyone"/>
      <w:r>
        <w:rPr>
          <w:rFonts w:hint="eastAsia" w:ascii="仿宋_GB2312" w:hAnsi="仿宋_GB2312" w:eastAsia="仿宋_GB2312" w:cs="仿宋_GB2312"/>
          <w:b/>
          <w:bCs/>
          <w:color w:val="000000" w:themeColor="text1"/>
          <w:kern w:val="0"/>
          <w:sz w:val="24"/>
          <w:szCs w:val="24"/>
          <w:highlight w:val="none"/>
          <w:u w:val="single"/>
          <w:lang w:val="en-US" w:eastAsia="zh-CN"/>
          <w14:textFill>
            <w14:solidFill>
              <w14:schemeClr w14:val="tx1"/>
            </w14:solidFill>
          </w14:textFill>
        </w:rPr>
        <w:t xml:space="preserve">         /                </w:t>
      </w:r>
      <w:permEnd w:id="10"/>
    </w:p>
    <w:p w14:paraId="04C1FFC8">
      <w:pPr>
        <w:pStyle w:val="14"/>
        <w:numPr>
          <w:ilvl w:val="0"/>
          <w:numId w:val="2"/>
        </w:numPr>
        <w:spacing w:line="400" w:lineRule="atLeast"/>
        <w:ind w:firstLine="482" w:firstLineChars="200"/>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乙方所供物资必须为</w:t>
      </w:r>
      <w:permStart w:id="11" w:edGrp="everyone"/>
      <w:r>
        <w:rPr>
          <w:rFonts w:hint="eastAsia" w:ascii="仿宋_GB2312" w:hAnsi="仿宋_GB2312" w:eastAsia="仿宋_GB2312" w:cs="仿宋_GB2312"/>
          <w:b/>
          <w:bCs/>
          <w:color w:val="000000" w:themeColor="text1"/>
          <w:highlight w:val="none"/>
          <w:u w:val="single"/>
          <w:lang w:val="en-US" w:eastAsia="zh-CN"/>
          <w14:textFill>
            <w14:solidFill>
              <w14:schemeClr w14:val="tx1"/>
            </w14:solidFill>
          </w14:textFill>
        </w:rPr>
        <w:t xml:space="preserve">    /   </w:t>
      </w:r>
      <w:permEnd w:id="11"/>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公司生产产品。</w:t>
      </w:r>
    </w:p>
    <w:p w14:paraId="017309F4">
      <w:pPr>
        <w:pStyle w:val="14"/>
        <w:numPr>
          <w:ilvl w:val="0"/>
          <w:numId w:val="2"/>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合同工程量：</w:t>
      </w:r>
    </w:p>
    <w:p w14:paraId="186881A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highlight w:val="none"/>
          <w14:textFill>
            <w14:solidFill>
              <w14:schemeClr w14:val="tx1"/>
            </w14:solidFill>
          </w14:textFill>
        </w:rPr>
        <w:t>.1本合同中约定货物工程量为暂定数量；甲乙双方最终结算数量以甲方最终签收的实际数量，并依据合同约定扣除不合格产品、损失等费用后的书面结算数额为准，</w:t>
      </w:r>
      <w:bookmarkStart w:id="10" w:name="_Hlk127188815"/>
      <w:r>
        <w:rPr>
          <w:rFonts w:hint="eastAsia" w:ascii="仿宋_GB2312" w:hAnsi="仿宋_GB2312" w:eastAsia="仿宋_GB2312" w:cs="仿宋_GB2312"/>
          <w:b/>
          <w:bCs/>
          <w:color w:val="000000" w:themeColor="text1"/>
          <w:highlight w:val="none"/>
          <w14:textFill>
            <w14:solidFill>
              <w14:schemeClr w14:val="tx1"/>
            </w14:solidFill>
          </w14:textFill>
        </w:rPr>
        <w:t>乙方不得以合同暂定数量或合同暂定总金额为依据要求甲方支付任何款项，否则按合同第二部分第二条违约条款承担违约责任。</w:t>
      </w:r>
      <w:bookmarkEnd w:id="10"/>
    </w:p>
    <w:p w14:paraId="55116B5E">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 w:name="_Toc23444"/>
      <w:bookmarkStart w:id="12" w:name="_Toc13168"/>
      <w:bookmarkStart w:id="13" w:name="_Toc15703"/>
      <w:r>
        <w:rPr>
          <w:rFonts w:hint="eastAsia" w:ascii="仿宋_GB2312" w:hAnsi="仿宋_GB2312" w:eastAsia="仿宋_GB2312" w:cs="仿宋_GB2312"/>
          <w:b/>
          <w:bCs/>
          <w:color w:val="000000" w:themeColor="text1"/>
          <w:highlight w:val="none"/>
          <w14:textFill>
            <w14:solidFill>
              <w14:schemeClr w14:val="tx1"/>
            </w14:solidFill>
          </w14:textFill>
        </w:rPr>
        <w:t>货物供应</w:t>
      </w:r>
      <w:bookmarkEnd w:id="11"/>
      <w:bookmarkEnd w:id="12"/>
      <w:bookmarkEnd w:id="13"/>
    </w:p>
    <w:p w14:paraId="461CDE4D">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1、交货方式：</w:t>
      </w:r>
      <w:r>
        <w:rPr>
          <w:rFonts w:hint="eastAsia" w:ascii="仿宋_GB2312" w:hAnsi="仿宋_GB2312" w:eastAsia="仿宋_GB2312" w:cs="仿宋_GB2312"/>
          <w:color w:val="000000" w:themeColor="text1"/>
          <w:highlight w:val="none"/>
          <w14:textFill>
            <w14:solidFill>
              <w14:schemeClr w14:val="tx1"/>
            </w14:solidFill>
          </w14:textFill>
        </w:rPr>
        <w:t>双方协商一致，执行第</w:t>
      </w:r>
      <w:permStart w:id="12"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1.1</w:t>
      </w:r>
      <w:permEnd w:id="12"/>
      <w:r>
        <w:rPr>
          <w:rFonts w:hint="eastAsia" w:ascii="仿宋_GB2312" w:hAnsi="仿宋_GB2312" w:eastAsia="仿宋_GB2312" w:cs="仿宋_GB2312"/>
          <w:color w:val="000000" w:themeColor="text1"/>
          <w:highlight w:val="none"/>
          <w14:textFill>
            <w14:solidFill>
              <w14:schemeClr w14:val="tx1"/>
            </w14:solidFill>
          </w14:textFill>
        </w:rPr>
        <w:t>种交货方式；</w:t>
      </w:r>
    </w:p>
    <w:p w14:paraId="2A4FEE29">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1.1送货卸车：</w:t>
      </w:r>
      <w:r>
        <w:rPr>
          <w:rFonts w:hint="eastAsia" w:ascii="仿宋_GB2312" w:hAnsi="仿宋_GB2312" w:eastAsia="仿宋_GB2312" w:cs="仿宋_GB2312"/>
          <w:color w:val="000000" w:themeColor="text1"/>
          <w:highlight w:val="none"/>
          <w14:textFill>
            <w14:solidFill>
              <w14:schemeClr w14:val="tx1"/>
            </w14:solidFill>
          </w14:textFill>
        </w:rPr>
        <w:t>乙方送货至甲方指定地点；合同综合单价已含卸车费用，卸车工作由乙方负责，若由甲方负责卸车，发生的相应费用结算款中扣除。</w:t>
      </w:r>
    </w:p>
    <w:p w14:paraId="269853A1">
      <w:pPr>
        <w:pStyle w:val="14"/>
        <w:spacing w:line="400" w:lineRule="atLeast"/>
        <w:ind w:firstLine="482"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1.2送货不卸车：</w:t>
      </w:r>
      <w:r>
        <w:rPr>
          <w:rFonts w:hint="eastAsia" w:ascii="仿宋_GB2312" w:hAnsi="仿宋_GB2312" w:eastAsia="仿宋_GB2312" w:cs="仿宋_GB2312"/>
          <w:color w:val="000000" w:themeColor="text1"/>
          <w:highlight w:val="none"/>
          <w14:textFill>
            <w14:solidFill>
              <w14:schemeClr w14:val="tx1"/>
            </w14:solidFill>
          </w14:textFill>
        </w:rPr>
        <w:t>合同综合单价不含卸车费用，卸车工作由甲方组织。</w:t>
      </w:r>
    </w:p>
    <w:p w14:paraId="65140348">
      <w:pPr>
        <w:pStyle w:val="14"/>
        <w:spacing w:line="400" w:lineRule="atLeast"/>
        <w:ind w:firstLine="482" w:firstLineChars="200"/>
        <w:rPr>
          <w:rFonts w:hint="default"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1.3其他：</w:t>
      </w:r>
      <w:permStart w:id="13"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 xml:space="preserve">  /  </w:t>
      </w:r>
      <w:permEnd w:id="13"/>
    </w:p>
    <w:p w14:paraId="0DC87A7D">
      <w:pPr>
        <w:pStyle w:val="14"/>
        <w:spacing w:line="400" w:lineRule="atLeast"/>
        <w:ind w:left="420" w:left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2、交货时间：</w:t>
      </w:r>
      <w:r>
        <w:rPr>
          <w:rFonts w:hint="eastAsia" w:ascii="仿宋_GB2312" w:hAnsi="仿宋_GB2312" w:eastAsia="仿宋_GB2312" w:cs="仿宋_GB2312"/>
          <w:color w:val="000000" w:themeColor="text1"/>
          <w:highlight w:val="none"/>
          <w14:textFill>
            <w14:solidFill>
              <w14:schemeClr w14:val="tx1"/>
            </w14:solidFill>
          </w14:textFill>
        </w:rPr>
        <w:t>甲方施工现场材料负责人提前</w:t>
      </w:r>
      <w:permStart w:id="1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14"/>
      <w:r>
        <w:rPr>
          <w:rFonts w:hint="eastAsia" w:ascii="仿宋_GB2312" w:hAnsi="仿宋_GB2312" w:eastAsia="仿宋_GB2312" w:cs="仿宋_GB2312"/>
          <w:color w:val="000000" w:themeColor="text1"/>
          <w:highlight w:val="none"/>
          <w14:textFill>
            <w14:solidFill>
              <w14:schemeClr w14:val="tx1"/>
            </w14:solidFill>
          </w14:textFill>
        </w:rPr>
        <w:t>天向乙方提供每批次的需</w:t>
      </w:r>
    </w:p>
    <w:p w14:paraId="1ABD5518">
      <w:pPr>
        <w:pStyle w:val="14"/>
        <w:spacing w:line="400" w:lineRule="atLeast"/>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用计划（云筑网订单、计划联系函、电子邮件等），乙方根据甲方所提供的需用计划及时将货物配送至甲方指定堆场。</w:t>
      </w:r>
      <w:bookmarkStart w:id="14" w:name="_Hlk127188986"/>
      <w:r>
        <w:rPr>
          <w:rFonts w:hint="eastAsia" w:ascii="仿宋_GB2312" w:hAnsi="仿宋_GB2312" w:eastAsia="仿宋_GB2312" w:cs="仿宋_GB2312"/>
          <w:b/>
          <w:bCs/>
          <w:color w:val="000000" w:themeColor="text1"/>
          <w:highlight w:val="none"/>
          <w14:textFill>
            <w14:solidFill>
              <w14:schemeClr w14:val="tx1"/>
            </w14:solidFill>
          </w14:textFill>
        </w:rPr>
        <w:t>乙方延期供货次数不超过2次，否则乙方按合同第二部分第二条违约条款承担违约责任。乙方不得因甲方更改需用计划及要求乙方延期交货而向甲方提出索赔。</w:t>
      </w:r>
      <w:bookmarkEnd w:id="14"/>
      <w:r>
        <w:rPr>
          <w:rFonts w:hint="eastAsia" w:ascii="仿宋_GB2312" w:hAnsi="仿宋_GB2312" w:eastAsia="仿宋_GB2312" w:cs="仿宋_GB2312"/>
          <w:b/>
          <w:bCs/>
          <w:color w:val="000000" w:themeColor="text1"/>
          <w:highlight w:val="none"/>
          <w14:textFill>
            <w14:solidFill>
              <w14:schemeClr w14:val="tx1"/>
            </w14:solidFill>
          </w14:textFill>
        </w:rPr>
        <w:t>根据工程项目施工需要，甲方对所采购物资的数量和送货时间如有变更，及时书面通知乙方，乙方按变更后的数量和送货时间供货，新增或减少的物资价格不变。</w:t>
      </w:r>
    </w:p>
    <w:p w14:paraId="10E7536B">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3、交货地点：</w:t>
      </w:r>
      <w:permStart w:id="15"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甲方材料员指定的地点</w:t>
      </w:r>
      <w:permEnd w:id="15"/>
      <w:r>
        <w:rPr>
          <w:rFonts w:hint="eastAsia" w:ascii="仿宋_GB2312" w:hAnsi="仿宋_GB2312" w:eastAsia="仿宋_GB2312" w:cs="仿宋_GB2312"/>
          <w:color w:val="000000" w:themeColor="text1"/>
          <w:highlight w:val="none"/>
          <w14:textFill>
            <w14:solidFill>
              <w14:schemeClr w14:val="tx1"/>
            </w14:solidFill>
          </w14:textFill>
        </w:rPr>
        <w:t>（工程所在地或甲方指定的其他地点）。</w:t>
      </w:r>
    </w:p>
    <w:p w14:paraId="0023AFB8">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4、交货内容：</w:t>
      </w:r>
      <w:r>
        <w:rPr>
          <w:rFonts w:hint="eastAsia" w:ascii="仿宋_GB2312" w:hAnsi="仿宋_GB2312" w:eastAsia="仿宋_GB2312" w:cs="仿宋_GB2312"/>
          <w:color w:val="000000" w:themeColor="text1"/>
          <w:highlight w:val="none"/>
          <w14:textFill>
            <w14:solidFill>
              <w14:schemeClr w14:val="tx1"/>
            </w14:solidFill>
          </w14:textFill>
        </w:rPr>
        <w:t>交货产品、配套产品及配套服务如下；</w:t>
      </w:r>
      <w:permStart w:id="16"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16"/>
      <w:r>
        <w:rPr>
          <w:rFonts w:hint="eastAsia" w:ascii="仿宋_GB2312" w:hAnsi="仿宋_GB2312" w:eastAsia="仿宋_GB2312" w:cs="仿宋_GB2312"/>
          <w:color w:val="000000" w:themeColor="text1"/>
          <w:highlight w:val="none"/>
          <w14:textFill>
            <w14:solidFill>
              <w14:schemeClr w14:val="tx1"/>
            </w14:solidFill>
          </w14:textFill>
        </w:rPr>
        <w:t>。</w:t>
      </w:r>
    </w:p>
    <w:p w14:paraId="278E903D">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5、双方代表：</w:t>
      </w:r>
    </w:p>
    <w:p w14:paraId="4208E4C0">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甲方指定收货联系人：</w:t>
      </w:r>
      <w:permStart w:id="17" w:edGrp="everyone"/>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王锴博</w:t>
      </w:r>
      <w:permEnd w:id="17"/>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，电话：</w:t>
      </w:r>
      <w:permStart w:id="18" w:edGrp="everyone"/>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18333943204</w:t>
      </w:r>
      <w:permEnd w:id="18"/>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，电子邮箱：</w:t>
      </w:r>
      <w:permStart w:id="19" w:edGrp="everyone"/>
      <w:r>
        <w:rPr>
          <w:rFonts w:hint="eastAsia" w:ascii="仿宋_GB2312" w:hAnsi="仿宋_GB2312" w:eastAsia="仿宋_GB2312" w:cs="仿宋_GB2312"/>
          <w:color w:val="000000" w:themeColor="text1"/>
          <w:kern w:val="0"/>
          <w:sz w:val="24"/>
          <w:szCs w:val="24"/>
          <w:highlight w:val="none"/>
          <w:u w:val="single"/>
          <w:lang w:val="en-US" w:eastAsia="zh-CN"/>
          <w14:textFill>
            <w14:solidFill>
              <w14:schemeClr w14:val="tx1"/>
            </w14:solidFill>
          </w14:textFill>
        </w:rPr>
        <w:t>18333943204@163.com</w:t>
      </w:r>
      <w:permEnd w:id="1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24B3AB55">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乙方指定发货联系人：</w:t>
      </w:r>
      <w:permStart w:id="20"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0"/>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，电话：</w:t>
      </w:r>
      <w:permStart w:id="21"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1"/>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，电子邮箱：</w:t>
      </w:r>
      <w:permStart w:id="22" w:edGrp="everyone"/>
      <w:r>
        <w:rPr>
          <w:rFonts w:hint="eastAsia" w:ascii="仿宋_GB2312" w:hAnsi="仿宋_GB2312" w:eastAsia="仿宋_GB2312" w:cs="仿宋_GB2312"/>
          <w:color w:val="000000" w:themeColor="text1"/>
          <w:kern w:val="0"/>
          <w:sz w:val="24"/>
          <w:szCs w:val="24"/>
          <w:highlight w:val="none"/>
          <w:u w:val="single"/>
          <w14:textFill>
            <w14:solidFill>
              <w14:schemeClr w14:val="tx1"/>
            </w14:solidFill>
          </w14:textFill>
        </w:rPr>
        <w:t xml:space="preserve">    </w:t>
      </w:r>
      <w:permEnd w:id="22"/>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p>
    <w:p w14:paraId="07A3FD39">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15" w:name="_Hlk126833838"/>
      <w:r>
        <w:rPr>
          <w:rFonts w:hint="eastAsia" w:ascii="仿宋_GB2312" w:hAnsi="仿宋_GB2312" w:eastAsia="仿宋_GB2312" w:cs="仿宋_GB2312"/>
          <w:color w:val="000000" w:themeColor="text1"/>
          <w:highlight w:val="none"/>
          <w14:textFill>
            <w14:solidFill>
              <w14:schemeClr w14:val="tx1"/>
            </w14:solidFill>
          </w14:textFill>
        </w:rPr>
        <w:t>合同双方更换代表时应及时书面通知对方，保证货物交接顺利。</w:t>
      </w:r>
      <w:r>
        <w:rPr>
          <w:rFonts w:hint="eastAsia" w:ascii="仿宋_GB2312" w:hAnsi="仿宋_GB2312" w:eastAsia="仿宋_GB2312" w:cs="仿宋_GB2312"/>
          <w:b/>
          <w:bCs/>
          <w:color w:val="000000" w:themeColor="text1"/>
          <w:highlight w:val="none"/>
          <w14:textFill>
            <w14:solidFill>
              <w14:schemeClr w14:val="tx1"/>
            </w14:solidFill>
          </w14:textFill>
        </w:rPr>
        <w:t>甲方已明确要求与指定发货联系人交接，若乙方实际发货为非指定联系人，视为乙方对实际发货人授权委托，当批次供货完成后7个工作日内乙方应为该实际发货人向甲方补充出具书面授权委托书，并承担本合同项下的义务和责任。</w:t>
      </w:r>
      <w:r>
        <w:rPr>
          <w:rFonts w:hint="eastAsia" w:ascii="仿宋_GB2312" w:hAnsi="仿宋_GB2312" w:eastAsia="仿宋_GB2312" w:cs="仿宋_GB2312"/>
          <w:color w:val="000000" w:themeColor="text1"/>
          <w:highlight w:val="none"/>
          <w14:textFill>
            <w14:solidFill>
              <w14:schemeClr w14:val="tx1"/>
            </w14:solidFill>
          </w14:textFill>
        </w:rPr>
        <w:t>为避免货物供应争议，甲方保留拒绝乙方非指定联系人供货的权利，由此产生的费用由乙方承担。甲乙双方授权内容详见附件一、附件二</w:t>
      </w:r>
      <w:bookmarkEnd w:id="15"/>
      <w:r>
        <w:rPr>
          <w:rFonts w:hint="eastAsia" w:ascii="仿宋_GB2312" w:hAnsi="仿宋_GB2312" w:eastAsia="仿宋_GB2312" w:cs="仿宋_GB2312"/>
          <w:color w:val="000000" w:themeColor="text1"/>
          <w:highlight w:val="none"/>
          <w14:textFill>
            <w14:solidFill>
              <w14:schemeClr w14:val="tx1"/>
            </w14:solidFill>
          </w14:textFill>
        </w:rPr>
        <w:t>。</w:t>
      </w:r>
    </w:p>
    <w:p w14:paraId="43E7D28B">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6、运输要求：</w:t>
      </w:r>
    </w:p>
    <w:p w14:paraId="4343F7DA">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6.1运输形式：</w:t>
      </w:r>
      <w:r>
        <w:rPr>
          <w:rFonts w:hint="eastAsia" w:ascii="仿宋_GB2312" w:hAnsi="仿宋_GB2312" w:eastAsia="仿宋_GB2312" w:cs="仿宋_GB2312"/>
          <w:color w:val="000000" w:themeColor="text1"/>
          <w:highlight w:val="none"/>
          <w14:textFill>
            <w14:solidFill>
              <w14:schemeClr w14:val="tx1"/>
            </w14:solidFill>
          </w14:textFill>
        </w:rPr>
        <w:t>乙方须组织专用的运输工具将货物运至甲方指定的地点（工程所在地或甲方指定的其他地点），并应当和甲方共同协商，合理安排送货路线、停车地点。</w:t>
      </w:r>
    </w:p>
    <w:p w14:paraId="519D9688">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6.2注意事项：</w:t>
      </w:r>
      <w:r>
        <w:rPr>
          <w:rFonts w:hint="eastAsia" w:ascii="仿宋_GB2312" w:hAnsi="仿宋_GB2312" w:eastAsia="仿宋_GB2312" w:cs="仿宋_GB2312"/>
          <w:color w:val="000000" w:themeColor="text1"/>
          <w:highlight w:val="none"/>
          <w14:textFill>
            <w14:solidFill>
              <w14:schemeClr w14:val="tx1"/>
            </w14:solidFill>
          </w14:textFill>
        </w:rPr>
        <w:t>乙方应自行勘察现场，熟悉施工现场位置和周围环境，货物运输过程中，要遵守工程所在地政府的有关道路交通、环保卫生等方面的规定。乙方负责与政府有关管理部门协调沟通，保障车辆在工程所在区域顺利通行至施工现场，并承担因违反有关规定造成的一切责任和经济损失，乙方保证甲方免予承担由此造成的任何法律责任，若甲方因此遭受到任何责任或损失，乙方需赔偿给甲方。</w:t>
      </w:r>
      <w:bookmarkStart w:id="16" w:name="_Hlk127189046"/>
      <w:r>
        <w:rPr>
          <w:rFonts w:hint="eastAsia" w:ascii="仿宋_GB2312" w:hAnsi="仿宋_GB2312" w:eastAsia="仿宋_GB2312" w:cs="仿宋_GB2312"/>
          <w:b/>
          <w:bCs/>
          <w:color w:val="000000" w:themeColor="text1"/>
          <w:highlight w:val="none"/>
          <w14:textFill>
            <w14:solidFill>
              <w14:schemeClr w14:val="tx1"/>
            </w14:solidFill>
          </w14:textFill>
        </w:rPr>
        <w:t>乙方无法按甲方要求将产品送到指定地点卸货的，甲方有权不予验收，由此给甲方造成的损失由乙方承担</w:t>
      </w:r>
      <w:bookmarkEnd w:id="16"/>
      <w:r>
        <w:rPr>
          <w:rFonts w:hint="eastAsia" w:ascii="仿宋_GB2312" w:hAnsi="仿宋_GB2312" w:eastAsia="仿宋_GB2312" w:cs="仿宋_GB2312"/>
          <w:b/>
          <w:bCs/>
          <w:color w:val="000000" w:themeColor="text1"/>
          <w:highlight w:val="none"/>
          <w14:textFill>
            <w14:solidFill>
              <w14:schemeClr w14:val="tx1"/>
            </w14:solidFill>
          </w14:textFill>
        </w:rPr>
        <w:t>。</w:t>
      </w:r>
    </w:p>
    <w:p w14:paraId="7CA4A071">
      <w:pPr>
        <w:pStyle w:val="14"/>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6.3货物的装车、运输、车辆返回全过程出现的安全事故或其它任何意外均由乙方承担责任。装车和运输途中的物资品质发生变化或丢失由乙方负责，由此造成的损失由乙方承担。</w:t>
      </w:r>
    </w:p>
    <w:p w14:paraId="6029A5CA">
      <w:pPr>
        <w:pStyle w:val="14"/>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6.4乙方应对运输人员进行安全管理和安全教育，运输人员遵守交通法规。</w:t>
      </w:r>
    </w:p>
    <w:p w14:paraId="1AA4918A">
      <w:pPr>
        <w:pStyle w:val="14"/>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应当给负责运送货物的车辆办理交强险及商业保险。如因运载车辆事故、卸货等</w:t>
      </w:r>
    </w:p>
    <w:p w14:paraId="5FACBE35">
      <w:pPr>
        <w:pStyle w:val="14"/>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原因导致的乙方及任何第三方的人身伤害及经济损失均由乙方负责，并补偿甲方</w:t>
      </w:r>
    </w:p>
    <w:p w14:paraId="6A452C24">
      <w:pPr>
        <w:pStyle w:val="14"/>
        <w:spacing w:line="400" w:lineRule="atLeast"/>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及其他方因此造成的损失。</w:t>
      </w:r>
    </w:p>
    <w:p w14:paraId="7EFFD846">
      <w:pPr>
        <w:pStyle w:val="14"/>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6.5乙方必须保证运输人员不得阻止现场验收人员进行质量检验，不得阻止到达甲方指定地点的运输车辆过磅，卸料时必须服从甲方现场管理人员的安排和指挥。不合格的物资必须在规定时间内无条件运走调换，否则按废弃物处理，损失由乙方承担。</w:t>
      </w:r>
    </w:p>
    <w:p w14:paraId="71263360">
      <w:pPr>
        <w:pStyle w:val="14"/>
        <w:spacing w:line="400" w:lineRule="atLeast"/>
        <w:ind w:firstLine="480" w:firstLineChars="200"/>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6.6乙方不得利用遥控等科技手段控制磅秤增加物资重量，不得进行任何形式的弄虚作假行为。一经发现，甲方将按发现作弊或弄虚作假数量占本批次运输物资百分比扣除发现作弊日前物资进场总数量对应的货款，并交由公安机关处理。</w:t>
      </w:r>
    </w:p>
    <w:p w14:paraId="3D7988D7">
      <w:pPr>
        <w:pStyle w:val="14"/>
        <w:spacing w:line="400" w:lineRule="atLeast"/>
        <w:ind w:firstLine="480" w:firstLineChars="200"/>
        <w:rPr>
          <w:rFonts w:hint="eastAsia" w:ascii="仿宋_GB2312" w:hAnsi="仿宋_GB2312" w:eastAsia="仿宋_GB2312" w:cs="仿宋_GB2312"/>
          <w:b w:val="0"/>
          <w:bCs w:val="0"/>
          <w:color w:val="000000" w:themeColor="text1"/>
          <w:highlight w:val="none"/>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6.7</w:t>
      </w:r>
      <w:r>
        <w:rPr>
          <w:rFonts w:hint="eastAsia" w:ascii="仿宋_GB2312" w:hAnsi="仿宋_GB2312" w:eastAsia="仿宋_GB2312" w:cs="仿宋_GB2312"/>
          <w:b w:val="0"/>
          <w:bCs w:val="0"/>
          <w:color w:val="000000" w:themeColor="text1"/>
          <w:highlight w:val="none"/>
          <w14:textFill>
            <w14:solidFill>
              <w14:schemeClr w14:val="tx1"/>
            </w14:solidFill>
          </w14:textFill>
        </w:rPr>
        <w:t>乙方保证在运输和卸货过程中应采取相应的环保措施，符合国家环保要求。车辆在进入项目现场要保证不沾泥土和脏物，车辆出入项目现场必须在项目大门内现场洗车。乙方在卸货过程中保证噪声白天小于或等于</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85</w:t>
      </w:r>
      <w:r>
        <w:rPr>
          <w:rFonts w:hint="eastAsia" w:ascii="仿宋_GB2312" w:hAnsi="仿宋_GB2312" w:eastAsia="仿宋_GB2312" w:cs="仿宋_GB2312"/>
          <w:b w:val="0"/>
          <w:bCs w:val="0"/>
          <w:color w:val="000000" w:themeColor="text1"/>
          <w:highlight w:val="none"/>
          <w14:textFill>
            <w14:solidFill>
              <w14:schemeClr w14:val="tx1"/>
            </w14:solidFill>
          </w14:textFill>
        </w:rPr>
        <w:t>dB、夜间小于或等于</w:t>
      </w:r>
      <w:r>
        <w:rPr>
          <w:rFonts w:hint="eastAsia" w:ascii="仿宋_GB2312" w:hAnsi="仿宋_GB2312" w:eastAsia="仿宋_GB2312" w:cs="仿宋_GB2312"/>
          <w:color w:val="000000" w:themeColor="text1"/>
          <w:kern w:val="0"/>
          <w:sz w:val="24"/>
          <w:szCs w:val="24"/>
          <w:highlight w:val="none"/>
          <w:u w:val="none"/>
          <w:lang w:val="en-US" w:eastAsia="zh-CN"/>
          <w14:textFill>
            <w14:solidFill>
              <w14:schemeClr w14:val="tx1"/>
            </w14:solidFill>
          </w14:textFill>
        </w:rPr>
        <w:t>55</w:t>
      </w:r>
      <w:r>
        <w:rPr>
          <w:rFonts w:hint="eastAsia" w:ascii="仿宋_GB2312" w:hAnsi="仿宋_GB2312" w:eastAsia="仿宋_GB2312" w:cs="仿宋_GB2312"/>
          <w:b w:val="0"/>
          <w:bCs w:val="0"/>
          <w:color w:val="000000" w:themeColor="text1"/>
          <w:highlight w:val="none"/>
          <w14:textFill>
            <w14:solidFill>
              <w14:schemeClr w14:val="tx1"/>
            </w14:solidFill>
          </w14:textFill>
        </w:rPr>
        <w:t>dB。乙方保证乙方人员以及车辆进入本工地现场，应遵守现场的一切卫生环保、文明施工的规定，因违反环保要求所造成的一切罚款由乙方承担。</w:t>
      </w:r>
    </w:p>
    <w:p w14:paraId="4CCE56E5">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7、货物包装：</w:t>
      </w:r>
    </w:p>
    <w:p w14:paraId="3EEEC3C0">
      <w:pPr>
        <w:spacing w:line="400" w:lineRule="atLeast"/>
        <w:ind w:firstLine="482"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7.1包装标准：</w:t>
      </w:r>
      <w:r>
        <w:rPr>
          <w:rFonts w:hint="eastAsia" w:ascii="仿宋_GB2312" w:hAnsi="仿宋_GB2312" w:eastAsia="仿宋_GB2312" w:cs="仿宋_GB2312"/>
          <w:color w:val="000000" w:themeColor="text1"/>
          <w:sz w:val="24"/>
          <w:szCs w:val="24"/>
          <w:highlight w:val="none"/>
          <w14:textFill>
            <w14:solidFill>
              <w14:schemeClr w14:val="tx1"/>
            </w14:solidFill>
          </w14:textFill>
        </w:rPr>
        <w:t>乙方按照国家或业务主管部门的技术规定执行（标准代号、标准编号及标准名称为</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sz w:val="24"/>
          <w:szCs w:val="24"/>
          <w:highlight w:val="none"/>
          <w14:textFill>
            <w14:solidFill>
              <w14:schemeClr w14:val="tx1"/>
            </w14:solidFill>
          </w14:textFill>
        </w:rPr>
        <w:t>）；没有上述标准的，或虽有上述标准，但甲方对包装有特殊要求，按如下约定执行：</w:t>
      </w:r>
      <w:permStart w:id="23"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基层石料运输应满足国家相关法律法规，运输过程中应苫盖完好，不得抛洒遗漏</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23"/>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71AE1740">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7.2包装回收：</w:t>
      </w:r>
      <w:r>
        <w:rPr>
          <w:rFonts w:hint="eastAsia" w:ascii="仿宋_GB2312" w:hAnsi="仿宋_GB2312" w:eastAsia="仿宋_GB2312" w:cs="仿宋_GB2312"/>
          <w:color w:val="000000" w:themeColor="text1"/>
          <w:highlight w:val="none"/>
          <w:u w:val="single"/>
          <w14:textFill>
            <w14:solidFill>
              <w14:schemeClr w14:val="tx1"/>
            </w14:solidFill>
          </w14:textFill>
        </w:rPr>
        <w:t>乙方无特别注明视为无包装物回收，有包装物回收时乙方应在收到甲方通知7天内完成包装回收。</w:t>
      </w:r>
    </w:p>
    <w:p w14:paraId="4680EBA4">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8、安装要求：</w:t>
      </w:r>
      <w:r>
        <w:rPr>
          <w:rFonts w:hint="eastAsia" w:ascii="仿宋_GB2312" w:hAnsi="仿宋_GB2312" w:eastAsia="仿宋_GB2312" w:cs="仿宋_GB2312"/>
          <w:color w:val="000000" w:themeColor="text1"/>
          <w:highlight w:val="none"/>
          <w14:textFill>
            <w14:solidFill>
              <w14:schemeClr w14:val="tx1"/>
            </w14:solidFill>
          </w14:textFill>
        </w:rPr>
        <w:t>若货物附带安装工作内容，单价已综合考虑不另计价，具体安装内容及要求如下：</w:t>
      </w:r>
      <w:permStart w:id="2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24"/>
      <w:r>
        <w:rPr>
          <w:rFonts w:hint="eastAsia" w:ascii="仿宋_GB2312" w:hAnsi="仿宋_GB2312" w:eastAsia="仿宋_GB2312" w:cs="仿宋_GB2312"/>
          <w:color w:val="000000" w:themeColor="text1"/>
          <w:highlight w:val="none"/>
          <w14:textFill>
            <w14:solidFill>
              <w14:schemeClr w14:val="tx1"/>
            </w14:solidFill>
          </w14:textFill>
        </w:rPr>
        <w:t>。</w:t>
      </w:r>
    </w:p>
    <w:p w14:paraId="43566162">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9、货物意外灭失风险：</w:t>
      </w:r>
      <w:r>
        <w:rPr>
          <w:rFonts w:hint="eastAsia" w:ascii="仿宋_GB2312" w:hAnsi="仿宋_GB2312" w:eastAsia="仿宋_GB2312" w:cs="仿宋_GB2312"/>
          <w:color w:val="000000" w:themeColor="text1"/>
          <w:highlight w:val="none"/>
          <w14:textFill>
            <w14:solidFill>
              <w14:schemeClr w14:val="tx1"/>
            </w14:solidFill>
          </w14:textFill>
        </w:rPr>
        <w:t>乙方须负责货物正式交货前的安全、保卫、防火、防盗工作，包括运输途中、装货中的人身和货物的安全，在正式交货前，包括运输途中、装货中如有人身伤害或货物受损失均由乙方负责。货物直至乙方送交甲方指定的交货地点，完成上述条款事项，经甲方验收合格入库，并办理验收手续后，该货物的毁损、灭失的风险方由乙方转移至甲方。</w:t>
      </w:r>
    </w:p>
    <w:p w14:paraId="7862003B">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7" w:name="_Toc29361"/>
      <w:bookmarkStart w:id="18" w:name="_Toc15437"/>
      <w:bookmarkStart w:id="19" w:name="_Toc12447"/>
      <w:r>
        <w:rPr>
          <w:rFonts w:hint="eastAsia" w:ascii="仿宋_GB2312" w:hAnsi="仿宋_GB2312" w:eastAsia="仿宋_GB2312" w:cs="仿宋_GB2312"/>
          <w:b/>
          <w:bCs/>
          <w:color w:val="000000" w:themeColor="text1"/>
          <w:highlight w:val="none"/>
          <w14:textFill>
            <w14:solidFill>
              <w14:schemeClr w14:val="tx1"/>
            </w14:solidFill>
          </w14:textFill>
        </w:rPr>
        <w:t>货物质量</w:t>
      </w:r>
      <w:bookmarkEnd w:id="17"/>
      <w:bookmarkEnd w:id="18"/>
      <w:bookmarkEnd w:id="19"/>
    </w:p>
    <w:p w14:paraId="3AA17E8B">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1、质量要求及技术标准：</w:t>
      </w:r>
    </w:p>
    <w:p w14:paraId="0C3D728F">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1.1</w:t>
      </w:r>
      <w:permStart w:id="25" w:edGrp="everyone"/>
      <w:r>
        <w:rPr>
          <w:rFonts w:hint="eastAsia" w:ascii="仿宋_GB2312" w:hAnsi="仿宋_GB2312" w:eastAsia="仿宋_GB2312" w:cs="仿宋_GB2312"/>
          <w:color w:val="000000" w:themeColor="text1"/>
          <w:highlight w:val="none"/>
          <w14:textFill>
            <w14:solidFill>
              <w14:schemeClr w14:val="tx1"/>
            </w14:solidFill>
          </w14:textFill>
        </w:rPr>
        <w:t>按照国家标准执行（标准代号、标准编号及标准名称为</w:t>
      </w:r>
      <w:r>
        <w:rPr>
          <w:rFonts w:hint="eastAsia" w:ascii="仿宋_GB2312" w:hAnsi="仿宋_GB2312" w:eastAsia="仿宋_GB2312" w:cs="仿宋_GB2312"/>
          <w:color w:val="000000" w:themeColor="text1"/>
          <w:highlight w:val="none"/>
          <w:u w:val="single"/>
          <w14:textFill>
            <w14:solidFill>
              <w14:schemeClr w14:val="tx1"/>
            </w14:solidFill>
          </w14:textFill>
        </w:rPr>
        <w:t>《建设用碎石、卵石》GB/T 14685-2011、《普通混凝土用砂、石质量及检验方法标准》JGJ 52-2006</w:t>
      </w:r>
      <w:r>
        <w:rPr>
          <w:rFonts w:hint="eastAsia" w:ascii="仿宋_GB2312" w:hAnsi="仿宋_GB2312" w:eastAsia="仿宋_GB2312" w:cs="仿宋_GB2312"/>
          <w:color w:val="000000" w:themeColor="text1"/>
          <w:highlight w:val="none"/>
          <w14:textFill>
            <w14:solidFill>
              <w14:schemeClr w14:val="tx1"/>
            </w14:solidFill>
          </w14:textFill>
        </w:rPr>
        <w:t>。</w:t>
      </w:r>
      <w:permEnd w:id="25"/>
    </w:p>
    <w:p w14:paraId="68410724">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1.2无国家标准而有部颁标准的，按部颁标准执行。 　　</w:t>
      </w:r>
    </w:p>
    <w:p w14:paraId="3B66417D">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1.3无国家和部颁标准的，按企业标准执行。　　</w:t>
      </w:r>
    </w:p>
    <w:p w14:paraId="4DE8FBBA">
      <w:pPr>
        <w:pStyle w:val="14"/>
        <w:spacing w:line="400" w:lineRule="atLeas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000000" w:themeColor="text1"/>
          <w:highlight w:val="none"/>
          <w14:textFill>
            <w14:solidFill>
              <w14:schemeClr w14:val="tx1"/>
            </w14:solidFill>
          </w14:textFill>
        </w:rPr>
        <w:t>1.4没有上述标准的，或虽有上述标准，但甲方有特殊要求的，按甲乙双方在合同中商定的技术条件、样品或补充的技术要求执行</w:t>
      </w:r>
      <w:r>
        <w:rPr>
          <w:rFonts w:hint="eastAsia" w:ascii="仿宋_GB2312" w:hAnsi="仿宋_GB2312" w:eastAsia="仿宋_GB2312" w:cs="仿宋_GB2312"/>
          <w:color w:val="auto"/>
          <w:highlight w:val="none"/>
        </w:rPr>
        <w:t>（具体要求</w:t>
      </w:r>
      <w:permStart w:id="26" w:edGrp="everyone"/>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应符合1.1、1.6、1.7条款要求</w:t>
      </w:r>
      <w:r>
        <w:rPr>
          <w:rFonts w:hint="eastAsia" w:ascii="仿宋_GB2312" w:hAnsi="仿宋_GB2312" w:eastAsia="仿宋_GB2312" w:cs="仿宋_GB2312"/>
          <w:color w:val="auto"/>
          <w:highlight w:val="none"/>
          <w:u w:val="single"/>
        </w:rPr>
        <w:t xml:space="preserve"> </w:t>
      </w:r>
      <w:permEnd w:id="26"/>
      <w:r>
        <w:rPr>
          <w:rFonts w:hint="eastAsia" w:ascii="仿宋_GB2312" w:hAnsi="仿宋_GB2312" w:eastAsia="仿宋_GB2312" w:cs="仿宋_GB2312"/>
          <w:color w:val="auto"/>
          <w:highlight w:val="none"/>
        </w:rPr>
        <w:t>）。</w:t>
      </w:r>
    </w:p>
    <w:p w14:paraId="376587F2">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auto"/>
          <w:highlight w:val="none"/>
        </w:rPr>
        <w:t>1.5如乙方有通过国家相关质量体系认证的企业标准，且其标准高于上述标准的，按乙方企业标准执行。产品必须满足中华人民共和国国家、地方及行业最新颁布的相关标准及技术规范，如果规范、标准、要求适用于同一种情况，则以标准高者为准</w:t>
      </w:r>
      <w:r>
        <w:rPr>
          <w:rFonts w:hint="eastAsia" w:ascii="仿宋_GB2312" w:hAnsi="仿宋_GB2312" w:eastAsia="仿宋_GB2312" w:cs="仿宋_GB2312"/>
          <w:color w:val="000000" w:themeColor="text1"/>
          <w:highlight w:val="none"/>
          <w14:textFill>
            <w14:solidFill>
              <w14:schemeClr w14:val="tx1"/>
            </w14:solidFill>
          </w14:textFill>
        </w:rPr>
        <w:t>。</w:t>
      </w:r>
    </w:p>
    <w:p w14:paraId="13AB9112">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1.6</w:t>
      </w:r>
      <w:permStart w:id="27" w:edGrp="everyone"/>
      <w:r>
        <w:rPr>
          <w:rFonts w:hint="eastAsia" w:ascii="仿宋_GB2312" w:hAnsi="仿宋_GB2312" w:eastAsia="仿宋_GB2312" w:cs="仿宋_GB2312"/>
          <w:color w:val="000000" w:themeColor="text1"/>
          <w:highlight w:val="none"/>
          <w14:textFill>
            <w14:solidFill>
              <w14:schemeClr w14:val="tx1"/>
            </w14:solidFill>
          </w14:textFill>
        </w:rPr>
        <w:t>颗粒级配应符合下表规定：</w:t>
      </w:r>
    </w:p>
    <w:p w14:paraId="57452CA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27228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722880"/>
                    </a:xfrm>
                    <a:prstGeom prst="rect">
                      <a:avLst/>
                    </a:prstGeom>
                    <a:noFill/>
                    <a:ln>
                      <a:noFill/>
                    </a:ln>
                  </pic:spPr>
                </pic:pic>
              </a:graphicData>
            </a:graphic>
          </wp:inline>
        </w:drawing>
      </w:r>
    </w:p>
    <w:p w14:paraId="488D4665">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含泥量和泥块含量应符合下表规定：</w:t>
      </w:r>
    </w:p>
    <w:p w14:paraId="3C60FE48">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657225"/>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657225"/>
                    </a:xfrm>
                    <a:prstGeom prst="rect">
                      <a:avLst/>
                    </a:prstGeom>
                    <a:noFill/>
                    <a:ln>
                      <a:noFill/>
                    </a:ln>
                  </pic:spPr>
                </pic:pic>
              </a:graphicData>
            </a:graphic>
          </wp:inline>
        </w:drawing>
      </w:r>
    </w:p>
    <w:p w14:paraId="567ED117">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针、片状颗粒含量应符合下表要规定：</w:t>
      </w:r>
    </w:p>
    <w:p w14:paraId="01BBCAB9">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6096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609600"/>
                    </a:xfrm>
                    <a:prstGeom prst="rect">
                      <a:avLst/>
                    </a:prstGeom>
                    <a:noFill/>
                    <a:ln>
                      <a:noFill/>
                    </a:ln>
                  </pic:spPr>
                </pic:pic>
              </a:graphicData>
            </a:graphic>
          </wp:inline>
        </w:drawing>
      </w:r>
    </w:p>
    <w:p w14:paraId="02C95EFE">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有害物质限量应符合下表规定：</w:t>
      </w:r>
    </w:p>
    <w:p w14:paraId="0456F8CB">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67325" cy="8096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7325" cy="809625"/>
                    </a:xfrm>
                    <a:prstGeom prst="rect">
                      <a:avLst/>
                    </a:prstGeom>
                    <a:noFill/>
                    <a:ln>
                      <a:noFill/>
                    </a:ln>
                  </pic:spPr>
                </pic:pic>
              </a:graphicData>
            </a:graphic>
          </wp:inline>
        </w:drawing>
      </w:r>
    </w:p>
    <w:p w14:paraId="5F7D8F74">
      <w:pPr>
        <w:pStyle w:val="14"/>
        <w:spacing w:line="400" w:lineRule="atLeast"/>
        <w:ind w:firstLine="720" w:firstLineChars="3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采用硫酸钠溶液法进行试验，卵石、碎石的质量损失应符合下5的规定：</w:t>
      </w:r>
    </w:p>
    <w:p w14:paraId="49170D4F">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67325" cy="4667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466725"/>
                    </a:xfrm>
                    <a:prstGeom prst="rect">
                      <a:avLst/>
                    </a:prstGeom>
                    <a:noFill/>
                    <a:ln>
                      <a:noFill/>
                    </a:ln>
                  </pic:spPr>
                </pic:pic>
              </a:graphicData>
            </a:graphic>
          </wp:inline>
        </w:drawing>
      </w:r>
    </w:p>
    <w:p w14:paraId="1B7251FA">
      <w:pPr>
        <w:pStyle w:val="14"/>
        <w:spacing w:line="400" w:lineRule="atLeast"/>
        <w:ind w:firstLine="720" w:firstLineChars="3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强度：（1）岩石抗压强度：在水饱和状态下，其抗压强度火成岩应不小于80 MPa，变质岩应不小于60 MPa，水成岩应不小于30 MPa。（2）压碎指标应符合下表规定：</w:t>
      </w:r>
    </w:p>
    <w:p w14:paraId="61F98161">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74310" cy="6286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628650"/>
                    </a:xfrm>
                    <a:prstGeom prst="rect">
                      <a:avLst/>
                    </a:prstGeom>
                    <a:noFill/>
                    <a:ln>
                      <a:noFill/>
                    </a:ln>
                  </pic:spPr>
                </pic:pic>
              </a:graphicData>
            </a:graphic>
          </wp:inline>
        </w:drawing>
      </w:r>
    </w:p>
    <w:p w14:paraId="27B7E40C">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表观密度、连续级配松散堆积空隙率应符合如下规定：(1)表观密度不小于2600kg/m3；(2)连续级配松散堆积空隙率应符合下表规定：</w:t>
      </w:r>
    </w:p>
    <w:p w14:paraId="3C4FDFE2">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67325" cy="4286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428625"/>
                    </a:xfrm>
                    <a:prstGeom prst="rect">
                      <a:avLst/>
                    </a:prstGeom>
                    <a:noFill/>
                    <a:ln>
                      <a:noFill/>
                    </a:ln>
                  </pic:spPr>
                </pic:pic>
              </a:graphicData>
            </a:graphic>
          </wp:inline>
        </w:drawing>
      </w:r>
    </w:p>
    <w:p w14:paraId="2679F850">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吸水率应符合下表规定：</w:t>
      </w:r>
    </w:p>
    <w:p w14:paraId="562E98F9">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drawing>
          <wp:inline distT="0" distB="0" distL="0" distR="0">
            <wp:extent cx="5267325" cy="4286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428625"/>
                    </a:xfrm>
                    <a:prstGeom prst="rect">
                      <a:avLst/>
                    </a:prstGeom>
                    <a:noFill/>
                    <a:ln>
                      <a:noFill/>
                    </a:ln>
                  </pic:spPr>
                </pic:pic>
              </a:graphicData>
            </a:graphic>
          </wp:inline>
        </w:drawing>
      </w:r>
    </w:p>
    <w:p w14:paraId="75EE431B">
      <w:pPr>
        <w:pStyle w:val="14"/>
        <w:spacing w:line="400" w:lineRule="atLeast"/>
        <w:ind w:firstLine="960" w:firstLineChars="4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碱集料反应：经碱集料反应试验后，试件应无裂缝、酥裂、胶体外溢等现象，在规定的试验龄期膨胀率应小于0.10％。</w:t>
      </w:r>
      <w:permEnd w:id="27"/>
    </w:p>
    <w:p w14:paraId="22E73D25">
      <w:pPr>
        <w:spacing w:line="400" w:lineRule="exact"/>
        <w:ind w:firstLine="422" w:firstLineChars="200"/>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w:t>
      </w:r>
      <w:r>
        <w:rPr>
          <w:rFonts w:ascii="仿宋_GB2312" w:hAnsi="仿宋_GB2312" w:eastAsia="仿宋_GB2312" w:cs="仿宋_GB2312"/>
          <w:b/>
          <w:bCs/>
          <w:color w:val="000000" w:themeColor="text1"/>
          <w:highlight w:val="none"/>
          <w14:textFill>
            <w14:solidFill>
              <w14:schemeClr w14:val="tx1"/>
            </w14:solidFill>
          </w14:textFill>
        </w:rPr>
        <w:t>.7</w:t>
      </w:r>
      <w:r>
        <w:rPr>
          <w:rFonts w:hint="eastAsia" w:ascii="仿宋_GB2312" w:hAnsi="仿宋_GB2312" w:eastAsia="仿宋_GB2312" w:cs="仿宋_GB2312"/>
          <w:b/>
          <w:bCs/>
          <w:color w:val="000000" w:themeColor="text1"/>
          <w:highlight w:val="none"/>
          <w14:textFill>
            <w14:solidFill>
              <w14:schemeClr w14:val="tx1"/>
            </w14:solidFill>
          </w14:textFill>
        </w:rPr>
        <w:t>其他</w:t>
      </w:r>
      <w:r>
        <w:rPr>
          <w:rFonts w:hint="eastAsia" w:ascii="仿宋_GB2312" w:hAnsi="仿宋_GB2312" w:eastAsia="仿宋_GB2312" w:cs="仿宋_GB2312"/>
          <w:color w:val="000000" w:themeColor="text1"/>
          <w:highlight w:val="none"/>
          <w14:textFill>
            <w14:solidFill>
              <w14:schemeClr w14:val="tx1"/>
            </w14:solidFill>
          </w14:textFill>
        </w:rPr>
        <w:t>：</w:t>
      </w:r>
      <w:permStart w:id="28"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1.7.1材料应石料坚硬、近似立方体颗粒，颜色一致，碎石不含软弱颗粒、山皮土和石粉。粒级不得掺配混杂。乙方要经常检查料场筛网的完好程度，及时更换损坏的筛网，采取措施保证材料质量满足要求。</w:t>
      </w:r>
    </w:p>
    <w:p w14:paraId="7A8EB68B">
      <w:pPr>
        <w:spacing w:line="40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1.7.2材料运至甲方指定地点后由甲方试验室人员对每车到场材料含水率进行检测，含水率不超2%，超过后乙方进行相应扣减。</w:t>
      </w:r>
    </w:p>
    <w:p w14:paraId="6D35D97B">
      <w:pPr>
        <w:spacing w:line="40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增加以下条款：</w:t>
      </w:r>
    </w:p>
    <w:p w14:paraId="081A0E0D">
      <w:pPr>
        <w:spacing w:line="40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1.7.3乙方所供材料必须具备材质证明、试验检测等相关资料，产品技术性能经检测合格后方可供货。乙方供应的每一批货物必须提供该产品的出场合格证、出厂质量证明和检验报告单，并满足甲方的外委试验报告要求。</w:t>
      </w:r>
    </w:p>
    <w:p w14:paraId="64C805DF">
      <w:pPr>
        <w:spacing w:line="400" w:lineRule="exact"/>
        <w:ind w:firstLine="480" w:firstLineChars="200"/>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1.7.4质量保证：严格按国家标准，行业规范、业主及监理单位质量要求交货。</w:t>
      </w:r>
    </w:p>
    <w:p w14:paraId="1D5E884A">
      <w:pPr>
        <w:spacing w:line="400" w:lineRule="exact"/>
        <w:ind w:firstLine="480" w:firstLineChars="200"/>
        <w:rPr>
          <w:rFonts w:hint="eastAsia" w:ascii="仿宋_GB2312" w:hAnsi="仿宋_GB2312" w:eastAsia="仿宋_GB2312" w:cs="仿宋_GB2312"/>
          <w:color w:val="000000" w:themeColor="text1"/>
          <w:kern w:val="0"/>
          <w:sz w:val="24"/>
          <w:szCs w:val="24"/>
          <w:highlight w:val="none"/>
          <w:u w:val="single"/>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1.7.5若乙方提供的产品确实存在质量问题，乙方不得以货物已经验收、签收、使用及其他原因为由进行抗辩免责，对于甲方的损失应承担全部责任，乙方对所供应产品质量终身负责。</w:t>
      </w:r>
    </w:p>
    <w:p w14:paraId="78AE0361">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28"/>
      <w:r>
        <w:rPr>
          <w:rFonts w:ascii="仿宋_GB2312" w:hAnsi="仿宋_GB2312" w:eastAsia="仿宋_GB2312" w:cs="仿宋_GB2312"/>
          <w:color w:val="000000" w:themeColor="text1"/>
          <w:highlight w:val="none"/>
          <w:u w:val="single"/>
          <w14:textFill>
            <w14:solidFill>
              <w14:schemeClr w14:val="tx1"/>
            </w14:solidFill>
          </w14:textFill>
        </w:rPr>
        <w:t xml:space="preserve"> </w:t>
      </w:r>
    </w:p>
    <w:p w14:paraId="032C6A3A">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2、货物附件清单：</w:t>
      </w:r>
      <w:r>
        <w:rPr>
          <w:rFonts w:hint="eastAsia" w:ascii="仿宋_GB2312" w:hAnsi="仿宋_GB2312" w:eastAsia="仿宋_GB2312" w:cs="仿宋_GB2312"/>
          <w:color w:val="000000" w:themeColor="text1"/>
          <w:highlight w:val="none"/>
          <w14:textFill>
            <w14:solidFill>
              <w14:schemeClr w14:val="tx1"/>
            </w14:solidFill>
          </w14:textFill>
        </w:rPr>
        <w:t>乙方应按甲方要求在交货时提供货物附件清单：</w:t>
      </w:r>
      <w:r>
        <w:rPr>
          <w:rFonts w:hint="eastAsia" w:ascii="仿宋_GB2312" w:hAnsi="仿宋_GB2312" w:eastAsia="仿宋_GB2312" w:cs="仿宋_GB2312"/>
          <w:color w:val="000000" w:themeColor="text1"/>
          <w:highlight w:val="none"/>
          <w:u w:val="single"/>
          <w14:textFill>
            <w14:solidFill>
              <w14:schemeClr w14:val="tx1"/>
            </w14:solidFill>
          </w14:textFill>
        </w:rPr>
        <w:t>产品质量证明书、出厂合格证、产品检验报告、国家强制性产品认证书、产品质量免检证书、产品生产许可证、管理体系认证证书、装箱单、发货单等</w:t>
      </w:r>
      <w:r>
        <w:rPr>
          <w:rFonts w:hint="eastAsia" w:ascii="仿宋_GB2312" w:hAnsi="仿宋_GB2312" w:eastAsia="仿宋_GB2312" w:cs="仿宋_GB2312"/>
          <w:color w:val="auto"/>
          <w:highlight w:val="none"/>
          <w:u w:val="single"/>
          <w:lang w:val="en-US" w:eastAsia="zh-CN"/>
        </w:rPr>
        <w:t>以及</w:t>
      </w:r>
      <w:r>
        <w:rPr>
          <w:rFonts w:hint="eastAsia" w:ascii="仿宋_GB2312" w:hAnsi="仿宋_GB2312" w:eastAsia="仿宋_GB2312" w:cs="仿宋_GB2312"/>
          <w:color w:val="auto"/>
          <w:highlight w:val="none"/>
          <w:u w:val="single"/>
        </w:rPr>
        <w:t>甲方为完成计量、竣工资料等所需要的所有资料，并及时交送到甲方指定负责人处，乙方提供资料均需在有效期内。</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000000" w:themeColor="text1"/>
          <w:highlight w:val="none"/>
          <w14:textFill>
            <w14:solidFill>
              <w14:schemeClr w14:val="tx1"/>
            </w14:solidFill>
          </w14:textFill>
        </w:rPr>
        <w:t>，附件清单明确附件内容及份数同时加印乙方签章于收货时一并交由甲方核验，否则甲方不予办理收料手续。</w:t>
      </w:r>
    </w:p>
    <w:p w14:paraId="7484290D">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3、货物质量保修期：</w:t>
      </w:r>
      <w:r>
        <w:rPr>
          <w:rFonts w:hint="eastAsia" w:ascii="仿宋_GB2312" w:hAnsi="仿宋_GB2312" w:eastAsia="仿宋_GB2312" w:cs="仿宋_GB2312"/>
          <w:color w:val="000000" w:themeColor="text1"/>
          <w:highlight w:val="none"/>
          <w14:textFill>
            <w14:solidFill>
              <w14:schemeClr w14:val="tx1"/>
            </w14:solidFill>
          </w14:textFill>
        </w:rPr>
        <w:t>按下列第</w:t>
      </w:r>
      <w:permStart w:id="2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3.3  </w:t>
      </w:r>
      <w:permEnd w:id="29"/>
      <w:r>
        <w:rPr>
          <w:rFonts w:hint="eastAsia" w:ascii="仿宋_GB2312" w:hAnsi="仿宋_GB2312" w:eastAsia="仿宋_GB2312" w:cs="仿宋_GB2312"/>
          <w:color w:val="000000" w:themeColor="text1"/>
          <w:highlight w:val="none"/>
          <w14:textFill>
            <w14:solidFill>
              <w14:schemeClr w14:val="tx1"/>
            </w14:solidFill>
          </w14:textFill>
        </w:rPr>
        <w:t>项执行（如货物明示或设计的质量保</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修</w:t>
      </w:r>
      <w:r>
        <w:rPr>
          <w:rFonts w:hint="eastAsia" w:ascii="仿宋_GB2312" w:hAnsi="仿宋_GB2312" w:eastAsia="仿宋_GB2312" w:cs="仿宋_GB2312"/>
          <w:color w:val="000000" w:themeColor="text1"/>
          <w:highlight w:val="none"/>
          <w14:textFill>
            <w14:solidFill>
              <w14:schemeClr w14:val="tx1"/>
            </w14:solidFill>
          </w14:textFill>
        </w:rPr>
        <w:t>期/缺陷责任期较长的，以较长者为准）：</w:t>
      </w:r>
    </w:p>
    <w:p w14:paraId="5891090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3.1质量保</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修</w:t>
      </w:r>
      <w:r>
        <w:rPr>
          <w:rFonts w:hint="eastAsia" w:ascii="仿宋_GB2312" w:hAnsi="仿宋_GB2312" w:eastAsia="仿宋_GB2312" w:cs="仿宋_GB2312"/>
          <w:color w:val="000000" w:themeColor="text1"/>
          <w:highlight w:val="none"/>
          <w14:textFill>
            <w14:solidFill>
              <w14:schemeClr w14:val="tx1"/>
            </w14:solidFill>
          </w14:textFill>
        </w:rPr>
        <w:t>期无</w:t>
      </w:r>
    </w:p>
    <w:p w14:paraId="0415484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3.2质量保</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修</w:t>
      </w:r>
      <w:r>
        <w:rPr>
          <w:rFonts w:hint="eastAsia" w:ascii="仿宋_GB2312" w:hAnsi="仿宋_GB2312" w:eastAsia="仿宋_GB2312" w:cs="仿宋_GB2312"/>
          <w:color w:val="000000" w:themeColor="text1"/>
          <w:highlight w:val="none"/>
          <w14:textFill>
            <w14:solidFill>
              <w14:schemeClr w14:val="tx1"/>
            </w14:solidFill>
          </w14:textFill>
        </w:rPr>
        <w:t>期为</w:t>
      </w:r>
      <w:permStart w:id="3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30"/>
      <w:r>
        <w:rPr>
          <w:rFonts w:hint="eastAsia" w:ascii="仿宋_GB2312" w:hAnsi="仿宋_GB2312" w:eastAsia="仿宋_GB2312" w:cs="仿宋_GB2312"/>
          <w:color w:val="000000" w:themeColor="text1"/>
          <w:highlight w:val="none"/>
          <w14:textFill>
            <w14:solidFill>
              <w14:schemeClr w14:val="tx1"/>
            </w14:solidFill>
          </w14:textFill>
        </w:rPr>
        <w:t>个月，自货物进场验收合格之日起算；</w:t>
      </w:r>
    </w:p>
    <w:p w14:paraId="2FFCB4C7">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3.3质量保</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修</w:t>
      </w:r>
      <w:r>
        <w:rPr>
          <w:rFonts w:hint="eastAsia" w:ascii="仿宋_GB2312" w:hAnsi="仿宋_GB2312" w:eastAsia="仿宋_GB2312" w:cs="仿宋_GB2312"/>
          <w:color w:val="000000" w:themeColor="text1"/>
          <w:highlight w:val="none"/>
          <w14:textFill>
            <w14:solidFill>
              <w14:schemeClr w14:val="tx1"/>
            </w14:solidFill>
          </w14:textFill>
        </w:rPr>
        <w:t>期为</w:t>
      </w:r>
      <w:permStart w:id="31"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6</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31"/>
      <w:r>
        <w:rPr>
          <w:rFonts w:hint="eastAsia" w:ascii="仿宋_GB2312" w:hAnsi="仿宋_GB2312" w:eastAsia="仿宋_GB2312" w:cs="仿宋_GB2312"/>
          <w:color w:val="000000" w:themeColor="text1"/>
          <w:highlight w:val="none"/>
          <w14:textFill>
            <w14:solidFill>
              <w14:schemeClr w14:val="tx1"/>
            </w14:solidFill>
          </w14:textFill>
        </w:rPr>
        <w:t>个月，从工程（送货地工程）竣工验收合格之日（以业主颁发竣工证书所载日期为准）起计算；</w:t>
      </w:r>
    </w:p>
    <w:p w14:paraId="21B7AF66">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所有货物须保证满足现场使用要求，如货物在质量保修期内出现质量瑕疵或者缺陷的，由乙方按照甲方的时间要求免费维修或者更换，经甲方要求整改一次仍无法达到合同要求时，甲方可自行或委托第三方代为履行，并以实际发生费用从乙方的应付款中扣除。</w:t>
      </w:r>
    </w:p>
    <w:p w14:paraId="7CD20CD3">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20" w:name="_Toc22036"/>
      <w:bookmarkStart w:id="21" w:name="_Toc3621"/>
      <w:bookmarkStart w:id="22" w:name="_Toc12481"/>
      <w:r>
        <w:rPr>
          <w:rFonts w:hint="eastAsia" w:ascii="仿宋_GB2312" w:hAnsi="仿宋_GB2312" w:eastAsia="仿宋_GB2312" w:cs="仿宋_GB2312"/>
          <w:b/>
          <w:bCs/>
          <w:color w:val="000000" w:themeColor="text1"/>
          <w:highlight w:val="none"/>
          <w14:textFill>
            <w14:solidFill>
              <w14:schemeClr w14:val="tx1"/>
            </w14:solidFill>
          </w14:textFill>
        </w:rPr>
        <w:t>货物验收</w:t>
      </w:r>
      <w:bookmarkEnd w:id="20"/>
      <w:bookmarkEnd w:id="21"/>
      <w:bookmarkEnd w:id="22"/>
    </w:p>
    <w:p w14:paraId="086F5D19">
      <w:pPr>
        <w:pStyle w:val="14"/>
        <w:numPr>
          <w:ilvl w:val="0"/>
          <w:numId w:val="3"/>
        </w:numPr>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验收人员：</w:t>
      </w:r>
      <w:r>
        <w:rPr>
          <w:rFonts w:hint="eastAsia" w:ascii="仿宋_GB2312" w:hAnsi="仿宋_GB2312" w:eastAsia="仿宋_GB2312" w:cs="仿宋_GB2312"/>
          <w:color w:val="000000" w:themeColor="text1"/>
          <w:highlight w:val="none"/>
          <w14:textFill>
            <w14:solidFill>
              <w14:schemeClr w14:val="tx1"/>
            </w14:solidFill>
          </w14:textFill>
        </w:rPr>
        <w:t>货物进场需由甲方物资管理人员</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不少于2人</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highlight w:val="none"/>
          <w14:textFill>
            <w14:solidFill>
              <w14:schemeClr w14:val="tx1"/>
            </w14:solidFill>
          </w14:textFill>
        </w:rPr>
        <w:t>、</w:t>
      </w:r>
      <w:bookmarkStart w:id="23" w:name="_Hlk127189311"/>
      <w:r>
        <w:rPr>
          <w:rFonts w:hint="eastAsia" w:ascii="仿宋_GB2312" w:hAnsi="仿宋_GB2312" w:eastAsia="仿宋_GB2312" w:cs="仿宋_GB2312"/>
          <w:color w:val="000000" w:themeColor="text1"/>
          <w:highlight w:val="none"/>
          <w14:textFill>
            <w14:solidFill>
              <w14:schemeClr w14:val="tx1"/>
            </w14:solidFill>
          </w14:textFill>
        </w:rPr>
        <w:t>现场责任</w:t>
      </w:r>
      <w:bookmarkEnd w:id="23"/>
      <w:r>
        <w:rPr>
          <w:rFonts w:hint="eastAsia" w:ascii="仿宋_GB2312" w:hAnsi="仿宋_GB2312" w:eastAsia="仿宋_GB2312" w:cs="仿宋_GB2312"/>
          <w:color w:val="000000" w:themeColor="text1"/>
          <w:highlight w:val="none"/>
          <w14:textFill>
            <w14:solidFill>
              <w14:schemeClr w14:val="tx1"/>
            </w14:solidFill>
          </w14:textFill>
        </w:rPr>
        <w:t>工程师、分包单位和乙方发货联系人共同完成现场验收，现场验收不代表货物质量合格，质量是否合格需要进一步复核确定。</w:t>
      </w:r>
    </w:p>
    <w:p w14:paraId="3C440CED">
      <w:pPr>
        <w:pStyle w:val="14"/>
        <w:numPr>
          <w:ilvl w:val="0"/>
          <w:numId w:val="3"/>
        </w:numPr>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验收方式：</w:t>
      </w:r>
      <w:r>
        <w:rPr>
          <w:rFonts w:hint="eastAsia" w:ascii="仿宋_GB2312" w:hAnsi="仿宋_GB2312" w:eastAsia="仿宋_GB2312" w:cs="仿宋_GB2312"/>
          <w:color w:val="000000" w:themeColor="text1"/>
          <w:highlight w:val="none"/>
          <w:u w:val="single"/>
          <w14:textFill>
            <w14:solidFill>
              <w14:schemeClr w14:val="tx1"/>
            </w14:solidFill>
          </w14:textFill>
        </w:rPr>
        <w:t>以智能地磅、云筑收验货系统为主要载体，结合视频监控系统，完成核对凭证、外观质量验收、数量验收和检测报告四步验收，甲方收货联系人出具</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过磅单、</w:t>
      </w:r>
      <w:r>
        <w:rPr>
          <w:rFonts w:hint="eastAsia" w:ascii="仿宋_GB2312" w:hAnsi="仿宋_GB2312" w:eastAsia="仿宋_GB2312" w:cs="仿宋_GB2312"/>
          <w:color w:val="000000" w:themeColor="text1"/>
          <w:highlight w:val="none"/>
          <w:u w:val="single"/>
          <w14:textFill>
            <w14:solidFill>
              <w14:schemeClr w14:val="tx1"/>
            </w14:solidFill>
          </w14:textFill>
        </w:rPr>
        <w:t>收料单，甲方收货联系人及乙方发货联系人双方签字后视为验收完成</w:t>
      </w:r>
      <w:r>
        <w:rPr>
          <w:rFonts w:hint="eastAsia" w:ascii="仿宋_GB2312" w:hAnsi="仿宋_GB2312" w:eastAsia="仿宋_GB2312" w:cs="仿宋_GB2312"/>
          <w:color w:val="000000" w:themeColor="text1"/>
          <w:highlight w:val="none"/>
          <w14:textFill>
            <w14:solidFill>
              <w14:schemeClr w14:val="tx1"/>
            </w14:solidFill>
          </w14:textFill>
        </w:rPr>
        <w:t>。</w:t>
      </w:r>
    </w:p>
    <w:p w14:paraId="5212C1B4">
      <w:pPr>
        <w:pStyle w:val="14"/>
        <w:numPr>
          <w:ilvl w:val="0"/>
          <w:numId w:val="3"/>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数量验收：</w:t>
      </w:r>
    </w:p>
    <w:p w14:paraId="78F2D59B">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3.1数量验收方式：</w:t>
      </w:r>
      <w:r>
        <w:rPr>
          <w:rFonts w:hint="eastAsia" w:ascii="仿宋_GB2312" w:hAnsi="仿宋_GB2312" w:eastAsia="仿宋_GB2312" w:cs="仿宋_GB2312"/>
          <w:color w:val="000000" w:themeColor="text1"/>
          <w:highlight w:val="none"/>
          <w14:textFill>
            <w14:solidFill>
              <w14:schemeClr w14:val="tx1"/>
            </w14:solidFill>
          </w14:textFill>
        </w:rPr>
        <w:t>选择以下</w:t>
      </w:r>
      <w:permStart w:id="32"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3.1.1</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32"/>
      <w:r>
        <w:rPr>
          <w:rFonts w:hint="eastAsia" w:ascii="仿宋_GB2312" w:hAnsi="仿宋_GB2312" w:eastAsia="仿宋_GB2312" w:cs="仿宋_GB2312"/>
          <w:color w:val="000000" w:themeColor="text1"/>
          <w:highlight w:val="none"/>
          <w14:textFill>
            <w14:solidFill>
              <w14:schemeClr w14:val="tx1"/>
            </w14:solidFill>
          </w14:textFill>
        </w:rPr>
        <w:t>种方式：</w:t>
      </w:r>
    </w:p>
    <w:p w14:paraId="6369F070">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3.1.1计重计量</w:t>
      </w:r>
      <w:r>
        <w:rPr>
          <w:rFonts w:hint="eastAsia" w:ascii="仿宋_GB2312" w:hAnsi="仿宋_GB2312" w:eastAsia="仿宋_GB2312" w:cs="仿宋_GB2312"/>
          <w:color w:val="000000" w:themeColor="text1"/>
          <w:highlight w:val="none"/>
          <w14:textFill>
            <w14:solidFill>
              <w14:schemeClr w14:val="tx1"/>
            </w14:solidFill>
          </w14:textFill>
        </w:rPr>
        <w:t>：数量以验收合格后买方书面确认的过磅数量为准。</w:t>
      </w:r>
    </w:p>
    <w:p w14:paraId="1F8638F8">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3.1.2量方计量</w:t>
      </w:r>
      <w:r>
        <w:rPr>
          <w:rFonts w:hint="eastAsia" w:ascii="仿宋_GB2312" w:hAnsi="仿宋_GB2312" w:eastAsia="仿宋_GB2312" w:cs="仿宋_GB2312"/>
          <w:color w:val="000000" w:themeColor="text1"/>
          <w:highlight w:val="none"/>
          <w14:textFill>
            <w14:solidFill>
              <w14:schemeClr w14:val="tx1"/>
            </w14:solidFill>
          </w14:textFill>
        </w:rPr>
        <w:t>：</w:t>
      </w:r>
      <w:permStart w:id="3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permEnd w:id="33"/>
      <w:r>
        <w:rPr>
          <w:rFonts w:hint="eastAsia" w:ascii="仿宋_GB2312" w:hAnsi="仿宋_GB2312" w:eastAsia="仿宋_GB2312" w:cs="仿宋_GB2312"/>
          <w:color w:val="000000" w:themeColor="text1"/>
          <w:highlight w:val="none"/>
          <w14:textFill>
            <w14:solidFill>
              <w14:schemeClr w14:val="tx1"/>
            </w14:solidFill>
          </w14:textFill>
        </w:rPr>
        <w:t>（注：小批量采购时采用此方式），验收时若发现卖方方量存在问题（缺方），买方将对以前验收进场的数量按照本次缺方比例双倍扣除，卖方不得有异议。</w:t>
      </w:r>
    </w:p>
    <w:p w14:paraId="36246209">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3.2数量验收凭据：</w:t>
      </w:r>
      <w:bookmarkStart w:id="24" w:name="_Hlk126825924"/>
      <w:r>
        <w:rPr>
          <w:rFonts w:hint="eastAsia" w:ascii="仿宋_GB2312" w:hAnsi="仿宋_GB2312" w:eastAsia="仿宋_GB2312" w:cs="仿宋_GB2312"/>
          <w:highlight w:val="none"/>
          <w:u w:val="single"/>
        </w:rPr>
        <w:t>由甲方物资负责人及相应验收收料人员共同签署的收货凭据（包括但不限于过磅单据、收料单、供货小票、月度统计单或其他数量统计文件等）仅作为甲方收到乙方所供应物资的数量、型号、规格、到场时间等的证明，而不作为甲方付款及结算的唯一凭证，无论该收货凭据上是否载有单价、合价或合计等涉及价款的内容，且乙方不得以此要求甲方支付任何款项或承担任何责任。甲方项目经理部除物资负责人外的其他任何人员签署的任何形式的收货凭据不作为标的物进场的依据，乙方对甲方签字人员权限负有审查义务</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w:t>
      </w:r>
      <w:bookmarkEnd w:id="24"/>
    </w:p>
    <w:p w14:paraId="29CA9189">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3.3数量争议：</w:t>
      </w:r>
      <w:r>
        <w:rPr>
          <w:rFonts w:hint="eastAsia" w:ascii="仿宋_GB2312" w:hAnsi="仿宋_GB2312" w:eastAsia="仿宋_GB2312" w:cs="仿宋_GB2312"/>
          <w:color w:val="000000" w:themeColor="text1"/>
          <w:highlight w:val="none"/>
          <w14:textFill>
            <w14:solidFill>
              <w14:schemeClr w14:val="tx1"/>
            </w14:solidFill>
          </w14:textFill>
        </w:rPr>
        <w:t>甲方如有数量异议，应在收货后7天内提出，</w:t>
      </w:r>
      <w:bookmarkStart w:id="25" w:name="_Hlk127189413"/>
      <w:r>
        <w:rPr>
          <w:rFonts w:hint="eastAsia" w:ascii="仿宋_GB2312" w:hAnsi="仿宋_GB2312" w:eastAsia="仿宋_GB2312" w:cs="仿宋_GB2312"/>
          <w:b/>
          <w:bCs/>
          <w:color w:val="000000" w:themeColor="text1"/>
          <w:highlight w:val="none"/>
          <w14:textFill>
            <w14:solidFill>
              <w14:schemeClr w14:val="tx1"/>
            </w14:solidFill>
          </w14:textFill>
        </w:rPr>
        <w:t>乙方应在3天内作出答复，未回复视为认可甲方验收数量。</w:t>
      </w:r>
    </w:p>
    <w:bookmarkEnd w:id="25"/>
    <w:p w14:paraId="0AAA5D16">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4、质量验收：</w:t>
      </w:r>
    </w:p>
    <w:p w14:paraId="3932AC18">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4.1外观验收：</w:t>
      </w:r>
      <w:r>
        <w:rPr>
          <w:rFonts w:hint="eastAsia" w:ascii="仿宋_GB2312" w:hAnsi="仿宋_GB2312" w:eastAsia="仿宋_GB2312" w:cs="仿宋_GB2312"/>
          <w:color w:val="000000" w:themeColor="text1"/>
          <w:highlight w:val="none"/>
          <w14:textFill>
            <w14:solidFill>
              <w14:schemeClr w14:val="tx1"/>
            </w14:solidFill>
          </w14:textFill>
        </w:rPr>
        <w:t>甲方按照本合同约定的标准及乙方提交的货物附件清单中产品质量证明书等资料作为外观验收标准,外观质量符合合同要求方可卸车,否则不得卸车；</w:t>
      </w:r>
    </w:p>
    <w:p w14:paraId="645ABEEC">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4.2送样要求：</w:t>
      </w:r>
      <w:r>
        <w:rPr>
          <w:rFonts w:hint="eastAsia" w:ascii="仿宋_GB2312" w:hAnsi="仿宋_GB2312" w:eastAsia="仿宋_GB2312" w:cs="仿宋_GB2312"/>
          <w:color w:val="000000" w:themeColor="text1"/>
          <w:highlight w:val="none"/>
          <w14:textFill>
            <w14:solidFill>
              <w14:schemeClr w14:val="tx1"/>
            </w14:solidFill>
          </w14:textFill>
        </w:rPr>
        <w:t>对于甲方要求提前送样的货物,乙方应按照甲方要求送审材料样品，样品送审内容包括但不限于材料样品本身，还包括提供样品材料的</w:t>
      </w:r>
      <w:r>
        <w:rPr>
          <w:rFonts w:hint="eastAsia" w:ascii="仿宋_GB2312" w:hAnsi="仿宋_GB2312" w:eastAsia="仿宋_GB2312" w:cs="仿宋_GB2312"/>
          <w:color w:val="000000" w:themeColor="text1"/>
          <w:highlight w:val="none"/>
          <w:u w:val="single"/>
          <w14:textFill>
            <w14:solidFill>
              <w14:schemeClr w14:val="tx1"/>
            </w14:solidFill>
          </w14:textFill>
        </w:rPr>
        <w:t>质量、外观、品牌、商标、规格、型号、花色、标识、生产厂家、产品生产许可证、产品质量证明书、出厂合格证、产品检验报告</w:t>
      </w:r>
      <w:r>
        <w:rPr>
          <w:rFonts w:hint="eastAsia" w:ascii="仿宋_GB2312" w:hAnsi="仿宋_GB2312" w:eastAsia="仿宋_GB2312" w:cs="仿宋_GB2312"/>
          <w:color w:val="000000" w:themeColor="text1"/>
          <w:highlight w:val="none"/>
          <w14:textFill>
            <w14:solidFill>
              <w14:schemeClr w14:val="tx1"/>
            </w14:solidFill>
          </w14:textFill>
        </w:rPr>
        <w:t>等相关的技术质量资料。一旦甲、乙双方签约后且材料的样品得到甲方、业主及监理认可并且封存样品后，未经甲方、业主及监理同意，乙方不得作任何变更。</w:t>
      </w:r>
    </w:p>
    <w:p w14:paraId="4F153205">
      <w:pPr>
        <w:pStyle w:val="14"/>
        <w:spacing w:line="400" w:lineRule="atLeast"/>
        <w:ind w:firstLine="480"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正式交货时材料的相关技术质量资料应保持和样品一致，如所进材料和样品不一致，属乙方违约，</w:t>
      </w:r>
      <w:bookmarkStart w:id="26" w:name="_Hlk126833969"/>
      <w:r>
        <w:rPr>
          <w:rFonts w:hint="eastAsia" w:ascii="仿宋_GB2312" w:hAnsi="仿宋_GB2312" w:eastAsia="仿宋_GB2312" w:cs="仿宋_GB2312"/>
          <w:b/>
          <w:bCs/>
          <w:color w:val="000000" w:themeColor="text1"/>
          <w:highlight w:val="none"/>
          <w14:textFill>
            <w14:solidFill>
              <w14:schemeClr w14:val="tx1"/>
            </w14:solidFill>
          </w14:textFill>
        </w:rPr>
        <w:t>乙方按合同第二部分第二条违约条款承担违约责任，并赔偿由此给甲方带来的全部经济损失</w:t>
      </w:r>
      <w:bookmarkEnd w:id="26"/>
      <w:r>
        <w:rPr>
          <w:rFonts w:hint="eastAsia" w:ascii="仿宋_GB2312" w:hAnsi="仿宋_GB2312" w:eastAsia="仿宋_GB2312" w:cs="仿宋_GB2312"/>
          <w:b/>
          <w:bCs/>
          <w:color w:val="000000" w:themeColor="text1"/>
          <w:highlight w:val="none"/>
          <w14:textFill>
            <w14:solidFill>
              <w14:schemeClr w14:val="tx1"/>
            </w14:solidFill>
          </w14:textFill>
        </w:rPr>
        <w:t>。</w:t>
      </w:r>
    </w:p>
    <w:p w14:paraId="0F47BB46">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4.3质量检测：</w:t>
      </w:r>
      <w:r>
        <w:rPr>
          <w:rFonts w:hint="eastAsia" w:ascii="仿宋_GB2312" w:hAnsi="仿宋_GB2312" w:eastAsia="仿宋_GB2312" w:cs="仿宋_GB2312"/>
          <w:color w:val="000000" w:themeColor="text1"/>
          <w:highlight w:val="none"/>
          <w14:textFill>
            <w14:solidFill>
              <w14:schemeClr w14:val="tx1"/>
            </w14:solidFill>
          </w14:textFill>
        </w:rPr>
        <w:t>货物应在产品使用前进行检测，待检测合格后方可使用；如检测不合格，由乙方负责在48小时内包退包换，并承担往来运输费、上下车的力资费及相应工期损失、经济损失。</w:t>
      </w:r>
    </w:p>
    <w:p w14:paraId="0E7CA23E">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业主、监理、设计单位及甲方均有权随机抽样对货物进行第三方检测或测试，乙方有责任协助甲方完成相关测试工作，若供货材料抽样检测不合格，乙方应承担相应费用和损失。</w:t>
      </w:r>
    </w:p>
    <w:p w14:paraId="4C9EA873">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4.4质量争议：</w:t>
      </w:r>
      <w:r>
        <w:rPr>
          <w:rFonts w:hint="eastAsia" w:ascii="仿宋_GB2312" w:hAnsi="仿宋_GB2312" w:eastAsia="仿宋_GB2312" w:cs="仿宋_GB2312"/>
          <w:color w:val="000000" w:themeColor="text1"/>
          <w:highlight w:val="none"/>
          <w14:textFill>
            <w14:solidFill>
              <w14:schemeClr w14:val="tx1"/>
            </w14:solidFill>
          </w14:textFill>
        </w:rPr>
        <w:t>货物如有质量异议，应在收货后7天向对方提出，乙</w:t>
      </w:r>
      <w:r>
        <w:rPr>
          <w:rFonts w:hint="eastAsia" w:ascii="仿宋_GB2312" w:hAnsi="仿宋_GB2312" w:eastAsia="仿宋_GB2312" w:cs="仿宋_GB2312"/>
          <w:b/>
          <w:bCs/>
          <w:color w:val="000000" w:themeColor="text1"/>
          <w:highlight w:val="none"/>
          <w14:textFill>
            <w14:solidFill>
              <w14:schemeClr w14:val="tx1"/>
            </w14:solidFill>
          </w14:textFill>
        </w:rPr>
        <w:t>方应在3天内作出答复，未回复视为认可货物质量瑕疵或缺陷。</w:t>
      </w:r>
      <w:r>
        <w:rPr>
          <w:rFonts w:hint="eastAsia" w:ascii="仿宋_GB2312" w:hAnsi="仿宋_GB2312" w:eastAsia="仿宋_GB2312" w:cs="仿宋_GB2312"/>
          <w:color w:val="000000" w:themeColor="text1"/>
          <w:highlight w:val="none"/>
          <w14:textFill>
            <w14:solidFill>
              <w14:schemeClr w14:val="tx1"/>
            </w14:solidFill>
          </w14:textFill>
        </w:rPr>
        <w:t>因质量发生争议，双方同意共同取样并送交</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Start w:id="34"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邢台宏信工程检测有限公司</w:t>
      </w:r>
      <w:permEnd w:id="34"/>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14:textFill>
            <w14:solidFill>
              <w14:schemeClr w14:val="tx1"/>
            </w14:solidFill>
          </w14:textFill>
        </w:rPr>
        <w:t>检测站进行检验，并以该机构的检验结果为准，因此而发生的费用由责任方承担。如出现不合格品，乙方应在甲方规定时间内包退包换，所发生的费用由乙方承担。</w:t>
      </w:r>
    </w:p>
    <w:p w14:paraId="54BC2594">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对不符合本合同约定要求的货物甲方有权拒绝签收，乙方应立即将该货物全部运离现场并承担相应费用，同时在供货期限内重新更换符合约定的货物。如不能及时运离并在供货期限内重新更换符合约定的货物送达交货地点，甲方有权单方面解除合同，并要求乙方承担甲方相应损失。</w:t>
      </w:r>
    </w:p>
    <w:p w14:paraId="5D19FC69">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4.5更换原则：</w:t>
      </w:r>
      <w:r>
        <w:rPr>
          <w:rFonts w:hint="eastAsia" w:ascii="仿宋_GB2312" w:hAnsi="仿宋_GB2312" w:eastAsia="仿宋_GB2312" w:cs="仿宋_GB2312"/>
          <w:color w:val="000000" w:themeColor="text1"/>
          <w:highlight w:val="none"/>
          <w14:textFill>
            <w14:solidFill>
              <w14:schemeClr w14:val="tx1"/>
            </w14:solidFill>
          </w14:textFill>
        </w:rPr>
        <w:t>由于任何一方原因引起产品更换或补发的时间延长,均以不影响工程进度为原则，如造成影响，则由责任方承担由此导致的后果。</w:t>
      </w:r>
    </w:p>
    <w:p w14:paraId="6DF133DA">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4.6验收责任：</w:t>
      </w:r>
      <w:r>
        <w:rPr>
          <w:rFonts w:hint="eastAsia" w:ascii="仿宋_GB2312" w:hAnsi="仿宋_GB2312" w:eastAsia="仿宋_GB2312" w:cs="仿宋_GB2312"/>
          <w:color w:val="000000" w:themeColor="text1"/>
          <w:highlight w:val="none"/>
          <w14:textFill>
            <w14:solidFill>
              <w14:schemeClr w14:val="tx1"/>
            </w14:solidFill>
          </w14:textFill>
        </w:rPr>
        <w:t>甲方参与对乙方材料的验收并不能免除乙方应承担的责任，如在材料到场验收时未发现质量问题，但在使用时或使用后发现确实因该批材料质量未达到规定要求而造成相应损失，如返工、工期延长等经济和工期损失由乙方承担。</w:t>
      </w:r>
      <w:r>
        <w:rPr>
          <w:rFonts w:hint="eastAsia" w:ascii="仿宋_GB2312" w:hAnsi="仿宋_GB2312" w:eastAsia="仿宋_GB2312" w:cs="仿宋_GB2312"/>
          <w:b/>
          <w:bCs/>
          <w:color w:val="000000" w:themeColor="text1"/>
          <w:highlight w:val="none"/>
          <w14:textFill>
            <w14:solidFill>
              <w14:schemeClr w14:val="tx1"/>
            </w14:solidFill>
          </w14:textFill>
        </w:rPr>
        <w:t>所造成的经济损失，甲方可直接从应付款中扣除，乙方对此不持异议。</w:t>
      </w:r>
      <w:r>
        <w:rPr>
          <w:rFonts w:hint="eastAsia" w:ascii="仿宋_GB2312" w:hAnsi="仿宋_GB2312" w:eastAsia="仿宋_GB2312" w:cs="仿宋_GB2312"/>
          <w:color w:val="000000" w:themeColor="text1"/>
          <w:highlight w:val="none"/>
          <w14:textFill>
            <w14:solidFill>
              <w14:schemeClr w14:val="tx1"/>
            </w14:solidFill>
          </w14:textFill>
        </w:rPr>
        <w:t>对于由该质量问题引起的工程坍塌、人员伤亡等重大事故，乙方应承担直接经济和法律责任。</w:t>
      </w:r>
      <w:r>
        <w:rPr>
          <w:rFonts w:hint="eastAsia" w:ascii="仿宋_GB2312" w:hAnsi="仿宋_GB2312" w:eastAsia="仿宋_GB2312" w:cs="仿宋_GB2312"/>
          <w:b/>
          <w:bCs/>
          <w:color w:val="000000" w:themeColor="text1"/>
          <w:highlight w:val="none"/>
          <w14:textFill>
            <w14:solidFill>
              <w14:schemeClr w14:val="tx1"/>
            </w14:solidFill>
          </w14:textFill>
        </w:rPr>
        <w:t>若由甲方先行承担的，甲方可在任何一笔</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货</w:t>
      </w:r>
      <w:r>
        <w:rPr>
          <w:rFonts w:hint="eastAsia" w:ascii="仿宋_GB2312" w:hAnsi="仿宋_GB2312" w:eastAsia="仿宋_GB2312" w:cs="仿宋_GB2312"/>
          <w:b/>
          <w:bCs/>
          <w:color w:val="000000" w:themeColor="text1"/>
          <w:highlight w:val="none"/>
          <w14:textFill>
            <w14:solidFill>
              <w14:schemeClr w14:val="tx1"/>
            </w14:solidFill>
          </w14:textFill>
        </w:rPr>
        <w:t>款支付中予以扣除，乙方对此不持异议。</w:t>
      </w:r>
    </w:p>
    <w:p w14:paraId="79813E04">
      <w:pPr>
        <w:pStyle w:val="14"/>
        <w:spacing w:line="400" w:lineRule="atLeast"/>
        <w:ind w:firstLine="480" w:firstLineChars="200"/>
        <w:rPr>
          <w:rFonts w:hint="eastAsia" w:ascii="仿宋_GB2312" w:hAnsi="仿宋_GB2312" w:eastAsia="仿宋_GB2312" w:cs="仿宋_GB2312"/>
          <w:b w:val="0"/>
          <w:bCs w:val="0"/>
          <w:color w:val="000000" w:themeColor="text1"/>
          <w:highlight w:val="none"/>
          <w14:textFill>
            <w14:solidFill>
              <w14:schemeClr w14:val="tx1"/>
            </w14:solidFill>
          </w14:textFill>
        </w:rPr>
      </w:pPr>
      <w:bookmarkStart w:id="27" w:name="_Toc24231"/>
      <w:bookmarkStart w:id="28" w:name="_Toc23953"/>
      <w:bookmarkStart w:id="29" w:name="_Toc22166"/>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4.7</w:t>
      </w:r>
      <w:r>
        <w:rPr>
          <w:rFonts w:hint="eastAsia" w:ascii="仿宋_GB2312" w:hAnsi="仿宋_GB2312" w:eastAsia="仿宋_GB2312" w:cs="仿宋_GB2312"/>
          <w:b w:val="0"/>
          <w:bCs w:val="0"/>
          <w:color w:val="000000" w:themeColor="text1"/>
          <w:highlight w:val="none"/>
          <w14:textFill>
            <w14:solidFill>
              <w14:schemeClr w14:val="tx1"/>
            </w14:solidFill>
          </w14:textFill>
        </w:rPr>
        <w:t>对于工程中的剩余或未使用到的货物在不严重影响外观、质量和功能的情况下甲方有权退货，退货原则上以合同约定的含税单价为准，确因商品特殊的（比如定制等），价格双方协商，协商不一致的，按照</w:t>
      </w:r>
      <w:r>
        <w:rPr>
          <w:rFonts w:hint="eastAsia" w:ascii="仿宋_GB2312" w:hAnsi="仿宋_GB2312" w:eastAsia="仿宋_GB2312" w:cs="仿宋_GB2312"/>
          <w:b w:val="0"/>
          <w:bCs w:val="0"/>
          <w:color w:val="000000" w:themeColor="text1"/>
          <w:highlight w:val="none"/>
          <w:lang w:eastAsia="zh-CN"/>
          <w14:textFill>
            <w14:solidFill>
              <w14:schemeClr w14:val="tx1"/>
            </w14:solidFill>
          </w14:textFill>
        </w:rPr>
        <w:t>合同含税单价的</w:t>
      </w:r>
      <w:permStart w:id="35" w:edGrp="everyone"/>
      <w:r>
        <w:rPr>
          <w:rFonts w:hint="eastAsia" w:ascii="仿宋_GB2312" w:hAnsi="仿宋_GB2312" w:eastAsia="仿宋_GB2312" w:cs="仿宋_GB2312"/>
          <w:b w:val="0"/>
          <w:bCs w:val="0"/>
          <w:color w:val="000000" w:themeColor="text1"/>
          <w:highlight w:val="none"/>
          <w:u w:val="single"/>
          <w:lang w:val="en-US" w:eastAsia="zh-CN"/>
          <w14:textFill>
            <w14:solidFill>
              <w14:schemeClr w14:val="tx1"/>
            </w14:solidFill>
          </w14:textFill>
        </w:rPr>
        <w:t>100</w:t>
      </w:r>
      <w:permEnd w:id="35"/>
      <w:r>
        <w:rPr>
          <w:rFonts w:hint="eastAsia" w:ascii="仿宋_GB2312" w:hAnsi="仿宋_GB2312" w:eastAsia="仿宋_GB2312" w:cs="仿宋_GB2312"/>
          <w:b w:val="0"/>
          <w:bCs w:val="0"/>
          <w:color w:val="000000" w:themeColor="text1"/>
          <w:highlight w:val="none"/>
          <w14:textFill>
            <w14:solidFill>
              <w14:schemeClr w14:val="tx1"/>
            </w14:solidFill>
          </w14:textFill>
        </w:rPr>
        <w:t>%退货，退货数量以实际数量为准。</w:t>
      </w:r>
    </w:p>
    <w:p w14:paraId="284DE26B">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highlight w:val="none"/>
          <w14:textFill>
            <w14:solidFill>
              <w14:schemeClr w14:val="tx1"/>
            </w14:solidFill>
          </w14:textFill>
        </w:rPr>
        <w:t>其他：</w:t>
      </w:r>
      <w:permStart w:id="36" w:edGrp="everyone"/>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w:t>
      </w:r>
      <w:r>
        <w:rPr>
          <w:rFonts w:ascii="仿宋_GB2312" w:hAnsi="仿宋_GB2312" w:eastAsia="仿宋_GB2312" w:cs="仿宋_GB2312"/>
          <w:color w:val="000000" w:themeColor="text1"/>
          <w:highlight w:val="none"/>
          <w:u w:val="single"/>
          <w14:textFill>
            <w14:solidFill>
              <w14:schemeClr w14:val="tx1"/>
            </w14:solidFill>
          </w14:textFill>
        </w:rPr>
        <w:t xml:space="preserve">                  </w:t>
      </w:r>
      <w:permEnd w:id="36"/>
      <w:r>
        <w:rPr>
          <w:rFonts w:hint="eastAsia" w:ascii="仿宋_GB2312" w:hAnsi="仿宋_GB2312" w:eastAsia="仿宋_GB2312" w:cs="仿宋_GB2312"/>
          <w:color w:val="000000" w:themeColor="text1"/>
          <w:highlight w:val="none"/>
          <w14:textFill>
            <w14:solidFill>
              <w14:schemeClr w14:val="tx1"/>
            </w14:solidFill>
          </w14:textFill>
        </w:rPr>
        <w:t>。</w:t>
      </w:r>
    </w:p>
    <w:p w14:paraId="427E1716">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货物结算</w:t>
      </w:r>
      <w:bookmarkEnd w:id="27"/>
      <w:bookmarkEnd w:id="28"/>
      <w:bookmarkEnd w:id="29"/>
    </w:p>
    <w:p w14:paraId="68BBEF8D">
      <w:pPr>
        <w:pStyle w:val="14"/>
        <w:numPr>
          <w:ilvl w:val="0"/>
          <w:numId w:val="4"/>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结算周期：</w:t>
      </w:r>
    </w:p>
    <w:p w14:paraId="4AECA887">
      <w:pPr>
        <w:pStyle w:val="14"/>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乙方每月</w:t>
      </w:r>
      <w:r>
        <w:rPr>
          <w:rFonts w:hint="eastAsia" w:ascii="仿宋_GB2312" w:hAnsi="仿宋_GB2312" w:eastAsia="仿宋_GB2312" w:cs="仿宋_GB2312"/>
          <w:color w:val="000000" w:themeColor="text1"/>
          <w:highlight w:val="none"/>
          <w:u w:val="single"/>
          <w14:textFill>
            <w14:solidFill>
              <w14:schemeClr w14:val="tx1"/>
            </w14:solidFill>
          </w14:textFill>
        </w:rPr>
        <w:t>16日</w:t>
      </w:r>
      <w:r>
        <w:rPr>
          <w:rFonts w:hint="eastAsia" w:ascii="仿宋_GB2312" w:hAnsi="仿宋_GB2312" w:eastAsia="仿宋_GB2312" w:cs="仿宋_GB2312"/>
          <w:color w:val="000000" w:themeColor="text1"/>
          <w:highlight w:val="none"/>
          <w14:textFill>
            <w14:solidFill>
              <w14:schemeClr w14:val="tx1"/>
            </w14:solidFill>
          </w14:textFill>
        </w:rPr>
        <w:t>与甲方核对上月</w:t>
      </w:r>
      <w:r>
        <w:rPr>
          <w:rFonts w:hint="eastAsia" w:ascii="仿宋_GB2312" w:hAnsi="仿宋_GB2312" w:eastAsia="仿宋_GB2312" w:cs="仿宋_GB2312"/>
          <w:color w:val="000000" w:themeColor="text1"/>
          <w:highlight w:val="none"/>
          <w:u w:val="single"/>
          <w14:textFill>
            <w14:solidFill>
              <w14:schemeClr w14:val="tx1"/>
            </w14:solidFill>
          </w14:textFill>
        </w:rPr>
        <w:t>16日</w:t>
      </w:r>
      <w:r>
        <w:rPr>
          <w:rFonts w:hint="eastAsia" w:ascii="仿宋_GB2312" w:hAnsi="仿宋_GB2312" w:eastAsia="仿宋_GB2312" w:cs="仿宋_GB2312"/>
          <w:color w:val="000000" w:themeColor="text1"/>
          <w:highlight w:val="none"/>
          <w14:textFill>
            <w14:solidFill>
              <w14:schemeClr w14:val="tx1"/>
            </w14:solidFill>
          </w14:textFill>
        </w:rPr>
        <w:t>至本月</w:t>
      </w:r>
      <w:r>
        <w:rPr>
          <w:rFonts w:hint="eastAsia" w:ascii="仿宋_GB2312" w:hAnsi="仿宋_GB2312" w:eastAsia="仿宋_GB2312" w:cs="仿宋_GB2312"/>
          <w:color w:val="000000" w:themeColor="text1"/>
          <w:highlight w:val="none"/>
          <w:u w:val="single"/>
          <w14:textFill>
            <w14:solidFill>
              <w14:schemeClr w14:val="tx1"/>
            </w14:solidFill>
          </w14:textFill>
        </w:rPr>
        <w:t>15日</w:t>
      </w:r>
      <w:r>
        <w:rPr>
          <w:rFonts w:hint="eastAsia" w:ascii="仿宋_GB2312" w:hAnsi="仿宋_GB2312" w:eastAsia="仿宋_GB2312" w:cs="仿宋_GB2312"/>
          <w:color w:val="000000" w:themeColor="text1"/>
          <w:highlight w:val="none"/>
          <w14:textFill>
            <w14:solidFill>
              <w14:schemeClr w14:val="tx1"/>
            </w14:solidFill>
          </w14:textFill>
        </w:rPr>
        <w:t>所供材料数量，并办理完结算手续。</w:t>
      </w:r>
      <w:r>
        <w:rPr>
          <w:rFonts w:hint="eastAsia" w:ascii="仿宋_GB2312" w:hAnsi="仿宋_GB2312" w:eastAsia="仿宋_GB2312" w:cs="仿宋_GB2312"/>
          <w:b/>
          <w:bCs/>
          <w:color w:val="000000" w:themeColor="text1"/>
          <w:highlight w:val="none"/>
          <w14:textFill>
            <w14:solidFill>
              <w14:schemeClr w14:val="tx1"/>
            </w14:solidFill>
          </w14:textFill>
        </w:rPr>
        <w:t>因乙方不配合签认结算单等原因超出本合同规定时间未办理完结算手续，乙方在此期间无权要求甲方付款及追究甲方任何违约责任或要求赔偿资金占用费等损失，同时甲方保留单方办理结算的权利且视为乙方认可甲方审定的结算金额。</w:t>
      </w:r>
    </w:p>
    <w:p w14:paraId="3F599ED6">
      <w:pPr>
        <w:pStyle w:val="14"/>
        <w:numPr>
          <w:ilvl w:val="0"/>
          <w:numId w:val="4"/>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结算流程：</w:t>
      </w:r>
    </w:p>
    <w:p w14:paraId="1EA1A363">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双方结算分为过程结算及最终结算。过程结算按下表流程进行。最终结算于供货完成、验收合格且未出现任何质量问题后一个月内办理，最终结算需附物资买卖合同结算协议书。</w:t>
      </w:r>
    </w:p>
    <w:p w14:paraId="47DA0F38">
      <w:pPr>
        <w:pStyle w:val="14"/>
        <w:numPr>
          <w:ilvl w:val="0"/>
          <w:numId w:val="4"/>
        </w:numPr>
        <w:spacing w:line="400" w:lineRule="atLeast"/>
        <w:ind w:firstLine="482"/>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-12065</wp:posOffset>
                </wp:positionH>
                <wp:positionV relativeFrom="paragraph">
                  <wp:posOffset>101600</wp:posOffset>
                </wp:positionV>
                <wp:extent cx="5080000" cy="1210310"/>
                <wp:effectExtent l="4445" t="5080" r="249555" b="22860"/>
                <wp:wrapTopAndBottom/>
                <wp:docPr id="1" name="组合 1"/>
                <wp:cNvGraphicFramePr/>
                <a:graphic xmlns:a="http://schemas.openxmlformats.org/drawingml/2006/main">
                  <a:graphicData uri="http://schemas.microsoft.com/office/word/2010/wordprocessingGroup">
                    <wpg:wgp>
                      <wpg:cNvGrpSpPr/>
                      <wpg:grpSpPr>
                        <a:xfrm>
                          <a:off x="0" y="0"/>
                          <a:ext cx="5080000" cy="1210310"/>
                          <a:chOff x="2064" y="142451"/>
                          <a:chExt cx="8000" cy="1906"/>
                        </a:xfrm>
                      </wpg:grpSpPr>
                      <wpg:grpSp>
                        <wpg:cNvPr id="4" name="组合 5"/>
                        <wpg:cNvGrpSpPr/>
                        <wpg:grpSpPr>
                          <a:xfrm>
                            <a:off x="2064" y="142451"/>
                            <a:ext cx="8000" cy="1907"/>
                            <a:chOff x="4638" y="144974"/>
                            <a:chExt cx="8000" cy="2118"/>
                          </a:xfrm>
                        </wpg:grpSpPr>
                        <wps:wsp>
                          <wps:cNvPr id="9" name="文本框 3"/>
                          <wps:cNvSpPr txBox="1"/>
                          <wps:spPr>
                            <a:xfrm>
                              <a:off x="4655" y="144974"/>
                              <a:ext cx="3492" cy="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D0B6BE">
                                <w:pPr>
                                  <w:pStyle w:val="14"/>
                                  <w:jc w:val="center"/>
                                  <w:outlineLvl w:val="0"/>
                                  <w:rPr>
                                    <w:rFonts w:ascii="仿宋_GB2312" w:hAnsi="仿宋_GB2312" w:eastAsia="仿宋_GB2312" w:cs="仿宋_GB2312"/>
                                  </w:rPr>
                                </w:pPr>
                                <w:r>
                                  <w:rPr>
                                    <w:rFonts w:hint="eastAsia" w:ascii="仿宋_GB2312" w:hAnsi="仿宋_GB2312" w:eastAsia="仿宋_GB2312" w:cs="仿宋_GB2312"/>
                                  </w:rPr>
                                  <w:t>1.甲乙双方核对收料单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6"/>
                          <wps:cNvSpPr txBox="1"/>
                          <wps:spPr>
                            <a:xfrm>
                              <a:off x="8740" y="144974"/>
                              <a:ext cx="3898" cy="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61AC51">
                                <w:pPr>
                                  <w:pStyle w:val="14"/>
                                  <w:outlineLvl w:val="0"/>
                                  <w:rPr>
                                    <w:rFonts w:ascii="仿宋_GB2312" w:hAnsi="仿宋_GB2312" w:eastAsia="仿宋_GB2312" w:cs="仿宋_GB2312"/>
                                  </w:rPr>
                                </w:pPr>
                                <w:r>
                                  <w:rPr>
                                    <w:rFonts w:hint="eastAsia" w:ascii="仿宋_GB2312" w:hAnsi="仿宋_GB2312" w:eastAsia="仿宋_GB2312" w:cs="仿宋_GB2312"/>
                                  </w:rPr>
                                  <w:t>2.甲方结算人员生成过程结算</w:t>
                                </w:r>
                                <w:r>
                                  <w:rPr>
                                    <w:rFonts w:hint="eastAsia" w:ascii="仿宋_GB2312" w:hAnsi="仿宋_GB2312" w:eastAsia="仿宋_GB2312" w:cs="仿宋_GB2312"/>
                                    <w:lang w:val="en-US" w:eastAsia="zh-CN"/>
                                  </w:rPr>
                                  <w:t>资料</w:t>
                                </w:r>
                                <w:r>
                                  <w:rPr>
                                    <w:rFonts w:hint="eastAsia" w:ascii="仿宋_GB2312" w:hAnsi="仿宋_GB2312" w:eastAsia="仿宋_GB2312" w:cs="仿宋_GB2312"/>
                                  </w:rPr>
                                  <w:t>，乙方签字盖章确认</w:t>
                                </w:r>
                              </w:p>
                              <w:p w14:paraId="790222D2">
                                <w:pPr>
                                  <w:pStyle w:val="14"/>
                                  <w:outlineLvl w:val="0"/>
                                  <w:rPr>
                                    <w:rFonts w:ascii="仿宋_GB2312" w:hAnsi="仿宋_GB2312" w:eastAsia="仿宋_GB2312" w:cs="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8"/>
                          <wps:cNvSpPr txBox="1"/>
                          <wps:spPr>
                            <a:xfrm>
                              <a:off x="4638" y="145859"/>
                              <a:ext cx="3507" cy="12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5E7EB2">
                                <w:pPr>
                                  <w:pStyle w:val="14"/>
                                  <w:outlineLvl w:val="0"/>
                                  <w:rPr>
                                    <w:rFonts w:ascii="仿宋_GB2312" w:hAnsi="仿宋_GB2312" w:eastAsia="仿宋_GB2312" w:cs="仿宋_GB2312"/>
                                    <w:highlight w:val="none"/>
                                  </w:rPr>
                                </w:pPr>
                                <w:r>
                                  <w:rPr>
                                    <w:rFonts w:hint="eastAsia" w:ascii="仿宋_GB2312" w:hAnsi="仿宋_GB2312" w:eastAsia="仿宋_GB2312" w:cs="仿宋_GB2312"/>
                                    <w:highlight w:val="none"/>
                                  </w:rPr>
                                  <w:t>4.甲方公司复核结算，复核完成后按比例支付结算款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1"/>
                          <wps:cNvSpPr txBox="1"/>
                          <wps:spPr>
                            <a:xfrm>
                              <a:off x="8706" y="145858"/>
                              <a:ext cx="3927" cy="12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AF45C">
                                <w:pPr>
                                  <w:pStyle w:val="14"/>
                                  <w:outlineLvl w:val="0"/>
                                  <w:rPr>
                                    <w:rFonts w:ascii="仿宋_GB2312" w:hAnsi="仿宋_GB2312" w:eastAsia="仿宋_GB2312" w:cs="仿宋_GB2312"/>
                                    <w:highlight w:val="none"/>
                                  </w:rPr>
                                </w:pPr>
                                <w:r>
                                  <w:rPr>
                                    <w:rFonts w:hint="eastAsia" w:ascii="仿宋_GB2312" w:hAnsi="仿宋_GB2312" w:eastAsia="仿宋_GB2312" w:cs="仿宋_GB2312"/>
                                    <w:highlight w:val="none"/>
                                  </w:rPr>
                                  <w:t>3.甲方项目部初步审核过程结算，乙方依据金额开具等额发票。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肘形连接符 2"/>
                        <wps:cNvCnPr/>
                        <wps:spPr>
                          <a:xfrm flipH="1">
                            <a:off x="10059" y="142690"/>
                            <a:ext cx="5" cy="973"/>
                          </a:xfrm>
                          <a:prstGeom prst="bentConnector3">
                            <a:avLst>
                              <a:gd name="adj1" fmla="val -7500000"/>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1" name="直接箭头连接符 4"/>
                        <wps:cNvCnPr/>
                        <wps:spPr>
                          <a:xfrm>
                            <a:off x="5573" y="142689"/>
                            <a:ext cx="593"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 name="直接箭头连接符 7"/>
                        <wps:cNvCnPr/>
                        <wps:spPr>
                          <a:xfrm flipH="1">
                            <a:off x="5571" y="143663"/>
                            <a:ext cx="561"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95pt;margin-top:8pt;height:95.3pt;width:400pt;mso-wrap-distance-bottom:0pt;mso-wrap-distance-top:0pt;z-index:251666432;mso-width-relative:page;mso-height-relative:page;" coordorigin="2064,142451" coordsize="8000,1906" o:gfxdata="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soSYmNkAAAAJAQAADwAAAAAAAAAB&#10;ACAAAAAiAAAAZHJzL2Rvd25yZXYueG1sUEsBAhQAFAAAAAgAh07iQE2vnNP0BAAAaRYAAA4AAAAA&#10;AAAAAQAgAAAAKAEAAGRycy9lMm9Eb2MueG1sUEsFBgAAAAAGAAYAWQEAAI4IAAAAAA==&#10;">
                <o:lock v:ext="edit" aspectratio="f"/>
                <v:group id="组合 5" o:spid="_x0000_s1026" o:spt="203" style="position:absolute;left:2064;top:142451;height:1907;width:8000;" coordorigin="4638,144974" coordsize="8000,2118"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文本框 3" o:spid="_x0000_s1026" o:spt="202" type="#_x0000_t202" style="position:absolute;left:4655;top:144974;height:865;width:3492;"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2ED0B6BE">
                          <w:pPr>
                            <w:pStyle w:val="14"/>
                            <w:jc w:val="center"/>
                            <w:outlineLvl w:val="0"/>
                            <w:rPr>
                              <w:rFonts w:ascii="仿宋_GB2312" w:hAnsi="仿宋_GB2312" w:eastAsia="仿宋_GB2312" w:cs="仿宋_GB2312"/>
                            </w:rPr>
                          </w:pPr>
                          <w:r>
                            <w:rPr>
                              <w:rFonts w:hint="eastAsia" w:ascii="仿宋_GB2312" w:hAnsi="仿宋_GB2312" w:eastAsia="仿宋_GB2312" w:cs="仿宋_GB2312"/>
                            </w:rPr>
                            <w:t>1.甲乙双方核对收料单</w:t>
                          </w:r>
                        </w:p>
                      </w:txbxContent>
                    </v:textbox>
                  </v:shape>
                  <v:shape id="文本框 6" o:spid="_x0000_s1026" o:spt="202" type="#_x0000_t202" style="position:absolute;left:8740;top:144974;height:825;width:3898;"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961AC51">
                          <w:pPr>
                            <w:pStyle w:val="14"/>
                            <w:outlineLvl w:val="0"/>
                            <w:rPr>
                              <w:rFonts w:ascii="仿宋_GB2312" w:hAnsi="仿宋_GB2312" w:eastAsia="仿宋_GB2312" w:cs="仿宋_GB2312"/>
                            </w:rPr>
                          </w:pPr>
                          <w:r>
                            <w:rPr>
                              <w:rFonts w:hint="eastAsia" w:ascii="仿宋_GB2312" w:hAnsi="仿宋_GB2312" w:eastAsia="仿宋_GB2312" w:cs="仿宋_GB2312"/>
                            </w:rPr>
                            <w:t>2.甲方结算人员生成过程结算</w:t>
                          </w:r>
                          <w:r>
                            <w:rPr>
                              <w:rFonts w:hint="eastAsia" w:ascii="仿宋_GB2312" w:hAnsi="仿宋_GB2312" w:eastAsia="仿宋_GB2312" w:cs="仿宋_GB2312"/>
                              <w:lang w:val="en-US" w:eastAsia="zh-CN"/>
                            </w:rPr>
                            <w:t>资料</w:t>
                          </w:r>
                          <w:r>
                            <w:rPr>
                              <w:rFonts w:hint="eastAsia" w:ascii="仿宋_GB2312" w:hAnsi="仿宋_GB2312" w:eastAsia="仿宋_GB2312" w:cs="仿宋_GB2312"/>
                            </w:rPr>
                            <w:t>，乙方签字盖章确认</w:t>
                          </w:r>
                        </w:p>
                        <w:p w14:paraId="790222D2">
                          <w:pPr>
                            <w:pStyle w:val="14"/>
                            <w:outlineLvl w:val="0"/>
                            <w:rPr>
                              <w:rFonts w:ascii="仿宋_GB2312" w:hAnsi="仿宋_GB2312" w:eastAsia="仿宋_GB2312" w:cs="仿宋_GB2312"/>
                            </w:rPr>
                          </w:pPr>
                        </w:p>
                      </w:txbxContent>
                    </v:textbox>
                  </v:shape>
                  <v:shape id="文本框 8" o:spid="_x0000_s1026" o:spt="202" type="#_x0000_t202" style="position:absolute;left:4638;top:145859;height:1233;width:3507;"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85E7EB2">
                          <w:pPr>
                            <w:pStyle w:val="14"/>
                            <w:outlineLvl w:val="0"/>
                            <w:rPr>
                              <w:rFonts w:ascii="仿宋_GB2312" w:hAnsi="仿宋_GB2312" w:eastAsia="仿宋_GB2312" w:cs="仿宋_GB2312"/>
                              <w:highlight w:val="none"/>
                            </w:rPr>
                          </w:pPr>
                          <w:r>
                            <w:rPr>
                              <w:rFonts w:hint="eastAsia" w:ascii="仿宋_GB2312" w:hAnsi="仿宋_GB2312" w:eastAsia="仿宋_GB2312" w:cs="仿宋_GB2312"/>
                              <w:highlight w:val="none"/>
                            </w:rPr>
                            <w:t>4.甲方公司复核结算，复核完成后按比例支付结算款</w:t>
                          </w:r>
                        </w:p>
                      </w:txbxContent>
                    </v:textbox>
                  </v:shape>
                  <v:shape id="文本框 11" o:spid="_x0000_s1026" o:spt="202" type="#_x0000_t202" style="position:absolute;left:8706;top:145858;height:1218;width:3927;"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F5AF45C">
                          <w:pPr>
                            <w:pStyle w:val="14"/>
                            <w:outlineLvl w:val="0"/>
                            <w:rPr>
                              <w:rFonts w:ascii="仿宋_GB2312" w:hAnsi="仿宋_GB2312" w:eastAsia="仿宋_GB2312" w:cs="仿宋_GB2312"/>
                              <w:highlight w:val="none"/>
                            </w:rPr>
                          </w:pPr>
                          <w:r>
                            <w:rPr>
                              <w:rFonts w:hint="eastAsia" w:ascii="仿宋_GB2312" w:hAnsi="仿宋_GB2312" w:eastAsia="仿宋_GB2312" w:cs="仿宋_GB2312"/>
                              <w:highlight w:val="none"/>
                            </w:rPr>
                            <w:t>3.甲方项目部初步审核过程结算，乙方依据金额开具等额发票。</w:t>
                          </w:r>
                        </w:p>
                      </w:txbxContent>
                    </v:textbox>
                  </v:shape>
                </v:group>
                <v:shape id="肘形连接符 2" o:spid="_x0000_s1026" o:spt="34" type="#_x0000_t34" style="position:absolute;left:10059;top:142690;flip:x;height:973;width:5;" filled="f" stroked="t" coordsize="21600,21600" o:gfxdata="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ngGcrgAAADbAAAA&#10;DwAAAAAAAAABACAAAAAiAAAAZHJzL2Rvd25yZXYueG1sUEsBAhQAFAAAAAgAh07iQDMvBZ47AAAA&#10;OQAAABAAAAAAAAAAAQAgAAAABwEAAGRycy9zaGFwZXhtbC54bWxQSwUGAAAAAAYABgBbAQAAsQMA&#10;AAAA&#10;" adj="-1620000">
                  <v:fill on="f" focussize="0,0"/>
                  <v:stroke weight="1pt" color="#000000 [3200]" miterlimit="8" joinstyle="miter" endarrow="open"/>
                  <v:imagedata o:title=""/>
                  <o:lock v:ext="edit" aspectratio="f"/>
                </v:shape>
                <v:shape id="直接箭头连接符 4" o:spid="_x0000_s1026" o:spt="32" type="#_x0000_t32" style="position:absolute;left:5573;top:142689;height:1;width:593;" filled="f" stroked="t" coordsize="21600,21600" o:gfxdata="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8zfrsAAADb&#10;AAAADwAAAAAAAAABACAAAAAiAAAAZHJzL2Rvd25yZXYueG1sUEsBAhQAFAAAAAgAh07iQDMvBZ47&#10;AAAAOQAAABAAAAAAAAAAAQAgAAAACgEAAGRycy9zaGFwZXhtbC54bWxQSwUGAAAAAAYABgBbAQAA&#10;tAMAAAAA&#10;">
                  <v:fill on="f" focussize="0,0"/>
                  <v:stroke weight="1pt" color="#000000 [3200]" miterlimit="8" joinstyle="miter" endarrow="open"/>
                  <v:imagedata o:title=""/>
                  <o:lock v:ext="edit" aspectratio="f"/>
                </v:shape>
                <v:shape id="直接箭头连接符 7" o:spid="_x0000_s1026" o:spt="32" type="#_x0000_t32" style="position:absolute;left:5571;top:143663;flip:x;height:7;width:561;" filled="f" stroked="t" coordsize="21600,21600" o:gfxdata="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uua/&#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w10:wrap type="topAndBottom"/>
              </v:group>
            </w:pict>
          </mc:Fallback>
        </mc:AlternateContent>
      </w:r>
      <w:r>
        <w:rPr>
          <w:rFonts w:hint="eastAsia" w:ascii="仿宋_GB2312" w:hAnsi="仿宋_GB2312" w:eastAsia="仿宋_GB2312" w:cs="仿宋_GB2312"/>
          <w:b/>
          <w:bCs/>
          <w:color w:val="000000" w:themeColor="text1"/>
          <w:highlight w:val="none"/>
          <w14:textFill>
            <w14:solidFill>
              <w14:schemeClr w14:val="tx1"/>
            </w14:solidFill>
          </w14:textFill>
        </w:rPr>
        <w:t>增值税专用发票：</w:t>
      </w:r>
    </w:p>
    <w:p w14:paraId="33D240CB">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3.1增值税票要求：</w:t>
      </w:r>
    </w:p>
    <w:p w14:paraId="0A719E95">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3.1.1税票信息：</w:t>
      </w:r>
      <w:r>
        <w:rPr>
          <w:rFonts w:hint="eastAsia" w:ascii="仿宋_GB2312" w:hAnsi="仿宋_GB2312" w:eastAsia="仿宋_GB2312" w:cs="仿宋_GB2312"/>
          <w:color w:val="000000" w:themeColor="text1"/>
          <w:highlight w:val="none"/>
          <w14:textFill>
            <w14:solidFill>
              <w14:schemeClr w14:val="tx1"/>
            </w14:solidFill>
          </w14:textFill>
        </w:rPr>
        <w:t>乙方应按甲方要求提供以其本单位名义开具，适用</w:t>
      </w:r>
      <w:permStart w:id="37"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3％/13 ％</w:t>
      </w:r>
      <w:permEnd w:id="37"/>
      <w:r>
        <w:rPr>
          <w:rFonts w:hint="eastAsia" w:ascii="仿宋_GB2312" w:hAnsi="仿宋_GB2312" w:eastAsia="仿宋_GB2312" w:cs="仿宋_GB2312"/>
          <w:color w:val="000000" w:themeColor="text1"/>
          <w:highlight w:val="none"/>
          <w14:textFill>
            <w14:solidFill>
              <w14:schemeClr w14:val="tx1"/>
            </w14:solidFill>
          </w14:textFill>
        </w:rPr>
        <w:t>税率的增值税专用发票，开具金额需与结算金额一致，并加盖与本合同中乙方名称一致的发票专用章（如税务部门要求合同、发票等备案登记的，乙方承担相关费用并办理相关手续）。</w:t>
      </w:r>
    </w:p>
    <w:p w14:paraId="29BE4897">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3.1.2计税方式：</w:t>
      </w:r>
      <w:r>
        <w:rPr>
          <w:rFonts w:hint="eastAsia" w:ascii="仿宋_GB2312" w:hAnsi="仿宋_GB2312" w:eastAsia="仿宋_GB2312" w:cs="仿宋_GB2312"/>
          <w:color w:val="000000" w:themeColor="text1"/>
          <w:highlight w:val="none"/>
          <w14:textFill>
            <w14:solidFill>
              <w14:schemeClr w14:val="tx1"/>
            </w14:solidFill>
          </w14:textFill>
        </w:rPr>
        <w:t>本合同所涉应税行为计税方法为</w:t>
      </w:r>
      <w:permStart w:id="38"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一般计税方法 </w:t>
      </w:r>
      <w:permEnd w:id="38"/>
      <w:r>
        <w:rPr>
          <w:rFonts w:hint="eastAsia" w:ascii="仿宋_GB2312" w:hAnsi="仿宋_GB2312" w:eastAsia="仿宋_GB2312" w:cs="仿宋_GB2312"/>
          <w:color w:val="000000" w:themeColor="text1"/>
          <w:highlight w:val="none"/>
          <w14:textFill>
            <w14:solidFill>
              <w14:schemeClr w14:val="tx1"/>
            </w14:solidFill>
          </w14:textFill>
        </w:rPr>
        <w:t>。</w:t>
      </w:r>
    </w:p>
    <w:p w14:paraId="19071727">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3.1.3税票金额：</w:t>
      </w:r>
      <w:r>
        <w:rPr>
          <w:rFonts w:hint="eastAsia" w:ascii="仿宋_GB2312" w:hAnsi="仿宋_GB2312" w:eastAsia="仿宋_GB2312" w:cs="仿宋_GB2312"/>
          <w:color w:val="000000" w:themeColor="text1"/>
          <w:highlight w:val="none"/>
          <w14:textFill>
            <w14:solidFill>
              <w14:schemeClr w14:val="tx1"/>
            </w14:solidFill>
          </w14:textFill>
        </w:rPr>
        <w:t>乙方应按每期结算金额开具当期增值税专用发票，并于发票开具之日起7天内提供给甲方指定签收人员。乙方应开具合法、有效、准确的增值税专用发票，若汇总开具增值税专用发票的，则乙方需同时提供防伪税控系统开具的《销售货物或者提供应税劳务清单》，清单内容需与实际供货内容、结算内容相一致，并加盖发票专用章。</w:t>
      </w:r>
      <w:bookmarkStart w:id="30" w:name="_Hlk126834051"/>
      <w:r>
        <w:rPr>
          <w:rFonts w:hint="eastAsia" w:ascii="仿宋_GB2312" w:hAnsi="仿宋_GB2312" w:eastAsia="仿宋_GB2312" w:cs="仿宋_GB2312"/>
          <w:b/>
          <w:bCs/>
          <w:color w:val="000000" w:themeColor="text1"/>
          <w:highlight w:val="none"/>
          <w14:textFill>
            <w14:solidFill>
              <w14:schemeClr w14:val="tx1"/>
            </w14:solidFill>
          </w14:textFill>
        </w:rPr>
        <w:t>如乙方未提供发票或提供发票不合规、不及时、无法认证，甲方有权拒绝付款，且不视为甲方付款逾期，乙方无权要求甲方支付利息、违约金或赔偿损失。</w:t>
      </w:r>
    </w:p>
    <w:bookmarkEnd w:id="30"/>
    <w:p w14:paraId="5C3DDEF6">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3.1.4税率变化：</w:t>
      </w:r>
      <w:r>
        <w:rPr>
          <w:rFonts w:hint="eastAsia" w:ascii="仿宋_GB2312" w:hAnsi="仿宋_GB2312" w:eastAsia="仿宋_GB2312" w:cs="仿宋_GB2312"/>
          <w:color w:val="000000" w:themeColor="text1"/>
          <w:highlight w:val="none"/>
          <w14:textFill>
            <w14:solidFill>
              <w14:schemeClr w14:val="tx1"/>
            </w14:solidFill>
          </w14:textFill>
        </w:rPr>
        <w:t>合同执行过程中如遇国家税务政策调整导致适用税率发生变化，以货物进场验收时间点依据适用政策调整，执行按照新的税率，合同含税价格依据新的税率相应调整，乙方承担相应的纳税义务提供新税率的增值税专用发票。</w:t>
      </w:r>
    </w:p>
    <w:p w14:paraId="6E046061">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3.2 税票丢失：</w:t>
      </w:r>
      <w:r>
        <w:rPr>
          <w:rFonts w:hint="eastAsia" w:ascii="仿宋_GB2312" w:hAnsi="仿宋_GB2312" w:eastAsia="仿宋_GB2312" w:cs="仿宋_GB2312"/>
          <w:color w:val="000000" w:themeColor="text1"/>
          <w:highlight w:val="none"/>
          <w14:textFill>
            <w14:solidFill>
              <w14:schemeClr w14:val="tx1"/>
            </w14:solidFill>
          </w14:textFill>
        </w:rPr>
        <w:t>若甲方丢失增值税专用发票联和抵扣联,乙方在接到甲方书面通知3个工作日内必须向甲方提供专用发票记账联复印件及其主管税务机关出具的《丢失增值税专用发票已报税证明单》，以作为甲方增值税进项税额的抵扣凭证。</w:t>
      </w:r>
    </w:p>
    <w:p w14:paraId="50AC7417">
      <w:pPr>
        <w:pStyle w:val="14"/>
        <w:spacing w:line="400" w:lineRule="atLeast"/>
        <w:ind w:firstLine="482" w:firstLineChars="200"/>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3.3税务信息：</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45"/>
        <w:gridCol w:w="6143"/>
      </w:tblGrid>
      <w:tr w14:paraId="56FB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34" w:type="dxa"/>
            <w:vMerge w:val="restart"/>
            <w:tcBorders>
              <w:top w:val="single" w:color="auto" w:sz="12" w:space="0"/>
              <w:left w:val="single" w:color="auto" w:sz="12" w:space="0"/>
            </w:tcBorders>
            <w:vAlign w:val="center"/>
          </w:tcPr>
          <w:p w14:paraId="78863E2A">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ermStart w:id="39" w:edGrp="everyone"/>
            <w:r>
              <w:rPr>
                <w:rFonts w:hint="eastAsia" w:ascii="仿宋_GB2312" w:hAnsi="仿宋_GB2312" w:eastAsia="仿宋_GB2312" w:cs="仿宋_GB2312"/>
                <w:b/>
                <w:color w:val="000000" w:themeColor="text1"/>
                <w:sz w:val="24"/>
                <w:szCs w:val="24"/>
                <w:highlight w:val="none"/>
                <w14:textFill>
                  <w14:solidFill>
                    <w14:schemeClr w14:val="tx1"/>
                  </w14:solidFill>
                </w14:textFill>
              </w:rPr>
              <w:t>甲方</w:t>
            </w:r>
          </w:p>
        </w:tc>
        <w:tc>
          <w:tcPr>
            <w:tcW w:w="1845" w:type="dxa"/>
            <w:tcBorders>
              <w:top w:val="single" w:color="auto" w:sz="12" w:space="0"/>
            </w:tcBorders>
            <w:vAlign w:val="bottom"/>
          </w:tcPr>
          <w:p w14:paraId="2797052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6143" w:type="dxa"/>
            <w:tcBorders>
              <w:top w:val="single" w:color="auto" w:sz="12" w:space="0"/>
              <w:right w:val="single" w:color="auto" w:sz="12" w:space="0"/>
            </w:tcBorders>
          </w:tcPr>
          <w:p w14:paraId="2CDC3CE7">
            <w:pPr>
              <w:spacing w:line="5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中建路桥集团有限公司</w:t>
            </w:r>
          </w:p>
        </w:tc>
      </w:tr>
      <w:tr w14:paraId="69A7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661870C3">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7E8DFDC0">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纳税人身份</w:t>
            </w:r>
          </w:p>
        </w:tc>
        <w:tc>
          <w:tcPr>
            <w:tcW w:w="6143" w:type="dxa"/>
            <w:tcBorders>
              <w:right w:val="single" w:color="auto" w:sz="12" w:space="0"/>
            </w:tcBorders>
          </w:tcPr>
          <w:p w14:paraId="0D698DCF">
            <w:pPr>
              <w:spacing w:line="5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一般纳税人</w:t>
            </w:r>
          </w:p>
        </w:tc>
      </w:tr>
      <w:tr w14:paraId="5414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7E5AAD1B">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50560DAA">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纳税人识别号</w:t>
            </w:r>
          </w:p>
        </w:tc>
        <w:tc>
          <w:tcPr>
            <w:tcW w:w="6143" w:type="dxa"/>
            <w:tcBorders>
              <w:right w:val="single" w:color="auto" w:sz="12" w:space="0"/>
            </w:tcBorders>
          </w:tcPr>
          <w:p w14:paraId="3F52ADC9">
            <w:pPr>
              <w:spacing w:line="5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91130000401700454L</w:t>
            </w:r>
          </w:p>
        </w:tc>
      </w:tr>
      <w:tr w14:paraId="2EF1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7E988F75">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1CAEA8E3">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 址、电 话</w:t>
            </w:r>
          </w:p>
        </w:tc>
        <w:tc>
          <w:tcPr>
            <w:tcW w:w="6143" w:type="dxa"/>
            <w:tcBorders>
              <w:right w:val="single" w:color="auto" w:sz="12" w:space="0"/>
            </w:tcBorders>
          </w:tcPr>
          <w:p w14:paraId="056A95B6">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河北省</w:t>
            </w:r>
            <w:r>
              <w:rPr>
                <w:rFonts w:hint="eastAsia" w:ascii="仿宋_GB2312" w:hAnsi="仿宋_GB2312" w:eastAsia="仿宋_GB2312" w:cs="仿宋_GB2312"/>
                <w:color w:val="000000" w:themeColor="text1"/>
                <w:sz w:val="24"/>
                <w:szCs w:val="24"/>
                <w:highlight w:val="none"/>
                <w14:textFill>
                  <w14:solidFill>
                    <w14:schemeClr w14:val="tx1"/>
                  </w14:solidFill>
                </w14:textFill>
              </w:rPr>
              <w:t>石家庄市</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桥西区</w:t>
            </w:r>
            <w:r>
              <w:rPr>
                <w:rFonts w:hint="eastAsia" w:ascii="仿宋_GB2312" w:hAnsi="仿宋_GB2312" w:eastAsia="仿宋_GB2312" w:cs="仿宋_GB2312"/>
                <w:color w:val="000000" w:themeColor="text1"/>
                <w:sz w:val="24"/>
                <w:szCs w:val="24"/>
                <w:highlight w:val="none"/>
                <w14:textFill>
                  <w14:solidFill>
                    <w14:schemeClr w14:val="tx1"/>
                  </w14:solidFill>
                </w14:textFill>
              </w:rPr>
              <w:t>建设南大街70号、0311-86028814</w:t>
            </w:r>
          </w:p>
        </w:tc>
      </w:tr>
      <w:tr w14:paraId="217D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vAlign w:val="center"/>
          </w:tcPr>
          <w:p w14:paraId="09108625">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vAlign w:val="bottom"/>
          </w:tcPr>
          <w:p w14:paraId="60B23502">
            <w:pPr>
              <w:snapToGrid w:val="0"/>
              <w:spacing w:line="400" w:lineRule="atLeast"/>
              <w:contextualSpacing/>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开户行及账号</w:t>
            </w:r>
          </w:p>
        </w:tc>
        <w:tc>
          <w:tcPr>
            <w:tcW w:w="6143" w:type="dxa"/>
            <w:tcBorders>
              <w:right w:val="single" w:color="auto" w:sz="12" w:space="0"/>
            </w:tcBorders>
            <w:vAlign w:val="top"/>
          </w:tcPr>
          <w:p w14:paraId="11ACC4C2">
            <w:pPr>
              <w:snapToGrid w:val="0"/>
              <w:spacing w:line="400" w:lineRule="atLeast"/>
              <w:contextualSpacing/>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建行</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石家庄</w:t>
            </w:r>
            <w:r>
              <w:rPr>
                <w:rFonts w:hint="eastAsia" w:ascii="仿宋_GB2312" w:hAnsi="仿宋_GB2312" w:eastAsia="仿宋_GB2312" w:cs="仿宋_GB2312"/>
                <w:color w:val="000000" w:themeColor="text1"/>
                <w:sz w:val="24"/>
                <w:szCs w:val="24"/>
                <w:highlight w:val="none"/>
                <w14:textFill>
                  <w14:solidFill>
                    <w14:schemeClr w14:val="tx1"/>
                  </w14:solidFill>
                </w14:textFill>
              </w:rPr>
              <w:t>平安大街支行13001618601050504927</w:t>
            </w:r>
          </w:p>
        </w:tc>
      </w:tr>
      <w:tr w14:paraId="581F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34" w:type="dxa"/>
            <w:vMerge w:val="continue"/>
            <w:tcBorders>
              <w:left w:val="single" w:color="auto" w:sz="12" w:space="0"/>
              <w:bottom w:val="double" w:color="auto" w:sz="4" w:space="0"/>
            </w:tcBorders>
            <w:vAlign w:val="center"/>
          </w:tcPr>
          <w:p w14:paraId="4F747DA9">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p>
        </w:tc>
        <w:tc>
          <w:tcPr>
            <w:tcW w:w="1845" w:type="dxa"/>
            <w:tcBorders>
              <w:bottom w:val="double" w:color="auto" w:sz="4" w:space="0"/>
            </w:tcBorders>
            <w:vAlign w:val="bottom"/>
          </w:tcPr>
          <w:p w14:paraId="0C2F5778">
            <w:pPr>
              <w:snapToGrid w:val="0"/>
              <w:spacing w:line="400" w:lineRule="atLeast"/>
              <w:contextualSpacing/>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备      注</w:t>
            </w:r>
          </w:p>
          <w:p w14:paraId="08BFEEFE">
            <w:pPr>
              <w:rPr>
                <w:highlight w:val="none"/>
              </w:rPr>
            </w:pPr>
          </w:p>
        </w:tc>
        <w:tc>
          <w:tcPr>
            <w:tcW w:w="6143" w:type="dxa"/>
            <w:tcBorders>
              <w:bottom w:val="double" w:color="auto" w:sz="4" w:space="0"/>
              <w:right w:val="single" w:color="auto" w:sz="12" w:space="0"/>
            </w:tcBorders>
          </w:tcPr>
          <w:p w14:paraId="6F0CAD59">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r>
      <w:tr w14:paraId="0CB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tcBorders>
              <w:top w:val="double" w:color="auto" w:sz="4" w:space="0"/>
              <w:left w:val="single" w:color="auto" w:sz="12" w:space="0"/>
            </w:tcBorders>
            <w:vAlign w:val="center"/>
          </w:tcPr>
          <w:p w14:paraId="0B988E91">
            <w:pPr>
              <w:snapToGrid w:val="0"/>
              <w:spacing w:line="400" w:lineRule="atLeast"/>
              <w:contextualSpacing/>
              <w:jc w:val="center"/>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乙方</w:t>
            </w:r>
          </w:p>
        </w:tc>
        <w:tc>
          <w:tcPr>
            <w:tcW w:w="1845" w:type="dxa"/>
            <w:tcBorders>
              <w:top w:val="double" w:color="auto" w:sz="4" w:space="0"/>
            </w:tcBorders>
            <w:vAlign w:val="bottom"/>
          </w:tcPr>
          <w:p w14:paraId="6579288A">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p>
        </w:tc>
        <w:tc>
          <w:tcPr>
            <w:tcW w:w="6143" w:type="dxa"/>
            <w:tcBorders>
              <w:top w:val="double" w:color="auto" w:sz="4" w:space="0"/>
              <w:right w:val="single" w:color="auto" w:sz="12" w:space="0"/>
            </w:tcBorders>
          </w:tcPr>
          <w:p w14:paraId="43C377EE">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7D4A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3DDB14A1">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5B532FF7">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纳税人身份</w:t>
            </w:r>
          </w:p>
        </w:tc>
        <w:tc>
          <w:tcPr>
            <w:tcW w:w="6143" w:type="dxa"/>
            <w:tcBorders>
              <w:right w:val="single" w:color="auto" w:sz="12" w:space="0"/>
            </w:tcBorders>
          </w:tcPr>
          <w:p w14:paraId="652545FE">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6116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02D987F3">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6891A9AE">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纳税人识别号</w:t>
            </w:r>
          </w:p>
        </w:tc>
        <w:tc>
          <w:tcPr>
            <w:tcW w:w="6143" w:type="dxa"/>
            <w:tcBorders>
              <w:right w:val="single" w:color="auto" w:sz="12" w:space="0"/>
            </w:tcBorders>
          </w:tcPr>
          <w:p w14:paraId="7FB8C1DB">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tr w14:paraId="254B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tcBorders>
          </w:tcPr>
          <w:p w14:paraId="1BC9ED84">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vAlign w:val="bottom"/>
          </w:tcPr>
          <w:p w14:paraId="3140C9B1">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地 址、电 话</w:t>
            </w:r>
          </w:p>
        </w:tc>
        <w:tc>
          <w:tcPr>
            <w:tcW w:w="6143" w:type="dxa"/>
            <w:tcBorders>
              <w:right w:val="single" w:color="auto" w:sz="12" w:space="0"/>
            </w:tcBorders>
            <w:vAlign w:val="bottom"/>
          </w:tcPr>
          <w:p w14:paraId="0E31A38F">
            <w:pPr>
              <w:pStyle w:val="14"/>
              <w:jc w:val="both"/>
              <w:rPr>
                <w:rFonts w:ascii="仿宋_GB2312" w:hAnsi="仿宋_GB2312" w:eastAsia="仿宋_GB2312" w:cs="仿宋_GB2312"/>
                <w:bCs/>
                <w:color w:val="000000" w:themeColor="text1"/>
                <w:kern w:val="2"/>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
        </w:tc>
      </w:tr>
      <w:tr w14:paraId="415E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left w:val="single" w:color="auto" w:sz="12" w:space="0"/>
              <w:bottom w:val="single" w:color="auto" w:sz="12" w:space="0"/>
            </w:tcBorders>
          </w:tcPr>
          <w:p w14:paraId="012AA6E5">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p>
        </w:tc>
        <w:tc>
          <w:tcPr>
            <w:tcW w:w="1845" w:type="dxa"/>
            <w:tcBorders>
              <w:bottom w:val="single" w:color="auto" w:sz="12" w:space="0"/>
            </w:tcBorders>
            <w:vAlign w:val="bottom"/>
          </w:tcPr>
          <w:p w14:paraId="763A2389">
            <w:pPr>
              <w:snapToGrid w:val="0"/>
              <w:spacing w:line="400" w:lineRule="atLeast"/>
              <w:contextualSpacing/>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开户行及账号</w:t>
            </w:r>
          </w:p>
        </w:tc>
        <w:tc>
          <w:tcPr>
            <w:tcW w:w="6143" w:type="dxa"/>
            <w:tcBorders>
              <w:bottom w:val="single" w:color="auto" w:sz="12" w:space="0"/>
              <w:right w:val="single" w:color="auto" w:sz="12" w:space="0"/>
            </w:tcBorders>
          </w:tcPr>
          <w:p w14:paraId="2714FFCC">
            <w:pPr>
              <w:snapToGrid w:val="0"/>
              <w:spacing w:line="400" w:lineRule="atLeast"/>
              <w:contextualSpacing/>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tc>
      </w:tr>
      <w:permEnd w:id="39"/>
    </w:tbl>
    <w:p w14:paraId="68DDA820">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任何一方如上述信息发生变更，应提前10日以书面方式通知另一方。如一方未按本合同规定通知而使另一方遭受损失的，应予以赔偿。</w:t>
      </w:r>
    </w:p>
    <w:p w14:paraId="5FB8B1B9">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31" w:name="_Toc32138"/>
      <w:bookmarkStart w:id="32" w:name="_Toc27325"/>
      <w:bookmarkStart w:id="33" w:name="_Toc21859"/>
      <w:r>
        <w:rPr>
          <w:rFonts w:hint="eastAsia" w:ascii="仿宋_GB2312" w:hAnsi="仿宋_GB2312" w:eastAsia="仿宋_GB2312" w:cs="仿宋_GB2312"/>
          <w:b/>
          <w:bCs/>
          <w:color w:val="000000" w:themeColor="text1"/>
          <w:highlight w:val="none"/>
          <w14:textFill>
            <w14:solidFill>
              <w14:schemeClr w14:val="tx1"/>
            </w14:solidFill>
          </w14:textFill>
        </w:rPr>
        <w:t>货物付款</w:t>
      </w:r>
      <w:bookmarkEnd w:id="31"/>
      <w:bookmarkEnd w:id="32"/>
      <w:bookmarkEnd w:id="33"/>
    </w:p>
    <w:p w14:paraId="48651A2F">
      <w:pPr>
        <w:pStyle w:val="14"/>
        <w:spacing w:line="400" w:lineRule="atLeast"/>
        <w:ind w:firstLine="482" w:firstLineChars="200"/>
        <w:jc w:val="both"/>
        <w:outlineLvl w:val="1"/>
        <w:rPr>
          <w:rFonts w:ascii="仿宋_GB2312" w:hAnsi="仿宋_GB2312" w:eastAsia="仿宋_GB2312" w:cs="仿宋_GB2312"/>
          <w:b/>
          <w:bCs/>
          <w:color w:val="000000" w:themeColor="text1"/>
          <w:highlight w:val="none"/>
          <w14:textFill>
            <w14:solidFill>
              <w14:schemeClr w14:val="tx1"/>
            </w14:solidFill>
          </w14:textFill>
        </w:rPr>
      </w:pPr>
      <w:bookmarkStart w:id="34" w:name="_Toc10245"/>
      <w:bookmarkStart w:id="35" w:name="_Toc24664"/>
      <w:bookmarkStart w:id="36" w:name="_Toc12208"/>
      <w:r>
        <w:rPr>
          <w:rFonts w:hint="eastAsia" w:ascii="仿宋_GB2312" w:hAnsi="仿宋_GB2312" w:eastAsia="仿宋_GB2312" w:cs="仿宋_GB2312"/>
          <w:b/>
          <w:bCs/>
          <w:color w:val="000000" w:themeColor="text1"/>
          <w:highlight w:val="none"/>
          <w14:textFill>
            <w14:solidFill>
              <w14:schemeClr w14:val="tx1"/>
            </w14:solidFill>
          </w14:textFill>
        </w:rPr>
        <w:t>1、支付周期及支付比例：</w:t>
      </w:r>
      <w:r>
        <w:rPr>
          <w:rFonts w:hint="eastAsia" w:ascii="仿宋_GB2312" w:hAnsi="仿宋_GB2312" w:eastAsia="仿宋_GB2312" w:cs="仿宋_GB2312"/>
          <w:color w:val="000000" w:themeColor="text1"/>
          <w:highlight w:val="none"/>
          <w14:textFill>
            <w14:solidFill>
              <w14:schemeClr w14:val="tx1"/>
            </w14:solidFill>
          </w14:textFill>
        </w:rPr>
        <w:t>双方办理完结算后，适用第</w:t>
      </w:r>
      <w:permStart w:id="4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1.1</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0"/>
      <w:r>
        <w:rPr>
          <w:rFonts w:hint="eastAsia" w:ascii="仿宋_GB2312" w:hAnsi="仿宋_GB2312" w:eastAsia="仿宋_GB2312" w:cs="仿宋_GB2312"/>
          <w:color w:val="000000" w:themeColor="text1"/>
          <w:highlight w:val="none"/>
          <w14:textFill>
            <w14:solidFill>
              <w14:schemeClr w14:val="tx1"/>
            </w14:solidFill>
          </w14:textFill>
        </w:rPr>
        <w:t>条付款条件：</w:t>
      </w:r>
    </w:p>
    <w:p w14:paraId="506C8CF0">
      <w:pPr>
        <w:pStyle w:val="14"/>
        <w:spacing w:line="400" w:lineRule="atLeast"/>
        <w:ind w:firstLine="480" w:firstLineChars="200"/>
        <w:jc w:val="both"/>
        <w:rPr>
          <w:rFonts w:ascii="仿宋_GB2312" w:hAnsi="仿宋_GB2312" w:eastAsia="仿宋_GB2312" w:cs="仿宋_GB2312"/>
          <w:color w:val="000000" w:themeColor="text1"/>
          <w:highlight w:val="none"/>
          <w:u w:val="singl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highlight w:val="none"/>
          <w14:textFill>
            <w14:solidFill>
              <w14:schemeClr w14:val="tx1"/>
            </w14:solidFill>
          </w14:textFill>
        </w:rPr>
        <w:t>本合同无预付款，货款来源于项目工程结算款。</w:t>
      </w:r>
      <w:r>
        <w:rPr>
          <w:rFonts w:hint="eastAsia" w:ascii="仿宋_GB2312" w:hAnsi="仿宋_GB2312" w:eastAsia="仿宋_GB2312" w:cs="仿宋_GB2312"/>
          <w:b/>
          <w:bCs/>
          <w:color w:val="000000" w:themeColor="text1"/>
          <w:highlight w:val="none"/>
          <w14:textFill>
            <w14:solidFill>
              <w14:schemeClr w14:val="tx1"/>
            </w14:solidFill>
          </w14:textFill>
        </w:rPr>
        <w:t>甲方按资金审批计划对货款进行支付。</w:t>
      </w:r>
      <w:r>
        <w:rPr>
          <w:rFonts w:hint="eastAsia" w:ascii="仿宋_GB2312" w:hAnsi="仿宋_GB2312" w:eastAsia="仿宋_GB2312" w:cs="仿宋_GB2312"/>
          <w:color w:val="000000" w:themeColor="text1"/>
          <w:highlight w:val="none"/>
          <w14:textFill>
            <w14:solidFill>
              <w14:schemeClr w14:val="tx1"/>
            </w14:solidFill>
          </w14:textFill>
        </w:rPr>
        <w:t>付款期限自双方确认结算金额之日起计算，暂定为在甲乙双方完成月度物资结算手续且甲方收到乙方相应全额发票后，</w:t>
      </w:r>
      <w:permStart w:id="41"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w:t>
      </w:r>
      <w:permEnd w:id="41"/>
      <w:r>
        <w:rPr>
          <w:rFonts w:hint="eastAsia" w:ascii="仿宋_GB2312" w:hAnsi="仿宋_GB2312" w:eastAsia="仿宋_GB2312" w:cs="仿宋_GB2312"/>
          <w:color w:val="000000" w:themeColor="text1"/>
          <w:highlight w:val="none"/>
          <w14:textFill>
            <w14:solidFill>
              <w14:schemeClr w14:val="tx1"/>
            </w14:solidFill>
          </w14:textFill>
        </w:rPr>
        <w:t>个月内支付当期</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货款的</w:t>
      </w:r>
      <w:permStart w:id="42"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70</w:t>
      </w:r>
      <w:permEnd w:id="42"/>
      <w:r>
        <w:rPr>
          <w:rFonts w:hint="eastAsia" w:ascii="仿宋_GB2312" w:hAnsi="仿宋_GB2312" w:eastAsia="仿宋_GB2312" w:cs="仿宋_GB2312"/>
          <w:color w:val="000000" w:themeColor="text1"/>
          <w:highlight w:val="none"/>
          <w14:textFill>
            <w14:solidFill>
              <w14:schemeClr w14:val="tx1"/>
            </w14:solidFill>
          </w14:textFill>
        </w:rPr>
        <w:t>%，</w:t>
      </w:r>
      <w:permStart w:id="4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3"/>
      <w:r>
        <w:rPr>
          <w:rFonts w:hint="eastAsia" w:ascii="仿宋_GB2312" w:hAnsi="仿宋_GB2312" w:eastAsia="仿宋_GB2312" w:cs="仿宋_GB2312"/>
          <w:color w:val="000000" w:themeColor="text1"/>
          <w:highlight w:val="none"/>
          <w14:textFill>
            <w14:solidFill>
              <w14:schemeClr w14:val="tx1"/>
            </w14:solidFill>
          </w14:textFill>
        </w:rPr>
        <w:t>个月内支付至当期</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货款的</w:t>
      </w:r>
      <w:permStart w:id="4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4"/>
      <w:r>
        <w:rPr>
          <w:rFonts w:hint="eastAsia" w:ascii="仿宋_GB2312" w:hAnsi="仿宋_GB2312" w:eastAsia="仿宋_GB2312" w:cs="仿宋_GB2312"/>
          <w:color w:val="000000" w:themeColor="text1"/>
          <w:highlight w:val="none"/>
          <w14:textFill>
            <w14:solidFill>
              <w14:schemeClr w14:val="tx1"/>
            </w14:solidFill>
          </w14:textFill>
        </w:rPr>
        <w:t>%，余下</w:t>
      </w:r>
      <w:permStart w:id="45"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30</w:t>
      </w:r>
      <w:permEnd w:id="45"/>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结算</w:t>
      </w:r>
      <w:r>
        <w:rPr>
          <w:rFonts w:hint="eastAsia" w:ascii="仿宋_GB2312" w:hAnsi="仿宋_GB2312" w:eastAsia="仿宋_GB2312" w:cs="仿宋_GB2312"/>
          <w:color w:val="000000" w:themeColor="text1"/>
          <w:highlight w:val="none"/>
          <w14:textFill>
            <w14:solidFill>
              <w14:schemeClr w14:val="tx1"/>
            </w14:solidFill>
          </w14:textFill>
        </w:rPr>
        <w:t>货款在乙方</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供货完毕、办理完最终结算后</w:t>
      </w:r>
      <w:permStart w:id="46"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90</w:t>
      </w:r>
      <w:permEnd w:id="46"/>
      <w:r>
        <w:rPr>
          <w:rFonts w:hint="eastAsia" w:ascii="仿宋_GB2312" w:hAnsi="仿宋_GB2312" w:eastAsia="仿宋_GB2312" w:cs="仿宋_GB2312"/>
          <w:color w:val="000000" w:themeColor="text1"/>
          <w:highlight w:val="none"/>
          <w:lang w:val="en-US" w:eastAsia="zh-CN"/>
          <w14:textFill>
            <w14:solidFill>
              <w14:schemeClr w14:val="tx1"/>
            </w14:solidFill>
          </w14:textFill>
        </w:rPr>
        <w:t>日内</w:t>
      </w:r>
      <w:r>
        <w:rPr>
          <w:rFonts w:hint="eastAsia" w:ascii="仿宋_GB2312" w:hAnsi="仿宋_GB2312" w:eastAsia="仿宋_GB2312" w:cs="仿宋_GB2312"/>
          <w:color w:val="000000" w:themeColor="text1"/>
          <w:highlight w:val="none"/>
          <w14:textFill>
            <w14:solidFill>
              <w14:schemeClr w14:val="tx1"/>
            </w14:solidFill>
          </w14:textFill>
        </w:rPr>
        <w:t>付清。以此类推。</w:t>
      </w:r>
    </w:p>
    <w:p w14:paraId="567E0318">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highlight w:val="none"/>
          <w14:textFill>
            <w14:solidFill>
              <w14:schemeClr w14:val="tx1"/>
            </w14:solidFill>
          </w14:textFill>
        </w:rPr>
        <w:t>其他：</w:t>
      </w:r>
      <w:permStart w:id="47"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7"/>
    </w:p>
    <w:p w14:paraId="61DDA9C2">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2、支付形式：</w:t>
      </w:r>
      <w:r>
        <w:rPr>
          <w:rFonts w:hint="eastAsia" w:ascii="仿宋_GB2312" w:hAnsi="仿宋_GB2312" w:eastAsia="仿宋_GB2312" w:cs="仿宋_GB2312"/>
          <w:color w:val="000000" w:themeColor="text1"/>
          <w:highlight w:val="none"/>
          <w14:textFill>
            <w14:solidFill>
              <w14:schemeClr w14:val="tx1"/>
            </w14:solidFill>
          </w14:textFill>
        </w:rPr>
        <w:t>本合同付款形式适用第</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2.2  </w:t>
      </w:r>
      <w:r>
        <w:rPr>
          <w:rFonts w:hint="eastAsia" w:ascii="仿宋_GB2312" w:hAnsi="仿宋_GB2312" w:eastAsia="仿宋_GB2312" w:cs="仿宋_GB2312"/>
          <w:color w:val="000000" w:themeColor="text1"/>
          <w:highlight w:val="none"/>
          <w14:textFill>
            <w14:solidFill>
              <w14:schemeClr w14:val="tx1"/>
            </w14:solidFill>
          </w14:textFill>
        </w:rPr>
        <w:t>条；</w:t>
      </w:r>
    </w:p>
    <w:p w14:paraId="01539AC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2.1货币付款。</w:t>
      </w:r>
    </w:p>
    <w:p w14:paraId="2CAEA027">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2.2货币及其他的形式（包括且不限于支票、电汇、银行承兑汇票、商业承兑汇票、保理、信用证、供应链融资等）向乙方付款。（其中非现金付款方式不低于合同总价的</w:t>
      </w:r>
      <w:permStart w:id="48"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30</w:t>
      </w:r>
      <w:permEnd w:id="48"/>
      <w:r>
        <w:rPr>
          <w:rFonts w:hint="eastAsia" w:ascii="仿宋_GB2312" w:hAnsi="仿宋_GB2312" w:eastAsia="仿宋_GB2312" w:cs="仿宋_GB2312"/>
          <w:color w:val="000000" w:themeColor="text1"/>
          <w:highlight w:val="none"/>
          <w14:textFill>
            <w14:solidFill>
              <w14:schemeClr w14:val="tx1"/>
            </w14:solidFill>
          </w14:textFill>
        </w:rPr>
        <w:t>%，期限为六个月，因此产生的相关贴现成本由乙方承担。乙方须保证资金往来账户与本合同所约定账户一致，开票单位名称与合同约定名称一致。）</w:t>
      </w:r>
    </w:p>
    <w:p w14:paraId="7359E8CF">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3、付款条件：乙方向甲方申请付款时，应先行满足以下条件：</w:t>
      </w:r>
    </w:p>
    <w:p w14:paraId="38ADC72B">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3.1所供产品无质量缺陷，乙方无违约记录，产品出厂合格证明以及检测报告完整无误。</w:t>
      </w:r>
    </w:p>
    <w:p w14:paraId="52970124">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3.2乙方申请付款依据的结算单已由甲方最终有效确认，付款期限已经届满。</w:t>
      </w:r>
    </w:p>
    <w:p w14:paraId="4F2B8FC4">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3.3乙方已向甲方提供与结算等额增值税专用发票，且甲方已完成发票认证。</w:t>
      </w:r>
    </w:p>
    <w:p w14:paraId="30C85109">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在支付条件达成的基础上，甲方按以上方式向乙方付款，预付款不适用上述条件。</w:t>
      </w:r>
    </w:p>
    <w:p w14:paraId="4B3AC526">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4、乙方收款账户：</w:t>
      </w:r>
      <w:permStart w:id="49"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49"/>
    </w:p>
    <w:p w14:paraId="6B4F200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开户银行：</w:t>
      </w:r>
      <w:permStart w:id="50"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0"/>
    </w:p>
    <w:p w14:paraId="1E9775C4">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银行帐号：</w:t>
      </w:r>
      <w:permStart w:id="51"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1"/>
    </w:p>
    <w:p w14:paraId="6CB6463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乙方指定</w:t>
      </w:r>
      <w:permStart w:id="52"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2"/>
      <w:r>
        <w:rPr>
          <w:rFonts w:hint="eastAsia" w:ascii="仿宋_GB2312" w:hAnsi="仿宋_GB2312" w:eastAsia="仿宋_GB2312" w:cs="仿宋_GB2312"/>
          <w:color w:val="000000" w:themeColor="text1"/>
          <w:highlight w:val="none"/>
          <w14:textFill>
            <w14:solidFill>
              <w14:schemeClr w14:val="tx1"/>
            </w14:solidFill>
          </w14:textFill>
        </w:rPr>
        <w:t>（身份证号：</w:t>
      </w:r>
      <w:permStart w:id="5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53"/>
      <w:r>
        <w:rPr>
          <w:rFonts w:hint="eastAsia" w:ascii="仿宋_GB2312" w:hAnsi="仿宋_GB2312" w:eastAsia="仿宋_GB2312" w:cs="仿宋_GB2312"/>
          <w:color w:val="000000" w:themeColor="text1"/>
          <w:highlight w:val="none"/>
          <w14:textFill>
            <w14:solidFill>
              <w14:schemeClr w14:val="tx1"/>
            </w14:solidFill>
          </w14:textFill>
        </w:rPr>
        <w:t>）作为收款经办人，同甲方相关人员沟通洽商付款具体事宜。</w:t>
      </w:r>
    </w:p>
    <w:p w14:paraId="0B3C8C68">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甲方仅向乙方本单位名下银行账户支付价款，未经甲方同意，乙方不得委托任何第三方代为收款，否则甲方有权拒绝付款。</w:t>
      </w:r>
    </w:p>
    <w:p w14:paraId="2E0F341B">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5、账户变动：</w:t>
      </w:r>
      <w:r>
        <w:rPr>
          <w:rFonts w:hint="eastAsia" w:ascii="仿宋_GB2312" w:hAnsi="仿宋_GB2312" w:eastAsia="仿宋_GB2312" w:cs="仿宋_GB2312"/>
          <w:color w:val="000000" w:themeColor="text1"/>
          <w:highlight w:val="none"/>
          <w14:textFill>
            <w14:solidFill>
              <w14:schemeClr w14:val="tx1"/>
            </w14:solidFill>
          </w14:textFill>
        </w:rPr>
        <w:t>当乙方收款银行账号发生变动时，应以函件的形式书面通知甲方，否则甲方有权拒绝付款。若甲方在收到乙方的书面通知之前已按原账号付款，则甲方不再另行支付，由此造成的一切损失均由乙方自行承担。</w:t>
      </w:r>
    </w:p>
    <w:p w14:paraId="6DBA84FF">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6、履约保证金缴纳及退还：</w:t>
      </w:r>
    </w:p>
    <w:p w14:paraId="722A0943">
      <w:pPr>
        <w:spacing w:line="400" w:lineRule="atLeast"/>
        <w:ind w:firstLine="482" w:firstLineChars="200"/>
        <w:rPr>
          <w:rFonts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6.1履约保证金缴纳形式：</w:t>
      </w:r>
      <w:r>
        <w:rPr>
          <w:rFonts w:hint="eastAsia" w:ascii="仿宋_GB2312" w:hAnsi="仿宋_GB2312" w:eastAsia="仿宋_GB2312" w:cs="仿宋_GB2312"/>
          <w:color w:val="000000" w:themeColor="text1"/>
          <w:sz w:val="24"/>
          <w:szCs w:val="24"/>
          <w:highlight w:val="none"/>
          <w14:textFill>
            <w14:solidFill>
              <w14:schemeClr w14:val="tx1"/>
            </w14:solidFill>
          </w14:textFill>
        </w:rPr>
        <w:t>乙方在签订合同前应向甲方缴纳合同额的</w:t>
      </w:r>
      <w:permStart w:id="54"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
    <w:p w14:paraId="7C303874">
      <w:pPr>
        <w:spacing w:line="400" w:lineRule="atLeas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 </w:t>
      </w:r>
      <w:permEnd w:id="54"/>
      <w:r>
        <w:rPr>
          <w:rFonts w:hint="eastAsia" w:ascii="仿宋_GB2312" w:hAnsi="仿宋_GB2312" w:eastAsia="仿宋_GB2312" w:cs="仿宋_GB2312"/>
          <w:color w:val="000000" w:themeColor="text1"/>
          <w:sz w:val="24"/>
          <w:szCs w:val="24"/>
          <w:highlight w:val="none"/>
          <w14:textFill>
            <w14:solidFill>
              <w14:schemeClr w14:val="tx1"/>
            </w14:solidFill>
          </w14:textFill>
        </w:rPr>
        <w:t>％或</w:t>
      </w:r>
      <w:permStart w:id="55"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100000</w:t>
      </w:r>
      <w:permEnd w:id="55"/>
      <w:r>
        <w:rPr>
          <w:rFonts w:hint="eastAsia" w:ascii="仿宋_GB2312" w:hAnsi="仿宋_GB2312" w:eastAsia="仿宋_GB2312" w:cs="仿宋_GB2312"/>
          <w:color w:val="000000" w:themeColor="text1"/>
          <w:sz w:val="24"/>
          <w:szCs w:val="24"/>
          <w:highlight w:val="none"/>
          <w14:textFill>
            <w14:solidFill>
              <w14:schemeClr w14:val="tx1"/>
            </w14:solidFill>
          </w14:textFill>
        </w:rPr>
        <w:t>元的履约保证金，具体缴纳形式采用第</w:t>
      </w:r>
      <w:permStart w:id="56"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6.1.5</w:t>
      </w:r>
      <w:permEnd w:id="56"/>
      <w:r>
        <w:rPr>
          <w:rFonts w:hint="eastAsia" w:ascii="仿宋_GB2312" w:hAnsi="仿宋_GB2312" w:eastAsia="仿宋_GB2312" w:cs="仿宋_GB2312"/>
          <w:color w:val="000000" w:themeColor="text1"/>
          <w:sz w:val="24"/>
          <w:szCs w:val="24"/>
          <w:highlight w:val="none"/>
          <w14:textFill>
            <w14:solidFill>
              <w14:schemeClr w14:val="tx1"/>
            </w14:solidFill>
          </w14:textFill>
        </w:rPr>
        <w:t>种：</w:t>
      </w:r>
    </w:p>
    <w:p w14:paraId="09482224">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6.1.1无需缴纳履约保证金。</w:t>
      </w:r>
    </w:p>
    <w:p w14:paraId="014508DC">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6.1.2银行转账：乙方未参与甲方其他在建项目，采用银行转账方式缴纳履约保证金，并由项目相应会计根据财务部规定办理相应流程，开具证明件。</w:t>
      </w:r>
    </w:p>
    <w:p w14:paraId="00F3AAF1">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6.1.3应付款抵扣：乙方参与甲方其他在建项目，履约保证金从其他项目应付款中抵扣，并由项目相应会计根据财务部规定办理相应流程，开具证明件。</w:t>
      </w:r>
    </w:p>
    <w:p w14:paraId="114868C7">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6.1.4履约保函（只接受银行保函，不接受商业保函）。</w:t>
      </w:r>
    </w:p>
    <w:p w14:paraId="2E5C9E19">
      <w:pPr>
        <w:spacing w:line="400" w:lineRule="atLeast"/>
        <w:ind w:firstLine="480" w:firstLineChars="200"/>
        <w:rPr>
          <w:rFonts w:ascii="仿宋_GB2312" w:hAnsi="仿宋_GB2312" w:eastAsia="仿宋_GB2312" w:cs="仿宋_GB2312"/>
          <w:color w:val="000000" w:themeColor="text1"/>
          <w:sz w:val="24"/>
          <w:szCs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6.1.5其他</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 xml:space="preserve"> </w:t>
      </w:r>
      <w:permStart w:id="57"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在第一期结算款中扣除</w:t>
      </w:r>
      <w:permEnd w:id="57"/>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1D6DA430">
      <w:pPr>
        <w:spacing w:line="400" w:lineRule="atLeas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6.1.6履约保证金缴纳账户：</w:t>
      </w:r>
    </w:p>
    <w:p w14:paraId="01F18884">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户名：</w:t>
      </w:r>
      <w:permStart w:id="58" w:edGrp="everyone"/>
      <w:r>
        <w:rPr>
          <w:rFonts w:hint="default"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中建路桥集团第六工程有限公司</w:t>
      </w:r>
      <w:permEnd w:id="58"/>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2ED1DDE7">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帐号：</w:t>
      </w:r>
      <w:permStart w:id="59" w:edGrp="everyone"/>
      <w:r>
        <w:rPr>
          <w:rFonts w:hint="default"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1305 0165 5272 0000 0297</w:t>
      </w:r>
      <w:permEnd w:id="59"/>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0C7E783A">
      <w:pPr>
        <w:spacing w:line="400" w:lineRule="atLeast"/>
        <w:ind w:left="120"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开户行：</w:t>
      </w:r>
      <w:permStart w:id="60" w:edGrp="everyone"/>
      <w:r>
        <w:rPr>
          <w:rFonts w:hint="default"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建行邢台青青家园支行</w:t>
      </w:r>
      <w:permEnd w:id="60"/>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3D4F405B">
      <w:pPr>
        <w:pStyle w:val="14"/>
        <w:spacing w:line="400" w:lineRule="atLeast"/>
        <w:ind w:firstLine="482" w:firstLineChars="200"/>
        <w:rPr>
          <w:highlight w:val="none"/>
        </w:rPr>
      </w:pPr>
      <w:r>
        <w:rPr>
          <w:rFonts w:hint="eastAsia" w:ascii="仿宋_GB2312" w:hAnsi="仿宋_GB2312" w:eastAsia="仿宋_GB2312" w:cs="仿宋_GB2312"/>
          <w:b/>
          <w:bCs/>
          <w:color w:val="000000" w:themeColor="text1"/>
          <w:highlight w:val="none"/>
          <w14:textFill>
            <w14:solidFill>
              <w14:schemeClr w14:val="tx1"/>
            </w14:solidFill>
          </w14:textFill>
        </w:rPr>
        <w:t>6.2.履约保证金退还：</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在合同完成后</w:t>
      </w:r>
      <w:permStart w:id="61" w:edGrp="everyone"/>
      <w:r>
        <w:rPr>
          <w:rFonts w:hint="eastAsia" w:ascii="仿宋_GB2312" w:hAnsi="仿宋_GB2312" w:eastAsia="仿宋_GB2312" w:cs="仿宋_GB2312"/>
          <w:color w:val="000000" w:themeColor="text1"/>
          <w:kern w:val="2"/>
          <w:sz w:val="24"/>
          <w:szCs w:val="24"/>
          <w:highlight w:val="none"/>
          <w:u w:val="single"/>
          <w:lang w:val="en-US" w:eastAsia="zh-CN" w:bidi="ar-SA"/>
          <w14:textFill>
            <w14:solidFill>
              <w14:schemeClr w14:val="tx1"/>
            </w14:solidFill>
          </w14:textFill>
        </w:rPr>
        <w:t>90</w:t>
      </w:r>
      <w:permEnd w:id="61"/>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工作日内甲方无息退还乙方履约保证金（扣除违约金及应扣除款项）</w:t>
      </w:r>
      <w:r>
        <w:rPr>
          <w:rFonts w:hint="eastAsia" w:ascii="仿宋_GB2312" w:hAnsi="仿宋_GB2312" w:eastAsia="仿宋_GB2312" w:cs="仿宋_GB2312"/>
          <w:color w:val="000000" w:themeColor="text1"/>
          <w:highlight w:val="none"/>
          <w14:textFill>
            <w14:solidFill>
              <w14:schemeClr w14:val="tx1"/>
            </w14:solidFill>
          </w14:textFill>
        </w:rPr>
        <w:t>。</w:t>
      </w:r>
    </w:p>
    <w:p w14:paraId="48962799">
      <w:pPr>
        <w:spacing w:line="400" w:lineRule="atLeas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已缴纳履约保证金的，如发生以下任何一种情况履约保证金不予退还：</w:t>
      </w:r>
    </w:p>
    <w:p w14:paraId="7571BA97">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.1无法正常供货的情况，包括任何原因的不供货或连续5日历天未能按甲方要求的数量供货。</w:t>
      </w:r>
    </w:p>
    <w:p w14:paraId="680A130B">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.2供应的物资不符合国家、甲方、业主和监理相关标准和要求，且在规定时间内不予调换、处理的情况。</w:t>
      </w:r>
    </w:p>
    <w:p w14:paraId="4F54A4CB">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.3不服从甲方管理的。</w:t>
      </w:r>
    </w:p>
    <w:p w14:paraId="0FBD489A">
      <w:pPr>
        <w:spacing w:line="400" w:lineRule="atLeas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.4因乙方原因给甲方造成损失的。</w:t>
      </w:r>
    </w:p>
    <w:p w14:paraId="335D3077">
      <w:pPr>
        <w:spacing w:line="400" w:lineRule="atLeast"/>
        <w:ind w:firstLine="480" w:firstLineChars="200"/>
        <w:rPr>
          <w:rFonts w:hint="default"/>
          <w:highlight w:val="none"/>
          <w:lang w:val="en-US" w:eastAsia="zh-CN"/>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6.3</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如履约保证金不足以弥补甲方损失，甲方有权要求相应补偿。</w:t>
      </w:r>
    </w:p>
    <w:p w14:paraId="0479E70C">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7、甲方禁止项目部及任何人员以甲方、甲方子企业或甲方项目部名义对外借款或者支取任何款项，如乙方或乙方有关人员以任何形式将款项出借或支付或返还给甲方项目部及任何人员，则不论该等款项是否实际用于甲方工程，均与甲方无关，该行为均属于乙方与相关人员个人之间的经济关系，乙方无权向甲方主张任何权利，亦不得要求甲方以货款抵偿。</w:t>
      </w:r>
    </w:p>
    <w:p w14:paraId="7310A759">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8、如双方因货款支付发生争议，对于争议解决前甲方存在迟付情形的已付款项，乙方放弃索要逾期利息、违约金或资金占用费的权利。非甲方原因延迟支付结算款的，甲方不承担逾期利息，如因其他原因需甲方承担逾期利息时，约定利率为不超过合同订立时1年期贷款市场报价利率。</w:t>
      </w:r>
    </w:p>
    <w:p w14:paraId="4C8AD76F">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9、甲方拖欠线索受理联系人：</w:t>
      </w:r>
    </w:p>
    <w:p w14:paraId="019B101C">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项目部联系人：</w:t>
      </w:r>
      <w:permStart w:id="62"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王锴博</w:t>
      </w:r>
      <w:permEnd w:id="62"/>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，联系电话：</w:t>
      </w:r>
      <w:permStart w:id="63"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18333943204</w:t>
      </w:r>
      <w:permEnd w:id="63"/>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p>
    <w:p w14:paraId="7B52CCC7">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公司联系人：</w:t>
      </w:r>
      <w:permStart w:id="64"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张海萍</w:t>
      </w:r>
      <w:permEnd w:id="64"/>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，联系电话：</w:t>
      </w:r>
      <w:permStart w:id="65"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0319-2620099 </w:t>
      </w:r>
      <w:permEnd w:id="65"/>
    </w:p>
    <w:p w14:paraId="17A21EE0">
      <w:pPr>
        <w:spacing w:line="480" w:lineRule="exact"/>
        <w:ind w:firstLine="482" w:firstLineChars="200"/>
        <w:rPr>
          <w:rFonts w:hint="default"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公司信访投诉电话：</w:t>
      </w:r>
      <w:permStart w:id="66"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 0319-2620099 </w:t>
      </w:r>
      <w:permEnd w:id="66"/>
    </w:p>
    <w:p w14:paraId="3648390D">
      <w:pPr>
        <w:spacing w:line="480" w:lineRule="exact"/>
        <w:ind w:firstLine="482" w:firstLineChars="200"/>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信访投诉邮箱：</w:t>
      </w:r>
      <w:permStart w:id="67" w:edGrp="everyone"/>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 xml:space="preserve">zjlq6bgsh@163.com </w:t>
      </w:r>
      <w:permEnd w:id="67"/>
    </w:p>
    <w:p w14:paraId="06D348B8">
      <w:pPr>
        <w:spacing w:line="480" w:lineRule="exact"/>
        <w:ind w:firstLine="482" w:firstLineChars="200"/>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云筑网中建系统账款投诉平台：https://ts.yzw.cn</w:t>
      </w:r>
    </w:p>
    <w:p w14:paraId="25091A4A">
      <w:pPr>
        <w:pStyle w:val="14"/>
        <w:spacing w:line="400" w:lineRule="atLeast"/>
        <w:ind w:firstLine="482" w:firstLineChars="200"/>
        <w:rPr>
          <w:rFonts w:ascii="仿宋_GB2312" w:hAnsi="仿宋_GB2312" w:eastAsia="仿宋_GB2312" w:cs="仿宋_GB2312"/>
          <w:b/>
          <w:bCs/>
          <w:color w:val="000000" w:themeColor="text1"/>
          <w:highlight w:val="none"/>
          <w:u w:val="singl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10</w:t>
      </w:r>
      <w:r>
        <w:rPr>
          <w:rFonts w:hint="eastAsia" w:ascii="仿宋_GB2312" w:hAnsi="仿宋_GB2312" w:eastAsia="仿宋_GB2312" w:cs="仿宋_GB2312"/>
          <w:b/>
          <w:bCs/>
          <w:color w:val="000000" w:themeColor="text1"/>
          <w:highlight w:val="none"/>
          <w14:textFill>
            <w14:solidFill>
              <w14:schemeClr w14:val="tx1"/>
            </w14:solidFill>
          </w14:textFill>
        </w:rPr>
        <w:t>、其他：</w:t>
      </w:r>
      <w:permStart w:id="68" w:edGrp="everyone"/>
      <w:r>
        <w:rPr>
          <w:rFonts w:hint="eastAsia" w:ascii="仿宋_GB2312" w:hAnsi="仿宋_GB2312" w:eastAsia="仿宋_GB2312" w:cs="仿宋_GB2312"/>
          <w:b/>
          <w:bCs/>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68"/>
      <w:r>
        <w:rPr>
          <w:rFonts w:hint="eastAsia" w:ascii="仿宋_GB2312" w:hAnsi="仿宋_GB2312" w:eastAsia="仿宋_GB2312" w:cs="仿宋_GB2312"/>
          <w:color w:val="000000" w:themeColor="text1"/>
          <w:highlight w:val="none"/>
          <w14:textFill>
            <w14:solidFill>
              <w14:schemeClr w14:val="tx1"/>
            </w14:solidFill>
          </w14:textFill>
        </w:rPr>
        <w:t>。</w:t>
      </w:r>
    </w:p>
    <w:p w14:paraId="3BFF3CB8">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通知与送达</w:t>
      </w:r>
      <w:bookmarkEnd w:id="34"/>
      <w:bookmarkEnd w:id="35"/>
      <w:bookmarkEnd w:id="36"/>
    </w:p>
    <w:p w14:paraId="62CFC690">
      <w:pPr>
        <w:pStyle w:val="14"/>
        <w:numPr>
          <w:ilvl w:val="0"/>
          <w:numId w:val="5"/>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本合同中涉及合同、文件、律师函、诉讼文书的送达地址或邮箱及法律后果作如下约定：</w:t>
      </w:r>
    </w:p>
    <w:p w14:paraId="4916CCE1">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1.1甲方确认其有效的送达地址为：</w:t>
      </w:r>
      <w:permStart w:id="69" w:edGrp="everyone"/>
      <w:r>
        <w:rPr>
          <w:rFonts w:hint="eastAsia" w:ascii="仿宋_GB2312" w:hAnsi="仿宋_GB2312" w:eastAsia="仿宋_GB2312" w:cs="仿宋_GB2312"/>
          <w:color w:val="000000" w:themeColor="text1"/>
          <w:highlight w:val="none"/>
          <w:u w:val="single"/>
          <w14:textFill>
            <w14:solidFill>
              <w14:schemeClr w14:val="tx1"/>
            </w14:solidFill>
          </w14:textFill>
        </w:rPr>
        <w:t>河北省邢台市信都区泉北西大街1299号</w:t>
      </w:r>
      <w:permEnd w:id="69"/>
      <w:r>
        <w:rPr>
          <w:rFonts w:hint="eastAsia" w:ascii="仿宋_GB2312" w:hAnsi="仿宋_GB2312" w:eastAsia="仿宋_GB2312" w:cs="仿宋_GB2312"/>
          <w:color w:val="000000" w:themeColor="text1"/>
          <w:highlight w:val="none"/>
          <w14:textFill>
            <w14:solidFill>
              <w14:schemeClr w14:val="tx1"/>
            </w14:solidFill>
          </w14:textFill>
        </w:rPr>
        <w:t>；</w:t>
      </w:r>
    </w:p>
    <w:p w14:paraId="540813DC">
      <w:pPr>
        <w:pStyle w:val="14"/>
        <w:spacing w:line="400" w:lineRule="atLeast"/>
        <w:ind w:firstLine="720" w:firstLineChars="3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联系人及电话：</w:t>
      </w:r>
      <w:permStart w:id="70" w:edGrp="everyone"/>
      <w:r>
        <w:rPr>
          <w:rFonts w:hint="eastAsia" w:ascii="仿宋_GB2312" w:hAnsi="仿宋_GB2312" w:eastAsia="仿宋_GB2312" w:cs="仿宋_GB2312"/>
          <w:b w:val="0"/>
          <w:bCs w:val="0"/>
          <w:color w:val="000000" w:themeColor="text1"/>
          <w:sz w:val="24"/>
          <w:szCs w:val="24"/>
          <w:highlight w:val="none"/>
          <w:u w:val="single"/>
          <w:lang w:val="en-US" w:eastAsia="zh-CN"/>
          <w14:textFill>
            <w14:solidFill>
              <w14:schemeClr w14:val="tx1"/>
            </w14:solidFill>
          </w14:textFill>
        </w:rPr>
        <w:t>张海萍0319-2620099</w:t>
      </w:r>
      <w:permEnd w:id="70"/>
      <w:r>
        <w:rPr>
          <w:rFonts w:hint="eastAsia" w:ascii="仿宋_GB2312" w:hAnsi="仿宋_GB2312" w:eastAsia="仿宋_GB2312" w:cs="仿宋_GB2312"/>
          <w:color w:val="000000" w:themeColor="text1"/>
          <w:highlight w:val="none"/>
          <w14:textFill>
            <w14:solidFill>
              <w14:schemeClr w14:val="tx1"/>
            </w14:solidFill>
          </w14:textFill>
        </w:rPr>
        <w:t>；邮箱：</w:t>
      </w:r>
      <w:permStart w:id="71" w:edGrp="everyone"/>
      <w:r>
        <w:rPr>
          <w:rFonts w:hint="eastAsia" w:ascii="仿宋_GB2312" w:hAnsi="仿宋_GB2312" w:eastAsia="仿宋_GB2312" w:cs="仿宋_GB2312"/>
          <w:b w:val="0"/>
          <w:bCs w:val="0"/>
          <w:color w:val="000000" w:themeColor="text1"/>
          <w:sz w:val="24"/>
          <w:szCs w:val="24"/>
          <w:highlight w:val="none"/>
          <w:u w:val="single"/>
          <w:lang w:val="en-US" w:eastAsia="zh-CN"/>
          <w14:textFill>
            <w14:solidFill>
              <w14:schemeClr w14:val="tx1"/>
            </w14:solidFill>
          </w14:textFill>
        </w:rPr>
        <w:t>zjlq6bgsh@163.com</w:t>
      </w:r>
      <w:permEnd w:id="71"/>
      <w:r>
        <w:rPr>
          <w:rFonts w:hint="eastAsia" w:ascii="仿宋_GB2312" w:hAnsi="仿宋_GB2312" w:eastAsia="仿宋_GB2312" w:cs="仿宋_GB2312"/>
          <w:color w:val="000000" w:themeColor="text1"/>
          <w:highlight w:val="none"/>
          <w14:textFill>
            <w14:solidFill>
              <w14:schemeClr w14:val="tx1"/>
            </w14:solidFill>
          </w14:textFill>
        </w:rPr>
        <w:t>；</w:t>
      </w:r>
    </w:p>
    <w:p w14:paraId="7A07929A">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1.2乙方确认其有效的送达地址为：</w:t>
      </w:r>
      <w:permStart w:id="72"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2"/>
      <w:r>
        <w:rPr>
          <w:rFonts w:hint="eastAsia" w:ascii="仿宋_GB2312" w:hAnsi="仿宋_GB2312" w:eastAsia="仿宋_GB2312" w:cs="仿宋_GB2312"/>
          <w:color w:val="000000" w:themeColor="text1"/>
          <w:highlight w:val="none"/>
          <w14:textFill>
            <w14:solidFill>
              <w14:schemeClr w14:val="tx1"/>
            </w14:solidFill>
          </w14:textFill>
        </w:rPr>
        <w:t>；</w:t>
      </w:r>
    </w:p>
    <w:p w14:paraId="7E1BDE8D">
      <w:pPr>
        <w:pStyle w:val="14"/>
        <w:spacing w:line="400" w:lineRule="atLeast"/>
        <w:ind w:firstLine="720" w:firstLineChars="3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联系人及电话：</w:t>
      </w:r>
      <w:permStart w:id="73"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3"/>
      <w:r>
        <w:rPr>
          <w:rFonts w:hint="eastAsia" w:ascii="仿宋_GB2312" w:hAnsi="仿宋_GB2312" w:eastAsia="仿宋_GB2312" w:cs="仿宋_GB2312"/>
          <w:color w:val="000000" w:themeColor="text1"/>
          <w:highlight w:val="none"/>
          <w14:textFill>
            <w14:solidFill>
              <w14:schemeClr w14:val="tx1"/>
            </w14:solidFill>
          </w14:textFill>
        </w:rPr>
        <w:t>；邮箱：</w:t>
      </w:r>
      <w:permStart w:id="74"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End w:id="74"/>
      <w:r>
        <w:rPr>
          <w:rFonts w:hint="eastAsia" w:ascii="仿宋_GB2312" w:hAnsi="仿宋_GB2312" w:eastAsia="仿宋_GB2312" w:cs="仿宋_GB2312"/>
          <w:color w:val="000000" w:themeColor="text1"/>
          <w:highlight w:val="none"/>
          <w14:textFill>
            <w14:solidFill>
              <w14:schemeClr w14:val="tx1"/>
            </w14:solidFill>
          </w14:textFill>
        </w:rPr>
        <w:t>；</w:t>
      </w:r>
    </w:p>
    <w:p w14:paraId="3CD68A29">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2、双方该送达地址或邮箱适用范围包括双方就合同发生纠纷时的律师函和法律文书的送达，同时包括在争议进入民事诉讼程序（如有）后的一审、二审、再审和执行程序。</w:t>
      </w:r>
    </w:p>
    <w:p w14:paraId="743509B6">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乙方因提供的送达地址或邮箱不准确、变更后未及时书面告知甲方、其指定的接收人拒绝签收等原因，导致法律文书未能被其实际接收的，视为对乙方送达成功：邮寄送达的，以文件退回之日视为送达之日；直接送达的，送达人当场在送达回证上记明情况之日视为送达之日。</w:t>
      </w:r>
    </w:p>
    <w:p w14:paraId="64A865F6">
      <w:pPr>
        <w:pStyle w:val="14"/>
        <w:numPr>
          <w:ilvl w:val="0"/>
          <w:numId w:val="1"/>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37" w:name="_Toc26478"/>
      <w:bookmarkStart w:id="38" w:name="_Toc21843"/>
      <w:bookmarkStart w:id="39" w:name="_Toc4701"/>
      <w:r>
        <w:rPr>
          <w:rFonts w:hint="eastAsia" w:ascii="仿宋_GB2312" w:hAnsi="仿宋_GB2312" w:eastAsia="仿宋_GB2312" w:cs="仿宋_GB2312"/>
          <w:b/>
          <w:bCs/>
          <w:color w:val="000000" w:themeColor="text1"/>
          <w:highlight w:val="none"/>
          <w14:textFill>
            <w14:solidFill>
              <w14:schemeClr w14:val="tx1"/>
            </w14:solidFill>
          </w14:textFill>
        </w:rPr>
        <w:t>合同生效</w:t>
      </w:r>
      <w:bookmarkEnd w:id="37"/>
      <w:bookmarkEnd w:id="38"/>
      <w:bookmarkEnd w:id="39"/>
    </w:p>
    <w:p w14:paraId="33F20231">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1、本合同签约形式适用第</w:t>
      </w:r>
      <w:permStart w:id="75" w:edGrp="everyone"/>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1.1</w:t>
      </w:r>
      <w:permEnd w:id="75"/>
      <w:r>
        <w:rPr>
          <w:rFonts w:hint="eastAsia" w:ascii="仿宋_GB2312" w:hAnsi="仿宋_GB2312" w:eastAsia="仿宋_GB2312" w:cs="仿宋_GB2312"/>
          <w:color w:val="000000" w:themeColor="text1"/>
          <w:highlight w:val="none"/>
          <w14:textFill>
            <w14:solidFill>
              <w14:schemeClr w14:val="tx1"/>
            </w14:solidFill>
          </w14:textFill>
        </w:rPr>
        <w:t>条；</w:t>
      </w:r>
    </w:p>
    <w:p w14:paraId="32E6FB97">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bookmarkStart w:id="40" w:name="_Toc15785_WPSOffice_Level1"/>
      <w:bookmarkStart w:id="41" w:name="_Toc21939"/>
      <w:bookmarkStart w:id="42" w:name="_Toc31827_WPSOffice_Level1"/>
      <w:bookmarkStart w:id="43" w:name="_Toc6851_WPSOffice_Level1"/>
      <w:bookmarkStart w:id="44" w:name="_Toc7989"/>
      <w:r>
        <w:rPr>
          <w:rFonts w:hint="eastAsia" w:ascii="仿宋_GB2312" w:hAnsi="仿宋_GB2312" w:eastAsia="仿宋_GB2312" w:cs="仿宋_GB2312"/>
          <w:color w:val="000000" w:themeColor="text1"/>
          <w:highlight w:val="none"/>
          <w14:textFill>
            <w14:solidFill>
              <w14:schemeClr w14:val="tx1"/>
            </w14:solidFill>
          </w14:textFill>
        </w:rPr>
        <w:t>1.1双方同意通过“E签宝”(网址：https://121.28.96.6:8813/main-index-web)以电子签章的方式签署本合同，本合同自双方加盖电子签章之日起生效。合同生效后，双方均可对本合同进行查阅、下载、打印。下载、打印后的合同可以与“E签宝(网址中的电子合同进行比对，如有不同，以“E签宝”中的电子合同为准。甲乙双方使用电子签章方式签署的合同，只有通过验证生效的电子原件具有法律效力，未经电子印章服务平台公司提供书面证明材料的电子合同打印版不能作为法律依据。如因乙方使用不当给甲方造成损失，乙方愿自行承担由此造成的全部经济损失和法律责任。</w:t>
      </w:r>
    </w:p>
    <w:p w14:paraId="29947841">
      <w:pPr>
        <w:pStyle w:val="14"/>
        <w:numPr>
          <w:ilvl w:val="0"/>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1.2双方同意通过加盖物理印章的方式签署本合同，合同自双方盖章后生效，完成合同约定的全部内容且保修期满后即告终止。合同壹式</w:t>
      </w:r>
      <w:permStart w:id="76"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陆</w:t>
      </w:r>
      <w:permEnd w:id="76"/>
      <w:r>
        <w:rPr>
          <w:rFonts w:hint="eastAsia" w:ascii="仿宋_GB2312" w:hAnsi="仿宋_GB2312" w:eastAsia="仿宋_GB2312" w:cs="仿宋_GB2312"/>
          <w:color w:val="000000" w:themeColor="text1"/>
          <w:highlight w:val="none"/>
          <w14:textFill>
            <w14:solidFill>
              <w14:schemeClr w14:val="tx1"/>
            </w14:solidFill>
          </w14:textFill>
        </w:rPr>
        <w:t>份，甲方执</w:t>
      </w:r>
      <w:permStart w:id="77"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伍</w:t>
      </w:r>
      <w:permEnd w:id="77"/>
      <w:r>
        <w:rPr>
          <w:rFonts w:hint="eastAsia" w:ascii="仿宋_GB2312" w:hAnsi="仿宋_GB2312" w:eastAsia="仿宋_GB2312" w:cs="仿宋_GB2312"/>
          <w:color w:val="000000" w:themeColor="text1"/>
          <w:highlight w:val="none"/>
          <w14:textFill>
            <w14:solidFill>
              <w14:schemeClr w14:val="tx1"/>
            </w14:solidFill>
          </w14:textFill>
        </w:rPr>
        <w:t>份，乙方执</w:t>
      </w:r>
      <w:permStart w:id="78" w:edGrp="everyone"/>
      <w:r>
        <w:rPr>
          <w:rFonts w:hint="eastAsia" w:ascii="仿宋_GB2312" w:hAnsi="仿宋_GB2312" w:eastAsia="仿宋_GB2312" w:cs="仿宋_GB2312"/>
          <w:color w:val="000000" w:themeColor="text1"/>
          <w:highlight w:val="none"/>
          <w:lang w:val="en-US" w:eastAsia="zh-CN"/>
          <w14:textFill>
            <w14:solidFill>
              <w14:schemeClr w14:val="tx1"/>
            </w14:solidFill>
          </w14:textFill>
        </w:rPr>
        <w:t>壹</w:t>
      </w:r>
      <w:permEnd w:id="78"/>
      <w:r>
        <w:rPr>
          <w:rFonts w:hint="eastAsia" w:ascii="仿宋_GB2312" w:hAnsi="仿宋_GB2312" w:eastAsia="仿宋_GB2312" w:cs="仿宋_GB2312"/>
          <w:color w:val="000000" w:themeColor="text1"/>
          <w:highlight w:val="none"/>
          <w14:textFill>
            <w14:solidFill>
              <w14:schemeClr w14:val="tx1"/>
            </w14:solidFill>
          </w14:textFill>
        </w:rPr>
        <w:t>份。</w:t>
      </w:r>
    </w:p>
    <w:p w14:paraId="10C1D3A2">
      <w:pPr>
        <w:spacing w:line="400" w:lineRule="atLeast"/>
        <w:ind w:firstLine="504" w:firstLineChars="200"/>
        <w:jc w:val="left"/>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Cs/>
          <w:color w:val="000000" w:themeColor="text1"/>
          <w:spacing w:val="6"/>
          <w:sz w:val="24"/>
          <w:szCs w:val="24"/>
          <w:highlight w:val="none"/>
          <w14:textFill>
            <w14:solidFill>
              <w14:schemeClr w14:val="tx1"/>
            </w14:solidFill>
          </w14:textFill>
        </w:rPr>
        <w:t>以下无正文</w:t>
      </w:r>
      <w:bookmarkEnd w:id="40"/>
      <w:bookmarkEnd w:id="41"/>
      <w:bookmarkEnd w:id="42"/>
      <w:bookmarkEnd w:id="43"/>
      <w:bookmarkEnd w:id="44"/>
      <w:bookmarkStart w:id="45" w:name="_Toc6163_WPSOffice_Level1"/>
      <w:bookmarkStart w:id="46" w:name="_Toc19595_WPSOffice_Level1"/>
      <w:bookmarkStart w:id="47" w:name="_Toc8898_WPSOffice_Level1"/>
    </w:p>
    <w:p w14:paraId="77E10C7E">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48" w:name="_Toc31108"/>
      <w:bookmarkStart w:id="49" w:name="_Toc23374"/>
      <w:bookmarkStart w:id="50" w:name="_Toc2377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附件一 授权委托书</w:t>
      </w:r>
      <w:bookmarkEnd w:id="45"/>
      <w:bookmarkEnd w:id="46"/>
      <w:bookmarkEnd w:id="47"/>
      <w:bookmarkEnd w:id="48"/>
      <w:bookmarkEnd w:id="49"/>
      <w:bookmarkEnd w:id="50"/>
    </w:p>
    <w:p w14:paraId="6ADD0EFD">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51" w:name="_Toc14040"/>
      <w:bookmarkStart w:id="52" w:name="_Toc3383_WPSOffice_Level1"/>
      <w:bookmarkStart w:id="53" w:name="_Toc5250_WPSOffice_Level1"/>
      <w:bookmarkStart w:id="54" w:name="_Toc27542"/>
      <w:bookmarkStart w:id="55" w:name="_Toc16133_WPSOffice_Level1"/>
      <w:bookmarkStart w:id="56" w:name="_Toc6903"/>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附件二 </w:t>
      </w:r>
      <w:bookmarkEnd w:id="51"/>
      <w:bookmarkEnd w:id="52"/>
      <w:bookmarkEnd w:id="53"/>
      <w:bookmarkEnd w:id="54"/>
      <w:bookmarkEnd w:id="55"/>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项目部合规权限告知书</w:t>
      </w:r>
      <w:bookmarkEnd w:id="56"/>
    </w:p>
    <w:p w14:paraId="4931D42A">
      <w:pPr>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bookmarkStart w:id="57" w:name="_Toc19768_WPSOffice_Level1"/>
      <w:bookmarkStart w:id="58" w:name="_Toc22730_WPSOffice_Level1"/>
      <w:bookmarkStart w:id="59" w:name="_Toc641_WPSOffice_Level1"/>
      <w:bookmarkStart w:id="60" w:name="_Toc660"/>
      <w:bookmarkStart w:id="61" w:name="_Toc26596"/>
      <w:bookmarkStart w:id="62" w:name="_Toc3486"/>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附件三 </w:t>
      </w:r>
      <w:bookmarkEnd w:id="57"/>
      <w:bookmarkEnd w:id="58"/>
      <w:bookmarkEnd w:id="59"/>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安全管理协议书</w:t>
      </w:r>
      <w:bookmarkEnd w:id="60"/>
      <w:bookmarkEnd w:id="61"/>
      <w:bookmarkEnd w:id="62"/>
    </w:p>
    <w:p w14:paraId="03E069E6">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63" w:name="_Toc8260_WPSOffice_Level1"/>
      <w:bookmarkStart w:id="64" w:name="_Toc24584_WPSOffice_Level1"/>
      <w:bookmarkStart w:id="65" w:name="_Toc19161_WPSOffice_Level1"/>
      <w:bookmarkStart w:id="66" w:name="_Toc6994"/>
      <w:bookmarkStart w:id="67" w:name="_Toc25961"/>
      <w:bookmarkStart w:id="68" w:name="_Toc459"/>
      <w:r>
        <w:rPr>
          <w:rFonts w:hint="eastAsia" w:ascii="仿宋_GB2312" w:hAnsi="仿宋_GB2312" w:eastAsia="仿宋_GB2312" w:cs="仿宋_GB2312"/>
          <w:color w:val="000000" w:themeColor="text1"/>
          <w:highlight w:val="none"/>
          <w14:textFill>
            <w14:solidFill>
              <w14:schemeClr w14:val="tx1"/>
            </w14:solidFill>
          </w14:textFill>
        </w:rPr>
        <w:t xml:space="preserve">附件四 </w:t>
      </w:r>
      <w:bookmarkEnd w:id="63"/>
      <w:bookmarkEnd w:id="64"/>
      <w:bookmarkEnd w:id="65"/>
      <w:r>
        <w:rPr>
          <w:rFonts w:hint="eastAsia" w:ascii="仿宋_GB2312" w:hAnsi="仿宋_GB2312" w:eastAsia="仿宋_GB2312" w:cs="仿宋_GB2312"/>
          <w:color w:val="000000" w:themeColor="text1"/>
          <w:highlight w:val="none"/>
          <w14:textFill>
            <w14:solidFill>
              <w14:schemeClr w14:val="tx1"/>
            </w14:solidFill>
          </w14:textFill>
        </w:rPr>
        <w:t>廉洁从业共建协议</w:t>
      </w:r>
      <w:bookmarkEnd w:id="66"/>
      <w:bookmarkEnd w:id="67"/>
      <w:bookmarkEnd w:id="68"/>
    </w:p>
    <w:p w14:paraId="270B20A1">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p>
    <w:p w14:paraId="3A906CFC">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甲方（盖章）：                        乙方（公章）：             </w:t>
      </w:r>
    </w:p>
    <w:p w14:paraId="507154BB">
      <w:pPr>
        <w:autoSpaceDE w:val="0"/>
        <w:autoSpaceDN w:val="0"/>
        <w:adjustRightInd w:val="0"/>
        <w:spacing w:line="400" w:lineRule="atLeast"/>
        <w:ind w:firstLine="480" w:firstLineChars="2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p w14:paraId="41D16151">
      <w:pPr>
        <w:autoSpaceDE w:val="0"/>
        <w:autoSpaceDN w:val="0"/>
        <w:adjustRightInd w:val="0"/>
        <w:spacing w:line="400" w:lineRule="atLeast"/>
        <w:ind w:firstLine="960" w:firstLineChars="4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4D07F9DF">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42CA156E">
      <w:pPr>
        <w:autoSpaceDE w:val="0"/>
        <w:autoSpaceDN w:val="0"/>
        <w:adjustRightInd w:val="0"/>
        <w:spacing w:line="400" w:lineRule="atLeast"/>
        <w:ind w:firstLine="1200" w:firstLineChars="5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委托人：</w:t>
      </w:r>
    </w:p>
    <w:p w14:paraId="3990A8B9">
      <w:pPr>
        <w:pStyle w:val="14"/>
        <w:spacing w:line="400" w:lineRule="atLeast"/>
        <w:rPr>
          <w:rFonts w:ascii="仿宋_GB2312" w:hAnsi="仿宋_GB2312" w:eastAsia="仿宋_GB2312" w:cs="仿宋_GB2312"/>
          <w:color w:val="000000" w:themeColor="text1"/>
          <w:highlight w:val="none"/>
          <w14:textFill>
            <w14:solidFill>
              <w14:schemeClr w14:val="tx1"/>
            </w14:solidFill>
          </w14:textFill>
        </w:rPr>
      </w:pPr>
    </w:p>
    <w:p w14:paraId="43ED2DE5">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年</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月</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日</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年</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月</w:t>
      </w:r>
      <w:r>
        <w:rPr>
          <w:rFonts w:hint="eastAsia"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highlight w:val="none"/>
          <w:lang w:val="zh-CN"/>
          <w14:textFill>
            <w14:solidFill>
              <w14:schemeClr w14:val="tx1"/>
            </w14:solidFill>
          </w14:textFill>
        </w:rPr>
        <w:t>日</w:t>
      </w:r>
    </w:p>
    <w:p w14:paraId="5620D93D">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36779690">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38130B2E">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35353B97">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48E50A7F">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38925082">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70C7F789">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13D18C78">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1A865276">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5B61ED91">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pPr>
    </w:p>
    <w:p w14:paraId="6CF6BD47">
      <w:pPr>
        <w:pStyle w:val="14"/>
        <w:spacing w:line="400" w:lineRule="exact"/>
        <w:rPr>
          <w:rFonts w:ascii="仿宋_GB2312" w:hAnsi="仿宋_GB2312" w:eastAsia="仿宋_GB2312" w:cs="仿宋_GB2312"/>
          <w:color w:val="000000" w:themeColor="text1"/>
          <w:highlight w:val="none"/>
          <w14:textFill>
            <w14:solidFill>
              <w14:schemeClr w14:val="tx1"/>
            </w14:solidFill>
          </w14:textFill>
        </w:rPr>
        <w:sectPr>
          <w:headerReference r:id="rId10" w:type="default"/>
          <w:footerReference r:id="rId11" w:type="default"/>
          <w:pgSz w:w="11906" w:h="16838"/>
          <w:pgMar w:top="1440" w:right="1800" w:bottom="1440" w:left="1800" w:header="850" w:footer="975" w:gutter="0"/>
          <w:pgNumType w:start="1"/>
          <w:cols w:space="0" w:num="1"/>
          <w:docGrid w:linePitch="312" w:charSpace="0"/>
        </w:sectPr>
      </w:pPr>
    </w:p>
    <w:p w14:paraId="6249CD26">
      <w:pPr>
        <w:autoSpaceDE w:val="0"/>
        <w:autoSpaceDN w:val="0"/>
        <w:adjustRightInd w:val="0"/>
        <w:spacing w:line="400" w:lineRule="exact"/>
        <w:outlineLvl w:val="0"/>
        <w:rPr>
          <w:rFonts w:ascii="仿宋_GB2312" w:hAnsi="仿宋_GB2312" w:eastAsia="仿宋_GB2312" w:cs="仿宋_GB2312"/>
          <w:color w:val="000000" w:themeColor="text1"/>
          <w:kern w:val="0"/>
          <w:sz w:val="30"/>
          <w:szCs w:val="30"/>
          <w:highlight w:val="none"/>
          <w14:textFill>
            <w14:solidFill>
              <w14:schemeClr w14:val="tx1"/>
            </w14:solidFill>
          </w14:textFill>
        </w:rPr>
      </w:pPr>
      <w:bookmarkStart w:id="69" w:name="_Toc25426"/>
      <w:bookmarkStart w:id="70" w:name="_Toc7321"/>
      <w:bookmarkStart w:id="71" w:name="_Toc31445"/>
      <w:r>
        <w:rPr>
          <w:rFonts w:hint="eastAsia" w:ascii="仿宋_GB2312" w:hAnsi="仿宋_GB2312" w:eastAsia="仿宋_GB2312" w:cs="仿宋_GB2312"/>
          <w:color w:val="000000" w:themeColor="text1"/>
          <w:kern w:val="0"/>
          <w:sz w:val="30"/>
          <w:szCs w:val="30"/>
          <w:highlight w:val="none"/>
          <w14:textFill>
            <w14:solidFill>
              <w14:schemeClr w14:val="tx1"/>
            </w14:solidFill>
          </w14:textFill>
        </w:rPr>
        <w:t>附件一：</w:t>
      </w:r>
      <w:bookmarkEnd w:id="69"/>
      <w:bookmarkEnd w:id="70"/>
      <w:bookmarkEnd w:id="71"/>
    </w:p>
    <w:p w14:paraId="4BEB3563">
      <w:pPr>
        <w:autoSpaceDE w:val="0"/>
        <w:autoSpaceDN w:val="0"/>
        <w:adjustRightInd w:val="0"/>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授权委托书</w:t>
      </w:r>
    </w:p>
    <w:p w14:paraId="1FD71EC7">
      <w:pPr>
        <w:autoSpaceDE w:val="0"/>
        <w:autoSpaceDN w:val="0"/>
        <w:adjustRightInd w:val="0"/>
        <w:spacing w:line="400" w:lineRule="exact"/>
        <w:rPr>
          <w:rFonts w:ascii="仿宋_GB2312" w:hAnsi="仿宋_GB2312" w:eastAsia="仿宋_GB2312" w:cs="仿宋_GB2312"/>
          <w:b/>
          <w:color w:val="000000" w:themeColor="text1"/>
          <w:sz w:val="24"/>
          <w:szCs w:val="24"/>
          <w:highlight w:val="none"/>
          <w14:textFill>
            <w14:solidFill>
              <w14:schemeClr w14:val="tx1"/>
            </w14:solidFill>
          </w14:textFill>
        </w:rPr>
      </w:pPr>
    </w:p>
    <w:p w14:paraId="2743B4C3">
      <w:pPr>
        <w:autoSpaceDE w:val="0"/>
        <w:autoSpaceDN w:val="0"/>
        <w:adjustRightInd w:val="0"/>
        <w:spacing w:line="400" w:lineRule="exact"/>
        <w:ind w:firstLine="482"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本授权委托书声明：</w:t>
      </w:r>
      <w:r>
        <w:rPr>
          <w:rFonts w:hint="eastAsia" w:ascii="仿宋_GB2312" w:hAnsi="仿宋_GB2312" w:eastAsia="仿宋_GB2312" w:cs="仿宋_GB2312"/>
          <w:color w:val="000000" w:themeColor="text1"/>
          <w:sz w:val="24"/>
          <w:szCs w:val="24"/>
          <w:highlight w:val="none"/>
          <w14:textFill>
            <w14:solidFill>
              <w14:schemeClr w14:val="tx1"/>
            </w14:solidFill>
          </w14:textFill>
        </w:rPr>
        <w:t>我</w:t>
      </w:r>
      <w:permStart w:id="79"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79"/>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80"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0"/>
      <w:r>
        <w:rPr>
          <w:rFonts w:hint="eastAsia" w:ascii="仿宋_GB2312" w:hAnsi="仿宋_GB2312" w:eastAsia="仿宋_GB2312" w:cs="仿宋_GB2312"/>
          <w:color w:val="000000" w:themeColor="text1"/>
          <w:sz w:val="24"/>
          <w:szCs w:val="24"/>
          <w:highlight w:val="none"/>
          <w14:textFill>
            <w14:solidFill>
              <w14:schemeClr w14:val="tx1"/>
            </w14:solidFill>
          </w14:textFill>
        </w:rPr>
        <w:t>）系</w:t>
      </w:r>
      <w:permStart w:id="81"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1"/>
      <w:r>
        <w:rPr>
          <w:rFonts w:hint="eastAsia" w:ascii="仿宋_GB2312" w:hAnsi="仿宋_GB2312" w:eastAsia="仿宋_GB2312" w:cs="仿宋_GB2312"/>
          <w:color w:val="000000" w:themeColor="text1"/>
          <w:sz w:val="24"/>
          <w:szCs w:val="24"/>
          <w:highlight w:val="none"/>
          <w14:textFill>
            <w14:solidFill>
              <w14:schemeClr w14:val="tx1"/>
            </w14:solidFill>
          </w14:textFill>
        </w:rPr>
        <w:t>公司（乙方）的法定代表人，现授权委托</w:t>
      </w:r>
      <w:permStart w:id="82"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2"/>
      <w:r>
        <w:rPr>
          <w:rFonts w:hint="eastAsia" w:ascii="仿宋_GB2312" w:hAnsi="仿宋_GB2312" w:eastAsia="仿宋_GB2312" w:cs="仿宋_GB2312"/>
          <w:color w:val="000000" w:themeColor="text1"/>
          <w:sz w:val="24"/>
          <w:szCs w:val="24"/>
          <w:highlight w:val="none"/>
          <w14:textFill>
            <w14:solidFill>
              <w14:schemeClr w14:val="tx1"/>
            </w14:solidFill>
          </w14:textFill>
        </w:rPr>
        <w:t>（身份证号：</w:t>
      </w:r>
      <w:permStart w:id="83"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End w:id="83"/>
      <w:r>
        <w:rPr>
          <w:rFonts w:hint="eastAsia" w:ascii="仿宋_GB2312" w:hAnsi="仿宋_GB2312" w:eastAsia="仿宋_GB2312" w:cs="仿宋_GB2312"/>
          <w:color w:val="000000" w:themeColor="text1"/>
          <w:sz w:val="24"/>
          <w:szCs w:val="24"/>
          <w:highlight w:val="none"/>
          <w14:textFill>
            <w14:solidFill>
              <w14:schemeClr w14:val="tx1"/>
            </w14:solidFill>
          </w14:textFill>
        </w:rPr>
        <w:t>）为我公司合法的代理人。以本公司的名义负责</w:t>
      </w:r>
      <w:permStart w:id="84"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国道G515新改建2标</w:t>
      </w:r>
      <w:permEnd w:id="84"/>
      <w:r>
        <w:rPr>
          <w:rFonts w:hint="eastAsia" w:ascii="仿宋_GB2312" w:hAnsi="仿宋_GB2312" w:eastAsia="仿宋_GB2312" w:cs="仿宋_GB2312"/>
          <w:color w:val="000000" w:themeColor="text1"/>
          <w:sz w:val="24"/>
          <w:szCs w:val="24"/>
          <w:highlight w:val="none"/>
          <w14:textFill>
            <w14:solidFill>
              <w14:schemeClr w14:val="tx1"/>
            </w14:solidFill>
          </w14:textFill>
        </w:rPr>
        <w:t>项目招投标、合同签署及合同履行等事宜。</w:t>
      </w:r>
    </w:p>
    <w:p w14:paraId="2D4D881B">
      <w:pPr>
        <w:autoSpaceDE w:val="0"/>
        <w:autoSpaceDN w:val="0"/>
        <w:adjustRightInd w:val="0"/>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代理人在合同履行过程中所签署的一切文件和处理与之有关的一切事务，包括但不限于签署往来函件、签署会议纪要、货物供应、结算办理、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货</w:t>
      </w:r>
      <w:r>
        <w:rPr>
          <w:rFonts w:hint="eastAsia" w:ascii="仿宋_GB2312" w:hAnsi="仿宋_GB2312" w:eastAsia="仿宋_GB2312" w:cs="仿宋_GB2312"/>
          <w:color w:val="000000" w:themeColor="text1"/>
          <w:sz w:val="24"/>
          <w:szCs w:val="24"/>
          <w:highlight w:val="none"/>
          <w14:textFill>
            <w14:solidFill>
              <w14:schemeClr w14:val="tx1"/>
            </w14:solidFill>
          </w14:textFill>
        </w:rPr>
        <w:t>款的收取、发票开具等均具有法律效力，授权人均予以认可。</w:t>
      </w:r>
    </w:p>
    <w:p w14:paraId="760E9B40">
      <w:pPr>
        <w:keepNext/>
        <w:keepLines/>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本授权委托的期限为自</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permStart w:id="85"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ermEnd w:id="85"/>
      <w:r>
        <w:rPr>
          <w:rFonts w:hint="eastAsia" w:ascii="仿宋_GB2312" w:hAnsi="仿宋_GB2312" w:eastAsia="仿宋_GB2312" w:cs="仿宋_GB2312"/>
          <w:color w:val="000000" w:themeColor="text1"/>
          <w:sz w:val="24"/>
          <w:szCs w:val="24"/>
          <w:highlight w:val="none"/>
          <w14:textFill>
            <w14:solidFill>
              <w14:schemeClr w14:val="tx1"/>
            </w14:solidFill>
          </w14:textFill>
        </w:rPr>
        <w:t>至</w:t>
      </w:r>
      <w:permStart w:id="86" w:edGrp="everyone"/>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ermEnd w:id="86"/>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4671EA8E">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代理人无转委托权。</w:t>
      </w:r>
    </w:p>
    <w:p w14:paraId="03A9535C">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特此授权。</w:t>
      </w:r>
    </w:p>
    <w:p w14:paraId="7FE54206">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委托单位全称（公章）：          </w:t>
      </w:r>
    </w:p>
    <w:p w14:paraId="4C7AB65E">
      <w:pPr>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法定代表人：</w:t>
      </w:r>
    </w:p>
    <w:p w14:paraId="1EB3CDF1">
      <w:pPr>
        <w:spacing w:line="400" w:lineRule="exact"/>
        <w:ind w:firstLine="480" w:firstLineChars="200"/>
        <w:jc w:val="right"/>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日     </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p>
    <w:p w14:paraId="3813492C">
      <w:pPr>
        <w:spacing w:before="120" w:beforeLines="50" w:after="120" w:afterLines="50" w:line="400" w:lineRule="exact"/>
        <w:ind w:firstLine="482"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代理人声明</w:t>
      </w:r>
      <w:r>
        <w:rPr>
          <w:rFonts w:hint="eastAsia" w:ascii="仿宋_GB2312" w:hAnsi="仿宋_GB2312" w:eastAsia="仿宋_GB2312" w:cs="仿宋_GB2312"/>
          <w:color w:val="000000" w:themeColor="text1"/>
          <w:sz w:val="24"/>
          <w:szCs w:val="24"/>
          <w:highlight w:val="none"/>
          <w14:textFill>
            <w14:solidFill>
              <w14:schemeClr w14:val="tx1"/>
            </w14:solidFill>
          </w14:textFill>
        </w:rPr>
        <w:t>：我对以上授权委托事项完全接受，自愿履行。</w:t>
      </w:r>
    </w:p>
    <w:p w14:paraId="7C9FCB9A">
      <w:pPr>
        <w:spacing w:line="400" w:lineRule="exact"/>
        <w:ind w:firstLine="480" w:firstLineChars="200"/>
        <w:jc w:val="center"/>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代理人（本人签字）：</w:t>
      </w:r>
    </w:p>
    <w:p w14:paraId="3D365C79">
      <w:pPr>
        <w:spacing w:line="400" w:lineRule="exact"/>
        <w:ind w:firstLine="480" w:firstLineChars="200"/>
        <w:jc w:val="righ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年</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月</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日</w:t>
      </w:r>
    </w:p>
    <w:tbl>
      <w:tblPr>
        <w:tblStyle w:val="12"/>
        <w:tblpPr w:leftFromText="180" w:rightFromText="180" w:vertAnchor="text" w:horzAnchor="page" w:tblpX="1551" w:tblpY="508"/>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0"/>
        <w:gridCol w:w="4560"/>
      </w:tblGrid>
      <w:tr w14:paraId="630F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4470" w:type="dxa"/>
            <w:tcBorders>
              <w:right w:val="single" w:color="000000" w:sz="4" w:space="0"/>
            </w:tcBorders>
            <w:vAlign w:val="center"/>
          </w:tcPr>
          <w:p w14:paraId="4509FB5B">
            <w:pPr>
              <w:autoSpaceDE w:val="0"/>
              <w:autoSpaceDN w:val="0"/>
              <w:adjustRightInd w:val="0"/>
              <w:spacing w:line="400" w:lineRule="exact"/>
              <w:jc w:val="center"/>
              <w:rPr>
                <w:rFonts w:ascii="仿宋_GB2312" w:hAnsi="仿宋_GB2312" w:eastAsia="仿宋_GB2312" w:cs="仿宋_GB2312"/>
                <w:color w:val="000000" w:themeColor="text1"/>
                <w:sz w:val="24"/>
                <w:szCs w:val="24"/>
                <w:highlight w:val="none"/>
                <w14:textFill>
                  <w14:solidFill>
                    <w14:schemeClr w14:val="tx1"/>
                  </w14:solidFill>
                </w14:textFill>
              </w:rPr>
            </w:pPr>
            <w:permStart w:id="87" w:edGrp="everyone"/>
          </w:p>
        </w:tc>
        <w:tc>
          <w:tcPr>
            <w:tcW w:w="4560" w:type="dxa"/>
            <w:tcBorders>
              <w:left w:val="single" w:color="000000" w:sz="4" w:space="0"/>
            </w:tcBorders>
            <w:vAlign w:val="center"/>
          </w:tcPr>
          <w:p w14:paraId="402D6DDE">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p>
        </w:tc>
      </w:tr>
      <w:permEnd w:id="87"/>
    </w:tbl>
    <w:p w14:paraId="0E5A2716">
      <w:pPr>
        <w:spacing w:line="400" w:lineRule="exact"/>
        <w:ind w:firstLine="482" w:firstLineChars="200"/>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u w:val="dash"/>
          <w14:textFill>
            <w14:solidFill>
              <w14:schemeClr w14:val="tx1"/>
            </w14:solidFill>
          </w14:textFill>
        </w:rPr>
        <w:t>代理人身份证复印件粘贴处</w:t>
      </w:r>
      <w:r>
        <w:rPr>
          <w:rFonts w:hint="eastAsia" w:ascii="仿宋_GB2312" w:hAnsi="仿宋_GB2312" w:eastAsia="仿宋_GB2312" w:cs="仿宋_GB2312"/>
          <w:b/>
          <w:color w:val="000000" w:themeColor="text1"/>
          <w:sz w:val="24"/>
          <w:szCs w:val="24"/>
          <w:highlight w:val="none"/>
          <w14:textFill>
            <w14:solidFill>
              <w14:schemeClr w14:val="tx1"/>
            </w14:solidFill>
          </w14:textFill>
        </w:rPr>
        <w:t>：</w:t>
      </w:r>
    </w:p>
    <w:tbl>
      <w:tblPr>
        <w:tblStyle w:val="12"/>
        <w:tblpPr w:leftFromText="180" w:rightFromText="180" w:vertAnchor="text" w:horzAnchor="page" w:tblpX="1551" w:tblpY="3249"/>
        <w:tblOverlap w:val="never"/>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5"/>
        <w:gridCol w:w="4530"/>
      </w:tblGrid>
      <w:tr w14:paraId="6188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4485" w:type="dxa"/>
            <w:tcBorders>
              <w:right w:val="single" w:color="000000" w:sz="4" w:space="0"/>
            </w:tcBorders>
            <w:vAlign w:val="center"/>
          </w:tcPr>
          <w:p w14:paraId="7F561FDD">
            <w:pPr>
              <w:autoSpaceDE w:val="0"/>
              <w:autoSpaceDN w:val="0"/>
              <w:adjustRightInd w:val="0"/>
              <w:spacing w:line="400" w:lineRule="exact"/>
              <w:jc w:val="center"/>
              <w:rPr>
                <w:rFonts w:ascii="仿宋_GB2312" w:hAnsi="仿宋_GB2312" w:eastAsia="仿宋_GB2312" w:cs="仿宋_GB2312"/>
                <w:color w:val="000000" w:themeColor="text1"/>
                <w:sz w:val="24"/>
                <w:szCs w:val="24"/>
                <w:highlight w:val="none"/>
                <w14:textFill>
                  <w14:solidFill>
                    <w14:schemeClr w14:val="tx1"/>
                  </w14:solidFill>
                </w14:textFill>
              </w:rPr>
            </w:pPr>
            <w:permStart w:id="88" w:edGrp="everyone"/>
          </w:p>
        </w:tc>
        <w:tc>
          <w:tcPr>
            <w:tcW w:w="4530" w:type="dxa"/>
            <w:tcBorders>
              <w:left w:val="single" w:color="000000" w:sz="4" w:space="0"/>
            </w:tcBorders>
            <w:vAlign w:val="center"/>
          </w:tcPr>
          <w:p w14:paraId="18D2DE64">
            <w:pPr>
              <w:autoSpaceDE w:val="0"/>
              <w:autoSpaceDN w:val="0"/>
              <w:adjustRightInd w:val="0"/>
              <w:spacing w:line="400" w:lineRule="exact"/>
              <w:rPr>
                <w:rFonts w:ascii="仿宋_GB2312" w:hAnsi="仿宋_GB2312" w:eastAsia="仿宋_GB2312" w:cs="仿宋_GB2312"/>
                <w:color w:val="000000" w:themeColor="text1"/>
                <w:sz w:val="24"/>
                <w:szCs w:val="24"/>
                <w:highlight w:val="none"/>
                <w:lang w:val="zh-CN"/>
                <w14:textFill>
                  <w14:solidFill>
                    <w14:schemeClr w14:val="tx1"/>
                  </w14:solidFill>
                </w14:textFill>
              </w:rPr>
            </w:pPr>
          </w:p>
        </w:tc>
      </w:tr>
      <w:permEnd w:id="88"/>
    </w:tbl>
    <w:p w14:paraId="3D1778AA">
      <w:pPr>
        <w:spacing w:line="400" w:lineRule="exact"/>
        <w:ind w:firstLine="482" w:firstLineChars="200"/>
        <w:rPr>
          <w:rFonts w:ascii="仿宋_GB2312" w:hAnsi="仿宋_GB2312" w:eastAsia="仿宋_GB2312" w:cs="仿宋_GB2312"/>
          <w:b/>
          <w:color w:val="000000" w:themeColor="text1"/>
          <w:sz w:val="24"/>
          <w:szCs w:val="24"/>
          <w:highlight w:val="none"/>
          <w:u w:val="dash"/>
          <w14:textFill>
            <w14:solidFill>
              <w14:schemeClr w14:val="tx1"/>
            </w14:solidFill>
          </w14:textFill>
        </w:rPr>
      </w:pPr>
      <w:r>
        <w:rPr>
          <w:rFonts w:hint="eastAsia" w:ascii="仿宋_GB2312" w:hAnsi="仿宋_GB2312" w:eastAsia="仿宋_GB2312" w:cs="仿宋_GB2312"/>
          <w:b/>
          <w:color w:val="000000" w:themeColor="text1"/>
          <w:sz w:val="24"/>
          <w:szCs w:val="24"/>
          <w:highlight w:val="none"/>
          <w:u w:val="dash"/>
          <w14:textFill>
            <w14:solidFill>
              <w14:schemeClr w14:val="tx1"/>
            </w14:solidFill>
          </w14:textFill>
        </w:rPr>
        <w:t>法定代表人身份证复印件粘贴处：</w:t>
      </w:r>
    </w:p>
    <w:p w14:paraId="5DC1D570">
      <w:pPr>
        <w:pStyle w:val="14"/>
        <w:spacing w:line="400" w:lineRule="exact"/>
        <w:ind w:firstLine="480" w:firstLineChars="200"/>
        <w:rPr>
          <w:rFonts w:ascii="仿宋_GB2312" w:hAnsi="仿宋_GB2312" w:eastAsia="仿宋_GB2312" w:cs="仿宋_GB2312"/>
          <w:color w:val="000000" w:themeColor="text1"/>
          <w:highlight w:val="none"/>
          <w14:textFill>
            <w14:solidFill>
              <w14:schemeClr w14:val="tx1"/>
            </w14:solidFill>
          </w14:textFill>
        </w:rPr>
        <w:sectPr>
          <w:pgSz w:w="11906" w:h="16838"/>
          <w:pgMar w:top="1440" w:right="1800" w:bottom="1440" w:left="1800" w:header="0" w:footer="975" w:gutter="0"/>
          <w:cols w:space="0" w:num="1"/>
          <w:docGrid w:linePitch="312" w:charSpace="0"/>
        </w:sectPr>
      </w:pPr>
    </w:p>
    <w:p w14:paraId="0A27E6EC">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bookmarkStart w:id="72" w:name="_Toc21254"/>
      <w:bookmarkStart w:id="73" w:name="_Toc4519"/>
      <w:bookmarkStart w:id="74" w:name="_Toc16973"/>
      <w:r>
        <w:rPr>
          <w:rFonts w:hint="eastAsia" w:ascii="仿宋_GB2312" w:hAnsi="仿宋_GB2312" w:eastAsia="仿宋_GB2312" w:cs="仿宋_GB2312"/>
          <w:color w:val="000000" w:themeColor="text1"/>
          <w:sz w:val="30"/>
          <w:szCs w:val="30"/>
          <w:highlight w:val="none"/>
          <w14:textFill>
            <w14:solidFill>
              <w14:schemeClr w14:val="tx1"/>
            </w14:solidFill>
          </w14:textFill>
        </w:rPr>
        <w:t>附件二：</w:t>
      </w:r>
      <w:bookmarkEnd w:id="72"/>
      <w:bookmarkEnd w:id="73"/>
      <w:bookmarkEnd w:id="74"/>
    </w:p>
    <w:p w14:paraId="3A4FA244">
      <w:pPr>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r>
        <w:rPr>
          <w:rFonts w:hint="eastAsia" w:ascii="仿宋_GB2312" w:hAnsi="仿宋_GB2312" w:eastAsia="仿宋_GB2312" w:cs="仿宋_GB2312"/>
          <w:b/>
          <w:bCs/>
          <w:color w:val="000000" w:themeColor="text1"/>
          <w:sz w:val="30"/>
          <w:szCs w:val="30"/>
          <w:highlight w:val="none"/>
          <w14:textFill>
            <w14:solidFill>
              <w14:schemeClr w14:val="tx1"/>
            </w14:solidFill>
          </w14:textFill>
        </w:rPr>
        <w:t>项目部合规权限告知书</w:t>
      </w:r>
    </w:p>
    <w:p w14:paraId="649FAF19">
      <w:pPr>
        <w:autoSpaceDE w:val="0"/>
        <w:autoSpaceDN w:val="0"/>
        <w:adjustRightInd w:val="0"/>
        <w:spacing w:before="240" w:beforeLines="100"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致：</w:t>
      </w:r>
      <w:permStart w:id="89" w:edGrp="everyone"/>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permEnd w:id="89"/>
      <w:r>
        <w:rPr>
          <w:rFonts w:hint="eastAsia" w:ascii="仿宋_GB2312" w:hAnsi="仿宋_GB2312" w:eastAsia="仿宋_GB2312" w:cs="仿宋_GB2312"/>
          <w:color w:val="000000" w:themeColor="text1"/>
          <w:sz w:val="24"/>
          <w:szCs w:val="24"/>
          <w14:textFill>
            <w14:solidFill>
              <w14:schemeClr w14:val="tx1"/>
            </w14:solidFill>
          </w14:textFill>
        </w:rPr>
        <w:t>（乙方全称）</w:t>
      </w:r>
    </w:p>
    <w:p w14:paraId="5D0D3F7A">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single"/>
          <w14:textFill>
            <w14:solidFill>
              <w14:schemeClr w14:val="tx1"/>
            </w14:solidFill>
          </w14:textFill>
        </w:rPr>
        <w:t xml:space="preserve"> </w:t>
      </w:r>
      <w:permStart w:id="90" w:edGrp="everyone"/>
      <w:bookmarkStart w:id="75" w:name="_Hlk126830603"/>
      <w:r>
        <w:rPr>
          <w:rFonts w:hint="eastAsia" w:ascii="仿宋_GB2312" w:hAnsi="仿宋_GB2312" w:eastAsia="仿宋_GB2312" w:cs="仿宋_GB2312"/>
          <w:color w:val="000000" w:themeColor="text1"/>
          <w:sz w:val="24"/>
          <w:szCs w:val="24"/>
          <w:u w:val="single"/>
          <w14:textFill>
            <w14:solidFill>
              <w14:schemeClr w14:val="tx1"/>
            </w14:solidFill>
          </w14:textFill>
        </w:rPr>
        <w:t>中建路桥集团有限公司</w:t>
      </w:r>
      <w:bookmarkEnd w:id="75"/>
      <w:permEnd w:id="90"/>
      <w:r>
        <w:rPr>
          <w:rFonts w:hint="eastAsia" w:ascii="仿宋_GB2312" w:hAnsi="仿宋_GB2312" w:eastAsia="仿宋_GB2312" w:cs="仿宋_GB2312"/>
          <w:color w:val="000000" w:themeColor="text1"/>
          <w:sz w:val="24"/>
          <w:szCs w:val="24"/>
          <w:lang w:val="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采购方</w:t>
      </w:r>
      <w:r>
        <w:rPr>
          <w:rFonts w:hint="eastAsia" w:ascii="仿宋_GB2312" w:hAnsi="仿宋_GB2312" w:eastAsia="仿宋_GB2312" w:cs="仿宋_GB2312"/>
          <w:color w:val="000000" w:themeColor="text1"/>
          <w:sz w:val="24"/>
          <w:szCs w:val="24"/>
          <w:lang w:val="zh-CN"/>
          <w14:textFill>
            <w14:solidFill>
              <w14:schemeClr w14:val="tx1"/>
            </w14:solidFill>
          </w14:textFill>
        </w:rPr>
        <w:t>全称，以下简称本公司），系依法成立并有效存续的公司。现向本公司</w:t>
      </w:r>
      <w:permStart w:id="91"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国道G515新改建2标</w:t>
      </w:r>
      <w:permEnd w:id="91"/>
      <w:r>
        <w:rPr>
          <w:rFonts w:hint="eastAsia" w:ascii="仿宋_GB2312" w:hAnsi="仿宋_GB2312" w:eastAsia="仿宋_GB2312" w:cs="仿宋_GB2312"/>
          <w:color w:val="000000" w:themeColor="text1"/>
          <w:sz w:val="24"/>
          <w:szCs w:val="24"/>
          <w:lang w:val="zh-CN"/>
          <w14:textFill>
            <w14:solidFill>
              <w14:schemeClr w14:val="tx1"/>
            </w14:solidFill>
          </w14:textFill>
        </w:rPr>
        <w:t>项目部(以下简称项目部)签发项目部合规权限告知书（以下简称本</w:t>
      </w:r>
      <w:r>
        <w:rPr>
          <w:rFonts w:hint="eastAsia" w:ascii="仿宋_GB2312" w:hAnsi="仿宋_GB2312" w:eastAsia="仿宋_GB2312" w:cs="仿宋_GB2312"/>
          <w:color w:val="000000" w:themeColor="text1"/>
          <w:sz w:val="24"/>
          <w:szCs w:val="24"/>
          <w14:textFill>
            <w14:solidFill>
              <w14:schemeClr w14:val="tx1"/>
            </w14:solidFill>
          </w14:textFill>
        </w:rPr>
        <w:t>告知</w:t>
      </w:r>
      <w:r>
        <w:rPr>
          <w:rFonts w:hint="eastAsia" w:ascii="仿宋_GB2312" w:hAnsi="仿宋_GB2312" w:eastAsia="仿宋_GB2312" w:cs="仿宋_GB2312"/>
          <w:color w:val="000000" w:themeColor="text1"/>
          <w:sz w:val="24"/>
          <w:szCs w:val="24"/>
          <w:lang w:val="zh-CN"/>
          <w14:textFill>
            <w14:solidFill>
              <w14:schemeClr w14:val="tx1"/>
            </w14:solidFill>
          </w14:textFill>
        </w:rPr>
        <w:t>书），项目经理</w:t>
      </w:r>
      <w:permStart w:id="92" w:edGrp="everyone"/>
      <w:r>
        <w:rPr>
          <w:rFonts w:hint="eastAsia" w:ascii="仿宋_GB2312" w:hAnsi="仿宋_GB2312" w:eastAsia="仿宋_GB2312" w:cs="仿宋_GB2312"/>
          <w:color w:val="000000" w:themeColor="text1"/>
          <w:sz w:val="24"/>
          <w:szCs w:val="24"/>
          <w:highlight w:val="none"/>
          <w:u w:val="single"/>
          <w:lang w:val="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执行</w:t>
      </w:r>
      <w:r>
        <w:rPr>
          <w:rFonts w:hint="eastAsia" w:ascii="仿宋_GB2312" w:hAnsi="仿宋_GB2312" w:eastAsia="仿宋_GB2312" w:cs="仿宋_GB2312"/>
          <w:color w:val="000000" w:themeColor="text1"/>
          <w:sz w:val="24"/>
          <w:szCs w:val="24"/>
          <w:highlight w:val="none"/>
          <w:u w:val="single"/>
          <w:lang w:val="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李海波</w:t>
      </w:r>
      <w:permEnd w:id="92"/>
      <w:r>
        <w:rPr>
          <w:rFonts w:hint="eastAsia" w:ascii="仿宋_GB2312" w:hAnsi="仿宋_GB2312" w:eastAsia="仿宋_GB2312" w:cs="仿宋_GB2312"/>
          <w:color w:val="000000" w:themeColor="text1"/>
          <w:sz w:val="24"/>
          <w:szCs w:val="24"/>
          <w14:textFill>
            <w14:solidFill>
              <w14:schemeClr w14:val="tx1"/>
            </w14:solidFill>
          </w14:textFill>
        </w:rPr>
        <w:t>（身份证号：</w:t>
      </w:r>
      <w:permStart w:id="93" w:edGrp="everyone"/>
      <w:r>
        <w:rPr>
          <w:rFonts w:hint="default" w:ascii="Times New Roman" w:hAnsi="Times New Roman" w:cs="Times New Roman"/>
          <w:color w:val="000000"/>
          <w:sz w:val="21"/>
          <w:szCs w:val="21"/>
          <w:u w:val="single"/>
          <w:lang w:val="en-US" w:eastAsia="zh-CN"/>
        </w:rPr>
        <w:t>130104198303152439</w:t>
      </w:r>
      <w:permEnd w:id="93"/>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val="zh-CN"/>
          <w14:textFill>
            <w14:solidFill>
              <w14:schemeClr w14:val="tx1"/>
            </w14:solidFill>
          </w14:textFill>
        </w:rPr>
        <w:t xml:space="preserve">代表本公司行使权限。 </w:t>
      </w:r>
    </w:p>
    <w:p w14:paraId="60490CA7">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一、</w:t>
      </w:r>
      <w:r>
        <w:rPr>
          <w:rFonts w:hint="eastAsia" w:ascii="仿宋_GB2312" w:hAnsi="仿宋_GB2312" w:eastAsia="仿宋_GB2312" w:cs="仿宋_GB2312"/>
          <w:color w:val="000000" w:themeColor="text1"/>
          <w:sz w:val="24"/>
          <w:szCs w:val="24"/>
          <w:lang w:val="zh-CN"/>
          <w14:textFill>
            <w14:solidFill>
              <w14:schemeClr w14:val="tx1"/>
            </w14:solidFill>
          </w14:textFill>
        </w:rPr>
        <w:t>项目部须严格按合同约定行使权利，履行义务。本授权书规定与合同约定相冲突的，以合同约定为准。</w:t>
      </w:r>
    </w:p>
    <w:p w14:paraId="6D773AA2">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二、项目部行使权限，须由项目经理签字并加盖项目部公章，否则本公司不予认可，亦不承担任何责任。</w:t>
      </w:r>
    </w:p>
    <w:p w14:paraId="12113C22">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三、项目经理</w:t>
      </w:r>
      <w:r>
        <w:rPr>
          <w:rFonts w:hint="eastAsia" w:ascii="仿宋_GB2312" w:hAnsi="仿宋_GB2312" w:eastAsia="仿宋_GB2312" w:cs="仿宋_GB2312"/>
          <w:color w:val="000000" w:themeColor="text1"/>
          <w:sz w:val="24"/>
          <w:szCs w:val="24"/>
          <w14:textFill>
            <w14:solidFill>
              <w14:schemeClr w14:val="tx1"/>
            </w14:solidFill>
          </w14:textFill>
        </w:rPr>
        <w:t>不</w:t>
      </w:r>
      <w:r>
        <w:rPr>
          <w:rFonts w:hint="eastAsia" w:ascii="仿宋_GB2312" w:hAnsi="仿宋_GB2312" w:eastAsia="仿宋_GB2312" w:cs="仿宋_GB2312"/>
          <w:color w:val="000000" w:themeColor="text1"/>
          <w:sz w:val="24"/>
          <w:szCs w:val="24"/>
          <w:lang w:val="zh-CN"/>
          <w14:textFill>
            <w14:solidFill>
              <w14:schemeClr w14:val="tx1"/>
            </w14:solidFill>
          </w14:textFill>
        </w:rPr>
        <w:t>可将其部分权限以书面形式转授权项目部其他人员，项目部任何内设机构及项目经理</w:t>
      </w:r>
      <w:r>
        <w:rPr>
          <w:rFonts w:hint="eastAsia" w:ascii="仿宋_GB2312" w:hAnsi="仿宋_GB2312" w:eastAsia="仿宋_GB2312" w:cs="仿宋_GB2312"/>
          <w:color w:val="000000" w:themeColor="text1"/>
          <w:sz w:val="24"/>
          <w:szCs w:val="24"/>
          <w14:textFill>
            <w14:solidFill>
              <w14:schemeClr w14:val="tx1"/>
            </w14:solidFill>
          </w14:textFill>
        </w:rPr>
        <w:t>擅自</w:t>
      </w:r>
      <w:r>
        <w:rPr>
          <w:rFonts w:hint="eastAsia" w:ascii="仿宋_GB2312" w:hAnsi="仿宋_GB2312" w:eastAsia="仿宋_GB2312" w:cs="仿宋_GB2312"/>
          <w:color w:val="000000" w:themeColor="text1"/>
          <w:sz w:val="24"/>
          <w:szCs w:val="24"/>
          <w:lang w:val="zh-CN"/>
          <w14:textFill>
            <w14:solidFill>
              <w14:schemeClr w14:val="tx1"/>
            </w14:solidFill>
          </w14:textFill>
        </w:rPr>
        <w:t>转授权人员以任何形式签字、盖章本公司均不予认可，亦不承担任何责任。</w:t>
      </w:r>
    </w:p>
    <w:p w14:paraId="3A3CB1C1">
      <w:pPr>
        <w:autoSpaceDE w:val="0"/>
        <w:autoSpaceDN w:val="0"/>
        <w:adjustRightInd w:val="0"/>
        <w:spacing w:line="400" w:lineRule="exact"/>
        <w:ind w:firstLine="480" w:firstLineChars="200"/>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四、项目所有合同、协议等具有权利义务性质的文件均需加盖合同专用章，否则本公司不予认可，亦不承担任何责任。</w:t>
      </w:r>
    </w:p>
    <w:p w14:paraId="457C04F1">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五、凡涉及项目经济性事项，项目部须严格在本授权书规定的权限范围内行使，否则，即使经项目部加盖公章、项目经理签字，本公司亦不予认可，不承担任何责任。</w:t>
      </w:r>
    </w:p>
    <w:p w14:paraId="41D6647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1.项目部有权审批如下事项：</w:t>
      </w:r>
    </w:p>
    <w:tbl>
      <w:tblPr>
        <w:tblStyle w:val="12"/>
        <w:tblpPr w:leftFromText="180" w:rightFromText="180" w:vertAnchor="text" w:horzAnchor="margin" w:tblpXSpec="center" w:tblpY="87"/>
        <w:tblOverlap w:val="never"/>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209"/>
        <w:gridCol w:w="1974"/>
        <w:gridCol w:w="5117"/>
      </w:tblGrid>
      <w:tr w14:paraId="24F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23" w:type="dxa"/>
            <w:vAlign w:val="center"/>
          </w:tcPr>
          <w:p w14:paraId="58DA38E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序号</w:t>
            </w:r>
          </w:p>
        </w:tc>
        <w:tc>
          <w:tcPr>
            <w:tcW w:w="1209" w:type="dxa"/>
            <w:vAlign w:val="center"/>
          </w:tcPr>
          <w:p w14:paraId="46C5A47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板块</w:t>
            </w:r>
          </w:p>
        </w:tc>
        <w:tc>
          <w:tcPr>
            <w:tcW w:w="1974" w:type="dxa"/>
            <w:vAlign w:val="center"/>
          </w:tcPr>
          <w:p w14:paraId="2742A1E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授权事项</w:t>
            </w:r>
          </w:p>
        </w:tc>
        <w:tc>
          <w:tcPr>
            <w:tcW w:w="5117" w:type="dxa"/>
            <w:vAlign w:val="center"/>
          </w:tcPr>
          <w:p w14:paraId="4249D16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授权权限</w:t>
            </w:r>
          </w:p>
        </w:tc>
      </w:tr>
      <w:tr w14:paraId="0E71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1083B6C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w:t>
            </w:r>
          </w:p>
        </w:tc>
        <w:tc>
          <w:tcPr>
            <w:tcW w:w="1209" w:type="dxa"/>
            <w:vMerge w:val="restart"/>
            <w:vAlign w:val="center"/>
          </w:tcPr>
          <w:p w14:paraId="2808B3A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总包管理</w:t>
            </w:r>
          </w:p>
        </w:tc>
        <w:tc>
          <w:tcPr>
            <w:tcW w:w="1974" w:type="dxa"/>
            <w:vAlign w:val="center"/>
          </w:tcPr>
          <w:p w14:paraId="70E218E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申请开工</w:t>
            </w:r>
          </w:p>
        </w:tc>
        <w:tc>
          <w:tcPr>
            <w:tcW w:w="5117" w:type="dxa"/>
            <w:vAlign w:val="center"/>
          </w:tcPr>
          <w:p w14:paraId="2CE2A8C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有权向建设单位申请开工。</w:t>
            </w:r>
          </w:p>
        </w:tc>
      </w:tr>
      <w:tr w14:paraId="4536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2AA80B5C">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p>
        </w:tc>
        <w:tc>
          <w:tcPr>
            <w:tcW w:w="1209" w:type="dxa"/>
            <w:vMerge w:val="continue"/>
            <w:vAlign w:val="center"/>
          </w:tcPr>
          <w:p w14:paraId="0BC885A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26BBA76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施工方案、施工组织设计</w:t>
            </w:r>
          </w:p>
        </w:tc>
        <w:tc>
          <w:tcPr>
            <w:tcW w:w="5117" w:type="dxa"/>
            <w:vAlign w:val="center"/>
          </w:tcPr>
          <w:p w14:paraId="08126840">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施工方案、施工组织设计、技术措施的编制、交底、实施和落实。</w:t>
            </w:r>
          </w:p>
        </w:tc>
      </w:tr>
      <w:tr w14:paraId="4BCD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46485D71">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p>
        </w:tc>
        <w:tc>
          <w:tcPr>
            <w:tcW w:w="1209" w:type="dxa"/>
            <w:vMerge w:val="continue"/>
            <w:vAlign w:val="center"/>
          </w:tcPr>
          <w:p w14:paraId="61358AC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5E1995C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报送工程进度</w:t>
            </w:r>
          </w:p>
        </w:tc>
        <w:tc>
          <w:tcPr>
            <w:tcW w:w="5117" w:type="dxa"/>
            <w:vAlign w:val="center"/>
          </w:tcPr>
          <w:p w14:paraId="16942148">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对外报送工程进度计划及调整。</w:t>
            </w:r>
          </w:p>
        </w:tc>
      </w:tr>
      <w:tr w14:paraId="0D9E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239339C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4</w:t>
            </w:r>
          </w:p>
        </w:tc>
        <w:tc>
          <w:tcPr>
            <w:tcW w:w="1209" w:type="dxa"/>
            <w:vMerge w:val="continue"/>
            <w:vAlign w:val="center"/>
          </w:tcPr>
          <w:p w14:paraId="621CA0F8">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F5838D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物资需用计划</w:t>
            </w:r>
          </w:p>
        </w:tc>
        <w:tc>
          <w:tcPr>
            <w:tcW w:w="5117" w:type="dxa"/>
            <w:vAlign w:val="center"/>
          </w:tcPr>
          <w:p w14:paraId="7689556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有权向建设单位报送物资需用计划（适用于工程所需材料由建设单位提供）。</w:t>
            </w:r>
          </w:p>
        </w:tc>
      </w:tr>
      <w:tr w14:paraId="5ADE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1923EFC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5</w:t>
            </w:r>
          </w:p>
        </w:tc>
        <w:tc>
          <w:tcPr>
            <w:tcW w:w="1209" w:type="dxa"/>
            <w:vMerge w:val="continue"/>
            <w:vAlign w:val="center"/>
          </w:tcPr>
          <w:p w14:paraId="12B2CF88">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0D0624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甲供材过程及质量问题反馈</w:t>
            </w:r>
          </w:p>
        </w:tc>
        <w:tc>
          <w:tcPr>
            <w:tcW w:w="5117" w:type="dxa"/>
            <w:vAlign w:val="center"/>
          </w:tcPr>
          <w:p w14:paraId="05564D4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有权就建设单位方供应（控制）的物质，供货过程及质量问题，向建设单位发联系函。</w:t>
            </w:r>
          </w:p>
        </w:tc>
      </w:tr>
      <w:tr w14:paraId="4A8F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22A13A2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6</w:t>
            </w:r>
          </w:p>
        </w:tc>
        <w:tc>
          <w:tcPr>
            <w:tcW w:w="1209" w:type="dxa"/>
            <w:vMerge w:val="continue"/>
            <w:vAlign w:val="center"/>
          </w:tcPr>
          <w:p w14:paraId="1E3FE1E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3C918B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废旧物资处理</w:t>
            </w:r>
          </w:p>
        </w:tc>
        <w:tc>
          <w:tcPr>
            <w:tcW w:w="5117" w:type="dxa"/>
            <w:vAlign w:val="center"/>
          </w:tcPr>
          <w:p w14:paraId="24C5926D">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有权按</w:t>
            </w:r>
            <w:r>
              <w:rPr>
                <w:rFonts w:hint="eastAsia" w:ascii="仿宋_GB2312" w:hAnsi="仿宋_GB2312" w:eastAsia="仿宋_GB2312" w:cs="仿宋_GB2312"/>
                <w:b/>
                <w:bCs/>
                <w:color w:val="000000" w:themeColor="text1"/>
                <w:sz w:val="24"/>
                <w:szCs w:val="24"/>
                <w14:textFill>
                  <w14:solidFill>
                    <w14:schemeClr w14:val="tx1"/>
                  </w14:solidFill>
                </w14:textFill>
              </w:rPr>
              <w:t>集团</w:t>
            </w:r>
            <w:r>
              <w:rPr>
                <w:rFonts w:hint="eastAsia" w:ascii="仿宋_GB2312" w:hAnsi="仿宋_GB2312" w:eastAsia="仿宋_GB2312" w:cs="仿宋_GB2312"/>
                <w:b/>
                <w:bCs/>
                <w:color w:val="000000" w:themeColor="text1"/>
                <w:sz w:val="24"/>
                <w:szCs w:val="24"/>
                <w:lang w:val="zh-CN"/>
                <w14:textFill>
                  <w14:solidFill>
                    <w14:schemeClr w14:val="tx1"/>
                  </w14:solidFill>
                </w14:textFill>
              </w:rPr>
              <w:t>、</w:t>
            </w:r>
            <w:r>
              <w:rPr>
                <w:rFonts w:hint="eastAsia" w:ascii="仿宋_GB2312" w:hAnsi="仿宋_GB2312" w:eastAsia="仿宋_GB2312" w:cs="仿宋_GB2312"/>
                <w:b/>
                <w:bCs/>
                <w:color w:val="000000" w:themeColor="text1"/>
                <w:sz w:val="24"/>
                <w:szCs w:val="24"/>
                <w14:textFill>
                  <w14:solidFill>
                    <w14:schemeClr w14:val="tx1"/>
                  </w14:solidFill>
                </w14:textFill>
              </w:rPr>
              <w:t>分子公司</w:t>
            </w:r>
            <w:r>
              <w:rPr>
                <w:rFonts w:hint="eastAsia" w:ascii="仿宋_GB2312" w:hAnsi="仿宋_GB2312" w:eastAsia="仿宋_GB2312" w:cs="仿宋_GB2312"/>
                <w:b/>
                <w:bCs/>
                <w:color w:val="000000" w:themeColor="text1"/>
                <w:sz w:val="24"/>
                <w:szCs w:val="24"/>
                <w:lang w:val="zh-CN"/>
                <w14:textFill>
                  <w14:solidFill>
                    <w14:schemeClr w14:val="tx1"/>
                  </w14:solidFill>
                </w14:textFill>
              </w:rPr>
              <w:t>确定的方案实施处理废旧物资。</w:t>
            </w:r>
          </w:p>
        </w:tc>
      </w:tr>
      <w:tr w14:paraId="45AC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6F2622B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7</w:t>
            </w:r>
          </w:p>
        </w:tc>
        <w:tc>
          <w:tcPr>
            <w:tcW w:w="1209" w:type="dxa"/>
            <w:vMerge w:val="continue"/>
            <w:vAlign w:val="center"/>
          </w:tcPr>
          <w:p w14:paraId="250E1F38">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29D07A4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设计变更、签证、索赔</w:t>
            </w:r>
          </w:p>
        </w:tc>
        <w:tc>
          <w:tcPr>
            <w:tcW w:w="5117" w:type="dxa"/>
            <w:vAlign w:val="center"/>
          </w:tcPr>
          <w:p w14:paraId="3DF045A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有权向建设单位报送设计变更、签证、索赔报价单</w:t>
            </w:r>
          </w:p>
        </w:tc>
      </w:tr>
      <w:tr w14:paraId="44CB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0A7CA6D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8</w:t>
            </w:r>
          </w:p>
        </w:tc>
        <w:tc>
          <w:tcPr>
            <w:tcW w:w="1209" w:type="dxa"/>
            <w:vMerge w:val="continue"/>
            <w:vAlign w:val="center"/>
          </w:tcPr>
          <w:p w14:paraId="6B1A491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6A74061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对外报量书</w:t>
            </w:r>
          </w:p>
        </w:tc>
        <w:tc>
          <w:tcPr>
            <w:tcW w:w="5117" w:type="dxa"/>
            <w:vAlign w:val="center"/>
          </w:tcPr>
          <w:p w14:paraId="001BC7C8">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有权编制对外报量书并报送甲方审核。</w:t>
            </w:r>
          </w:p>
        </w:tc>
      </w:tr>
      <w:tr w14:paraId="73C8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5CACE95D">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9</w:t>
            </w:r>
          </w:p>
        </w:tc>
        <w:tc>
          <w:tcPr>
            <w:tcW w:w="1209" w:type="dxa"/>
            <w:vMerge w:val="continue"/>
            <w:vAlign w:val="center"/>
          </w:tcPr>
          <w:p w14:paraId="708183AD">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33A57D7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付款申请</w:t>
            </w:r>
          </w:p>
        </w:tc>
        <w:tc>
          <w:tcPr>
            <w:tcW w:w="5117" w:type="dxa"/>
            <w:vAlign w:val="center"/>
          </w:tcPr>
          <w:p w14:paraId="6ECAC3D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有权向建设单位提出付款申请。</w:t>
            </w:r>
          </w:p>
        </w:tc>
      </w:tr>
      <w:tr w14:paraId="0403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6654D00D">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10</w:t>
            </w:r>
          </w:p>
        </w:tc>
        <w:tc>
          <w:tcPr>
            <w:tcW w:w="1209" w:type="dxa"/>
            <w:vMerge w:val="continue"/>
            <w:vAlign w:val="center"/>
          </w:tcPr>
          <w:p w14:paraId="5EBE5FD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48704C4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申请工程竣工验收</w:t>
            </w:r>
          </w:p>
        </w:tc>
        <w:tc>
          <w:tcPr>
            <w:tcW w:w="5117" w:type="dxa"/>
            <w:vAlign w:val="center"/>
          </w:tcPr>
          <w:p w14:paraId="172BBD2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有权报监理单位、建设单位组织验收。验收合格的，有权向建设单位提出竣工验收申请。</w:t>
            </w:r>
          </w:p>
        </w:tc>
      </w:tr>
      <w:tr w14:paraId="6FE3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0EA0D48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11</w:t>
            </w:r>
          </w:p>
        </w:tc>
        <w:tc>
          <w:tcPr>
            <w:tcW w:w="1209" w:type="dxa"/>
            <w:vMerge w:val="continue"/>
            <w:vAlign w:val="center"/>
          </w:tcPr>
          <w:p w14:paraId="4B04E63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600191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工程交付</w:t>
            </w:r>
          </w:p>
        </w:tc>
        <w:tc>
          <w:tcPr>
            <w:tcW w:w="5117" w:type="dxa"/>
            <w:vAlign w:val="center"/>
          </w:tcPr>
          <w:p w14:paraId="1CCFEDD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有权组织向建设单位进行交付，办理工程移交单。</w:t>
            </w:r>
          </w:p>
        </w:tc>
      </w:tr>
      <w:tr w14:paraId="47C3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17FE2BE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12</w:t>
            </w:r>
          </w:p>
        </w:tc>
        <w:tc>
          <w:tcPr>
            <w:tcW w:w="1209" w:type="dxa"/>
            <w:vMerge w:val="continue"/>
            <w:vAlign w:val="center"/>
          </w:tcPr>
          <w:p w14:paraId="0CE73E5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E4E9DDE">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撤销保函</w:t>
            </w:r>
          </w:p>
        </w:tc>
        <w:tc>
          <w:tcPr>
            <w:tcW w:w="5117" w:type="dxa"/>
            <w:vAlign w:val="center"/>
          </w:tcPr>
          <w:p w14:paraId="490B0B7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有权办理我公司对外开立的保函撤销相关工作。</w:t>
            </w:r>
          </w:p>
        </w:tc>
      </w:tr>
      <w:tr w14:paraId="2D9F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382223E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13</w:t>
            </w:r>
          </w:p>
        </w:tc>
        <w:tc>
          <w:tcPr>
            <w:tcW w:w="1209" w:type="dxa"/>
            <w:vMerge w:val="continue"/>
            <w:vAlign w:val="center"/>
          </w:tcPr>
          <w:p w14:paraId="10C87D3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67832BE">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递交结算资料</w:t>
            </w:r>
          </w:p>
        </w:tc>
        <w:tc>
          <w:tcPr>
            <w:tcW w:w="5117" w:type="dxa"/>
            <w:vAlign w:val="center"/>
          </w:tcPr>
          <w:p w14:paraId="7C3F90B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有权向建设单位递交工程结算书及结算资料。</w:t>
            </w:r>
          </w:p>
        </w:tc>
      </w:tr>
      <w:tr w14:paraId="4D66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63A35C7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14</w:t>
            </w:r>
          </w:p>
        </w:tc>
        <w:tc>
          <w:tcPr>
            <w:tcW w:w="1209" w:type="dxa"/>
            <w:vMerge w:val="continue"/>
            <w:vAlign w:val="center"/>
          </w:tcPr>
          <w:p w14:paraId="0D20398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284B84CD">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应收账款对账</w:t>
            </w:r>
          </w:p>
        </w:tc>
        <w:tc>
          <w:tcPr>
            <w:tcW w:w="5117" w:type="dxa"/>
            <w:vAlign w:val="center"/>
          </w:tcPr>
          <w:p w14:paraId="74326C0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有权与建设单位进行对账，将双方应收（付）账款金额核对一致。</w:t>
            </w:r>
          </w:p>
        </w:tc>
      </w:tr>
      <w:tr w14:paraId="3B2D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1CDE22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15</w:t>
            </w:r>
          </w:p>
        </w:tc>
        <w:tc>
          <w:tcPr>
            <w:tcW w:w="1209" w:type="dxa"/>
            <w:vMerge w:val="continue"/>
            <w:vAlign w:val="center"/>
          </w:tcPr>
          <w:p w14:paraId="026943D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B5D458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催款单</w:t>
            </w:r>
          </w:p>
        </w:tc>
        <w:tc>
          <w:tcPr>
            <w:tcW w:w="5117" w:type="dxa"/>
            <w:vAlign w:val="center"/>
          </w:tcPr>
          <w:p w14:paraId="644160D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根据《工程施工合同》有关条款，在存在拖欠工程款时，有权向建设单位发函催收。</w:t>
            </w:r>
          </w:p>
        </w:tc>
      </w:tr>
      <w:tr w14:paraId="5ECE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597B2591">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16</w:t>
            </w:r>
          </w:p>
        </w:tc>
        <w:tc>
          <w:tcPr>
            <w:tcW w:w="1209" w:type="dxa"/>
            <w:vMerge w:val="restart"/>
            <w:vAlign w:val="center"/>
          </w:tcPr>
          <w:p w14:paraId="645D150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分包(供)管理</w:t>
            </w:r>
          </w:p>
        </w:tc>
        <w:tc>
          <w:tcPr>
            <w:tcW w:w="1974" w:type="dxa"/>
            <w:vAlign w:val="center"/>
          </w:tcPr>
          <w:p w14:paraId="61FC6FD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分包（供）合同管理</w:t>
            </w:r>
          </w:p>
        </w:tc>
        <w:tc>
          <w:tcPr>
            <w:tcW w:w="5117" w:type="dxa"/>
            <w:vAlign w:val="center"/>
          </w:tcPr>
          <w:p w14:paraId="2C5BF4E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有权根据</w:t>
            </w:r>
            <w:r>
              <w:rPr>
                <w:rFonts w:hint="eastAsia" w:ascii="仿宋_GB2312" w:hAnsi="仿宋_GB2312" w:eastAsia="仿宋_GB2312" w:cs="仿宋_GB2312"/>
                <w:b/>
                <w:bCs/>
                <w:color w:val="000000" w:themeColor="text1"/>
                <w:sz w:val="24"/>
                <w:szCs w:val="24"/>
                <w14:textFill>
                  <w14:solidFill>
                    <w14:schemeClr w14:val="tx1"/>
                  </w14:solidFill>
                </w14:textFill>
              </w:rPr>
              <w:t>集团</w:t>
            </w:r>
            <w:r>
              <w:rPr>
                <w:rFonts w:hint="eastAsia" w:ascii="仿宋_GB2312" w:hAnsi="仿宋_GB2312" w:eastAsia="仿宋_GB2312" w:cs="仿宋_GB2312"/>
                <w:b/>
                <w:bCs/>
                <w:color w:val="000000" w:themeColor="text1"/>
                <w:sz w:val="24"/>
                <w:szCs w:val="24"/>
                <w:lang w:val="zh-CN"/>
                <w14:textFill>
                  <w14:solidFill>
                    <w14:schemeClr w14:val="tx1"/>
                  </w14:solidFill>
                </w14:textFill>
              </w:rPr>
              <w:t>/</w:t>
            </w:r>
            <w:r>
              <w:rPr>
                <w:rFonts w:hint="eastAsia" w:ascii="仿宋_GB2312" w:hAnsi="仿宋_GB2312" w:eastAsia="仿宋_GB2312" w:cs="仿宋_GB2312"/>
                <w:b/>
                <w:bCs/>
                <w:color w:val="000000" w:themeColor="text1"/>
                <w:sz w:val="24"/>
                <w:szCs w:val="24"/>
                <w14:textFill>
                  <w14:solidFill>
                    <w14:schemeClr w14:val="tx1"/>
                  </w14:solidFill>
                </w14:textFill>
              </w:rPr>
              <w:t>分子公司</w:t>
            </w:r>
            <w:r>
              <w:rPr>
                <w:rFonts w:hint="eastAsia" w:ascii="仿宋_GB2312" w:hAnsi="仿宋_GB2312" w:eastAsia="仿宋_GB2312" w:cs="仿宋_GB2312"/>
                <w:b/>
                <w:bCs/>
                <w:color w:val="000000" w:themeColor="text1"/>
                <w:sz w:val="24"/>
                <w:szCs w:val="24"/>
                <w:lang w:val="zh-CN"/>
                <w14:textFill>
                  <w14:solidFill>
                    <w14:schemeClr w14:val="tx1"/>
                  </w14:solidFill>
                </w14:textFill>
              </w:rPr>
              <w:t>授权范围进行谈判，均需报</w:t>
            </w:r>
            <w:r>
              <w:rPr>
                <w:rFonts w:hint="eastAsia" w:ascii="仿宋_GB2312" w:hAnsi="仿宋_GB2312" w:eastAsia="仿宋_GB2312" w:cs="仿宋_GB2312"/>
                <w:b/>
                <w:bCs/>
                <w:color w:val="000000" w:themeColor="text1"/>
                <w:sz w:val="24"/>
                <w:szCs w:val="24"/>
                <w14:textFill>
                  <w14:solidFill>
                    <w14:schemeClr w14:val="tx1"/>
                  </w14:solidFill>
                </w14:textFill>
              </w:rPr>
              <w:t>集团</w:t>
            </w:r>
            <w:r>
              <w:rPr>
                <w:rFonts w:hint="eastAsia" w:ascii="仿宋_GB2312" w:hAnsi="仿宋_GB2312" w:eastAsia="仿宋_GB2312" w:cs="仿宋_GB2312"/>
                <w:b/>
                <w:bCs/>
                <w:color w:val="000000" w:themeColor="text1"/>
                <w:sz w:val="24"/>
                <w:szCs w:val="24"/>
                <w:lang w:val="zh-CN"/>
                <w14:textFill>
                  <w14:solidFill>
                    <w14:schemeClr w14:val="tx1"/>
                  </w14:solidFill>
                </w14:textFill>
              </w:rPr>
              <w:t>/公司审批签约。</w:t>
            </w:r>
          </w:p>
        </w:tc>
      </w:tr>
      <w:tr w14:paraId="2334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2C0C10D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17</w:t>
            </w:r>
          </w:p>
        </w:tc>
        <w:tc>
          <w:tcPr>
            <w:tcW w:w="1209" w:type="dxa"/>
            <w:vMerge w:val="continue"/>
            <w:vAlign w:val="center"/>
          </w:tcPr>
          <w:p w14:paraId="65EF19D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20BF321C">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合同交底管理</w:t>
            </w:r>
          </w:p>
        </w:tc>
        <w:tc>
          <w:tcPr>
            <w:tcW w:w="5117" w:type="dxa"/>
            <w:vAlign w:val="center"/>
          </w:tcPr>
          <w:p w14:paraId="61F2305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将相关工程洽商记录、施工图纸及会审记录、设计变更通知书或设计变更图发至乙方，并做书面交底。</w:t>
            </w:r>
          </w:p>
        </w:tc>
      </w:tr>
      <w:tr w14:paraId="71C2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2D36BC8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w:t>
            </w:r>
            <w:r>
              <w:rPr>
                <w:rFonts w:hint="eastAsia" w:ascii="仿宋_GB2312" w:hAnsi="仿宋_GB2312" w:eastAsia="仿宋_GB2312" w:cs="仿宋_GB2312"/>
                <w:b/>
                <w:bCs/>
                <w:color w:val="000000" w:themeColor="text1"/>
                <w:sz w:val="24"/>
                <w:szCs w:val="24"/>
                <w14:textFill>
                  <w14:solidFill>
                    <w14:schemeClr w14:val="tx1"/>
                  </w14:solidFill>
                </w14:textFill>
              </w:rPr>
              <w:t>8</w:t>
            </w:r>
          </w:p>
        </w:tc>
        <w:tc>
          <w:tcPr>
            <w:tcW w:w="1209" w:type="dxa"/>
            <w:vMerge w:val="continue"/>
            <w:vAlign w:val="center"/>
          </w:tcPr>
          <w:p w14:paraId="27EBD24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CEDAC1B">
            <w:pPr>
              <w:autoSpaceDE w:val="0"/>
              <w:autoSpaceDN w:val="0"/>
              <w:adjustRightInd w:val="0"/>
              <w:spacing w:line="400" w:lineRule="exact"/>
              <w:jc w:val="left"/>
              <w:rPr>
                <w:rFonts w:hint="eastAsia" w:ascii="仿宋_GB2312" w:hAnsi="仿宋_GB2312" w:eastAsia="仿宋_GB2312" w:cs="仿宋_GB2312"/>
                <w:b/>
                <w:bCs/>
                <w:color w:val="FF0000"/>
                <w:sz w:val="24"/>
                <w:szCs w:val="24"/>
                <w:lang w:val="zh-CN"/>
              </w:rPr>
            </w:pPr>
            <w:r>
              <w:rPr>
                <w:rFonts w:hint="eastAsia" w:ascii="仿宋_GB2312" w:hAnsi="仿宋_GB2312" w:eastAsia="仿宋_GB2312" w:cs="仿宋_GB2312"/>
                <w:b/>
                <w:bCs/>
                <w:sz w:val="24"/>
                <w:szCs w:val="24"/>
                <w:lang w:val="zh-CN"/>
              </w:rPr>
              <w:t>分包合同签证管理</w:t>
            </w:r>
          </w:p>
        </w:tc>
        <w:tc>
          <w:tcPr>
            <w:tcW w:w="5117" w:type="dxa"/>
            <w:vAlign w:val="center"/>
          </w:tcPr>
          <w:p w14:paraId="64F04CE4">
            <w:pPr>
              <w:autoSpaceDE w:val="0"/>
              <w:autoSpaceDN w:val="0"/>
              <w:adjustRightInd w:val="0"/>
              <w:spacing w:line="400" w:lineRule="exact"/>
              <w:jc w:val="left"/>
              <w:rPr>
                <w:rFonts w:hint="eastAsia" w:ascii="仿宋_GB2312" w:hAnsi="仿宋_GB2312" w:eastAsia="仿宋_GB2312" w:cs="仿宋_GB2312"/>
                <w:b/>
                <w:bCs/>
                <w:color w:val="FF0000"/>
                <w:sz w:val="24"/>
                <w:szCs w:val="24"/>
                <w:lang w:val="zh-CN"/>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分包合同签证接收与初审(单份单项额度2万元以下的经济签证签署至项目经理，单份单项额度2万元以上的经济签证应签署至子企业总经济师。对同一个分包商累计现场签证不得超过10万元，且不得超过分包合同额的5%；结果需报公司/分公司审核，审核后方可作为结算依据）</w:t>
            </w:r>
          </w:p>
        </w:tc>
      </w:tr>
      <w:tr w14:paraId="2C6D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5552327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1</w:t>
            </w:r>
            <w:r>
              <w:rPr>
                <w:rFonts w:hint="eastAsia" w:ascii="仿宋_GB2312" w:hAnsi="仿宋_GB2312" w:eastAsia="仿宋_GB2312" w:cs="仿宋_GB2312"/>
                <w:b/>
                <w:bCs/>
                <w:color w:val="000000" w:themeColor="text1"/>
                <w:sz w:val="24"/>
                <w:szCs w:val="24"/>
                <w14:textFill>
                  <w14:solidFill>
                    <w14:schemeClr w14:val="tx1"/>
                  </w14:solidFill>
                </w14:textFill>
              </w:rPr>
              <w:t>9</w:t>
            </w:r>
          </w:p>
        </w:tc>
        <w:tc>
          <w:tcPr>
            <w:tcW w:w="1209" w:type="dxa"/>
            <w:vMerge w:val="continue"/>
            <w:vAlign w:val="center"/>
          </w:tcPr>
          <w:p w14:paraId="4D680BAD">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shd w:val="clear" w:color="auto" w:fill="auto"/>
            <w:vAlign w:val="center"/>
          </w:tcPr>
          <w:p w14:paraId="2B94C803">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分包单位进退场</w:t>
            </w:r>
          </w:p>
        </w:tc>
        <w:tc>
          <w:tcPr>
            <w:tcW w:w="5117" w:type="dxa"/>
            <w:shd w:val="clear" w:color="auto" w:fill="auto"/>
            <w:vAlign w:val="center"/>
          </w:tcPr>
          <w:p w14:paraId="05C9DE9B">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有权确认分包人员、机械、材料等施工资源进退场。</w:t>
            </w:r>
          </w:p>
        </w:tc>
      </w:tr>
      <w:tr w14:paraId="76C9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00D44E5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20</w:t>
            </w:r>
          </w:p>
        </w:tc>
        <w:tc>
          <w:tcPr>
            <w:tcW w:w="1209" w:type="dxa"/>
            <w:vMerge w:val="continue"/>
            <w:vAlign w:val="center"/>
          </w:tcPr>
          <w:p w14:paraId="6BCD97D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4946530B">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劳动力分配计划</w:t>
            </w:r>
          </w:p>
        </w:tc>
        <w:tc>
          <w:tcPr>
            <w:tcW w:w="5117" w:type="dxa"/>
            <w:vAlign w:val="center"/>
          </w:tcPr>
          <w:p w14:paraId="29ECA6D6">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有权要求分包方按要求配置劳动力。</w:t>
            </w:r>
          </w:p>
        </w:tc>
      </w:tr>
      <w:tr w14:paraId="43F7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1F7988E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1</w:t>
            </w:r>
          </w:p>
        </w:tc>
        <w:tc>
          <w:tcPr>
            <w:tcW w:w="1209" w:type="dxa"/>
            <w:vMerge w:val="continue"/>
            <w:vAlign w:val="center"/>
          </w:tcPr>
          <w:p w14:paraId="1485ADDC">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676B7D47">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现场零星工程指令</w:t>
            </w:r>
          </w:p>
        </w:tc>
        <w:tc>
          <w:tcPr>
            <w:tcW w:w="5117" w:type="dxa"/>
            <w:vAlign w:val="center"/>
          </w:tcPr>
          <w:p w14:paraId="21B1FB04">
            <w:pPr>
              <w:autoSpaceDE w:val="0"/>
              <w:autoSpaceDN w:val="0"/>
              <w:adjustRightInd w:val="0"/>
              <w:spacing w:line="400" w:lineRule="exact"/>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有权根据需要向分</w:t>
            </w:r>
            <w:r>
              <w:rPr>
                <w:rFonts w:hint="eastAsia" w:ascii="仿宋_GB2312" w:hAnsi="仿宋_GB2312" w:eastAsia="仿宋_GB2312" w:cs="仿宋_GB2312"/>
                <w:b/>
                <w:bCs/>
                <w:sz w:val="24"/>
                <w:szCs w:val="24"/>
              </w:rPr>
              <w:t>包</w:t>
            </w:r>
            <w:r>
              <w:rPr>
                <w:rFonts w:hint="eastAsia" w:ascii="仿宋_GB2312" w:hAnsi="仿宋_GB2312" w:eastAsia="仿宋_GB2312" w:cs="仿宋_GB2312"/>
                <w:b/>
                <w:bCs/>
                <w:sz w:val="24"/>
                <w:szCs w:val="24"/>
                <w:lang w:val="zh-CN"/>
              </w:rPr>
              <w:t>方签发现场零星工程指令（金额在2万元以内）。</w:t>
            </w:r>
          </w:p>
        </w:tc>
      </w:tr>
      <w:tr w14:paraId="31CC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Merge w:val="restart"/>
            <w:vAlign w:val="center"/>
          </w:tcPr>
          <w:p w14:paraId="0976BE5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2</w:t>
            </w:r>
          </w:p>
        </w:tc>
        <w:tc>
          <w:tcPr>
            <w:tcW w:w="1209" w:type="dxa"/>
            <w:vMerge w:val="continue"/>
            <w:vAlign w:val="center"/>
          </w:tcPr>
          <w:p w14:paraId="2B7083E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Merge w:val="restart"/>
            <w:vAlign w:val="center"/>
          </w:tcPr>
          <w:p w14:paraId="16819B53">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紧急采购、零星物资采购</w:t>
            </w:r>
          </w:p>
        </w:tc>
        <w:tc>
          <w:tcPr>
            <w:tcW w:w="5117" w:type="dxa"/>
            <w:vAlign w:val="center"/>
          </w:tcPr>
          <w:p w14:paraId="0530878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零星采购：</w:t>
            </w:r>
            <w:r>
              <w:rPr>
                <w:rFonts w:hint="eastAsia" w:ascii="仿宋_GB2312" w:hAnsi="仿宋_GB2312" w:eastAsia="仿宋_GB2312" w:cs="仿宋_GB2312"/>
                <w:b/>
                <w:bCs/>
                <w:sz w:val="24"/>
                <w:szCs w:val="24"/>
              </w:rPr>
              <w:t>按制度权限、额度审批后采购。</w:t>
            </w:r>
          </w:p>
        </w:tc>
      </w:tr>
      <w:tr w14:paraId="07F3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Merge w:val="continue"/>
            <w:vAlign w:val="center"/>
          </w:tcPr>
          <w:p w14:paraId="075BD1C8">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209" w:type="dxa"/>
            <w:vMerge w:val="continue"/>
            <w:vAlign w:val="center"/>
          </w:tcPr>
          <w:p w14:paraId="688BA95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Merge w:val="continue"/>
            <w:vAlign w:val="center"/>
          </w:tcPr>
          <w:p w14:paraId="50EB631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5117" w:type="dxa"/>
            <w:vAlign w:val="center"/>
          </w:tcPr>
          <w:p w14:paraId="71453AF3">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紧急采购：报公司审核后，项目实施采购。</w:t>
            </w:r>
          </w:p>
        </w:tc>
      </w:tr>
      <w:tr w14:paraId="6041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21DEB92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3</w:t>
            </w:r>
          </w:p>
        </w:tc>
        <w:tc>
          <w:tcPr>
            <w:tcW w:w="1209" w:type="dxa"/>
            <w:vMerge w:val="continue"/>
            <w:vAlign w:val="center"/>
          </w:tcPr>
          <w:p w14:paraId="7872254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4E0CBDEE">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材料、料具、设备进退场</w:t>
            </w:r>
          </w:p>
        </w:tc>
        <w:tc>
          <w:tcPr>
            <w:tcW w:w="5117" w:type="dxa"/>
            <w:vAlign w:val="center"/>
          </w:tcPr>
          <w:p w14:paraId="59DF22A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w:t>
            </w:r>
            <w:r>
              <w:rPr>
                <w:rFonts w:hint="eastAsia" w:ascii="仿宋_GB2312" w:hAnsi="仿宋_GB2312" w:eastAsia="仿宋_GB2312" w:cs="仿宋_GB2312"/>
                <w:b/>
                <w:bCs/>
                <w:color w:val="000000" w:themeColor="text1"/>
                <w:sz w:val="24"/>
                <w:szCs w:val="24"/>
                <w14:textFill>
                  <w14:solidFill>
                    <w14:schemeClr w14:val="tx1"/>
                  </w14:solidFill>
                </w14:textFill>
              </w:rPr>
              <w:t>分供方</w:t>
            </w:r>
            <w:r>
              <w:rPr>
                <w:rFonts w:hint="eastAsia" w:ascii="仿宋_GB2312" w:hAnsi="仿宋_GB2312" w:eastAsia="仿宋_GB2312" w:cs="仿宋_GB2312"/>
                <w:b/>
                <w:bCs/>
                <w:color w:val="000000" w:themeColor="text1"/>
                <w:sz w:val="24"/>
                <w:szCs w:val="24"/>
                <w:lang w:val="zh-CN"/>
                <w14:textFill>
                  <w14:solidFill>
                    <w14:schemeClr w14:val="tx1"/>
                  </w14:solidFill>
                </w14:textFill>
              </w:rPr>
              <w:t>发送物资进退场通知单；有权确认材料、料具、设备及退货材料的进退场单据。</w:t>
            </w:r>
          </w:p>
        </w:tc>
      </w:tr>
      <w:tr w14:paraId="66EB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4CE53AD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24</w:t>
            </w:r>
          </w:p>
        </w:tc>
        <w:tc>
          <w:tcPr>
            <w:tcW w:w="1209" w:type="dxa"/>
            <w:vMerge w:val="continue"/>
            <w:vAlign w:val="center"/>
          </w:tcPr>
          <w:p w14:paraId="110FC95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25AACF2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材料、料具、设备</w:t>
            </w:r>
            <w:r>
              <w:rPr>
                <w:rFonts w:hint="eastAsia" w:ascii="仿宋_GB2312" w:hAnsi="仿宋_GB2312" w:eastAsia="仿宋_GB2312" w:cs="仿宋_GB2312"/>
                <w:b/>
                <w:bCs/>
                <w:color w:val="000000" w:themeColor="text1"/>
                <w:sz w:val="24"/>
                <w:szCs w:val="24"/>
                <w14:textFill>
                  <w14:solidFill>
                    <w14:schemeClr w14:val="tx1"/>
                  </w14:solidFill>
                </w14:textFill>
              </w:rPr>
              <w:t>检验</w:t>
            </w:r>
          </w:p>
        </w:tc>
        <w:tc>
          <w:tcPr>
            <w:tcW w:w="5117" w:type="dxa"/>
            <w:vAlign w:val="center"/>
          </w:tcPr>
          <w:p w14:paraId="24DA5494">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对乙方</w:t>
            </w:r>
            <w:r>
              <w:rPr>
                <w:rFonts w:hint="eastAsia" w:ascii="仿宋_GB2312" w:hAnsi="仿宋_GB2312" w:eastAsia="仿宋_GB2312" w:cs="仿宋_GB2312"/>
                <w:b/>
                <w:bCs/>
                <w:color w:val="000000" w:themeColor="text1"/>
                <w:sz w:val="24"/>
                <w:szCs w:val="24"/>
                <w14:textFill>
                  <w14:solidFill>
                    <w14:schemeClr w14:val="tx1"/>
                  </w14:solidFill>
                </w14:textFill>
              </w:rPr>
              <w:t>物资</w:t>
            </w:r>
            <w:r>
              <w:rPr>
                <w:rFonts w:hint="eastAsia" w:ascii="仿宋_GB2312" w:hAnsi="仿宋_GB2312" w:eastAsia="仿宋_GB2312" w:cs="仿宋_GB2312"/>
                <w:b/>
                <w:bCs/>
                <w:color w:val="000000" w:themeColor="text1"/>
                <w:sz w:val="24"/>
                <w:szCs w:val="24"/>
                <w:lang w:val="zh-CN"/>
                <w14:textFill>
                  <w14:solidFill>
                    <w14:schemeClr w14:val="tx1"/>
                  </w14:solidFill>
                </w14:textFill>
              </w:rPr>
              <w:t>设备进行检验、试验、检测与计量，联系乙方退货或更换，出具进场设备不合格记录。</w:t>
            </w:r>
          </w:p>
        </w:tc>
      </w:tr>
      <w:tr w14:paraId="332E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107BCA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5</w:t>
            </w:r>
          </w:p>
        </w:tc>
        <w:tc>
          <w:tcPr>
            <w:tcW w:w="1209" w:type="dxa"/>
            <w:vMerge w:val="continue"/>
            <w:vAlign w:val="center"/>
          </w:tcPr>
          <w:p w14:paraId="50DCC28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4020BFD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物资发放</w:t>
            </w:r>
          </w:p>
        </w:tc>
        <w:tc>
          <w:tcPr>
            <w:tcW w:w="5117" w:type="dxa"/>
            <w:vAlign w:val="center"/>
          </w:tcPr>
          <w:p w14:paraId="436C776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有权确认有关物资发放的领料单、退货单、混凝土浇灌申请表（不含调拨单）。</w:t>
            </w:r>
          </w:p>
        </w:tc>
      </w:tr>
      <w:tr w14:paraId="57D5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09F4AF4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6</w:t>
            </w:r>
          </w:p>
        </w:tc>
        <w:tc>
          <w:tcPr>
            <w:tcW w:w="1209" w:type="dxa"/>
            <w:vMerge w:val="continue"/>
            <w:vAlign w:val="center"/>
          </w:tcPr>
          <w:p w14:paraId="0AF4EB0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0E8E97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履约整改通知</w:t>
            </w:r>
          </w:p>
        </w:tc>
        <w:tc>
          <w:tcPr>
            <w:tcW w:w="5117" w:type="dxa"/>
            <w:vAlign w:val="center"/>
          </w:tcPr>
          <w:p w14:paraId="325090F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对分包分供方工程项目的履约情况进行监控和核查，发现问题后，有权通知要求分包分供方进行整改。</w:t>
            </w:r>
          </w:p>
        </w:tc>
      </w:tr>
      <w:tr w14:paraId="00C0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41F49D9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7</w:t>
            </w:r>
          </w:p>
        </w:tc>
        <w:tc>
          <w:tcPr>
            <w:tcW w:w="1209" w:type="dxa"/>
            <w:vMerge w:val="continue"/>
            <w:vAlign w:val="center"/>
          </w:tcPr>
          <w:p w14:paraId="604E89D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400ACAB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分包分供方处罚</w:t>
            </w:r>
          </w:p>
        </w:tc>
        <w:tc>
          <w:tcPr>
            <w:tcW w:w="5117" w:type="dxa"/>
            <w:vAlign w:val="center"/>
          </w:tcPr>
          <w:p w14:paraId="791048A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有权根据合同约定对不服从管理或违约的分包分供方作出处罚的决定。</w:t>
            </w:r>
          </w:p>
        </w:tc>
      </w:tr>
      <w:tr w14:paraId="46CA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62F6D6C">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28</w:t>
            </w:r>
          </w:p>
        </w:tc>
        <w:tc>
          <w:tcPr>
            <w:tcW w:w="1209" w:type="dxa"/>
            <w:vMerge w:val="continue"/>
            <w:vAlign w:val="center"/>
          </w:tcPr>
          <w:p w14:paraId="1485C6D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6B2AF09D">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结算初步办理</w:t>
            </w:r>
          </w:p>
        </w:tc>
        <w:tc>
          <w:tcPr>
            <w:tcW w:w="5117" w:type="dxa"/>
            <w:vAlign w:val="center"/>
          </w:tcPr>
          <w:p w14:paraId="695D9930">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初步编制</w:t>
            </w:r>
            <w:r>
              <w:rPr>
                <w:rFonts w:hint="eastAsia" w:ascii="仿宋_GB2312" w:hAnsi="仿宋_GB2312" w:eastAsia="仿宋_GB2312" w:cs="仿宋_GB2312"/>
                <w:b/>
                <w:bCs/>
                <w:color w:val="000000" w:themeColor="text1"/>
                <w:sz w:val="24"/>
                <w:szCs w:val="24"/>
                <w14:textFill>
                  <w14:solidFill>
                    <w14:schemeClr w14:val="tx1"/>
                  </w14:solidFill>
                </w14:textFill>
              </w:rPr>
              <w:t>分包分供</w:t>
            </w:r>
            <w:r>
              <w:rPr>
                <w:rFonts w:hint="eastAsia" w:ascii="仿宋_GB2312" w:hAnsi="仿宋_GB2312" w:eastAsia="仿宋_GB2312" w:cs="仿宋_GB2312"/>
                <w:b/>
                <w:bCs/>
                <w:color w:val="000000" w:themeColor="text1"/>
                <w:sz w:val="24"/>
                <w:szCs w:val="24"/>
                <w:lang w:val="zh-CN"/>
                <w14:textFill>
                  <w14:solidFill>
                    <w14:schemeClr w14:val="tx1"/>
                  </w14:solidFill>
                </w14:textFill>
              </w:rPr>
              <w:t>结算单提交甲方</w:t>
            </w:r>
            <w:r>
              <w:rPr>
                <w:rFonts w:hint="eastAsia" w:ascii="仿宋_GB2312" w:hAnsi="仿宋_GB2312" w:eastAsia="仿宋_GB2312" w:cs="仿宋_GB2312"/>
                <w:b/>
                <w:bCs/>
                <w:color w:val="000000" w:themeColor="text1"/>
                <w:sz w:val="24"/>
                <w:szCs w:val="24"/>
                <w14:textFill>
                  <w14:solidFill>
                    <w14:schemeClr w14:val="tx1"/>
                  </w14:solidFill>
                </w14:textFill>
              </w:rPr>
              <w:t>分子公司/集团</w:t>
            </w:r>
            <w:r>
              <w:rPr>
                <w:rFonts w:hint="eastAsia" w:ascii="仿宋_GB2312" w:hAnsi="仿宋_GB2312" w:eastAsia="仿宋_GB2312" w:cs="仿宋_GB2312"/>
                <w:b/>
                <w:bCs/>
                <w:color w:val="000000" w:themeColor="text1"/>
                <w:sz w:val="24"/>
                <w:szCs w:val="24"/>
                <w:lang w:val="zh-CN"/>
                <w14:textFill>
                  <w14:solidFill>
                    <w14:schemeClr w14:val="tx1"/>
                  </w14:solidFill>
                </w14:textFill>
              </w:rPr>
              <w:t>确认。</w:t>
            </w:r>
          </w:p>
        </w:tc>
      </w:tr>
      <w:tr w14:paraId="1D1E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6BEE565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2</w:t>
            </w:r>
            <w:r>
              <w:rPr>
                <w:rFonts w:hint="eastAsia" w:ascii="仿宋_GB2312" w:hAnsi="仿宋_GB2312" w:eastAsia="仿宋_GB2312" w:cs="仿宋_GB2312"/>
                <w:b/>
                <w:bCs/>
                <w:color w:val="000000" w:themeColor="text1"/>
                <w:sz w:val="24"/>
                <w:szCs w:val="24"/>
                <w14:textFill>
                  <w14:solidFill>
                    <w14:schemeClr w14:val="tx1"/>
                  </w14:solidFill>
                </w14:textFill>
              </w:rPr>
              <w:t>9</w:t>
            </w:r>
          </w:p>
        </w:tc>
        <w:tc>
          <w:tcPr>
            <w:tcW w:w="1209" w:type="dxa"/>
            <w:vMerge w:val="continue"/>
            <w:vAlign w:val="center"/>
          </w:tcPr>
          <w:p w14:paraId="3173AA4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3D57B803">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分包分供方结算扣款</w:t>
            </w:r>
          </w:p>
        </w:tc>
        <w:tc>
          <w:tcPr>
            <w:tcW w:w="5117" w:type="dxa"/>
            <w:vAlign w:val="center"/>
          </w:tcPr>
          <w:p w14:paraId="693B259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有权在中间结算和最终结算时扣除分包分供方应扣款项（包括但不限于</w:t>
            </w:r>
            <w:r>
              <w:rPr>
                <w:rFonts w:hint="eastAsia" w:ascii="仿宋_GB2312" w:hAnsi="仿宋_GB2312" w:eastAsia="仿宋_GB2312" w:cs="仿宋_GB2312"/>
                <w:b/>
                <w:bCs/>
                <w:color w:val="000000" w:themeColor="text1"/>
                <w:sz w:val="24"/>
                <w:szCs w:val="24"/>
                <w14:textFill>
                  <w14:solidFill>
                    <w14:schemeClr w14:val="tx1"/>
                  </w14:solidFill>
                </w14:textFill>
              </w:rPr>
              <w:t>质保金、</w:t>
            </w:r>
            <w:r>
              <w:rPr>
                <w:rFonts w:hint="eastAsia" w:ascii="仿宋_GB2312" w:hAnsi="仿宋_GB2312" w:eastAsia="仿宋_GB2312" w:cs="仿宋_GB2312"/>
                <w:b/>
                <w:bCs/>
                <w:color w:val="000000" w:themeColor="text1"/>
                <w:sz w:val="24"/>
                <w:szCs w:val="24"/>
                <w:lang w:val="zh-CN"/>
                <w14:textFill>
                  <w14:solidFill>
                    <w14:schemeClr w14:val="tx1"/>
                  </w14:solidFill>
                </w14:textFill>
              </w:rPr>
              <w:t>委托采购材料扣款、料具、机械租赁费扣款、项目现场管理费用扣款、临建费、维修费扣款、规费分摊扣款、水电费、罚款及税金扣款等）。</w:t>
            </w:r>
          </w:p>
        </w:tc>
      </w:tr>
      <w:tr w14:paraId="2BFB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3393FAC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30</w:t>
            </w:r>
          </w:p>
        </w:tc>
        <w:tc>
          <w:tcPr>
            <w:tcW w:w="1209" w:type="dxa"/>
            <w:vMerge w:val="restart"/>
            <w:vAlign w:val="center"/>
          </w:tcPr>
          <w:p w14:paraId="4F07B613">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安全管理</w:t>
            </w:r>
          </w:p>
        </w:tc>
        <w:tc>
          <w:tcPr>
            <w:tcW w:w="1974" w:type="dxa"/>
            <w:vAlign w:val="center"/>
          </w:tcPr>
          <w:p w14:paraId="75E0C95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事故现场秩序维护</w:t>
            </w:r>
          </w:p>
        </w:tc>
        <w:tc>
          <w:tcPr>
            <w:tcW w:w="5117" w:type="dxa"/>
            <w:vAlign w:val="center"/>
          </w:tcPr>
          <w:p w14:paraId="4B984780">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有权维护安全事故现场秩序。涉及赔偿的，赔偿数额确定需经</w:t>
            </w:r>
            <w:r>
              <w:rPr>
                <w:rFonts w:hint="eastAsia" w:ascii="仿宋_GB2312" w:hAnsi="仿宋_GB2312" w:eastAsia="仿宋_GB2312" w:cs="仿宋_GB2312"/>
                <w:b/>
                <w:bCs/>
                <w:color w:val="000000" w:themeColor="text1"/>
                <w:sz w:val="24"/>
                <w:szCs w:val="24"/>
                <w14:textFill>
                  <w14:solidFill>
                    <w14:schemeClr w14:val="tx1"/>
                  </w14:solidFill>
                </w14:textFill>
              </w:rPr>
              <w:t>分子公司</w:t>
            </w:r>
            <w:r>
              <w:rPr>
                <w:rFonts w:hint="eastAsia" w:ascii="仿宋_GB2312" w:hAnsi="仿宋_GB2312" w:eastAsia="仿宋_GB2312" w:cs="仿宋_GB2312"/>
                <w:b/>
                <w:bCs/>
                <w:color w:val="000000" w:themeColor="text1"/>
                <w:sz w:val="24"/>
                <w:szCs w:val="24"/>
                <w:lang w:val="zh-CN"/>
                <w14:textFill>
                  <w14:solidFill>
                    <w14:schemeClr w14:val="tx1"/>
                  </w14:solidFill>
                </w14:textFill>
              </w:rPr>
              <w:t>审批（不含安全事故责任认定及赔偿）。</w:t>
            </w:r>
          </w:p>
        </w:tc>
      </w:tr>
      <w:tr w14:paraId="626B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4BF9B1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31</w:t>
            </w:r>
          </w:p>
        </w:tc>
        <w:tc>
          <w:tcPr>
            <w:tcW w:w="1209" w:type="dxa"/>
            <w:vMerge w:val="continue"/>
            <w:vAlign w:val="center"/>
          </w:tcPr>
          <w:p w14:paraId="75AE4C2C">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3AAD2D7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安全事故处理方案</w:t>
            </w:r>
          </w:p>
        </w:tc>
        <w:tc>
          <w:tcPr>
            <w:tcW w:w="5117" w:type="dxa"/>
            <w:vAlign w:val="center"/>
          </w:tcPr>
          <w:p w14:paraId="20B532D3">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发生安全事故后，有权启动应急预案。</w:t>
            </w:r>
          </w:p>
        </w:tc>
      </w:tr>
      <w:tr w14:paraId="2817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5556F82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32</w:t>
            </w:r>
          </w:p>
        </w:tc>
        <w:tc>
          <w:tcPr>
            <w:tcW w:w="1209" w:type="dxa"/>
            <w:vMerge w:val="continue"/>
            <w:vAlign w:val="center"/>
          </w:tcPr>
          <w:p w14:paraId="047BD2E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1D55D73C">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安全</w:t>
            </w:r>
            <w:r>
              <w:rPr>
                <w:rFonts w:hint="eastAsia" w:ascii="仿宋_GB2312" w:hAnsi="仿宋_GB2312" w:eastAsia="仿宋_GB2312" w:cs="仿宋_GB2312"/>
                <w:b/>
                <w:bCs/>
                <w:color w:val="000000" w:themeColor="text1"/>
                <w:sz w:val="24"/>
                <w:szCs w:val="24"/>
                <w14:textFill>
                  <w14:solidFill>
                    <w14:schemeClr w14:val="tx1"/>
                  </w14:solidFill>
                </w14:textFill>
              </w:rPr>
              <w:t>整改</w:t>
            </w:r>
          </w:p>
        </w:tc>
        <w:tc>
          <w:tcPr>
            <w:tcW w:w="5117" w:type="dxa"/>
            <w:vAlign w:val="center"/>
          </w:tcPr>
          <w:p w14:paraId="012ED5F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对存在的安全生产隐患，下达《安全隐患整改通知书》</w:t>
            </w:r>
          </w:p>
          <w:p w14:paraId="7CD23A6A">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对存在重大安全生产隐患，下达《安全隐患局部停工整改令》</w:t>
            </w:r>
          </w:p>
        </w:tc>
      </w:tr>
      <w:tr w14:paraId="0C78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3AD45EA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33</w:t>
            </w:r>
          </w:p>
        </w:tc>
        <w:tc>
          <w:tcPr>
            <w:tcW w:w="1209" w:type="dxa"/>
            <w:vMerge w:val="restart"/>
            <w:vAlign w:val="center"/>
          </w:tcPr>
          <w:p w14:paraId="0040708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质量管理</w:t>
            </w:r>
          </w:p>
        </w:tc>
        <w:tc>
          <w:tcPr>
            <w:tcW w:w="1974" w:type="dxa"/>
            <w:vAlign w:val="center"/>
          </w:tcPr>
          <w:p w14:paraId="4329E3E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质量验收</w:t>
            </w:r>
          </w:p>
        </w:tc>
        <w:tc>
          <w:tcPr>
            <w:tcW w:w="5117" w:type="dxa"/>
            <w:vAlign w:val="center"/>
          </w:tcPr>
          <w:p w14:paraId="3918EE3C">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有权组织实施质量验收工作。</w:t>
            </w:r>
          </w:p>
        </w:tc>
      </w:tr>
      <w:tr w14:paraId="0174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DA63F2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4</w:t>
            </w:r>
          </w:p>
        </w:tc>
        <w:tc>
          <w:tcPr>
            <w:tcW w:w="1209" w:type="dxa"/>
            <w:vMerge w:val="continue"/>
            <w:vAlign w:val="center"/>
          </w:tcPr>
          <w:p w14:paraId="6DD0AEF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9D58C80">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质量事故应急措施</w:t>
            </w:r>
          </w:p>
        </w:tc>
        <w:tc>
          <w:tcPr>
            <w:tcW w:w="5117" w:type="dxa"/>
            <w:vAlign w:val="center"/>
          </w:tcPr>
          <w:p w14:paraId="107C090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质量事故发生后，有权立即采取措施防止事故扩大（1小时内上报</w:t>
            </w:r>
            <w:r>
              <w:rPr>
                <w:rFonts w:hint="eastAsia" w:ascii="仿宋_GB2312" w:hAnsi="仿宋_GB2312" w:eastAsia="仿宋_GB2312" w:cs="仿宋_GB2312"/>
                <w:b/>
                <w:bCs/>
                <w:color w:val="000000" w:themeColor="text1"/>
                <w:sz w:val="24"/>
                <w:szCs w:val="24"/>
                <w14:textFill>
                  <w14:solidFill>
                    <w14:schemeClr w14:val="tx1"/>
                  </w14:solidFill>
                </w14:textFill>
              </w:rPr>
              <w:t>分子公司</w:t>
            </w:r>
            <w:r>
              <w:rPr>
                <w:rFonts w:hint="eastAsia" w:ascii="仿宋_GB2312" w:hAnsi="仿宋_GB2312" w:eastAsia="仿宋_GB2312" w:cs="仿宋_GB2312"/>
                <w:b/>
                <w:bCs/>
                <w:color w:val="000000" w:themeColor="text1"/>
                <w:sz w:val="24"/>
                <w:szCs w:val="24"/>
                <w:lang w:val="zh-CN"/>
                <w14:textFill>
                  <w14:solidFill>
                    <w14:schemeClr w14:val="tx1"/>
                  </w14:solidFill>
                </w14:textFill>
              </w:rPr>
              <w:t>）。</w:t>
            </w:r>
          </w:p>
        </w:tc>
      </w:tr>
      <w:tr w14:paraId="2CDC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61619E7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5</w:t>
            </w:r>
          </w:p>
        </w:tc>
        <w:tc>
          <w:tcPr>
            <w:tcW w:w="1209" w:type="dxa"/>
            <w:vMerge w:val="continue"/>
            <w:vAlign w:val="center"/>
          </w:tcPr>
          <w:p w14:paraId="7909968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FE1513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质量事故处理方案</w:t>
            </w:r>
          </w:p>
        </w:tc>
        <w:tc>
          <w:tcPr>
            <w:tcW w:w="5117" w:type="dxa"/>
            <w:vAlign w:val="center"/>
          </w:tcPr>
          <w:p w14:paraId="01F4F15D">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有权按照</w:t>
            </w:r>
            <w:r>
              <w:rPr>
                <w:rFonts w:hint="eastAsia" w:ascii="仿宋_GB2312" w:hAnsi="仿宋_GB2312" w:eastAsia="仿宋_GB2312" w:cs="仿宋_GB2312"/>
                <w:b/>
                <w:bCs/>
                <w:color w:val="000000" w:themeColor="text1"/>
                <w:sz w:val="24"/>
                <w:szCs w:val="24"/>
                <w14:textFill>
                  <w14:solidFill>
                    <w14:schemeClr w14:val="tx1"/>
                  </w14:solidFill>
                </w14:textFill>
              </w:rPr>
              <w:t>集团</w:t>
            </w:r>
            <w:r>
              <w:rPr>
                <w:rFonts w:hint="eastAsia" w:ascii="仿宋_GB2312" w:hAnsi="仿宋_GB2312" w:eastAsia="仿宋_GB2312" w:cs="仿宋_GB2312"/>
                <w:b/>
                <w:bCs/>
                <w:color w:val="000000" w:themeColor="text1"/>
                <w:sz w:val="24"/>
                <w:szCs w:val="24"/>
                <w:lang w:val="zh-CN"/>
                <w14:textFill>
                  <w14:solidFill>
                    <w14:schemeClr w14:val="tx1"/>
                  </w14:solidFill>
                </w14:textFill>
              </w:rPr>
              <w:t>、</w:t>
            </w:r>
            <w:r>
              <w:rPr>
                <w:rFonts w:hint="eastAsia" w:ascii="仿宋_GB2312" w:hAnsi="仿宋_GB2312" w:eastAsia="仿宋_GB2312" w:cs="仿宋_GB2312"/>
                <w:b/>
                <w:bCs/>
                <w:color w:val="000000" w:themeColor="text1"/>
                <w:sz w:val="24"/>
                <w:szCs w:val="24"/>
                <w14:textFill>
                  <w14:solidFill>
                    <w14:schemeClr w14:val="tx1"/>
                  </w14:solidFill>
                </w14:textFill>
              </w:rPr>
              <w:t>分子公司</w:t>
            </w:r>
            <w:r>
              <w:rPr>
                <w:rFonts w:hint="eastAsia" w:ascii="仿宋_GB2312" w:hAnsi="仿宋_GB2312" w:eastAsia="仿宋_GB2312" w:cs="仿宋_GB2312"/>
                <w:b/>
                <w:bCs/>
                <w:color w:val="000000" w:themeColor="text1"/>
                <w:sz w:val="24"/>
                <w:szCs w:val="24"/>
                <w:lang w:val="zh-CN"/>
                <w14:textFill>
                  <w14:solidFill>
                    <w14:schemeClr w14:val="tx1"/>
                  </w14:solidFill>
                </w14:textFill>
              </w:rPr>
              <w:t>制定质量事故处理方案处理事故相关事宜。</w:t>
            </w:r>
          </w:p>
        </w:tc>
      </w:tr>
      <w:tr w14:paraId="3F3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180BB6C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6</w:t>
            </w:r>
          </w:p>
        </w:tc>
        <w:tc>
          <w:tcPr>
            <w:tcW w:w="1209" w:type="dxa"/>
            <w:vAlign w:val="center"/>
          </w:tcPr>
          <w:p w14:paraId="1470D58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环境管理</w:t>
            </w:r>
          </w:p>
        </w:tc>
        <w:tc>
          <w:tcPr>
            <w:tcW w:w="1974" w:type="dxa"/>
            <w:vAlign w:val="center"/>
          </w:tcPr>
          <w:p w14:paraId="47BD5E7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环境污染事故应急措施</w:t>
            </w:r>
          </w:p>
        </w:tc>
        <w:tc>
          <w:tcPr>
            <w:tcW w:w="5117" w:type="dxa"/>
            <w:vAlign w:val="center"/>
          </w:tcPr>
          <w:p w14:paraId="46DD9F5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环境污染事故发生后，有权立即采取措施防止事故扩大（1小时内上报分</w:t>
            </w:r>
            <w:r>
              <w:rPr>
                <w:rFonts w:hint="eastAsia" w:ascii="仿宋_GB2312" w:hAnsi="仿宋_GB2312" w:eastAsia="仿宋_GB2312" w:cs="仿宋_GB2312"/>
                <w:b/>
                <w:bCs/>
                <w:color w:val="000000" w:themeColor="text1"/>
                <w:sz w:val="24"/>
                <w:szCs w:val="24"/>
                <w14:textFill>
                  <w14:solidFill>
                    <w14:schemeClr w14:val="tx1"/>
                  </w14:solidFill>
                </w14:textFill>
              </w:rPr>
              <w:t>子</w:t>
            </w:r>
            <w:r>
              <w:rPr>
                <w:rFonts w:hint="eastAsia" w:ascii="仿宋_GB2312" w:hAnsi="仿宋_GB2312" w:eastAsia="仿宋_GB2312" w:cs="仿宋_GB2312"/>
                <w:b/>
                <w:bCs/>
                <w:color w:val="000000" w:themeColor="text1"/>
                <w:sz w:val="24"/>
                <w:szCs w:val="24"/>
                <w:lang w:val="zh-CN"/>
                <w14:textFill>
                  <w14:solidFill>
                    <w14:schemeClr w14:val="tx1"/>
                  </w14:solidFill>
                </w14:textFill>
              </w:rPr>
              <w:t>公司）。</w:t>
            </w:r>
          </w:p>
        </w:tc>
      </w:tr>
      <w:tr w14:paraId="25D7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37868E6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7</w:t>
            </w:r>
          </w:p>
        </w:tc>
        <w:tc>
          <w:tcPr>
            <w:tcW w:w="1209" w:type="dxa"/>
            <w:vMerge w:val="restart"/>
            <w:vAlign w:val="center"/>
          </w:tcPr>
          <w:p w14:paraId="4011D39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维保管理</w:t>
            </w:r>
          </w:p>
        </w:tc>
        <w:tc>
          <w:tcPr>
            <w:tcW w:w="1974" w:type="dxa"/>
            <w:vAlign w:val="center"/>
          </w:tcPr>
          <w:p w14:paraId="06EE4CD4">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维修整改通知</w:t>
            </w:r>
          </w:p>
        </w:tc>
        <w:tc>
          <w:tcPr>
            <w:tcW w:w="5117" w:type="dxa"/>
            <w:vAlign w:val="center"/>
          </w:tcPr>
          <w:p w14:paraId="7F060AB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有权向分包分供方发送维修整改通知。</w:t>
            </w:r>
          </w:p>
        </w:tc>
      </w:tr>
      <w:tr w14:paraId="10FD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4EFBE40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8</w:t>
            </w:r>
          </w:p>
        </w:tc>
        <w:tc>
          <w:tcPr>
            <w:tcW w:w="1209" w:type="dxa"/>
            <w:vMerge w:val="continue"/>
            <w:vAlign w:val="center"/>
          </w:tcPr>
          <w:p w14:paraId="306757B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079C5D9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协商维修方案</w:t>
            </w:r>
          </w:p>
        </w:tc>
        <w:tc>
          <w:tcPr>
            <w:tcW w:w="5117" w:type="dxa"/>
            <w:vAlign w:val="center"/>
          </w:tcPr>
          <w:p w14:paraId="14BF7BD2">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对存在的质量问题有权与建设单位协商维修方案。</w:t>
            </w:r>
          </w:p>
        </w:tc>
      </w:tr>
      <w:tr w14:paraId="26FA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4CCEDBC">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3</w:t>
            </w:r>
            <w:r>
              <w:rPr>
                <w:rFonts w:hint="eastAsia" w:ascii="仿宋_GB2312" w:hAnsi="仿宋_GB2312" w:eastAsia="仿宋_GB2312" w:cs="仿宋_GB2312"/>
                <w:b/>
                <w:bCs/>
                <w:color w:val="000000" w:themeColor="text1"/>
                <w:sz w:val="24"/>
                <w:szCs w:val="24"/>
                <w14:textFill>
                  <w14:solidFill>
                    <w14:schemeClr w14:val="tx1"/>
                  </w14:solidFill>
                </w14:textFill>
              </w:rPr>
              <w:t>9</w:t>
            </w:r>
          </w:p>
        </w:tc>
        <w:tc>
          <w:tcPr>
            <w:tcW w:w="1209" w:type="dxa"/>
            <w:vMerge w:val="continue"/>
            <w:vAlign w:val="center"/>
          </w:tcPr>
          <w:p w14:paraId="74C945F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688D5078">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组织维修</w:t>
            </w:r>
          </w:p>
        </w:tc>
        <w:tc>
          <w:tcPr>
            <w:tcW w:w="5117" w:type="dxa"/>
            <w:vAlign w:val="center"/>
          </w:tcPr>
          <w:p w14:paraId="1054F9AB">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有权向建设单位报送维修登记单、维修任务书。</w:t>
            </w:r>
          </w:p>
        </w:tc>
      </w:tr>
      <w:tr w14:paraId="11A2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7CF4528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40</w:t>
            </w:r>
          </w:p>
        </w:tc>
        <w:tc>
          <w:tcPr>
            <w:tcW w:w="1209" w:type="dxa"/>
            <w:vMerge w:val="continue"/>
            <w:vAlign w:val="center"/>
          </w:tcPr>
          <w:p w14:paraId="440E058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68F66D18">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维修验收</w:t>
            </w:r>
          </w:p>
        </w:tc>
        <w:tc>
          <w:tcPr>
            <w:tcW w:w="5117" w:type="dxa"/>
            <w:vAlign w:val="center"/>
          </w:tcPr>
          <w:p w14:paraId="50C4313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有权组织建设单位对保修工作进行验收、有权组织对分包分供的维修验收。</w:t>
            </w:r>
          </w:p>
        </w:tc>
      </w:tr>
      <w:tr w14:paraId="236C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13554228">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41</w:t>
            </w:r>
          </w:p>
        </w:tc>
        <w:tc>
          <w:tcPr>
            <w:tcW w:w="1209" w:type="dxa"/>
            <w:vMerge w:val="restart"/>
            <w:vAlign w:val="center"/>
          </w:tcPr>
          <w:p w14:paraId="48D7C36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催收清欠</w:t>
            </w:r>
          </w:p>
        </w:tc>
        <w:tc>
          <w:tcPr>
            <w:tcW w:w="1974" w:type="dxa"/>
            <w:vAlign w:val="center"/>
          </w:tcPr>
          <w:p w14:paraId="186F720D">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质保金到期催付</w:t>
            </w:r>
          </w:p>
        </w:tc>
        <w:tc>
          <w:tcPr>
            <w:tcW w:w="5117" w:type="dxa"/>
            <w:vAlign w:val="center"/>
          </w:tcPr>
          <w:p w14:paraId="0677225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有权向建设单位发《保修期满通知书》。</w:t>
            </w:r>
          </w:p>
        </w:tc>
      </w:tr>
      <w:tr w14:paraId="72B9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23E3057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42</w:t>
            </w:r>
          </w:p>
        </w:tc>
        <w:tc>
          <w:tcPr>
            <w:tcW w:w="1209" w:type="dxa"/>
            <w:vMerge w:val="continue"/>
            <w:vAlign w:val="center"/>
          </w:tcPr>
          <w:p w14:paraId="575535AA">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p>
        </w:tc>
        <w:tc>
          <w:tcPr>
            <w:tcW w:w="1974" w:type="dxa"/>
            <w:vAlign w:val="center"/>
          </w:tcPr>
          <w:p w14:paraId="7AF8A4A1">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其他到期应付款催付</w:t>
            </w:r>
          </w:p>
        </w:tc>
        <w:tc>
          <w:tcPr>
            <w:tcW w:w="5117" w:type="dxa"/>
            <w:vAlign w:val="center"/>
          </w:tcPr>
          <w:p w14:paraId="2FD0A794">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有权向建设单位发催款函。</w:t>
            </w:r>
          </w:p>
        </w:tc>
      </w:tr>
      <w:tr w14:paraId="3962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3" w:type="dxa"/>
            <w:vAlign w:val="center"/>
          </w:tcPr>
          <w:p w14:paraId="5905B5F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43</w:t>
            </w:r>
          </w:p>
        </w:tc>
        <w:tc>
          <w:tcPr>
            <w:tcW w:w="1209" w:type="dxa"/>
            <w:vAlign w:val="center"/>
          </w:tcPr>
          <w:p w14:paraId="4B2337B9">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往来函件</w:t>
            </w:r>
          </w:p>
        </w:tc>
        <w:tc>
          <w:tcPr>
            <w:tcW w:w="1974" w:type="dxa"/>
            <w:vAlign w:val="center"/>
          </w:tcPr>
          <w:p w14:paraId="211D905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工程往来函件</w:t>
            </w:r>
          </w:p>
        </w:tc>
        <w:tc>
          <w:tcPr>
            <w:tcW w:w="5117" w:type="dxa"/>
            <w:vAlign w:val="center"/>
          </w:tcPr>
          <w:p w14:paraId="0638500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有权报送或接收项目工程联系函（如图纸会审、技术核定、设计变更通知等）。</w:t>
            </w:r>
          </w:p>
        </w:tc>
      </w:tr>
    </w:tbl>
    <w:p w14:paraId="1CDC181F">
      <w:pPr>
        <w:numPr>
          <w:ilvl w:val="0"/>
          <w:numId w:val="6"/>
        </w:numPr>
        <w:autoSpaceDE w:val="0"/>
        <w:autoSpaceDN w:val="0"/>
        <w:adjustRightInd w:val="0"/>
        <w:spacing w:line="400" w:lineRule="exact"/>
        <w:rPr>
          <w:rFonts w:hint="eastAsia" w:ascii="仿宋_GB2312" w:hAnsi="仿宋_GB2312" w:eastAsia="仿宋_GB2312" w:cs="仿宋_GB2312"/>
          <w:b/>
          <w:bCs/>
          <w:color w:val="000000" w:themeColor="text1"/>
          <w:sz w:val="24"/>
          <w:szCs w:val="24"/>
          <w14:textFill>
            <w14:solidFill>
              <w14:schemeClr w14:val="tx1"/>
            </w14:solidFill>
          </w14:textFill>
        </w:rPr>
      </w:pPr>
      <w:bookmarkStart w:id="76" w:name="_Hlk126826460"/>
      <w:r>
        <w:rPr>
          <w:rFonts w:hint="eastAsia" w:ascii="仿宋_GB2312" w:hAnsi="仿宋_GB2312" w:eastAsia="仿宋_GB2312" w:cs="仿宋_GB2312"/>
          <w:b/>
          <w:bCs/>
          <w:color w:val="000000" w:themeColor="text1"/>
          <w:sz w:val="24"/>
          <w:szCs w:val="24"/>
          <w14:textFill>
            <w14:solidFill>
              <w14:schemeClr w14:val="tx1"/>
            </w14:solidFill>
          </w14:textFill>
        </w:rPr>
        <w:t>项目部无权审批以下事项：</w:t>
      </w:r>
    </w:p>
    <w:bookmarkEnd w:id="76"/>
    <w:tbl>
      <w:tblPr>
        <w:tblStyle w:val="12"/>
        <w:tblW w:w="9542" w:type="dxa"/>
        <w:jc w:val="center"/>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33"/>
        <w:gridCol w:w="8809"/>
      </w:tblGrid>
      <w:tr w14:paraId="2EDEEC35">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exact"/>
          <w:jc w:val="center"/>
        </w:trPr>
        <w:tc>
          <w:tcPr>
            <w:tcW w:w="733" w:type="dxa"/>
            <w:tcBorders>
              <w:top w:val="single" w:color="auto" w:sz="4" w:space="0"/>
              <w:left w:val="single" w:color="auto" w:sz="4" w:space="0"/>
              <w:bottom w:val="single" w:color="auto" w:sz="4" w:space="0"/>
              <w:right w:val="single" w:color="auto" w:sz="4" w:space="0"/>
            </w:tcBorders>
            <w:vAlign w:val="center"/>
          </w:tcPr>
          <w:p w14:paraId="42962EE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bookmarkStart w:id="77" w:name="_Hlk127195047"/>
            <w:r>
              <w:rPr>
                <w:rFonts w:hint="eastAsia" w:ascii="仿宋_GB2312" w:hAnsi="仿宋_GB2312" w:eastAsia="仿宋_GB2312" w:cs="仿宋_GB2312"/>
                <w:b/>
                <w:bCs/>
                <w:color w:val="000000" w:themeColor="text1"/>
                <w:sz w:val="24"/>
                <w:szCs w:val="24"/>
                <w:lang w:val="zh-CN"/>
                <w14:textFill>
                  <w14:solidFill>
                    <w14:schemeClr w14:val="tx1"/>
                  </w14:solidFill>
                </w14:textFill>
              </w:rPr>
              <w:t>序号</w:t>
            </w:r>
          </w:p>
        </w:tc>
        <w:tc>
          <w:tcPr>
            <w:tcW w:w="8809" w:type="dxa"/>
            <w:tcBorders>
              <w:top w:val="single" w:color="auto" w:sz="4" w:space="0"/>
              <w:left w:val="single" w:color="auto" w:sz="4" w:space="0"/>
              <w:bottom w:val="single" w:color="auto" w:sz="4" w:space="0"/>
              <w:right w:val="single" w:color="auto" w:sz="4" w:space="0"/>
            </w:tcBorders>
            <w:vAlign w:val="center"/>
          </w:tcPr>
          <w:p w14:paraId="1693603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禁止性事项</w:t>
            </w:r>
          </w:p>
        </w:tc>
      </w:tr>
      <w:tr w14:paraId="0D059347">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9187902">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w:t>
            </w:r>
          </w:p>
        </w:tc>
        <w:tc>
          <w:tcPr>
            <w:tcW w:w="8809" w:type="dxa"/>
            <w:tcBorders>
              <w:top w:val="single" w:color="auto" w:sz="4" w:space="0"/>
              <w:left w:val="single" w:color="auto" w:sz="4" w:space="0"/>
              <w:bottom w:val="single" w:color="auto" w:sz="4" w:space="0"/>
              <w:right w:val="single" w:color="auto" w:sz="4" w:space="0"/>
            </w:tcBorders>
            <w:vAlign w:val="center"/>
          </w:tcPr>
          <w:p w14:paraId="7AE70DB3">
            <w:pPr>
              <w:widowControl/>
              <w:jc w:val="left"/>
              <w:rPr>
                <w:rFonts w:hint="eastAsia" w:ascii="仿宋_GB2312" w:hAnsi="仿宋_GB2312" w:eastAsia="仿宋_GB2312" w:cs="仿宋_GB2312"/>
                <w:b/>
                <w:bCs/>
                <w:color w:val="000000" w:themeColor="text1"/>
                <w:kern w:val="0"/>
                <w:sz w:val="24"/>
                <w:szCs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签署（或变更）各类经济类合同（包含但不限于总承包合同及其补充协议、专业分包合同、劳务分包合同、物资设备料具采购、租赁合同、设备安装拆除合同、技术咨询合同等各类合同）。</w:t>
            </w:r>
          </w:p>
        </w:tc>
      </w:tr>
      <w:tr w14:paraId="69C3EDB3">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29EFB90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2</w:t>
            </w:r>
          </w:p>
        </w:tc>
        <w:tc>
          <w:tcPr>
            <w:tcW w:w="8809" w:type="dxa"/>
            <w:tcBorders>
              <w:top w:val="single" w:color="auto" w:sz="4" w:space="0"/>
              <w:left w:val="single" w:color="auto" w:sz="4" w:space="0"/>
              <w:bottom w:val="single" w:color="auto" w:sz="4" w:space="0"/>
              <w:right w:val="single" w:color="auto" w:sz="4" w:space="0"/>
            </w:tcBorders>
            <w:vAlign w:val="center"/>
          </w:tcPr>
          <w:p w14:paraId="6C99F7CA">
            <w:pPr>
              <w:widowControl/>
              <w:jc w:val="left"/>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未经分子公司/集团书面批准擅自购买材料、设备。</w:t>
            </w:r>
          </w:p>
        </w:tc>
      </w:tr>
      <w:tr w14:paraId="3A3FE553">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1C82ECD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3</w:t>
            </w:r>
          </w:p>
        </w:tc>
        <w:tc>
          <w:tcPr>
            <w:tcW w:w="8809" w:type="dxa"/>
            <w:tcBorders>
              <w:top w:val="single" w:color="auto" w:sz="4" w:space="0"/>
              <w:left w:val="single" w:color="auto" w:sz="4" w:space="0"/>
              <w:bottom w:val="single" w:color="auto" w:sz="4" w:space="0"/>
              <w:right w:val="single" w:color="auto" w:sz="4" w:space="0"/>
            </w:tcBorders>
            <w:vAlign w:val="center"/>
          </w:tcPr>
          <w:p w14:paraId="65C46412">
            <w:pPr>
              <w:widowControl/>
              <w:jc w:val="left"/>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放弃或限制行使工程项目优先受偿权、签署</w:t>
            </w:r>
            <w:r>
              <w:rPr>
                <w:rFonts w:hint="eastAsia" w:ascii="仿宋_GB2312" w:hAnsi="仿宋_GB2312" w:eastAsia="仿宋_GB2312" w:cs="仿宋_GB2312"/>
                <w:b/>
                <w:bCs/>
                <w:color w:val="000000" w:themeColor="text1"/>
                <w:kern w:val="0"/>
                <w:sz w:val="24"/>
                <w:szCs w:val="24"/>
                <w:lang w:val="zh-CN"/>
                <w14:textFill>
                  <w14:solidFill>
                    <w14:schemeClr w14:val="tx1"/>
                  </w14:solidFill>
                </w14:textFill>
              </w:rPr>
              <w:t>代他人清偿债务的文件，签署任何放弃债权的文件</w:t>
            </w:r>
            <w:r>
              <w:rPr>
                <w:rFonts w:hint="eastAsia" w:ascii="仿宋_GB2312" w:hAnsi="仿宋_GB2312" w:eastAsia="仿宋_GB2312" w:cs="仿宋_GB2312"/>
                <w:b/>
                <w:bCs/>
                <w:color w:val="000000" w:themeColor="text1"/>
                <w:kern w:val="0"/>
                <w:sz w:val="24"/>
                <w:szCs w:val="24"/>
                <w14:textFill>
                  <w14:solidFill>
                    <w14:schemeClr w14:val="tx1"/>
                  </w14:solidFill>
                </w14:textFill>
              </w:rPr>
              <w:t>。</w:t>
            </w:r>
          </w:p>
        </w:tc>
      </w:tr>
      <w:tr w14:paraId="365812E1">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404D726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4</w:t>
            </w:r>
          </w:p>
        </w:tc>
        <w:tc>
          <w:tcPr>
            <w:tcW w:w="8809" w:type="dxa"/>
            <w:tcBorders>
              <w:top w:val="single" w:color="auto" w:sz="4" w:space="0"/>
              <w:left w:val="single" w:color="auto" w:sz="4" w:space="0"/>
              <w:bottom w:val="single" w:color="auto" w:sz="4" w:space="0"/>
              <w:right w:val="single" w:color="auto" w:sz="4" w:space="0"/>
            </w:tcBorders>
            <w:vAlign w:val="center"/>
          </w:tcPr>
          <w:p w14:paraId="7629A2D1">
            <w:pPr>
              <w:widowControl/>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进行银行贷款等融资活动</w:t>
            </w:r>
          </w:p>
        </w:tc>
      </w:tr>
      <w:tr w14:paraId="38AA1FD8">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6BD90B6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5</w:t>
            </w:r>
          </w:p>
        </w:tc>
        <w:tc>
          <w:tcPr>
            <w:tcW w:w="8809" w:type="dxa"/>
            <w:tcBorders>
              <w:top w:val="single" w:color="auto" w:sz="4" w:space="0"/>
              <w:left w:val="single" w:color="auto" w:sz="4" w:space="0"/>
              <w:bottom w:val="single" w:color="auto" w:sz="4" w:space="0"/>
              <w:right w:val="single" w:color="auto" w:sz="4" w:space="0"/>
            </w:tcBorders>
            <w:vAlign w:val="center"/>
          </w:tcPr>
          <w:p w14:paraId="0096EA6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对外提供担保、出具欠条、签订还款协议、签订调价协议、各类保证书、承诺书。</w:t>
            </w:r>
          </w:p>
        </w:tc>
      </w:tr>
      <w:tr w14:paraId="6A3B25FF">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7194796F">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6</w:t>
            </w:r>
          </w:p>
        </w:tc>
        <w:tc>
          <w:tcPr>
            <w:tcW w:w="8809" w:type="dxa"/>
            <w:tcBorders>
              <w:top w:val="single" w:color="auto" w:sz="4" w:space="0"/>
              <w:left w:val="single" w:color="auto" w:sz="4" w:space="0"/>
              <w:bottom w:val="single" w:color="auto" w:sz="4" w:space="0"/>
              <w:right w:val="single" w:color="auto" w:sz="4" w:space="0"/>
            </w:tcBorders>
            <w:vAlign w:val="center"/>
          </w:tcPr>
          <w:p w14:paraId="68038611">
            <w:pPr>
              <w:widowControl/>
              <w:jc w:val="left"/>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对外开立各类保函</w:t>
            </w:r>
          </w:p>
        </w:tc>
      </w:tr>
      <w:tr w14:paraId="57CEF06A">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7A2D901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7</w:t>
            </w:r>
          </w:p>
        </w:tc>
        <w:tc>
          <w:tcPr>
            <w:tcW w:w="8809" w:type="dxa"/>
            <w:tcBorders>
              <w:top w:val="single" w:color="auto" w:sz="4" w:space="0"/>
              <w:left w:val="single" w:color="auto" w:sz="4" w:space="0"/>
              <w:bottom w:val="single" w:color="auto" w:sz="4" w:space="0"/>
              <w:right w:val="single" w:color="auto" w:sz="4" w:space="0"/>
            </w:tcBorders>
            <w:vAlign w:val="center"/>
          </w:tcPr>
          <w:p w14:paraId="40FD7DC6">
            <w:pPr>
              <w:widowControl/>
              <w:jc w:val="left"/>
              <w:rPr>
                <w:rFonts w:hint="eastAsia" w:ascii="仿宋_GB2312" w:hAnsi="仿宋_GB2312" w:eastAsia="仿宋_GB2312" w:cs="仿宋_GB2312"/>
                <w:b/>
                <w:bCs/>
                <w:color w:val="000000" w:themeColor="text1"/>
                <w:kern w:val="0"/>
                <w:sz w:val="24"/>
                <w:szCs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对外拆借资金，以甲方、甲方子企业或甲方项目部名义对外借款。</w:t>
            </w:r>
          </w:p>
        </w:tc>
      </w:tr>
      <w:tr w14:paraId="08AFB1EA">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8EA0A6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8</w:t>
            </w:r>
          </w:p>
        </w:tc>
        <w:tc>
          <w:tcPr>
            <w:tcW w:w="8809" w:type="dxa"/>
            <w:tcBorders>
              <w:top w:val="single" w:color="auto" w:sz="4" w:space="0"/>
              <w:left w:val="single" w:color="auto" w:sz="4" w:space="0"/>
              <w:bottom w:val="single" w:color="auto" w:sz="4" w:space="0"/>
              <w:right w:val="single" w:color="auto" w:sz="4" w:space="0"/>
            </w:tcBorders>
            <w:vAlign w:val="center"/>
          </w:tcPr>
          <w:p w14:paraId="059D902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私设小金库，坐支现金。</w:t>
            </w:r>
          </w:p>
        </w:tc>
      </w:tr>
      <w:tr w14:paraId="7D29ECE1">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574902A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9</w:t>
            </w:r>
          </w:p>
        </w:tc>
        <w:tc>
          <w:tcPr>
            <w:tcW w:w="8809" w:type="dxa"/>
            <w:tcBorders>
              <w:top w:val="single" w:color="auto" w:sz="4" w:space="0"/>
              <w:left w:val="single" w:color="auto" w:sz="4" w:space="0"/>
              <w:bottom w:val="single" w:color="auto" w:sz="4" w:space="0"/>
              <w:right w:val="single" w:color="auto" w:sz="4" w:space="0"/>
            </w:tcBorders>
            <w:vAlign w:val="center"/>
          </w:tcPr>
          <w:p w14:paraId="26F76D54">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超出本综合授权书权限的分包（供）合同签证办理。</w:t>
            </w:r>
          </w:p>
        </w:tc>
      </w:tr>
      <w:tr w14:paraId="340E3512">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4C716AE0">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10</w:t>
            </w:r>
          </w:p>
        </w:tc>
        <w:tc>
          <w:tcPr>
            <w:tcW w:w="8809" w:type="dxa"/>
            <w:tcBorders>
              <w:top w:val="single" w:color="auto" w:sz="4" w:space="0"/>
              <w:left w:val="single" w:color="auto" w:sz="4" w:space="0"/>
              <w:bottom w:val="single" w:color="auto" w:sz="4" w:space="0"/>
              <w:right w:val="single" w:color="auto" w:sz="4" w:space="0"/>
            </w:tcBorders>
            <w:vAlign w:val="center"/>
          </w:tcPr>
          <w:p w14:paraId="361DE60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确认总包结算、确认分包合同结算（含甲指分包）。</w:t>
            </w:r>
          </w:p>
        </w:tc>
      </w:tr>
      <w:tr w14:paraId="4743562D">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2016B28E">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11</w:t>
            </w:r>
          </w:p>
        </w:tc>
        <w:tc>
          <w:tcPr>
            <w:tcW w:w="8809" w:type="dxa"/>
            <w:tcBorders>
              <w:top w:val="single" w:color="auto" w:sz="4" w:space="0"/>
              <w:left w:val="single" w:color="auto" w:sz="4" w:space="0"/>
              <w:bottom w:val="single" w:color="auto" w:sz="4" w:space="0"/>
              <w:right w:val="single" w:color="auto" w:sz="4" w:space="0"/>
            </w:tcBorders>
            <w:vAlign w:val="center"/>
          </w:tcPr>
          <w:p w14:paraId="21CCC23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确认材料、设备、料具结算及赔偿（含零星材料、甲供材）。</w:t>
            </w:r>
          </w:p>
        </w:tc>
      </w:tr>
      <w:tr w14:paraId="4B37C360">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7D4DDDE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12</w:t>
            </w:r>
          </w:p>
        </w:tc>
        <w:tc>
          <w:tcPr>
            <w:tcW w:w="8809" w:type="dxa"/>
            <w:tcBorders>
              <w:top w:val="single" w:color="auto" w:sz="4" w:space="0"/>
              <w:left w:val="single" w:color="auto" w:sz="4" w:space="0"/>
              <w:bottom w:val="single" w:color="auto" w:sz="4" w:space="0"/>
              <w:right w:val="single" w:color="auto" w:sz="4" w:space="0"/>
            </w:tcBorders>
            <w:vAlign w:val="center"/>
          </w:tcPr>
          <w:p w14:paraId="2F46D3CA">
            <w:pPr>
              <w:widowControl/>
              <w:jc w:val="left"/>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设立或变更劳动关系（包括签订劳动合同、确认劳动关系等）</w:t>
            </w:r>
          </w:p>
        </w:tc>
      </w:tr>
      <w:tr w14:paraId="70C7BB01">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54F0F4B">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13</w:t>
            </w:r>
          </w:p>
        </w:tc>
        <w:tc>
          <w:tcPr>
            <w:tcW w:w="8809" w:type="dxa"/>
            <w:tcBorders>
              <w:top w:val="single" w:color="auto" w:sz="4" w:space="0"/>
              <w:left w:val="single" w:color="auto" w:sz="4" w:space="0"/>
              <w:bottom w:val="single" w:color="auto" w:sz="4" w:space="0"/>
              <w:right w:val="single" w:color="auto" w:sz="4" w:space="0"/>
            </w:tcBorders>
            <w:vAlign w:val="center"/>
          </w:tcPr>
          <w:p w14:paraId="350A8CC9">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向工伤认定机构提交工伤认定申请或确认工伤事故。</w:t>
            </w:r>
          </w:p>
        </w:tc>
      </w:tr>
      <w:tr w14:paraId="77DF0DCF">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95E1A3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14</w:t>
            </w:r>
          </w:p>
        </w:tc>
        <w:tc>
          <w:tcPr>
            <w:tcW w:w="8809" w:type="dxa"/>
            <w:tcBorders>
              <w:top w:val="single" w:color="auto" w:sz="4" w:space="0"/>
              <w:left w:val="single" w:color="auto" w:sz="4" w:space="0"/>
              <w:bottom w:val="single" w:color="auto" w:sz="4" w:space="0"/>
              <w:right w:val="single" w:color="auto" w:sz="4" w:space="0"/>
            </w:tcBorders>
            <w:vAlign w:val="center"/>
          </w:tcPr>
          <w:p w14:paraId="6A206567">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确认第三方维修费用。</w:t>
            </w:r>
          </w:p>
        </w:tc>
      </w:tr>
      <w:tr w14:paraId="1A4253AF">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4321C5E5">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15</w:t>
            </w:r>
          </w:p>
        </w:tc>
        <w:tc>
          <w:tcPr>
            <w:tcW w:w="8809" w:type="dxa"/>
            <w:tcBorders>
              <w:top w:val="single" w:color="auto" w:sz="4" w:space="0"/>
              <w:left w:val="single" w:color="auto" w:sz="4" w:space="0"/>
              <w:bottom w:val="single" w:color="auto" w:sz="4" w:space="0"/>
              <w:right w:val="single" w:color="auto" w:sz="4" w:space="0"/>
            </w:tcBorders>
            <w:vAlign w:val="center"/>
          </w:tcPr>
          <w:p w14:paraId="01B1BA3C">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决定废旧物资处理方案。</w:t>
            </w:r>
          </w:p>
        </w:tc>
      </w:tr>
      <w:tr w14:paraId="2E7450BF">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7D9129C7">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16</w:t>
            </w:r>
          </w:p>
        </w:tc>
        <w:tc>
          <w:tcPr>
            <w:tcW w:w="8809" w:type="dxa"/>
            <w:tcBorders>
              <w:top w:val="single" w:color="auto" w:sz="4" w:space="0"/>
              <w:left w:val="single" w:color="auto" w:sz="4" w:space="0"/>
              <w:bottom w:val="single" w:color="auto" w:sz="4" w:space="0"/>
              <w:right w:val="single" w:color="auto" w:sz="4" w:space="0"/>
            </w:tcBorders>
            <w:vAlign w:val="center"/>
          </w:tcPr>
          <w:p w14:paraId="44FCB9E5">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分包分供合同涨价、奖励、补偿、增加合同外的工作范围、变更分包分供合同模式。</w:t>
            </w:r>
          </w:p>
        </w:tc>
      </w:tr>
      <w:tr w14:paraId="0F417265">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F4A7EF6">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17</w:t>
            </w:r>
          </w:p>
        </w:tc>
        <w:tc>
          <w:tcPr>
            <w:tcW w:w="8809" w:type="dxa"/>
            <w:tcBorders>
              <w:top w:val="single" w:color="auto" w:sz="4" w:space="0"/>
              <w:left w:val="single" w:color="auto" w:sz="4" w:space="0"/>
              <w:bottom w:val="single" w:color="auto" w:sz="4" w:space="0"/>
              <w:right w:val="single" w:color="auto" w:sz="4" w:space="0"/>
            </w:tcBorders>
            <w:vAlign w:val="center"/>
          </w:tcPr>
          <w:p w14:paraId="27F57976">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危险性较大的分部分项工程安全施工方案。</w:t>
            </w:r>
          </w:p>
        </w:tc>
      </w:tr>
      <w:tr w14:paraId="72D5C984">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54"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5CCE4DF4">
            <w:pPr>
              <w:autoSpaceDE w:val="0"/>
              <w:autoSpaceDN w:val="0"/>
              <w:adjustRightInd w:val="0"/>
              <w:spacing w:line="400" w:lineRule="exact"/>
              <w:jc w:val="center"/>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18</w:t>
            </w:r>
          </w:p>
        </w:tc>
        <w:tc>
          <w:tcPr>
            <w:tcW w:w="8809" w:type="dxa"/>
            <w:tcBorders>
              <w:top w:val="single" w:color="auto" w:sz="4" w:space="0"/>
              <w:left w:val="single" w:color="auto" w:sz="4" w:space="0"/>
              <w:bottom w:val="single" w:color="auto" w:sz="4" w:space="0"/>
              <w:right w:val="single" w:color="auto" w:sz="4" w:space="0"/>
            </w:tcBorders>
            <w:vAlign w:val="center"/>
          </w:tcPr>
          <w:p w14:paraId="71916B7F">
            <w:pPr>
              <w:autoSpaceDE w:val="0"/>
              <w:autoSpaceDN w:val="0"/>
              <w:adjustRightInd w:val="0"/>
              <w:spacing w:line="400" w:lineRule="exact"/>
              <w:jc w:val="left"/>
              <w:rPr>
                <w:rFonts w:hint="eastAsia" w:ascii="仿宋_GB2312" w:hAnsi="仿宋_GB2312" w:eastAsia="仿宋_GB2312" w:cs="仿宋_GB2312"/>
                <w:b/>
                <w:bCs/>
                <w:color w:val="000000" w:themeColor="text1"/>
                <w:sz w:val="24"/>
                <w:szCs w:val="24"/>
                <w:lang w:val="zh-CN"/>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接收诉讼法律文书、处理人民法院协助执行通知或参加仲裁、诉讼。</w:t>
            </w:r>
          </w:p>
        </w:tc>
      </w:tr>
      <w:bookmarkEnd w:id="77"/>
    </w:tbl>
    <w:p w14:paraId="0EA0B9D4">
      <w:pPr>
        <w:numPr>
          <w:ilvl w:val="0"/>
          <w:numId w:val="7"/>
        </w:numPr>
        <w:autoSpaceDE w:val="0"/>
        <w:autoSpaceDN w:val="0"/>
        <w:adjustRightInd w:val="0"/>
        <w:spacing w:line="400" w:lineRule="exact"/>
        <w:rPr>
          <w:rFonts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若项目经理发生变更，则由新委任的项目经理承继。</w:t>
      </w:r>
    </w:p>
    <w:p w14:paraId="0B317154">
      <w:pPr>
        <w:numPr>
          <w:ilvl w:val="0"/>
          <w:numId w:val="7"/>
        </w:numPr>
        <w:autoSpaceDE w:val="0"/>
        <w:autoSpaceDN w:val="0"/>
        <w:adjustRightInd w:val="0"/>
        <w:spacing w:line="400" w:lineRule="exact"/>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本授权书未明确的事项执行本公司有关规章制度。</w:t>
      </w:r>
    </w:p>
    <w:p w14:paraId="758FC656">
      <w:pPr>
        <w:numPr>
          <w:ilvl w:val="0"/>
          <w:numId w:val="7"/>
        </w:numPr>
        <w:autoSpaceDE w:val="0"/>
        <w:autoSpaceDN w:val="0"/>
        <w:adjustRightInd w:val="0"/>
        <w:spacing w:line="400" w:lineRule="exact"/>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本授权书经本公司加盖合同专用章后生效。本公司有权随时变更或撤销本授权书，并书面告知贵司。</w:t>
      </w:r>
    </w:p>
    <w:p w14:paraId="4705AAA5">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14:textFill>
            <w14:solidFill>
              <w14:schemeClr w14:val="tx1"/>
            </w14:solidFill>
          </w14:textFill>
        </w:rPr>
      </w:pPr>
    </w:p>
    <w:p w14:paraId="3F70515C">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14:textFill>
            <w14:solidFill>
              <w14:schemeClr w14:val="tx1"/>
            </w14:solidFill>
          </w14:textFill>
        </w:rPr>
      </w:pPr>
    </w:p>
    <w:p w14:paraId="52EE12F5">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p>
    <w:p w14:paraId="125A275C">
      <w:pPr>
        <w:autoSpaceDE w:val="0"/>
        <w:autoSpaceDN w:val="0"/>
        <w:adjustRightInd w:val="0"/>
        <w:spacing w:line="400" w:lineRule="exact"/>
        <w:ind w:firstLine="5040" w:firstLineChars="21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授权单位（盖章）：</w:t>
      </w:r>
    </w:p>
    <w:p w14:paraId="27A4AC8C">
      <w:pPr>
        <w:autoSpaceDE w:val="0"/>
        <w:autoSpaceDN w:val="0"/>
        <w:adjustRightInd w:val="0"/>
        <w:spacing w:line="400" w:lineRule="atLeast"/>
        <w:ind w:firstLine="480" w:firstLineChars="2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法定代表人：</w:t>
      </w:r>
    </w:p>
    <w:p w14:paraId="737C2C35">
      <w:pPr>
        <w:autoSpaceDE w:val="0"/>
        <w:autoSpaceDN w:val="0"/>
        <w:adjustRightInd w:val="0"/>
        <w:spacing w:line="400" w:lineRule="atLeast"/>
        <w:ind w:firstLine="480" w:firstLineChars="2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或</w:t>
      </w:r>
    </w:p>
    <w:p w14:paraId="7DB8D3AD">
      <w:pPr>
        <w:autoSpaceDE w:val="0"/>
        <w:autoSpaceDN w:val="0"/>
        <w:adjustRightInd w:val="0"/>
        <w:spacing w:line="400" w:lineRule="atLeast"/>
        <w:ind w:firstLine="6000" w:firstLineChars="2500"/>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被委托人：</w:t>
      </w:r>
      <w:r>
        <w:rPr>
          <w:rFonts w:hint="eastAsia" w:ascii="仿宋_GB2312" w:hAnsi="仿宋_GB2312" w:eastAsia="仿宋_GB2312" w:cs="仿宋_GB2312"/>
          <w:bCs/>
          <w:color w:val="000000" w:themeColor="text1"/>
          <w:sz w:val="24"/>
          <w:szCs w:val="24"/>
          <w14:textFill>
            <w14:solidFill>
              <w14:schemeClr w14:val="tx1"/>
            </w14:solidFill>
          </w14:textFill>
        </w:rPr>
        <w:t xml:space="preserve">           </w:t>
      </w:r>
    </w:p>
    <w:p w14:paraId="369D9FBD">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签署日期：</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年</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月</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日</w:t>
      </w:r>
    </w:p>
    <w:p w14:paraId="5805F44B">
      <w:pPr>
        <w:autoSpaceDE w:val="0"/>
        <w:autoSpaceDN w:val="0"/>
        <w:adjustRightInd w:val="0"/>
        <w:spacing w:line="400" w:lineRule="exact"/>
        <w:ind w:firstLine="48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乙方</w:t>
      </w:r>
      <w:r>
        <w:rPr>
          <w:rFonts w:hint="eastAsia" w:ascii="仿宋_GB2312" w:hAnsi="仿宋_GB2312" w:eastAsia="仿宋_GB2312" w:cs="仿宋_GB2312"/>
          <w:color w:val="000000" w:themeColor="text1"/>
          <w:sz w:val="24"/>
          <w:szCs w:val="24"/>
          <w:lang w:val="zh-CN"/>
          <w14:textFill>
            <w14:solidFill>
              <w14:schemeClr w14:val="tx1"/>
            </w14:solidFill>
          </w14:textFill>
        </w:rPr>
        <w:t>确认：我司已完全理解并清楚贵司对</w:t>
      </w:r>
      <w:r>
        <w:rPr>
          <w:rFonts w:hint="eastAsia" w:ascii="仿宋_GB2312" w:hAnsi="仿宋_GB2312" w:eastAsia="仿宋_GB2312" w:cs="仿宋_GB2312"/>
          <w:color w:val="000000" w:themeColor="text1"/>
          <w:sz w:val="24"/>
          <w:szCs w:val="24"/>
          <w14:textFill>
            <w14:solidFill>
              <w14:schemeClr w14:val="tx1"/>
            </w14:solidFill>
          </w14:textFill>
        </w:rPr>
        <w:t xml:space="preserve">项目部及项目经理的授权范围，并严格遵照执行。超出贵司授权范围的行为属于无权代理行为，对贵司无效，贵司不承担任何法律责任。我司将谨慎审查相关文件的签署主体资格和权限，对于无权代理人签署的相关文件，应及时与贵司核实。      </w:t>
      </w:r>
    </w:p>
    <w:p w14:paraId="7779CAE4">
      <w:pPr>
        <w:spacing w:line="400" w:lineRule="exact"/>
        <w:ind w:right="210" w:rightChars="1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乙方（公章）：           </w:t>
      </w:r>
    </w:p>
    <w:p w14:paraId="16699161">
      <w:pPr>
        <w:autoSpaceDE w:val="0"/>
        <w:autoSpaceDN w:val="0"/>
        <w:adjustRightInd w:val="0"/>
        <w:spacing w:line="400" w:lineRule="atLeast"/>
        <w:ind w:firstLine="1680" w:firstLineChars="7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法定代表人：</w:t>
      </w:r>
    </w:p>
    <w:p w14:paraId="6AFAF626">
      <w:pPr>
        <w:autoSpaceDE w:val="0"/>
        <w:autoSpaceDN w:val="0"/>
        <w:adjustRightInd w:val="0"/>
        <w:spacing w:line="400" w:lineRule="atLeast"/>
        <w:ind w:firstLine="480" w:firstLineChars="2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或</w:t>
      </w:r>
    </w:p>
    <w:p w14:paraId="38C20DAF">
      <w:pPr>
        <w:autoSpaceDE w:val="0"/>
        <w:autoSpaceDN w:val="0"/>
        <w:adjustRightInd w:val="0"/>
        <w:spacing w:line="400" w:lineRule="atLeast"/>
        <w:ind w:firstLine="1920" w:firstLineChars="8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被委托人：</w:t>
      </w:r>
    </w:p>
    <w:p w14:paraId="0793D269">
      <w:pPr>
        <w:autoSpaceDE w:val="0"/>
        <w:autoSpaceDN w:val="0"/>
        <w:adjustRightInd w:val="0"/>
        <w:spacing w:line="400" w:lineRule="exact"/>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签署日期：</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年</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月</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lang w:val="zh-CN"/>
          <w14:textFill>
            <w14:solidFill>
              <w14:schemeClr w14:val="tx1"/>
            </w14:solidFill>
          </w14:textFill>
        </w:rPr>
        <w:t>日</w:t>
      </w:r>
    </w:p>
    <w:p w14:paraId="18513D23">
      <w:pPr>
        <w:autoSpaceDE w:val="0"/>
        <w:autoSpaceDN w:val="0"/>
        <w:adjustRightInd w:val="0"/>
        <w:spacing w:line="400" w:lineRule="exact"/>
        <w:ind w:firstLine="480"/>
        <w:rPr>
          <w:rFonts w:ascii="仿宋_GB2312" w:hAnsi="仿宋_GB2312" w:eastAsia="仿宋_GB2312" w:cs="仿宋_GB2312"/>
          <w:color w:val="000000" w:themeColor="text1"/>
          <w:sz w:val="24"/>
          <w:szCs w:val="24"/>
          <w:highlight w:val="none"/>
          <w14:textFill>
            <w14:solidFill>
              <w14:schemeClr w14:val="tx1"/>
            </w14:solidFill>
          </w14:textFill>
        </w:rPr>
      </w:pPr>
    </w:p>
    <w:p w14:paraId="308D3756">
      <w:pPr>
        <w:spacing w:line="400" w:lineRule="exact"/>
        <w:ind w:right="210" w:rightChars="100"/>
        <w:outlineLvl w:val="0"/>
        <w:rPr>
          <w:rFonts w:hint="eastAsia" w:ascii="仿宋_GB2312" w:hAnsi="仿宋_GB2312" w:eastAsia="仿宋_GB2312" w:cs="仿宋_GB2312"/>
          <w:color w:val="000000" w:themeColor="text1"/>
          <w:sz w:val="30"/>
          <w:szCs w:val="30"/>
          <w:highlight w:val="none"/>
          <w14:textFill>
            <w14:solidFill>
              <w14:schemeClr w14:val="tx1"/>
            </w14:solidFill>
          </w14:textFill>
        </w:rPr>
      </w:pPr>
      <w:bookmarkStart w:id="78" w:name="_Toc11293"/>
      <w:bookmarkStart w:id="79" w:name="_Toc15118"/>
      <w:bookmarkStart w:id="80" w:name="_Toc20069"/>
    </w:p>
    <w:p w14:paraId="4B2FC3AC">
      <w:pPr>
        <w:spacing w:line="400" w:lineRule="exact"/>
        <w:ind w:right="210" w:rightChars="100"/>
        <w:outlineLvl w:val="0"/>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2A0D36E0">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附件三：</w:t>
      </w:r>
      <w:bookmarkEnd w:id="78"/>
      <w:bookmarkEnd w:id="79"/>
      <w:bookmarkEnd w:id="80"/>
    </w:p>
    <w:p w14:paraId="421A0A62">
      <w:pPr>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安全管理协议书</w:t>
      </w:r>
    </w:p>
    <w:p w14:paraId="3486D6A1">
      <w:pPr>
        <w:wordWrap w:val="0"/>
        <w:spacing w:line="400" w:lineRule="exact"/>
        <w:jc w:val="righ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4D9E91F8">
      <w:pPr>
        <w:spacing w:line="400" w:lineRule="exact"/>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甲方：</w:t>
      </w:r>
      <w:permStart w:id="94" w:edGrp="everyone"/>
      <w:bookmarkStart w:id="81" w:name="_Hlk126826529"/>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中建</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路桥</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集团有限公司</w:t>
      </w:r>
      <w:bookmarkEnd w:id="81"/>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   </w:t>
      </w:r>
      <w:permEnd w:id="94"/>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4"/>
          <w:szCs w:val="24"/>
          <w:highlight w:val="none"/>
          <w14:textFill>
            <w14:solidFill>
              <w14:schemeClr w14:val="tx1"/>
            </w14:solidFill>
          </w14:textFill>
        </w:rPr>
        <w:t xml:space="preserve"> </w:t>
      </w:r>
    </w:p>
    <w:p w14:paraId="37B682EA">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乙方：</w:t>
      </w:r>
      <w:permStart w:id="95" w:edGrp="everyone"/>
      <w:r>
        <w:rPr>
          <w:rFonts w:hint="eastAsia" w:ascii="仿宋_GB2312" w:hAnsi="仿宋_GB2312" w:eastAsia="仿宋_GB2312" w:cs="仿宋_GB2312"/>
          <w:b/>
          <w:color w:val="000000" w:themeColor="text1"/>
          <w:sz w:val="24"/>
          <w:szCs w:val="24"/>
          <w:highlight w:val="none"/>
          <w:u w:val="single"/>
          <w14:textFill>
            <w14:solidFill>
              <w14:schemeClr w14:val="tx1"/>
            </w14:solidFill>
          </w14:textFill>
        </w:rPr>
        <w:t xml:space="preserve">                       </w:t>
      </w:r>
      <w:permEnd w:id="95"/>
      <w:r>
        <w:rPr>
          <w:rFonts w:hint="eastAsia" w:ascii="仿宋_GB2312" w:hAnsi="仿宋_GB2312" w:eastAsia="仿宋_GB2312" w:cs="仿宋_GB2312"/>
          <w:b/>
          <w:color w:val="000000" w:themeColor="text1"/>
          <w:sz w:val="24"/>
          <w:szCs w:val="24"/>
          <w:highlight w:val="none"/>
          <w:u w:val="single"/>
          <w14:textFill>
            <w14:solidFill>
              <w14:schemeClr w14:val="tx1"/>
            </w14:solidFill>
          </w14:textFill>
        </w:rPr>
        <w:t xml:space="preserve"> </w:t>
      </w:r>
    </w:p>
    <w:p w14:paraId="401DC3D8">
      <w:pPr>
        <w:pStyle w:val="7"/>
        <w:tabs>
          <w:tab w:val="left" w:pos="2100"/>
        </w:tabs>
        <w:spacing w:line="400" w:lineRule="exact"/>
        <w:ind w:right="210" w:rightChars="100" w:firstLine="432"/>
        <w:rPr>
          <w:rFonts w:hAnsi="仿宋_GB2312" w:cs="仿宋_GB2312"/>
          <w:color w:val="000000" w:themeColor="text1"/>
          <w:sz w:val="24"/>
          <w:highlight w:val="none"/>
          <w14:textFill>
            <w14:solidFill>
              <w14:schemeClr w14:val="tx1"/>
            </w14:solidFill>
          </w14:textFill>
        </w:rPr>
      </w:pPr>
      <w:r>
        <w:rPr>
          <w:rFonts w:hint="eastAsia" w:hAnsi="仿宋_GB2312" w:cs="仿宋_GB2312"/>
          <w:color w:val="000000" w:themeColor="text1"/>
          <w:sz w:val="24"/>
          <w:highlight w:val="none"/>
          <w14:textFill>
            <w14:solidFill>
              <w14:schemeClr w14:val="tx1"/>
            </w14:solidFill>
          </w14:textFill>
        </w:rPr>
        <w:t xml:space="preserve">根据《中华人民共和国民法典》、《安全生产法》及有关法律规定，遵循平等、自愿、公平和诚实信用的原则，双方就合同范围内且在项目部施工现场范围内安全事项协商一致，订立本合同并共同遵守。 </w:t>
      </w:r>
    </w:p>
    <w:p w14:paraId="1E68A51D">
      <w:pPr>
        <w:snapToGrid w:val="0"/>
        <w:spacing w:line="400" w:lineRule="exact"/>
        <w:ind w:firstLine="555"/>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第一条 共同约定  </w:t>
      </w:r>
    </w:p>
    <w:p w14:paraId="337DC5E8">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双方应共同遵守《安全生产法》、《中华人民共和国建筑法》、《建设工程安全生产管理条例》、《房屋建筑和市政基础设施工程分包管理办法》《安全生产许可证条例》等一系列有关安全生产的法律法规，严格执行建设部标准</w:t>
      </w:r>
      <w:permStart w:id="96"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JGJ59—2011《建筑安全施工检查标准》</w:t>
      </w:r>
      <w:permEnd w:id="96"/>
      <w:r>
        <w:rPr>
          <w:rFonts w:hint="eastAsia" w:ascii="仿宋_GB2312" w:hAnsi="仿宋_GB2312" w:eastAsia="仿宋_GB2312" w:cs="仿宋_GB2312"/>
          <w:color w:val="000000" w:themeColor="text1"/>
          <w:sz w:val="24"/>
          <w:szCs w:val="24"/>
          <w:highlight w:val="none"/>
          <w14:textFill>
            <w14:solidFill>
              <w14:schemeClr w14:val="tx1"/>
            </w14:solidFill>
          </w14:textFill>
        </w:rPr>
        <w:t>等一系列标准规程及</w:t>
      </w:r>
      <w:permStart w:id="97" w:edGrp="everyone"/>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邢台</w:t>
      </w:r>
      <w:permEnd w:id="97"/>
      <w:bookmarkStart w:id="132" w:name="_GoBack"/>
      <w:bookmarkEnd w:id="132"/>
      <w:r>
        <w:rPr>
          <w:rFonts w:hint="eastAsia" w:ascii="仿宋_GB2312" w:hAnsi="仿宋_GB2312" w:eastAsia="仿宋_GB2312" w:cs="仿宋_GB2312"/>
          <w:color w:val="000000" w:themeColor="text1"/>
          <w:sz w:val="24"/>
          <w:szCs w:val="24"/>
          <w:highlight w:val="none"/>
          <w14:textFill>
            <w14:solidFill>
              <w14:schemeClr w14:val="tx1"/>
            </w14:solidFill>
          </w14:textFill>
        </w:rPr>
        <w:t>市有关安全生产的规章制度。</w:t>
      </w:r>
    </w:p>
    <w:p w14:paraId="479975CC">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2、双方应共同遵守</w:t>
      </w:r>
      <w:permStart w:id="98" w:edGrp="everyone"/>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中建集团</w:t>
      </w:r>
      <w:r>
        <w:rPr>
          <w:rFonts w:hint="eastAsia" w:ascii="仿宋_GB2312" w:hAnsi="仿宋_GB2312" w:eastAsia="仿宋_GB2312" w:cs="仿宋_GB2312"/>
          <w:color w:val="000000" w:themeColor="text1"/>
          <w:sz w:val="24"/>
          <w:szCs w:val="24"/>
          <w:highlight w:val="none"/>
          <w:u w:val="single"/>
          <w14:textFill>
            <w14:solidFill>
              <w14:schemeClr w14:val="tx1"/>
            </w14:solidFill>
          </w14:textFill>
        </w:rPr>
        <w:t>、中建交通</w:t>
      </w:r>
      <w:r>
        <w:rPr>
          <w:rFonts w:hint="eastAsia" w:ascii="仿宋_GB2312" w:hAnsi="仿宋_GB2312" w:eastAsia="仿宋_GB2312" w:cs="仿宋_GB2312"/>
          <w:color w:val="000000" w:themeColor="text1"/>
          <w:sz w:val="24"/>
          <w:szCs w:val="24"/>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single"/>
          <w:lang w:val="en-US" w:eastAsia="zh-CN"/>
          <w14:textFill>
            <w14:solidFill>
              <w14:schemeClr w14:val="tx1"/>
            </w14:solidFill>
          </w14:textFill>
        </w:rPr>
        <w:t>中建路桥</w:t>
      </w:r>
      <w:permEnd w:id="98"/>
      <w:r>
        <w:rPr>
          <w:rFonts w:hint="eastAsia" w:ascii="仿宋_GB2312" w:hAnsi="仿宋_GB2312" w:eastAsia="仿宋_GB2312" w:cs="仿宋_GB2312"/>
          <w:color w:val="000000" w:themeColor="text1"/>
          <w:sz w:val="24"/>
          <w:szCs w:val="24"/>
          <w:highlight w:val="none"/>
          <w14:textFill>
            <w14:solidFill>
              <w14:schemeClr w14:val="tx1"/>
            </w14:solidFill>
          </w14:textFill>
        </w:rPr>
        <w:t>等系列安全生产规章制度。贯彻执行项目职业健康安全和环境管理体系的各项要求。</w:t>
      </w:r>
    </w:p>
    <w:p w14:paraId="20C27595">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3、安全文明施工管理目标、指标：以项目部总包单位制定的为准。</w:t>
      </w:r>
    </w:p>
    <w:p w14:paraId="6FFD04F3">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4、在甲方施工区域以外场所安全工作及发生的不良后果由乙方自行承担。</w:t>
      </w:r>
    </w:p>
    <w:p w14:paraId="0A257260">
      <w:pPr>
        <w:pStyle w:val="14"/>
        <w:spacing w:line="400" w:lineRule="exact"/>
        <w:ind w:firstLine="482" w:firstLineChars="200"/>
        <w:rPr>
          <w:rFonts w:ascii="仿宋_GB2312" w:hAnsi="仿宋_GB2312" w:eastAsia="仿宋_GB2312" w:cs="仿宋_GB2312"/>
          <w:b/>
          <w:bCs/>
          <w:color w:val="000000" w:themeColor="text1"/>
          <w:kern w:val="2"/>
          <w:highlight w:val="none"/>
          <w14:textFill>
            <w14:solidFill>
              <w14:schemeClr w14:val="tx1"/>
            </w14:solidFill>
          </w14:textFill>
        </w:rPr>
      </w:pPr>
      <w:r>
        <w:rPr>
          <w:rFonts w:hint="eastAsia" w:ascii="仿宋_GB2312" w:hAnsi="仿宋_GB2312" w:eastAsia="仿宋_GB2312" w:cs="仿宋_GB2312"/>
          <w:b/>
          <w:bCs/>
          <w:color w:val="000000" w:themeColor="text1"/>
          <w:kern w:val="2"/>
          <w:highlight w:val="none"/>
          <w14:textFill>
            <w14:solidFill>
              <w14:schemeClr w14:val="tx1"/>
            </w14:solidFill>
          </w14:textFill>
        </w:rPr>
        <w:t>第二条 环境与职业健康安全</w:t>
      </w:r>
    </w:p>
    <w:p w14:paraId="771801A1">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1、乙方车辆及材料在运输途中及到达甲方现场后应遵守国家和地方现行的有关环境保护、职业健康安全的法律、法规和其他要求。</w:t>
      </w:r>
    </w:p>
    <w:p w14:paraId="1F553BA0">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2、乙方需遵守《道路交通安全法》，应当给负责运送货物的车辆办理交强险及商业保险，否则发生的人员伤亡事故或货物毁损由责任方承担，与甲方无关。</w:t>
      </w:r>
    </w:p>
    <w:p w14:paraId="59EC529D">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乙方货物到达指定堆场或仓库等甲方指定地点，装卸、运输过程中的人员、机械、车辆安全，应按国家及地方规定办理相关手续。如因运载车辆事故、卸货等原因导致的乙方及任何第三方的人身伤害及经济损失均由乙方负责，并补偿甲方及其他方因此造成的损失。</w:t>
      </w:r>
    </w:p>
    <w:p w14:paraId="5DD907BF">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4、乙方到施工现场的人员必须佩戴安全帽，穿戴整洁，严禁吸烟和大声喧哗，遵守需方项目的规章制度，否则将按需方有关制度处罚。</w:t>
      </w:r>
    </w:p>
    <w:p w14:paraId="25B6BED7">
      <w:pPr>
        <w:snapToGrid w:val="0"/>
        <w:spacing w:line="400" w:lineRule="exact"/>
        <w:ind w:firstLine="556"/>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5、由于非甲方的任何第三方原因导致乙方人员伤亡及财产损害均由乙方承担相应损失。</w:t>
      </w:r>
    </w:p>
    <w:p w14:paraId="0DD7184A">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第三条 甲方的安全责任、权利和义务  </w:t>
      </w:r>
    </w:p>
    <w:p w14:paraId="649671BB">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1、甲方在现场履行管理、监督职责，认真履行第一条共同约定的内容，对乙方在进入总包施工现场的施工安全进行监督、指导、检查。 </w:t>
      </w:r>
    </w:p>
    <w:p w14:paraId="23169DE5">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2、对乙方安排生产、运输任务的同时，对按照规定程序审批的施工组织设计进行书面安全技术交底，并办理交底双方签字手续（如有）。 </w:t>
      </w:r>
    </w:p>
    <w:p w14:paraId="0A046344">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3、在合同中约定由甲方向使用单位提供的安全防护设施，应完整齐全，并且符合安全要求，并整改乙方提出的不安全问题。</w:t>
      </w:r>
    </w:p>
    <w:p w14:paraId="6FD189BC">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4、有权制止乙方的违章作业，对重大违章行为有权责令其停工整顿；对于乙方的违章行为，甲方有进行安全违约处罚的权利；因乙方责任造成防护设施、防护用品等损坏、改变或遗失，或者环境破坏，可要求乙方赔偿或恢复。 </w:t>
      </w:r>
    </w:p>
    <w:p w14:paraId="45FD5E7A">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5、对安全素质差、不服从安全生产管理的人员责令其限期退场，造成的工期损失、经济损失由乙方承担。对不执行规章制度的人员，可视情节轻重，按照项目奖罚制度进行安全违约处罚。</w:t>
      </w:r>
    </w:p>
    <w:p w14:paraId="31F29344">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6、对达不到规定的安全生产条件、存在重大安全隐患或发生安全事故，可要求乙方限期退场，或者中止合同，造成项目工期损失、经济损失由乙方承担。</w:t>
      </w:r>
    </w:p>
    <w:p w14:paraId="604D60B6">
      <w:pPr>
        <w:snapToGrid w:val="0"/>
        <w:spacing w:line="400" w:lineRule="exact"/>
        <w:ind w:firstLine="555"/>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7、按照规定要求对乙方自有的材料和自带（含租赁）施工机具、起重 吊装设备、运输车辆等进行安全生产监督检查，有权拒绝乙方不合格产品进场（已进场的限期退场）。</w:t>
      </w:r>
    </w:p>
    <w:p w14:paraId="76D0970B">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14:textFill>
            <w14:solidFill>
              <w14:schemeClr w14:val="tx1"/>
            </w14:solidFill>
          </w14:textFill>
        </w:rPr>
        <w:t>与安全生产关系直接的大型设备、特种设备、安全设施设备、防护用品进场时，项目安全生产监督管理部门应参与验收，验收合格签字后方可进场。</w:t>
      </w:r>
    </w:p>
    <w:p w14:paraId="76D6C83D">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第四条 乙方的安全责任、权利和义务  </w:t>
      </w:r>
    </w:p>
    <w:p w14:paraId="1F5D9FA1">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1、乙方应认真履行第一条共同约定的内容，接受甲方的监督、检查工作。</w:t>
      </w:r>
    </w:p>
    <w:p w14:paraId="489F8940">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2、乙方应具备所供货物的运输资质或证照，不得跨资质承运相应货物。若乙方委托第三方单位承运相应货物，不解除乙方应承担本合同项下的义务和责任。</w:t>
      </w:r>
    </w:p>
    <w:p w14:paraId="22E764AD">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乙方运输前对货物性质、形状充分认识并制定相应运输措施，必要情况下准备运输防护用品及货物运输应急用品。如有特定需求运输超大、超重、异形等道路通行规定以外的货物，应按照设计文件提示等采用特定的运输方式并制定安全防范措施。</w:t>
      </w:r>
    </w:p>
    <w:p w14:paraId="2F958CAF">
      <w:pPr>
        <w:snapToGrid w:val="0"/>
        <w:spacing w:line="400" w:lineRule="exact"/>
        <w:ind w:firstLine="480" w:firstLineChars="2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负责本单位特种作业人员、运输车辆司机、起重吊装作业司机指挥等人的培训、考核和取证，必须做到进入施工现场的人员持证上岗。进入施工现场作业要有专人在现场履行管理职责，并对未认真履行职责的后果负责。</w:t>
      </w:r>
    </w:p>
    <w:p w14:paraId="3D9F645F">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5、对本单位员工进行安全三级教育，进行安全技术交底，交底报甲方备案。保证进场人员符合相关要求，身体情况能适应本行业工作，熟悉现场一般安全规定及本工种安全操作规程，并进行进场岗前教育，未经过培训教育的工人不得安排进行现场工作；</w:t>
      </w:r>
    </w:p>
    <w:p w14:paraId="66861640">
      <w:pPr>
        <w:snapToGrid w:val="0"/>
        <w:spacing w:line="400" w:lineRule="exact"/>
        <w:ind w:firstLine="453"/>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6、不得违章指挥，或强令工人冒险作业，也不能强迫工人连续长时间作业，更不能进入指定禁区及非本工作作业区域。不得私自翻越防护，攀爬架体、私自接电等违章作业行为，不得在高处危险作业和各种提升机械的垂直下方穿行或停留（如：吊篮、电梯笼）。 </w:t>
      </w:r>
    </w:p>
    <w:p w14:paraId="05038C70">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7、对甲方所提供的安全设施不能保证安全施工时，应及时提出，也可拒绝施工；在施工中不得未经甲方现场负责人同意私自拆除安全防护设施。 </w:t>
      </w:r>
    </w:p>
    <w:p w14:paraId="79331438">
      <w:pPr>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8、乙方自备的设备及工具必须保证环保、性能良好、各安全装置齐全灵敏有效。进工地前必须报项目监督试机，验收并填写验收表，达不到环保和</w:t>
      </w:r>
      <w:permStart w:id="99" w:edGrp="everyone"/>
      <w:r>
        <w:rPr>
          <w:rFonts w:hint="eastAsia" w:ascii="仿宋_GB2312" w:hAnsi="仿宋_GB2312" w:eastAsia="仿宋_GB2312" w:cs="仿宋_GB2312"/>
          <w:color w:val="000000" w:themeColor="text1"/>
          <w:sz w:val="24"/>
          <w:szCs w:val="24"/>
          <w:highlight w:val="none"/>
          <w14:textFill>
            <w14:solidFill>
              <w14:schemeClr w14:val="tx1"/>
            </w14:solidFill>
          </w14:textFill>
        </w:rPr>
        <w:t>《JGJ59—2011》标准</w:t>
      </w:r>
      <w:permEnd w:id="99"/>
      <w:r>
        <w:rPr>
          <w:rFonts w:hint="eastAsia" w:ascii="仿宋_GB2312" w:hAnsi="仿宋_GB2312" w:eastAsia="仿宋_GB2312" w:cs="仿宋_GB2312"/>
          <w:color w:val="000000" w:themeColor="text1"/>
          <w:sz w:val="24"/>
          <w:szCs w:val="24"/>
          <w:highlight w:val="none"/>
          <w14:textFill>
            <w14:solidFill>
              <w14:schemeClr w14:val="tx1"/>
            </w14:solidFill>
          </w14:textFill>
        </w:rPr>
        <w:t>的设备及工具严禁在工地使用。</w:t>
      </w:r>
    </w:p>
    <w:p w14:paraId="7F94E821">
      <w:pPr>
        <w:spacing w:line="400" w:lineRule="exact"/>
        <w:ind w:firstLine="480" w:firstLineChars="200"/>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9、乙方自带设备或工具必须相匹配的质量合格的电缆线，并自备符合当地主管部门要求的末级标准配电箱。</w:t>
      </w:r>
    </w:p>
    <w:p w14:paraId="16411CF4">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10、必须按规定提取和使用安全技术措施经费，为作业人员提供符合国家标准或行业标准的劳动防护用品，并督促、教育作业人员按照使用规则佩戴、使用。 </w:t>
      </w:r>
    </w:p>
    <w:p w14:paraId="4D9F987D">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11、对甲方人员违章指挥或者可能危及人身安全、财产损失的指挥，乙方有权拒绝。 </w:t>
      </w:r>
    </w:p>
    <w:p w14:paraId="68A55E43">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12、不得进行违反安全法律和其他、安全生产规章制度的行为。</w:t>
      </w:r>
    </w:p>
    <w:p w14:paraId="16AF6FC1">
      <w:pPr>
        <w:snapToGrid w:val="0"/>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13、乙方对供应的材料在甲方施工场地外运输过程发生的安全事故承担全部责任，不得向甲方提出索赔要求。</w:t>
      </w:r>
    </w:p>
    <w:p w14:paraId="2305D798">
      <w:pPr>
        <w:spacing w:line="400" w:lineRule="exact"/>
        <w:jc w:val="left"/>
        <w:rPr>
          <w:rFonts w:ascii="仿宋_GB2312" w:hAnsi="仿宋_GB2312" w:eastAsia="仿宋_GB2312" w:cs="仿宋_GB2312"/>
          <w:color w:val="000000" w:themeColor="text1"/>
          <w:sz w:val="24"/>
          <w:szCs w:val="24"/>
          <w:highlight w:val="none"/>
          <w:shd w:val="clear" w:color="auto" w:fill="FF0000"/>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14、乙方对因自身原因发生的安全事故承担全部责任。由于乙方原因而引发的被当地有关部门处罚的各类事件，乙方承担相应罚款、工期损失及经济损失；</w:t>
      </w:r>
    </w:p>
    <w:p w14:paraId="2639BFD5">
      <w:pPr>
        <w:spacing w:line="400" w:lineRule="exact"/>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15、在施工现场发生事故时，应积极抢救伤员，保护事故现场，防止事故扩大，按甲方要求提供事故有关资料，并配合调查。</w:t>
      </w:r>
    </w:p>
    <w:p w14:paraId="6EA7307E">
      <w:pPr>
        <w:spacing w:line="400" w:lineRule="exact"/>
        <w:jc w:val="left"/>
        <w:rPr>
          <w:rFonts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    第五条 事故处理 </w:t>
      </w:r>
    </w:p>
    <w:p w14:paraId="2554580C">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若发生事故应立即启动事故应急预案，采取有效措施组织抢救，防止事故扩大，减少人员伤亡和财产损失，同时应按《生产安全事故报告和调查处理条例》(493号令)的规定进行事故处理及上报。乙方应及时将事故情况向甲方上报，不得迟报、漏报、谎报或瞒报。</w:t>
      </w:r>
    </w:p>
    <w:p w14:paraId="0A6D1852">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2、在施工现场内发生重伤或死亡事故，由甲方主管部门牵头，乙方为主，甲乙双方共同参加，按照规定报告有关部门进行调查，查清事故原因，分清事故责任，提出对事故责任者的处理意见。 </w:t>
      </w:r>
    </w:p>
    <w:p w14:paraId="1CF87204">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3、由于没有认真履行安全责任，造成重大伤亡事故，情节严重的主要直接责任者，已触及国家刑律，应提请有关部门进行调查处理。 </w:t>
      </w:r>
    </w:p>
    <w:p w14:paraId="72C84D53">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4、对不认真履行本合同，违章指挥、违章作业、冒险进入施工禁区及损坏安全防护设施、不按规定进行安全技术交底及组织施工，造成伤亡事故的，应由事故责任方承担罚款及一切经济损失和责任。 </w:t>
      </w:r>
    </w:p>
    <w:p w14:paraId="0579EC8D">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5、由于甲方主要责任造成的伤亡事故，乙方有权要求甲方进行经济赔偿。由于乙方主要责任造成的伤亡事故，甲方有权要求乙方承担违约责任。</w:t>
      </w:r>
    </w:p>
    <w:p w14:paraId="67784FE3">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6、由于第三方责任导致乙方人员伤亡，及由于乙方责任导致第三方人员伤亡，由乙方负责并处理。</w:t>
      </w:r>
    </w:p>
    <w:p w14:paraId="51F6258D">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对乙方因自身原因发生的安全事故，如因工人自身误操作、违章作业、冒险进入施工禁区、损坏安全设施、乙方不按规定对工人进行安全交底、班前活动等等，所造成的或主要责任在乙方的伤害事故，所发生的一切责任及费用由乙方承担。</w:t>
      </w:r>
    </w:p>
    <w:p w14:paraId="2A065B35">
      <w:pPr>
        <w:snapToGrid w:val="0"/>
        <w:spacing w:line="400" w:lineRule="exact"/>
        <w:ind w:firstLine="555"/>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乙方积极配合甲方做好事故的善后处理工作，若伤亡人员为乙方雇佣、招录人员，乙方应及时负责伤亡人员及家属的接待善后工作，因此发生的医疗费、护理费、赔偿费等费用由乙方先垫付，最后由事故责任方一次性承担，因未积极配合甲方对事故进行善后处理而产生的一切法律责任及经济处罚由乙方自负。</w:t>
      </w:r>
    </w:p>
    <w:p w14:paraId="7D056C25">
      <w:pPr>
        <w:spacing w:line="400" w:lineRule="exact"/>
        <w:ind w:firstLine="516" w:firstLineChars="214"/>
        <w:jc w:val="lef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第六条</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本合同生效条件与主合同相同。</w:t>
      </w:r>
    </w:p>
    <w:p w14:paraId="37E5BF96">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p>
    <w:p w14:paraId="052EB775">
      <w:pPr>
        <w:spacing w:line="400" w:lineRule="exact"/>
        <w:ind w:firstLine="57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bookmarkStart w:id="82" w:name="_Hlk127200928"/>
      <w:bookmarkStart w:id="83" w:name="_Hlk127203185"/>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甲方（盖章）：                        乙方（公章）：                    </w:t>
      </w:r>
    </w:p>
    <w:p w14:paraId="2E317F54">
      <w:pPr>
        <w:autoSpaceDE w:val="0"/>
        <w:autoSpaceDN w:val="0"/>
        <w:adjustRightInd w:val="0"/>
        <w:spacing w:line="400" w:lineRule="atLeast"/>
        <w:ind w:firstLine="960" w:firstLineChars="400"/>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bookmarkEnd w:id="82"/>
    </w:p>
    <w:p w14:paraId="1ABB5A3D">
      <w:pPr>
        <w:autoSpaceDE w:val="0"/>
        <w:autoSpaceDN w:val="0"/>
        <w:adjustRightInd w:val="0"/>
        <w:spacing w:line="400" w:lineRule="atLeast"/>
        <w:ind w:firstLine="960" w:firstLineChars="4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24DA550D">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698BB306">
      <w:pPr>
        <w:autoSpaceDE w:val="0"/>
        <w:autoSpaceDN w:val="0"/>
        <w:adjustRightInd w:val="0"/>
        <w:spacing w:line="400" w:lineRule="atLeast"/>
        <w:ind w:firstLine="1200" w:firstLineChars="5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p>
    <w:p w14:paraId="223C675A">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1C198C38">
      <w:pPr>
        <w:spacing w:line="400" w:lineRule="exact"/>
        <w:ind w:firstLine="5040" w:firstLineChars="2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p>
    <w:p w14:paraId="12FF2E31">
      <w:pPr>
        <w:spacing w:line="400" w:lineRule="exact"/>
        <w:ind w:firstLine="5040" w:firstLineChars="210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bookmarkEnd w:id="83"/>
    </w:p>
    <w:p w14:paraId="2D471FF5">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br w:type="page"/>
      </w:r>
    </w:p>
    <w:p w14:paraId="15130A20">
      <w:pPr>
        <w:spacing w:line="400" w:lineRule="exact"/>
        <w:ind w:right="210" w:rightChars="100"/>
        <w:outlineLvl w:val="0"/>
        <w:rPr>
          <w:rFonts w:ascii="仿宋_GB2312" w:hAnsi="仿宋_GB2312" w:eastAsia="仿宋_GB2312" w:cs="仿宋_GB2312"/>
          <w:color w:val="000000" w:themeColor="text1"/>
          <w:sz w:val="30"/>
          <w:szCs w:val="30"/>
          <w:highlight w:val="none"/>
          <w14:textFill>
            <w14:solidFill>
              <w14:schemeClr w14:val="tx1"/>
            </w14:solidFill>
          </w14:textFill>
        </w:rPr>
      </w:pPr>
      <w:bookmarkStart w:id="84" w:name="_Toc24322"/>
      <w:bookmarkStart w:id="85" w:name="_Toc9726"/>
      <w:bookmarkStart w:id="86" w:name="_Toc776"/>
      <w:r>
        <w:rPr>
          <w:rFonts w:hint="eastAsia" w:ascii="仿宋_GB2312" w:hAnsi="仿宋_GB2312" w:eastAsia="仿宋_GB2312" w:cs="仿宋_GB2312"/>
          <w:color w:val="000000" w:themeColor="text1"/>
          <w:sz w:val="30"/>
          <w:szCs w:val="30"/>
          <w:highlight w:val="none"/>
          <w14:textFill>
            <w14:solidFill>
              <w14:schemeClr w14:val="tx1"/>
            </w14:solidFill>
          </w14:textFill>
        </w:rPr>
        <w:t>附件四：</w:t>
      </w:r>
      <w:bookmarkEnd w:id="84"/>
      <w:bookmarkEnd w:id="85"/>
      <w:bookmarkEnd w:id="86"/>
    </w:p>
    <w:p w14:paraId="5A8322D2">
      <w:pPr>
        <w:spacing w:line="400" w:lineRule="exact"/>
        <w:jc w:val="center"/>
        <w:rPr>
          <w:rFonts w:ascii="仿宋_GB2312" w:hAnsi="仿宋_GB2312" w:eastAsia="仿宋_GB2312" w:cs="仿宋_GB2312"/>
          <w:color w:val="000000" w:themeColor="text1"/>
          <w:sz w:val="30"/>
          <w:szCs w:val="30"/>
          <w:highlight w:val="none"/>
          <w14:textFill>
            <w14:solidFill>
              <w14:schemeClr w14:val="tx1"/>
            </w14:solidFill>
          </w14:textFill>
        </w:rPr>
      </w:pPr>
      <w:bookmarkStart w:id="87" w:name="_Toc16461"/>
      <w:r>
        <w:rPr>
          <w:rFonts w:hint="eastAsia" w:ascii="仿宋_GB2312" w:hAnsi="仿宋_GB2312" w:eastAsia="仿宋_GB2312" w:cs="仿宋_GB2312"/>
          <w:b/>
          <w:color w:val="000000" w:themeColor="text1"/>
          <w:sz w:val="30"/>
          <w:szCs w:val="30"/>
          <w:highlight w:val="none"/>
          <w14:textFill>
            <w14:solidFill>
              <w14:schemeClr w14:val="tx1"/>
            </w14:solidFill>
          </w14:textFill>
        </w:rPr>
        <w:t>廉洁从业共建协议</w:t>
      </w:r>
      <w:bookmarkEnd w:id="87"/>
    </w:p>
    <w:p w14:paraId="2692B293">
      <w:pPr>
        <w:spacing w:line="460" w:lineRule="exact"/>
        <w:ind w:firstLine="480" w:firstLineChars="200"/>
        <w:rPr>
          <w:rFonts w:hint="default" w:ascii="仿宋_GB2312" w:hAnsi="宋体" w:eastAsia="仿宋_GB2312"/>
          <w:color w:val="000000" w:themeColor="text1"/>
          <w:sz w:val="24"/>
          <w:szCs w:val="24"/>
          <w:highlight w:val="none"/>
          <w:lang w:val="en-US" w:eastAsia="zh-CN"/>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甲方：</w:t>
      </w:r>
      <w:permStart w:id="100" w:edGrp="everyone"/>
      <w:bookmarkStart w:id="88" w:name="_Hlk127190139"/>
      <w:r>
        <w:rPr>
          <w:rFonts w:hint="eastAsia" w:ascii="仿宋_GB2312" w:hAnsi="宋体" w:eastAsia="仿宋_GB2312"/>
          <w:color w:val="000000" w:themeColor="text1"/>
          <w:sz w:val="24"/>
          <w:szCs w:val="24"/>
          <w:highlight w:val="none"/>
          <w:u w:val="single"/>
          <w14:textFill>
            <w14:solidFill>
              <w14:schemeClr w14:val="tx1"/>
            </w14:solidFill>
          </w14:textFill>
        </w:rPr>
        <w:t>中建</w:t>
      </w:r>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路桥</w:t>
      </w:r>
      <w:r>
        <w:rPr>
          <w:rFonts w:hint="eastAsia" w:ascii="仿宋_GB2312" w:hAnsi="宋体" w:eastAsia="仿宋_GB2312"/>
          <w:color w:val="000000" w:themeColor="text1"/>
          <w:sz w:val="24"/>
          <w:szCs w:val="24"/>
          <w:highlight w:val="none"/>
          <w:u w:val="single"/>
          <w14:textFill>
            <w14:solidFill>
              <w14:schemeClr w14:val="tx1"/>
            </w14:solidFill>
          </w14:textFill>
        </w:rPr>
        <w:t>集团有限公司</w:t>
      </w:r>
      <w:bookmarkEnd w:id="88"/>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 xml:space="preserve">   </w:t>
      </w:r>
      <w:permEnd w:id="100"/>
      <w:r>
        <w:rPr>
          <w:rFonts w:hint="eastAsia" w:ascii="仿宋_GB2312" w:hAnsi="宋体" w:eastAsia="仿宋_GB2312"/>
          <w:color w:val="000000" w:themeColor="text1"/>
          <w:sz w:val="24"/>
          <w:szCs w:val="24"/>
          <w:highlight w:val="none"/>
          <w:u w:val="single"/>
          <w:lang w:val="en-US" w:eastAsia="zh-CN"/>
          <w14:textFill>
            <w14:solidFill>
              <w14:schemeClr w14:val="tx1"/>
            </w14:solidFill>
          </w14:textFill>
        </w:rPr>
        <w:t xml:space="preserve"> </w:t>
      </w:r>
    </w:p>
    <w:p w14:paraId="5F352B26">
      <w:pPr>
        <w:spacing w:line="46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乙方：</w:t>
      </w:r>
      <w:permStart w:id="101" w:edGrp="everyone"/>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r>
        <w:rPr>
          <w:rFonts w:ascii="仿宋_GB2312" w:hAnsi="宋体" w:eastAsia="仿宋_GB2312"/>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permEnd w:id="101"/>
      <w:r>
        <w:rPr>
          <w:rFonts w:hint="eastAsia" w:ascii="仿宋_GB2312" w:hAnsi="宋体" w:eastAsia="仿宋_GB2312"/>
          <w:color w:val="000000" w:themeColor="text1"/>
          <w:sz w:val="24"/>
          <w:szCs w:val="24"/>
          <w:highlight w:val="none"/>
          <w:u w:val="single"/>
          <w14:textFill>
            <w14:solidFill>
              <w14:schemeClr w14:val="tx1"/>
            </w14:solidFill>
          </w14:textFill>
        </w:rPr>
        <w:t xml:space="preserve"> </w:t>
      </w:r>
    </w:p>
    <w:p w14:paraId="7BCBCC03">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为加强建设工程廉政建设，规范建设工程各项活动中甲方、乙方双方的行为，防止谋取不正当利益的违法违纪现象的发生，保护国家、集体和当事人的合法权益，根据国家有关工程建设的法律法规和廉政建设的有关规定，订立本廉政责任书。</w:t>
      </w:r>
    </w:p>
    <w:p w14:paraId="619021CC">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89" w:name="_Toc300671949"/>
      <w:r>
        <w:rPr>
          <w:rFonts w:hint="eastAsia" w:ascii="仿宋_GB2312" w:hAnsi="宋体" w:eastAsia="仿宋_GB2312" w:cs="宋体"/>
          <w:color w:val="000000" w:themeColor="text1"/>
          <w:kern w:val="0"/>
          <w:sz w:val="24"/>
          <w:szCs w:val="24"/>
          <w:highlight w:val="none"/>
          <w14:textFill>
            <w14:solidFill>
              <w14:schemeClr w14:val="tx1"/>
            </w14:solidFill>
          </w14:textFill>
        </w:rPr>
        <w:t>一、双方的责任</w:t>
      </w:r>
      <w:bookmarkEnd w:id="89"/>
    </w:p>
    <w:p w14:paraId="2DD980AF">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1.1应严格遵守国家关于建设工程的有关法律、法规，相关政策，以及廉政建设的各项规定。</w:t>
      </w:r>
    </w:p>
    <w:p w14:paraId="47B4ECC5">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1.2严格执行建设工程合同文件，自觉按合同办事。</w:t>
      </w:r>
    </w:p>
    <w:p w14:paraId="000E612D">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1.3各项活动必须坚持公开、公平、公正、诚信、透明的原则(除法律法规另有规定者外)，不得为获取不正当的利益，损害国家、集体和对方利益，不得违反建设工程管理的规章制度。</w:t>
      </w:r>
    </w:p>
    <w:p w14:paraId="44B7F070">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90" w:name="_Hlk127535665"/>
      <w:r>
        <w:rPr>
          <w:rFonts w:hint="eastAsia" w:ascii="仿宋_GB2312" w:hAnsi="宋体" w:eastAsia="仿宋_GB2312" w:cs="宋体"/>
          <w:color w:val="000000" w:themeColor="text1"/>
          <w:kern w:val="0"/>
          <w:sz w:val="24"/>
          <w:szCs w:val="24"/>
          <w:highlight w:val="none"/>
          <w14:textFill>
            <w14:solidFill>
              <w14:schemeClr w14:val="tx1"/>
            </w14:solidFill>
          </w14:textFill>
        </w:rPr>
        <w:t>1.4发现双方在业务活动中有违规、违纪、违法行为的，应及时提醒对方，情节严重的，如实进行举报，一经查实，严肃处理。</w:t>
      </w:r>
    </w:p>
    <w:bookmarkEnd w:id="90"/>
    <w:p w14:paraId="19C7C85A">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91" w:name="_Toc300671950"/>
      <w:r>
        <w:rPr>
          <w:rFonts w:hint="eastAsia" w:ascii="仿宋_GB2312" w:hAnsi="宋体" w:eastAsia="仿宋_GB2312" w:cs="宋体"/>
          <w:color w:val="000000" w:themeColor="text1"/>
          <w:kern w:val="0"/>
          <w:sz w:val="24"/>
          <w:szCs w:val="24"/>
          <w:highlight w:val="none"/>
          <w14:textFill>
            <w14:solidFill>
              <w14:schemeClr w14:val="tx1"/>
            </w14:solidFill>
          </w14:textFill>
        </w:rPr>
        <w:t>二、甲方责任</w:t>
      </w:r>
      <w:bookmarkEnd w:id="91"/>
    </w:p>
    <w:p w14:paraId="110D6D41">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甲方相关人员和从事该建设工程项目的工作人员，在工程建设的事前、事中、事后应遵守以下规定：</w:t>
      </w:r>
    </w:p>
    <w:p w14:paraId="2B537289">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2.1按照甲方的招（议）标程序确定供应商，确保公正、公平对待所有合作方；不得在招标文件中有针对性地故意设定条件，以不公正的方法确定供应商；</w:t>
      </w:r>
    </w:p>
    <w:p w14:paraId="253DE0CF">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2.2</w:t>
      </w:r>
      <w:r>
        <w:rPr>
          <w:rFonts w:hint="eastAsia" w:ascii="仿宋_GB2312" w:hAnsi="宋体" w:eastAsia="仿宋_GB2312"/>
          <w:color w:val="000000" w:themeColor="text1"/>
          <w:sz w:val="24"/>
          <w:szCs w:val="24"/>
          <w:highlight w:val="none"/>
          <w14:textFill>
            <w14:solidFill>
              <w14:schemeClr w14:val="tx1"/>
            </w14:solidFill>
          </w14:textFill>
        </w:rPr>
        <w:t>按照甲方的项目管理流程办理乙方的各项业务（现场签证、验收、结算、付款等），对乙方员工的吃拿卡要行为坚决制止，如甲方员工出现上述情况以索贿论；</w:t>
      </w:r>
    </w:p>
    <w:p w14:paraId="466B45F9">
      <w:pPr>
        <w:widowControl/>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2.3</w:t>
      </w:r>
      <w:r>
        <w:rPr>
          <w:rFonts w:hint="eastAsia" w:ascii="仿宋_GB2312" w:hAnsi="宋体" w:eastAsia="仿宋_GB2312"/>
          <w:color w:val="000000" w:themeColor="text1"/>
          <w:sz w:val="24"/>
          <w:szCs w:val="24"/>
          <w:highlight w:val="none"/>
          <w14:textFill>
            <w14:solidFill>
              <w14:schemeClr w14:val="tx1"/>
            </w14:solidFill>
          </w14:textFill>
        </w:rPr>
        <w:t>不安排己方员工的亲友在乙方工作；</w:t>
      </w:r>
    </w:p>
    <w:p w14:paraId="4D994FAF">
      <w:pPr>
        <w:widowControl/>
        <w:spacing w:line="400" w:lineRule="exact"/>
        <w:ind w:firstLine="480" w:firstLineChars="200"/>
        <w:rPr>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2.4</w:t>
      </w:r>
      <w:r>
        <w:rPr>
          <w:rFonts w:hint="eastAsia" w:ascii="仿宋_GB2312" w:hAnsi="宋体" w:eastAsia="仿宋_GB2312"/>
          <w:color w:val="000000" w:themeColor="text1"/>
          <w:sz w:val="24"/>
          <w:szCs w:val="24"/>
          <w:highlight w:val="none"/>
          <w14:textFill>
            <w14:solidFill>
              <w14:schemeClr w14:val="tx1"/>
            </w14:solidFill>
          </w14:textFill>
        </w:rPr>
        <w:t>不得以任何理由向乙方推荐分包单位，不得要求乙方购买合同规定外的材料和设备；</w:t>
      </w:r>
    </w:p>
    <w:p w14:paraId="3862F946">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2.5不得向乙方和相关单位索要或接受回扣、礼金、有价证券、贵重物品和好处费、感谢费等。</w:t>
      </w:r>
    </w:p>
    <w:p w14:paraId="5CFB92D6">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2.6不得在乙方和相关单位报销任何应由业主方或个人支付的费用。</w:t>
      </w:r>
    </w:p>
    <w:p w14:paraId="001DB9D9">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2.7不得要求、暗示或接受乙方和相关单位为个人装修住房、婚丧嫁娶、配偶子女的工作安排以及出国(境)、旅游等提供方便。</w:t>
      </w:r>
    </w:p>
    <w:p w14:paraId="4CF3F0E0">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2.8不得参加有可能影响公正执行公务的乙方和相关单位的宴请、健身、娱乐等活动。</w:t>
      </w:r>
    </w:p>
    <w:p w14:paraId="04C342A4">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92" w:name="_Toc300671951"/>
      <w:r>
        <w:rPr>
          <w:rFonts w:hint="eastAsia" w:ascii="仿宋_GB2312" w:hAnsi="宋体" w:eastAsia="仿宋_GB2312" w:cs="宋体"/>
          <w:color w:val="000000" w:themeColor="text1"/>
          <w:kern w:val="0"/>
          <w:sz w:val="24"/>
          <w:szCs w:val="24"/>
          <w:highlight w:val="none"/>
          <w14:textFill>
            <w14:solidFill>
              <w14:schemeClr w14:val="tx1"/>
            </w14:solidFill>
          </w14:textFill>
        </w:rPr>
        <w:t>三、乙方责任</w:t>
      </w:r>
      <w:bookmarkEnd w:id="92"/>
    </w:p>
    <w:p w14:paraId="25C29F06">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应与甲方保持正常的业务交往，按照有关法律法规和程序开展业务工作，严格执行工程建设的有关方针、政策，执行工程建设强制性标准，并遵守以下规定：</w:t>
      </w:r>
    </w:p>
    <w:p w14:paraId="1552EC91">
      <w:pPr>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3.1</w:t>
      </w:r>
      <w:r>
        <w:rPr>
          <w:rFonts w:hint="eastAsia" w:ascii="仿宋_GB2312" w:hAnsi="宋体" w:eastAsia="仿宋_GB2312"/>
          <w:color w:val="000000" w:themeColor="text1"/>
          <w:sz w:val="24"/>
          <w:szCs w:val="24"/>
          <w:highlight w:val="none"/>
          <w14:textFill>
            <w14:solidFill>
              <w14:schemeClr w14:val="tx1"/>
            </w14:solidFill>
          </w14:textFill>
        </w:rPr>
        <w:t>根据自己的实力参与甲方的招（议）标，遵守甲方的管理制度；不得在招标之前或过程中，以不正当手段谋求中标。</w:t>
      </w:r>
    </w:p>
    <w:p w14:paraId="57A36AA5">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3.2不得向甲方员工及其亲属输送任何个人利益以寻求合作机会，不得为甲方人员配偶、子女及特定关系人安排工作、谋取不正当利益或提供各类方便。</w:t>
      </w:r>
    </w:p>
    <w:p w14:paraId="633CCA74">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3.3不得以任何理由为甲方和相关单位报销应由对方或个人支付的费用，包括出差期间的交通费和住宿费等。</w:t>
      </w:r>
    </w:p>
    <w:p w14:paraId="5A848793">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3.4不得以甲方员工及其亲属的家庭装修、婚丧嫁娶、出国留学等事宜为由进行提供资金及物资资助等行贿行为。</w:t>
      </w:r>
    </w:p>
    <w:p w14:paraId="262BE60A">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3.5</w:t>
      </w:r>
      <w:r>
        <w:rPr>
          <w:rFonts w:hint="eastAsia" w:ascii="仿宋_GB2312" w:eastAsia="仿宋_GB2312" w:cs="宋体"/>
          <w:color w:val="000000" w:themeColor="text1"/>
          <w:kern w:val="0"/>
          <w:sz w:val="24"/>
          <w:szCs w:val="24"/>
          <w:highlight w:val="none"/>
          <w14:textFill>
            <w14:solidFill>
              <w14:schemeClr w14:val="tx1"/>
            </w14:solidFill>
          </w14:textFill>
        </w:rPr>
        <w:t>不得向甲方员工提供礼品、礼金、贵重物品或消费卡、会员卡、礼品券等虚拟电子礼品，严禁快递送礼。</w:t>
      </w:r>
    </w:p>
    <w:p w14:paraId="59E89D7B">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w:t>
      </w:r>
      <w:r>
        <w:rPr>
          <w:rFonts w:ascii="仿宋_GB2312" w:eastAsia="仿宋_GB2312" w:cs="宋体"/>
          <w:color w:val="000000" w:themeColor="text1"/>
          <w:kern w:val="0"/>
          <w:sz w:val="24"/>
          <w:szCs w:val="24"/>
          <w:highlight w:val="none"/>
          <w14:textFill>
            <w14:solidFill>
              <w14:schemeClr w14:val="tx1"/>
            </w14:solidFill>
          </w14:textFill>
        </w:rPr>
        <w:t>6</w:t>
      </w:r>
      <w:r>
        <w:rPr>
          <w:rFonts w:hint="eastAsia" w:ascii="仿宋_GB2312" w:eastAsia="仿宋_GB2312" w:cs="宋体"/>
          <w:color w:val="000000" w:themeColor="text1"/>
          <w:kern w:val="0"/>
          <w:sz w:val="24"/>
          <w:szCs w:val="24"/>
          <w:highlight w:val="none"/>
          <w14:textFill>
            <w14:solidFill>
              <w14:schemeClr w14:val="tx1"/>
            </w14:solidFill>
          </w14:textFill>
        </w:rPr>
        <w:t>不得以任何理由为甲方、相关单位或个人组织有可能影响公正执行公务的宴请、健身、娱乐等活动。</w:t>
      </w:r>
    </w:p>
    <w:p w14:paraId="6DE01A89">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3.7</w:t>
      </w:r>
      <w:r>
        <w:rPr>
          <w:rFonts w:hint="eastAsia" w:ascii="仿宋_GB2312" w:eastAsia="仿宋_GB2312" w:cs="宋体"/>
          <w:color w:val="000000" w:themeColor="text1"/>
          <w:kern w:val="0"/>
          <w:sz w:val="24"/>
          <w:szCs w:val="24"/>
          <w:highlight w:val="none"/>
          <w14:textFill>
            <w14:solidFill>
              <w14:schemeClr w14:val="tx1"/>
            </w14:solidFill>
          </w14:textFill>
        </w:rPr>
        <w:t>不得与甲方员工就标书合同条款中的利益条款进行私下协商或达成默契。</w:t>
      </w:r>
    </w:p>
    <w:p w14:paraId="6812F9BC">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hint="eastAsia" w:ascii="仿宋_GB2312" w:eastAsia="仿宋_GB2312" w:cs="宋体"/>
          <w:color w:val="000000" w:themeColor="text1"/>
          <w:kern w:val="0"/>
          <w:sz w:val="24"/>
          <w:szCs w:val="24"/>
          <w:highlight w:val="none"/>
          <w14:textFill>
            <w14:solidFill>
              <w14:schemeClr w14:val="tx1"/>
            </w14:solidFill>
          </w14:textFill>
        </w:rPr>
        <w:t>3</w:t>
      </w:r>
      <w:r>
        <w:rPr>
          <w:rFonts w:ascii="仿宋_GB2312" w:eastAsia="仿宋_GB2312" w:cs="宋体"/>
          <w:color w:val="000000" w:themeColor="text1"/>
          <w:kern w:val="0"/>
          <w:sz w:val="24"/>
          <w:szCs w:val="24"/>
          <w:highlight w:val="none"/>
          <w14:textFill>
            <w14:solidFill>
              <w14:schemeClr w14:val="tx1"/>
            </w14:solidFill>
          </w14:textFill>
        </w:rPr>
        <w:t>.8</w:t>
      </w:r>
      <w:r>
        <w:rPr>
          <w:rFonts w:hint="eastAsia" w:ascii="仿宋_GB2312" w:eastAsia="仿宋_GB2312" w:cs="宋体"/>
          <w:color w:val="000000" w:themeColor="text1"/>
          <w:kern w:val="0"/>
          <w:sz w:val="24"/>
          <w:szCs w:val="24"/>
          <w:highlight w:val="none"/>
          <w14:textFill>
            <w14:solidFill>
              <w14:schemeClr w14:val="tx1"/>
            </w14:solidFill>
          </w14:textFill>
        </w:rPr>
        <w:t>不得安排甲方员工及其亲属从事合资或合股经营行为，不向甲方打探商业秘密或提供兼职报酬。</w:t>
      </w:r>
    </w:p>
    <w:p w14:paraId="7205FED5">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3.9</w:t>
      </w:r>
      <w:r>
        <w:rPr>
          <w:rFonts w:hint="eastAsia" w:ascii="仿宋_GB2312" w:eastAsia="仿宋_GB2312" w:cs="宋体"/>
          <w:color w:val="000000" w:themeColor="text1"/>
          <w:kern w:val="0"/>
          <w:sz w:val="24"/>
          <w:szCs w:val="24"/>
          <w:highlight w:val="none"/>
          <w14:textFill>
            <w14:solidFill>
              <w14:schemeClr w14:val="tx1"/>
            </w14:solidFill>
          </w14:textFill>
        </w:rPr>
        <w:t>不在甲方人员进行市场调研、商务洽谈等期间违规提供公务接待。</w:t>
      </w:r>
    </w:p>
    <w:p w14:paraId="0A8096B6">
      <w:pPr>
        <w:spacing w:line="400" w:lineRule="exact"/>
        <w:ind w:firstLine="480" w:firstLineChars="200"/>
        <w:rPr>
          <w:rFonts w:ascii="仿宋_GB2312" w:eastAsia="仿宋_GB2312" w:cs="宋体"/>
          <w:color w:val="000000" w:themeColor="text1"/>
          <w:kern w:val="0"/>
          <w:sz w:val="24"/>
          <w:szCs w:val="24"/>
          <w:highlight w:val="none"/>
          <w14:textFill>
            <w14:solidFill>
              <w14:schemeClr w14:val="tx1"/>
            </w14:solidFill>
          </w14:textFill>
        </w:rPr>
      </w:pPr>
      <w:r>
        <w:rPr>
          <w:rFonts w:ascii="仿宋_GB2312" w:eastAsia="仿宋_GB2312" w:cs="宋体"/>
          <w:color w:val="000000" w:themeColor="text1"/>
          <w:kern w:val="0"/>
          <w:sz w:val="24"/>
          <w:szCs w:val="24"/>
          <w:highlight w:val="none"/>
          <w14:textFill>
            <w14:solidFill>
              <w14:schemeClr w14:val="tx1"/>
            </w14:solidFill>
          </w14:textFill>
        </w:rPr>
        <w:t>3.10</w:t>
      </w:r>
      <w:r>
        <w:rPr>
          <w:rFonts w:hint="eastAsia" w:ascii="仿宋_GB2312" w:eastAsia="仿宋_GB2312" w:cs="宋体"/>
          <w:color w:val="000000" w:themeColor="text1"/>
          <w:kern w:val="0"/>
          <w:sz w:val="24"/>
          <w:szCs w:val="24"/>
          <w:highlight w:val="none"/>
          <w14:textFill>
            <w14:solidFill>
              <w14:schemeClr w14:val="tx1"/>
            </w14:solidFill>
          </w14:textFill>
        </w:rPr>
        <w:t>对甲方员工违反本协议的行为及时向甲方的上级监督部门报告。</w:t>
      </w:r>
    </w:p>
    <w:p w14:paraId="4A1A8B34">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bookmarkStart w:id="93" w:name="_Toc300671952"/>
      <w:r>
        <w:rPr>
          <w:rFonts w:hint="eastAsia" w:ascii="仿宋_GB2312" w:hAnsi="宋体" w:eastAsia="仿宋_GB2312" w:cs="宋体"/>
          <w:color w:val="000000" w:themeColor="text1"/>
          <w:kern w:val="0"/>
          <w:sz w:val="24"/>
          <w:szCs w:val="24"/>
          <w:highlight w:val="none"/>
          <w14:textFill>
            <w14:solidFill>
              <w14:schemeClr w14:val="tx1"/>
            </w14:solidFill>
          </w14:textFill>
        </w:rPr>
        <w:t>四、违约责任</w:t>
      </w:r>
      <w:bookmarkEnd w:id="93"/>
    </w:p>
    <w:p w14:paraId="360DB770">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4.1甲方工作人员有违反本责任书第一、二条责任行为的，依据有关法律及甲方《员工守则》，提交甲方纪检部门进行处理。</w:t>
      </w:r>
    </w:p>
    <w:p w14:paraId="19BF5C92">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4.2乙方工作人员有违反本责任书第一、三条责任行为的，依据有关法律法规处理；向甲方行贿或给甲方单位造成经济损失的，按照受贿金额或损失金额的5-10倍进行处罚</w:t>
      </w:r>
      <w:r>
        <w:rPr>
          <w:rFonts w:hint="eastAsia" w:ascii="仿宋_GB2312" w:hAnsi="宋体" w:eastAsia="仿宋_GB2312"/>
          <w:color w:val="000000" w:themeColor="text1"/>
          <w:sz w:val="24"/>
          <w:szCs w:val="24"/>
          <w:highlight w:val="none"/>
          <w14:textFill>
            <w14:solidFill>
              <w14:schemeClr w14:val="tx1"/>
            </w14:solidFill>
          </w14:textFill>
        </w:rPr>
        <w:t>，立即清除出场，终止合同执行，给甲方造成经济损失的应予以赔偿，同时纳入供应商黑名单；如乙方和甲方的员工勾结虚增结算款，则按照虚增款项的5倍扣减乙方应结算的款项；如发现乙方接受甲方人员要求安排甲方人员亲友在乙方工作，违者除令被安插人员在两天内退出外，并对责任人按每人每次1000元给予</w:t>
      </w:r>
      <w:r>
        <w:rPr>
          <w:rFonts w:hint="eastAsia" w:ascii="仿宋_GB2312" w:hAnsi="宋体" w:eastAsia="仿宋_GB2312" w:cs="Times New Roman"/>
          <w:color w:val="000000" w:themeColor="text1"/>
          <w:sz w:val="24"/>
          <w:szCs w:val="24"/>
          <w:highlight w:val="none"/>
          <w14:textFill>
            <w14:solidFill>
              <w14:schemeClr w14:val="tx1"/>
            </w14:solidFill>
          </w14:textFill>
        </w:rPr>
        <w:t>罚款。</w:t>
      </w:r>
    </w:p>
    <w:p w14:paraId="299A0832">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4.3甲方工作人员不得接受可能影响公正执行公务的礼金（包括各种有价证券）、礼品馈赠。因各种原因未能拒收的，一律上交所属部门并登记。</w:t>
      </w:r>
    </w:p>
    <w:p w14:paraId="3B445232">
      <w:pPr>
        <w:spacing w:line="400" w:lineRule="exact"/>
        <w:ind w:firstLine="480" w:firstLineChars="200"/>
        <w:rPr>
          <w:rFonts w:ascii="仿宋_GB2312" w:hAnsi="宋体" w:eastAsia="仿宋_GB2312"/>
          <w:color w:val="000000" w:themeColor="text1"/>
          <w:sz w:val="24"/>
          <w:szCs w:val="24"/>
          <w:highlight w:val="none"/>
          <w14:textFill>
            <w14:solidFill>
              <w14:schemeClr w14:val="tx1"/>
            </w14:solidFill>
          </w14:textFill>
        </w:rPr>
      </w:pPr>
      <w:r>
        <w:rPr>
          <w:rFonts w:hint="eastAsia" w:ascii="仿宋_GB2312" w:hAnsi="宋体" w:eastAsia="仿宋_GB2312"/>
          <w:color w:val="000000" w:themeColor="text1"/>
          <w:sz w:val="24"/>
          <w:szCs w:val="24"/>
          <w:highlight w:val="none"/>
          <w14:textFill>
            <w14:solidFill>
              <w14:schemeClr w14:val="tx1"/>
            </w14:solidFill>
          </w14:textFill>
        </w:rPr>
        <w:t>4.4</w:t>
      </w:r>
      <w:r>
        <w:rPr>
          <w:rFonts w:hint="eastAsia" w:ascii="仿宋_GB2312" w:hAnsi="宋体" w:eastAsia="仿宋_GB2312" w:cs="宋体"/>
          <w:color w:val="000000" w:themeColor="text1"/>
          <w:kern w:val="0"/>
          <w:sz w:val="24"/>
          <w:szCs w:val="24"/>
          <w:highlight w:val="none"/>
          <w14:textFill>
            <w14:solidFill>
              <w14:schemeClr w14:val="tx1"/>
            </w14:solidFill>
          </w14:textFill>
        </w:rPr>
        <w:t>甲乙双方必须认真履行本协议，遵纪守法，相互监督，密切配合，共同搞好廉政建设。双方</w:t>
      </w:r>
      <w:r>
        <w:rPr>
          <w:rFonts w:hint="eastAsia" w:ascii="仿宋_GB2312" w:hAnsi="宋体" w:eastAsia="仿宋_GB2312"/>
          <w:color w:val="000000" w:themeColor="text1"/>
          <w:sz w:val="24"/>
          <w:szCs w:val="24"/>
          <w:highlight w:val="none"/>
          <w14:textFill>
            <w14:solidFill>
              <w14:schemeClr w14:val="tx1"/>
            </w14:solidFill>
          </w14:textFill>
        </w:rPr>
        <w:t>认可甲方建立不诚信合作方黑名单制度，如乙方发生向甲方员工的行贿行为、乙方和甲方的员工勾结虚增结算款项的行为，则该乙方进入甲方不诚信合作方黑名单，</w:t>
      </w:r>
      <w:r>
        <w:rPr>
          <w:rFonts w:hint="eastAsia" w:ascii="仿宋_GB2312" w:hAnsi="宋体" w:eastAsia="仿宋_GB2312" w:cs="宋体"/>
          <w:color w:val="000000" w:themeColor="text1"/>
          <w:kern w:val="0"/>
          <w:sz w:val="24"/>
          <w:szCs w:val="24"/>
          <w:highlight w:val="none"/>
          <w14:textFill>
            <w14:solidFill>
              <w14:schemeClr w14:val="tx1"/>
            </w14:solidFill>
          </w14:textFill>
        </w:rPr>
        <w:t>触犯刑律的，移交司法机关处理。</w:t>
      </w:r>
    </w:p>
    <w:p w14:paraId="756AEC99">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4.5本责任书作为主合同的组成部分，与本合同具有同等法律效力。生效条件与主合同相同。</w:t>
      </w:r>
    </w:p>
    <w:p w14:paraId="7DB55BF6">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五、监督举报渠道</w:t>
      </w:r>
    </w:p>
    <w:p w14:paraId="68229878">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5.1信访办公室</w:t>
      </w:r>
    </w:p>
    <w:p w14:paraId="6DEB5C96">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来信地址：石家庄市建设南大街38号中建路桥集团有限公司信访办公室（收）</w:t>
      </w:r>
    </w:p>
    <w:p w14:paraId="651C8BAE">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邮编：050011</w:t>
      </w:r>
    </w:p>
    <w:p w14:paraId="156F4C67">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电话：0311-66538159</w:t>
      </w:r>
    </w:p>
    <w:p w14:paraId="79F90D21">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电子邮箱：sinorbbg@cscec.com</w:t>
      </w:r>
    </w:p>
    <w:p w14:paraId="3372FB7D">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5.2纪检监督工作部</w:t>
      </w:r>
    </w:p>
    <w:p w14:paraId="48712F79">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来信地址：石家庄市建设南大街38号中建路桥集团有限公司纪检监督工作部（收）</w:t>
      </w:r>
    </w:p>
    <w:p w14:paraId="21774485">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邮编：050011</w:t>
      </w:r>
    </w:p>
    <w:p w14:paraId="006CAAF7">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电话：0311-66538173</w:t>
      </w:r>
    </w:p>
    <w:p w14:paraId="417A90BF">
      <w:pPr>
        <w:widowControl/>
        <w:spacing w:line="400" w:lineRule="exact"/>
        <w:ind w:firstLine="480" w:firstLineChars="200"/>
        <w:rPr>
          <w:rFonts w:hint="eastAsia"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电子邮箱：sinorbjc@cscec.com</w:t>
      </w:r>
    </w:p>
    <w:p w14:paraId="5D16ED04">
      <w:pPr>
        <w:widowControl/>
        <w:spacing w:line="400" w:lineRule="exact"/>
        <w:ind w:firstLine="480" w:firstLineChars="200"/>
        <w:rPr>
          <w:rFonts w:ascii="仿宋_GB2312" w:hAnsi="宋体" w:eastAsia="仿宋_GB2312" w:cs="宋体"/>
          <w:color w:val="000000" w:themeColor="text1"/>
          <w:kern w:val="0"/>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lang w:val="en-US" w:eastAsia="zh-CN"/>
          <w14:textFill>
            <w14:solidFill>
              <w14:schemeClr w14:val="tx1"/>
            </w14:solidFill>
          </w14:textFill>
        </w:rPr>
        <w:t>六</w:t>
      </w:r>
      <w:r>
        <w:rPr>
          <w:rFonts w:hint="eastAsia" w:ascii="仿宋_GB2312" w:hAnsi="宋体" w:eastAsia="仿宋_GB2312" w:cs="宋体"/>
          <w:color w:val="000000" w:themeColor="text1"/>
          <w:kern w:val="0"/>
          <w:sz w:val="24"/>
          <w:szCs w:val="24"/>
          <w:highlight w:val="none"/>
          <w14:textFill>
            <w14:solidFill>
              <w14:schemeClr w14:val="tx1"/>
            </w14:solidFill>
          </w14:textFill>
        </w:rPr>
        <w:t>、责任书有效期</w:t>
      </w:r>
    </w:p>
    <w:p w14:paraId="6907532B">
      <w:pPr>
        <w:widowControl/>
        <w:spacing w:line="400" w:lineRule="exact"/>
        <w:ind w:firstLine="480" w:firstLineChars="200"/>
        <w:rPr>
          <w:rFonts w:ascii="仿宋_GB2312" w:hAnsi="仿宋_GB2312" w:eastAsia="仿宋_GB2312" w:cs="仿宋_GB2312"/>
          <w:bCs/>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kern w:val="0"/>
          <w:sz w:val="24"/>
          <w:szCs w:val="24"/>
          <w:highlight w:val="none"/>
          <w14:textFill>
            <w14:solidFill>
              <w14:schemeClr w14:val="tx1"/>
            </w14:solidFill>
          </w14:textFill>
        </w:rPr>
        <w:t>本责任书的有效期为双方签署之日起至该工程项目竣工验收合格时止。</w:t>
      </w:r>
    </w:p>
    <w:p w14:paraId="13AFEC67">
      <w:pPr>
        <w:pStyle w:val="14"/>
        <w:spacing w:line="400" w:lineRule="exact"/>
        <w:rPr>
          <w:rFonts w:ascii="仿宋_GB2312" w:hAnsi="仿宋_GB2312" w:eastAsia="仿宋_GB2312" w:cs="仿宋_GB2312"/>
          <w:bCs/>
          <w:color w:val="000000" w:themeColor="text1"/>
          <w:highlight w:val="none"/>
          <w14:textFill>
            <w14:solidFill>
              <w14:schemeClr w14:val="tx1"/>
            </w14:solidFill>
          </w14:textFill>
        </w:rPr>
      </w:pPr>
    </w:p>
    <w:p w14:paraId="79EDC188">
      <w:pPr>
        <w:spacing w:line="400" w:lineRule="exact"/>
        <w:ind w:firstLine="570"/>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甲方（盖章）：                        乙方（公章）：                    </w:t>
      </w:r>
    </w:p>
    <w:p w14:paraId="1EFC0348">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35579319">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03DCE195">
      <w:pPr>
        <w:autoSpaceDE w:val="0"/>
        <w:autoSpaceDN w:val="0"/>
        <w:adjustRightInd w:val="0"/>
        <w:spacing w:line="400" w:lineRule="atLeast"/>
        <w:ind w:firstLine="960" w:firstLineChars="4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人：</w:t>
      </w:r>
    </w:p>
    <w:p w14:paraId="32B66F43">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69EBB8C5">
      <w:pPr>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br w:type="page"/>
      </w:r>
    </w:p>
    <w:p w14:paraId="067D2C1C">
      <w:pPr>
        <w:pStyle w:val="14"/>
        <w:jc w:val="center"/>
        <w:outlineLvl w:val="0"/>
        <w:rPr>
          <w:rFonts w:ascii="仿宋" w:hAnsi="仿宋" w:eastAsia="仿宋" w:cs="仿宋"/>
          <w:b/>
          <w:bCs/>
          <w:color w:val="000000" w:themeColor="text1"/>
          <w:sz w:val="32"/>
          <w:szCs w:val="32"/>
          <w:highlight w:val="none"/>
          <w14:textFill>
            <w14:solidFill>
              <w14:schemeClr w14:val="tx1"/>
            </w14:solidFill>
          </w14:textFill>
        </w:rPr>
      </w:pPr>
      <w:bookmarkStart w:id="94" w:name="_Toc18674"/>
      <w:bookmarkStart w:id="95" w:name="_Hlk127794870"/>
      <w:bookmarkStart w:id="96" w:name="_Toc1869"/>
      <w:bookmarkStart w:id="97" w:name="_Toc1495"/>
      <w:r>
        <w:rPr>
          <w:rFonts w:hint="eastAsia" w:ascii="黑体" w:hAnsi="黑体" w:eastAsia="黑体" w:cs="黑体"/>
          <w:b/>
          <w:bCs/>
          <w:color w:val="000000" w:themeColor="text1"/>
          <w:sz w:val="32"/>
          <w:szCs w:val="32"/>
          <w:highlight w:val="none"/>
          <w14:textFill>
            <w14:solidFill>
              <w14:schemeClr w14:val="tx1"/>
            </w14:solidFill>
          </w14:textFill>
        </w:rPr>
        <w:t>第二部分 通用条款</w:t>
      </w:r>
      <w:bookmarkEnd w:id="94"/>
      <w:bookmarkEnd w:id="95"/>
      <w:bookmarkEnd w:id="96"/>
    </w:p>
    <w:p w14:paraId="5BCFBED3">
      <w:pPr>
        <w:pStyle w:val="14"/>
        <w:numPr>
          <w:ilvl w:val="0"/>
          <w:numId w:val="8"/>
        </w:numPr>
        <w:spacing w:before="120" w:beforeLines="50" w:after="120" w:afterLines="50" w:line="400" w:lineRule="atLeast"/>
        <w:ind w:firstLine="482"/>
        <w:outlineLvl w:val="0"/>
        <w:rPr>
          <w:rFonts w:ascii="仿宋_GB2312" w:hAnsi="仿宋_GB2312" w:eastAsia="仿宋_GB2312" w:cs="仿宋_GB2312"/>
          <w:b/>
          <w:bCs/>
          <w:color w:val="000000" w:themeColor="text1"/>
          <w:highlight w:val="none"/>
          <w14:textFill>
            <w14:solidFill>
              <w14:schemeClr w14:val="tx1"/>
            </w14:solidFill>
          </w14:textFill>
        </w:rPr>
      </w:pPr>
      <w:bookmarkStart w:id="98" w:name="_Toc3066"/>
      <w:bookmarkStart w:id="99" w:name="_Toc11168"/>
      <w:r>
        <w:rPr>
          <w:rFonts w:hint="eastAsia" w:ascii="仿宋_GB2312" w:hAnsi="仿宋_GB2312" w:eastAsia="仿宋_GB2312" w:cs="仿宋_GB2312"/>
          <w:b/>
          <w:bCs/>
          <w:color w:val="000000" w:themeColor="text1"/>
          <w:highlight w:val="none"/>
          <w14:textFill>
            <w14:solidFill>
              <w14:schemeClr w14:val="tx1"/>
            </w14:solidFill>
          </w14:textFill>
        </w:rPr>
        <w:t>货物合同附随义务</w:t>
      </w:r>
      <w:bookmarkEnd w:id="97"/>
      <w:bookmarkEnd w:id="98"/>
      <w:bookmarkEnd w:id="99"/>
    </w:p>
    <w:p w14:paraId="1E19A5C5">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1.乙方义务</w:t>
      </w:r>
    </w:p>
    <w:p w14:paraId="6B67A3D4">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1.1乙方合规义务</w:t>
      </w:r>
    </w:p>
    <w:p w14:paraId="5FB66360">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1.1.1合规开展行业竞争：</w:t>
      </w:r>
      <w:r>
        <w:rPr>
          <w:rFonts w:hint="eastAsia" w:ascii="仿宋_GB2312" w:hAnsi="仿宋_GB2312" w:eastAsia="仿宋_GB2312" w:cs="仿宋_GB2312"/>
          <w:color w:val="000000" w:themeColor="text1"/>
          <w:highlight w:val="none"/>
          <w14:textFill>
            <w14:solidFill>
              <w14:schemeClr w14:val="tx1"/>
            </w14:solidFill>
          </w14:textFill>
        </w:rPr>
        <w:t>积极防范和制止垄断行为，不实施任何市场排除、限制竞争行为；不组织经营者集中等违法垄断行为，不实施不正当竞争行为和不正当价格行为，不从事商誉诋毁等违法违规竞争行为。</w:t>
      </w:r>
    </w:p>
    <w:p w14:paraId="32A4D1E7">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1.1.2合规保障服务生产：</w:t>
      </w:r>
      <w:r>
        <w:rPr>
          <w:rFonts w:hint="eastAsia" w:ascii="仿宋_GB2312" w:hAnsi="仿宋_GB2312" w:eastAsia="仿宋_GB2312" w:cs="仿宋_GB2312"/>
          <w:color w:val="000000" w:themeColor="text1"/>
          <w:highlight w:val="none"/>
          <w14:textFill>
            <w14:solidFill>
              <w14:schemeClr w14:val="tx1"/>
            </w14:solidFill>
          </w14:textFill>
        </w:rPr>
        <w:t>恪守契约精神，严格按照合同约定时间和地点完成货物交付，全力保障项目物资设备供应需求。</w:t>
      </w:r>
    </w:p>
    <w:p w14:paraId="177424C8">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1.1.3合规履行安全管控职责：</w:t>
      </w:r>
      <w:r>
        <w:rPr>
          <w:rFonts w:hint="eastAsia" w:ascii="仿宋_GB2312" w:hAnsi="仿宋_GB2312" w:eastAsia="仿宋_GB2312" w:cs="仿宋_GB2312"/>
          <w:color w:val="000000" w:themeColor="text1"/>
          <w:highlight w:val="none"/>
          <w14:textFill>
            <w14:solidFill>
              <w14:schemeClr w14:val="tx1"/>
            </w14:solidFill>
          </w14:textFill>
        </w:rPr>
        <w:t>自觉遵守甲方施工现场有关安全文明施工、环境和职业健康安全方面的要求，绝不出现违反安全法律和其他安全生产规章制度的行为，具体要求详见合同附件三。</w:t>
      </w:r>
    </w:p>
    <w:p w14:paraId="6500E257">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1.1.4合规履行质量管控职责：</w:t>
      </w:r>
      <w:r>
        <w:rPr>
          <w:rFonts w:hint="eastAsia" w:ascii="仿宋_GB2312" w:hAnsi="仿宋_GB2312" w:eastAsia="仿宋_GB2312" w:cs="仿宋_GB2312"/>
          <w:color w:val="000000" w:themeColor="text1"/>
          <w:highlight w:val="none"/>
          <w14:textFill>
            <w14:solidFill>
              <w14:schemeClr w14:val="tx1"/>
            </w14:solidFill>
          </w14:textFill>
        </w:rPr>
        <w:t>绝不供应质量不合格货物，加强自身各环节质量管理，绝不出现任何质量或数量瑕疵，严控假冒伪劣货物流通，严格按本合同约定质量标准和数量要求履约生产。</w:t>
      </w:r>
    </w:p>
    <w:p w14:paraId="16A0B085">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1.1.5合规依法纳税职责：</w:t>
      </w:r>
      <w:r>
        <w:rPr>
          <w:rFonts w:hint="eastAsia" w:ascii="仿宋_GB2312" w:hAnsi="仿宋_GB2312" w:eastAsia="仿宋_GB2312" w:cs="仿宋_GB2312"/>
          <w:color w:val="000000" w:themeColor="text1"/>
          <w:highlight w:val="none"/>
          <w14:textFill>
            <w14:solidFill>
              <w14:schemeClr w14:val="tx1"/>
            </w14:solidFill>
          </w14:textFill>
        </w:rPr>
        <w:t>严格按照国家税法规定，履行合法合规纳税义务，绝不虚开或伪造增值税专用发票。</w:t>
      </w:r>
    </w:p>
    <w:p w14:paraId="5351946B">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1.1.6合规拥有货物所有权：</w:t>
      </w:r>
      <w:r>
        <w:rPr>
          <w:rFonts w:hint="eastAsia" w:ascii="仿宋_GB2312" w:hAnsi="仿宋_GB2312" w:eastAsia="仿宋_GB2312" w:cs="仿宋_GB2312"/>
          <w:color w:val="000000" w:themeColor="text1"/>
          <w:highlight w:val="none"/>
          <w14:textFill>
            <w14:solidFill>
              <w14:schemeClr w14:val="tx1"/>
            </w14:solidFill>
          </w14:textFill>
        </w:rPr>
        <w:t>保证对货物具有所有权或受委托代理销售权，并向甲方出具相关凭证。保证交付的货物不附有任何担保权、留置权或设定其他权利负担。</w:t>
      </w:r>
    </w:p>
    <w:p w14:paraId="4E4308B7">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1.1.7合规拥有</w:t>
      </w:r>
      <w:r>
        <w:rPr>
          <w:rFonts w:ascii="仿宋_GB2312" w:hAnsi="仿宋_GB2312" w:eastAsia="仿宋_GB2312" w:cs="仿宋_GB2312"/>
          <w:b/>
          <w:bCs/>
          <w:color w:val="000000" w:themeColor="text1"/>
          <w:highlight w:val="none"/>
          <w14:textFill>
            <w14:solidFill>
              <w14:schemeClr w14:val="tx1"/>
            </w14:solidFill>
          </w14:textFill>
        </w:rPr>
        <w:t>货物知识产权：</w:t>
      </w:r>
      <w:r>
        <w:rPr>
          <w:rFonts w:ascii="仿宋_GB2312" w:hAnsi="仿宋_GB2312" w:eastAsia="仿宋_GB2312" w:cs="仿宋_GB2312"/>
          <w:color w:val="000000" w:themeColor="text1"/>
          <w:highlight w:val="none"/>
          <w14:textFill>
            <w14:solidFill>
              <w14:schemeClr w14:val="tx1"/>
            </w14:solidFill>
          </w14:textFill>
        </w:rPr>
        <w:t>保障甲方在工程所在地使用其货物、服务及其任何部分不受到第三方关于侵犯专利权、商标权、工业设计权或其他知识产权的指控。任何第三方如果提起侵权诉讼，乙方负责与第三方交涉并承担由此而引起的一切法律责任和费用及赔偿甲方的一切损失。</w:t>
      </w:r>
    </w:p>
    <w:p w14:paraId="1231B85B">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1.1.8合规开展廉洁共建职责：</w:t>
      </w:r>
      <w:r>
        <w:rPr>
          <w:rFonts w:hint="eastAsia" w:ascii="仿宋_GB2312" w:hAnsi="仿宋_GB2312" w:eastAsia="仿宋_GB2312" w:cs="仿宋_GB2312"/>
          <w:color w:val="000000" w:themeColor="text1"/>
          <w:highlight w:val="none"/>
          <w14:textFill>
            <w14:solidFill>
              <w14:schemeClr w14:val="tx1"/>
            </w14:solidFill>
          </w14:textFill>
        </w:rPr>
        <w:t xml:space="preserve">绝不从事任何形式的商业贿赂、利益输送及其他不正当交易；绝不以任何理由为甲方、相关单位或个人组织有可能影响公正执行公务的宴请、娱乐等活动，具体要求详见合同附件四。 </w:t>
      </w:r>
    </w:p>
    <w:p w14:paraId="493A0FCA">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1.2乙方其他义务</w:t>
      </w:r>
    </w:p>
    <w:p w14:paraId="2F9E5389">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1.2.1增值服务：</w:t>
      </w:r>
      <w:r>
        <w:rPr>
          <w:rFonts w:hint="eastAsia" w:ascii="仿宋_GB2312" w:hAnsi="仿宋_GB2312" w:eastAsia="仿宋_GB2312" w:cs="仿宋_GB2312"/>
          <w:color w:val="000000" w:themeColor="text1"/>
          <w:highlight w:val="none"/>
          <w14:textFill>
            <w14:solidFill>
              <w14:schemeClr w14:val="tx1"/>
            </w14:solidFill>
          </w14:textFill>
        </w:rPr>
        <w:t>乙方应提供与货物配套的增值服务；包括但不限于技术支持、深化设计、现场培训及货物安装指导等工作，相应费用已在综合单价考虑。</w:t>
      </w:r>
    </w:p>
    <w:p w14:paraId="1A9AE601">
      <w:pPr>
        <w:pStyle w:val="14"/>
        <w:spacing w:line="400" w:lineRule="atLeast"/>
        <w:ind w:firstLine="482"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1.2.2货物退货与置换：</w:t>
      </w:r>
      <w:r>
        <w:rPr>
          <w:rFonts w:hint="eastAsia" w:ascii="仿宋_GB2312" w:hAnsi="仿宋_GB2312" w:eastAsia="仿宋_GB2312" w:cs="仿宋_GB2312"/>
          <w:color w:val="000000" w:themeColor="text1"/>
          <w:highlight w:val="none"/>
          <w14:textFill>
            <w14:solidFill>
              <w14:schemeClr w14:val="tx1"/>
            </w14:solidFill>
          </w14:textFill>
        </w:rPr>
        <w:t>乙方供应的货物，根据不同情况甲方可选择直接向乙方退货或向乙方置换，乙方同意按甲方选择的方式办理：</w:t>
      </w:r>
    </w:p>
    <w:p w14:paraId="41BCF304">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（1）对于未使用且不影响二次销售的材料，若甲方选择退货，则双方按甲方退货后实际收到合格货物数量办理结算。</w:t>
      </w:r>
    </w:p>
    <w:p w14:paraId="644FD387">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（2）对于已使用的材料，若甲方选择置换，则双方协商估算原材料残值并置换等价值新材料。</w:t>
      </w:r>
    </w:p>
    <w:p w14:paraId="7E8DA4F9">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（3）甲方原因产生的退货或者置换产生的运输费用由</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甲方 </w:t>
      </w:r>
      <w:r>
        <w:rPr>
          <w:rFonts w:hint="eastAsia" w:ascii="仿宋_GB2312" w:hAnsi="仿宋_GB2312" w:eastAsia="仿宋_GB2312" w:cs="仿宋_GB2312"/>
          <w:color w:val="000000" w:themeColor="text1"/>
          <w:highlight w:val="none"/>
          <w14:textFill>
            <w14:solidFill>
              <w14:schemeClr w14:val="tx1"/>
            </w14:solidFill>
          </w14:textFill>
        </w:rPr>
        <w:t>承担，装卸费用由</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甲方 </w:t>
      </w:r>
      <w:r>
        <w:rPr>
          <w:rFonts w:hint="eastAsia" w:ascii="仿宋_GB2312" w:hAnsi="仿宋_GB2312" w:eastAsia="仿宋_GB2312" w:cs="仿宋_GB2312"/>
          <w:color w:val="000000" w:themeColor="text1"/>
          <w:highlight w:val="none"/>
          <w14:textFill>
            <w14:solidFill>
              <w14:schemeClr w14:val="tx1"/>
            </w14:solidFill>
          </w14:textFill>
        </w:rPr>
        <w:t>承担。</w:t>
      </w:r>
    </w:p>
    <w:p w14:paraId="5794063E">
      <w:pPr>
        <w:pStyle w:val="14"/>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2.甲方义务</w:t>
      </w:r>
    </w:p>
    <w:p w14:paraId="7F44B365">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2.1材料需用计划：</w:t>
      </w:r>
      <w:r>
        <w:rPr>
          <w:rFonts w:hint="eastAsia" w:ascii="仿宋_GB2312" w:hAnsi="仿宋_GB2312" w:eastAsia="仿宋_GB2312" w:cs="仿宋_GB2312"/>
          <w:color w:val="000000" w:themeColor="text1"/>
          <w:highlight w:val="none"/>
          <w14:textFill>
            <w14:solidFill>
              <w14:schemeClr w14:val="tx1"/>
            </w14:solidFill>
          </w14:textFill>
        </w:rPr>
        <w:t>甲方合理制定材料总需用计划及日常需用计划，并按照合同约定提前通知乙方，给予乙方充足备货期。</w:t>
      </w:r>
    </w:p>
    <w:p w14:paraId="6EFB0DBF">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2.2配合材料卸货：</w:t>
      </w:r>
      <w:r>
        <w:rPr>
          <w:rFonts w:hint="eastAsia" w:ascii="仿宋_GB2312" w:hAnsi="仿宋_GB2312" w:eastAsia="仿宋_GB2312" w:cs="仿宋_GB2312"/>
          <w:color w:val="000000" w:themeColor="text1"/>
          <w:highlight w:val="none"/>
          <w14:textFill>
            <w14:solidFill>
              <w14:schemeClr w14:val="tx1"/>
            </w14:solidFill>
          </w14:textFill>
        </w:rPr>
        <w:t>乙方在材料运抵交货前2天通知甲方，甲方应在验收合格后，提供堆放场地或堆放仓库，</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配合乙方材料卸货</w:t>
      </w:r>
      <w:r>
        <w:rPr>
          <w:rFonts w:hint="eastAsia" w:ascii="仿宋_GB2312" w:hAnsi="仿宋_GB2312" w:eastAsia="仿宋_GB2312" w:cs="仿宋_GB2312"/>
          <w:color w:val="000000" w:themeColor="text1"/>
          <w:highlight w:val="none"/>
          <w14:textFill>
            <w14:solidFill>
              <w14:schemeClr w14:val="tx1"/>
            </w14:solidFill>
          </w14:textFill>
        </w:rPr>
        <w:t>。</w:t>
      </w:r>
    </w:p>
    <w:p w14:paraId="6B490971">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00" w:name="_Toc965"/>
      <w:bookmarkStart w:id="101" w:name="_Toc13486"/>
      <w:bookmarkStart w:id="102" w:name="_Toc1717"/>
      <w:r>
        <w:rPr>
          <w:rFonts w:hint="eastAsia" w:ascii="仿宋_GB2312" w:hAnsi="仿宋_GB2312" w:eastAsia="仿宋_GB2312" w:cs="仿宋_GB2312"/>
          <w:b/>
          <w:bCs/>
          <w:color w:val="000000" w:themeColor="text1"/>
          <w:highlight w:val="none"/>
          <w14:textFill>
            <w14:solidFill>
              <w14:schemeClr w14:val="tx1"/>
            </w14:solidFill>
          </w14:textFill>
        </w:rPr>
        <w:t>货物违约责任</w:t>
      </w:r>
      <w:bookmarkEnd w:id="100"/>
      <w:bookmarkEnd w:id="101"/>
      <w:bookmarkEnd w:id="102"/>
    </w:p>
    <w:p w14:paraId="64836DDA">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未按计划时间供应：</w:t>
      </w:r>
    </w:p>
    <w:p w14:paraId="1ED05409">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乙方未能按本合同第三条款中书面计划的要求供应材料，若因非甲方原因致使延期供货的次数超过</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2 次</w:t>
      </w:r>
      <w:r>
        <w:rPr>
          <w:rFonts w:hint="eastAsia" w:ascii="仿宋_GB2312" w:hAnsi="仿宋_GB2312" w:eastAsia="仿宋_GB2312" w:cs="仿宋_GB2312"/>
          <w:color w:val="000000" w:themeColor="text1"/>
          <w:highlight w:val="none"/>
          <w14:textFill>
            <w14:solidFill>
              <w14:schemeClr w14:val="tx1"/>
            </w14:solidFill>
          </w14:textFill>
        </w:rPr>
        <w:t>，乙方须向甲方支付违约金，</w:t>
      </w:r>
      <w:r>
        <w:rPr>
          <w:rFonts w:hint="eastAsia" w:ascii="仿宋_GB2312" w:hAnsi="仿宋_GB2312" w:eastAsia="仿宋_GB2312" w:cs="仿宋_GB2312"/>
          <w:b/>
          <w:bCs/>
          <w:color w:val="000000" w:themeColor="text1"/>
          <w:highlight w:val="none"/>
          <w14:textFill>
            <w14:solidFill>
              <w14:schemeClr w14:val="tx1"/>
            </w14:solidFill>
          </w14:textFill>
        </w:rPr>
        <w:t>违约金按照5000元每次计，且除违约金外乙方必须承担甲方项目实际工期损失及经济损失。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乙方延迟交付超</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7 </w:t>
      </w:r>
      <w:r>
        <w:rPr>
          <w:rFonts w:hint="eastAsia" w:ascii="仿宋_GB2312" w:hAnsi="仿宋_GB2312" w:eastAsia="仿宋_GB2312" w:cs="仿宋_GB2312"/>
          <w:color w:val="000000" w:themeColor="text1"/>
          <w:highlight w:val="none"/>
          <w14:textFill>
            <w14:solidFill>
              <w14:schemeClr w14:val="tx1"/>
            </w14:solidFill>
          </w14:textFill>
        </w:rPr>
        <w:t>日的，甲方有权单方解除本合同。</w:t>
      </w:r>
    </w:p>
    <w:p w14:paraId="54E933F0">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乙方应全力保障项目的供应，因乙方资源组织问题引起的供应困难，乙方不能或不愿解决的，甲方可寻找其他供应单位代为解决，因此引起的甲方成本增加等相关费用在结算中扣除。</w:t>
      </w:r>
    </w:p>
    <w:p w14:paraId="2D8A7C7E">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未按指定地点或方式供应：</w:t>
      </w:r>
    </w:p>
    <w:p w14:paraId="415F821B">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乙方不能按本合同约定地点、方式供货的，甲方有权要求乙方按照合同履行，乙方应按甲方要求立即组织更换或完善不符合的条件及要求，</w:t>
      </w:r>
      <w:r>
        <w:rPr>
          <w:rFonts w:hint="eastAsia" w:ascii="仿宋_GB2312" w:hAnsi="仿宋_GB2312" w:eastAsia="仿宋_GB2312" w:cs="仿宋_GB2312"/>
          <w:b/>
          <w:bCs/>
          <w:color w:val="000000" w:themeColor="text1"/>
          <w:highlight w:val="none"/>
          <w14:textFill>
            <w14:solidFill>
              <w14:schemeClr w14:val="tx1"/>
            </w14:solidFill>
          </w14:textFill>
        </w:rPr>
        <w:t>否则按照5000元每次承担违约金，且除违约金外乙方必须承担甲方项目实际工期损失及经济损失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；经甲方书面要求整改一次仍无法达到合同要求时，甲方有权单方解除合同。</w:t>
      </w:r>
    </w:p>
    <w:p w14:paraId="3188E909">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不符合约定货物质量标准：</w:t>
      </w:r>
    </w:p>
    <w:p w14:paraId="004C159D">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3.1乙方货物不符合本合同约定的质量标准的，甲方有权要求乙方继续履行合同，乙方应按甲方要求立即组织更换或完善不符合的条件及要求，</w:t>
      </w:r>
      <w:r>
        <w:rPr>
          <w:rFonts w:hint="eastAsia" w:ascii="仿宋_GB2312" w:hAnsi="仿宋_GB2312" w:eastAsia="仿宋_GB2312" w:cs="仿宋_GB2312"/>
          <w:b/>
          <w:bCs/>
          <w:color w:val="000000" w:themeColor="text1"/>
          <w:highlight w:val="none"/>
          <w14:textFill>
            <w14:solidFill>
              <w14:schemeClr w14:val="tx1"/>
            </w14:solidFill>
          </w14:textFill>
        </w:rPr>
        <w:t>并按照5000元每次承担违约金，且除违约金外乙方必须承担甲方项目实际工期损失及经济损失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；经甲方书面要求整改一次仍无法达到合同要求时，甲方有权单方解除合同。</w:t>
      </w:r>
    </w:p>
    <w:p w14:paraId="7C855CDC">
      <w:pPr>
        <w:pStyle w:val="14"/>
        <w:spacing w:line="400" w:lineRule="atLeas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3.2乙方以任何欺骗、舞弊、盗窃等手段致使交付的货物存在质量或数量瑕疵的，除赔偿甲方对应货物的货款外，</w:t>
      </w:r>
      <w:r>
        <w:rPr>
          <w:rFonts w:hint="eastAsia" w:ascii="仿宋_GB2312" w:hAnsi="仿宋_GB2312" w:eastAsia="仿宋_GB2312" w:cs="仿宋_GB2312"/>
          <w:b/>
          <w:bCs/>
          <w:color w:val="000000" w:themeColor="text1"/>
          <w:highlight w:val="none"/>
          <w14:textFill>
            <w14:solidFill>
              <w14:schemeClr w14:val="tx1"/>
            </w14:solidFill>
          </w14:textFill>
        </w:rPr>
        <w:t>并按照5000元每次承担违约金，且除违约金外乙方必须承担甲方项目实际工期损失及经济损失</w:t>
      </w:r>
      <w:r>
        <w:rPr>
          <w:rFonts w:hint="eastAsia" w:ascii="仿宋_GB2312" w:hAnsi="仿宋_GB2312" w:eastAsia="仿宋_GB2312" w:cs="仿宋_GB2312"/>
          <w:color w:val="000000" w:themeColor="text1"/>
          <w:highlight w:val="none"/>
          <w14:textFill>
            <w14:solidFill>
              <w14:schemeClr w14:val="tx1"/>
            </w14:solidFill>
          </w14:textFill>
        </w:rPr>
        <w:t>。</w:t>
      </w:r>
    </w:p>
    <w:p w14:paraId="2EFC75B2">
      <w:pPr>
        <w:spacing w:line="40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3.3如果由于物资质量问题，引起工程事故，导致甲方人员或财产损失的，乙方应承担相应的法律责任和经济责任，因此所导致的一切损失由乙方承担，该责任不因合同的终止而减小或解除。</w:t>
      </w:r>
    </w:p>
    <w:p w14:paraId="6A4AEF02">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未履行开具增值税发票义务：</w:t>
      </w:r>
    </w:p>
    <w:p w14:paraId="3E1BA5D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乙方存在下列情形之一的，甲方有权单方解除合同，并有权直接从乙方应付款项中双倍扣除甲方未能抵扣的税金（扣除金额=不含税结算金额×</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13 </w:t>
      </w:r>
      <w:r>
        <w:rPr>
          <w:rFonts w:hint="eastAsia" w:ascii="仿宋_GB2312" w:hAnsi="仿宋_GB2312" w:eastAsia="仿宋_GB2312" w:cs="仿宋_GB2312"/>
          <w:color w:val="000000" w:themeColor="text1"/>
          <w:highlight w:val="none"/>
          <w14:textFill>
            <w14:solidFill>
              <w14:schemeClr w14:val="tx1"/>
            </w14:solidFill>
          </w14:textFill>
        </w:rPr>
        <w:t>％增值税税率×2）作为违约金：</w:t>
      </w:r>
    </w:p>
    <w:p w14:paraId="7BEBBA21">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4.1不具有开具增值税专用发票的纳税人资格。</w:t>
      </w:r>
    </w:p>
    <w:p w14:paraId="2B121D9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4.2未能按本合同约定的税率开具增值税专用发票。</w:t>
      </w:r>
    </w:p>
    <w:p w14:paraId="06E57D2D">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4.3提供的增值税专用发票是乙方以外的主体开具。</w:t>
      </w:r>
    </w:p>
    <w:p w14:paraId="305D650F">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4.4拖欠增值税专用发票金额累计达100万元以上。</w:t>
      </w:r>
    </w:p>
    <w:p w14:paraId="4EF30F30">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4.5</w:t>
      </w:r>
      <w:r>
        <w:rPr>
          <w:rFonts w:hint="eastAsia" w:ascii="仿宋_GB2312" w:hAnsi="仿宋_GB2312" w:eastAsia="仿宋_GB2312" w:cs="仿宋_GB2312"/>
          <w:strike w:val="0"/>
          <w:dstrike w:val="0"/>
          <w:color w:val="000000" w:themeColor="text1"/>
          <w:highlight w:val="none"/>
          <w14:textFill>
            <w14:solidFill>
              <w14:schemeClr w14:val="tx1"/>
            </w14:solidFill>
          </w14:textFill>
        </w:rPr>
        <w:t>如乙方未在税务机关要求的期限内缴纳税款，导致甲方无法抵扣进项税的，甲方有权拒绝付款，如已经支付的，甲方有权追回已支付的款项，并要求乙方支付违约金或赔偿损失</w:t>
      </w:r>
      <w:r>
        <w:rPr>
          <w:rFonts w:hint="eastAsia" w:ascii="仿宋_GB2312" w:hAnsi="仿宋_GB2312" w:eastAsia="仿宋_GB2312" w:cs="仿宋_GB2312"/>
          <w:color w:val="000000" w:themeColor="text1"/>
          <w:highlight w:val="none"/>
          <w14:textFill>
            <w14:solidFill>
              <w14:schemeClr w14:val="tx1"/>
            </w14:solidFill>
          </w14:textFill>
        </w:rPr>
        <w:t xml:space="preserve">。 </w:t>
      </w:r>
    </w:p>
    <w:p w14:paraId="3DF038B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4.6提供伪造的增值税专用发票。</w:t>
      </w:r>
    </w:p>
    <w:p w14:paraId="71EFF59D">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4.7虚开增值税专用发票。</w:t>
      </w:r>
    </w:p>
    <w:p w14:paraId="1BFDEDF8">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4.8其它导致甲方无法进行增值税抵扣的情形。</w:t>
      </w:r>
    </w:p>
    <w:p w14:paraId="1CF9B33E">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乙方存在以上情形的，除承担相应违约责任外，还应赔偿甲方因此所受损失，同时不免除乙方开具合法合规增值税专用发票的义务。</w:t>
      </w:r>
    </w:p>
    <w:p w14:paraId="4FBFBF1F">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若乙方开具或提供的增值税专用发票发生本条第4款情形超过3次的或给甲方造成重大损失的，则乙方除按本款前述约定承担责任外，甲方有权单方解除本合同。</w:t>
      </w:r>
    </w:p>
    <w:p w14:paraId="4A9B870F">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未履行安全责任及义务：</w:t>
      </w:r>
    </w:p>
    <w:p w14:paraId="36F02FC9">
      <w:pPr>
        <w:pStyle w:val="14"/>
        <w:spacing w:line="400" w:lineRule="atLeas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5.1</w:t>
      </w:r>
      <w:r>
        <w:rPr>
          <w:rFonts w:hint="eastAsia" w:ascii="仿宋_GB2312" w:hAnsi="仿宋_GB2312" w:eastAsia="仿宋_GB2312" w:cs="仿宋_GB2312"/>
          <w:color w:val="000000" w:themeColor="text1"/>
          <w:highlight w:val="none"/>
          <w14:textFill>
            <w14:solidFill>
              <w14:schemeClr w14:val="tx1"/>
            </w14:solidFill>
          </w14:textFill>
        </w:rPr>
        <w:t>乙方不能满足甲方有关安全文明施工措施、环境和职业健康安全方面的要求时，乙方按照项目实际工期损失、经济损失承担违约金。</w:t>
      </w:r>
    </w:p>
    <w:p w14:paraId="4C61663D">
      <w:pPr>
        <w:spacing w:line="400" w:lineRule="exact"/>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5.2由于乙方原因造成甲方人员人身伤害，乙方应立即采取补救措施，并全额赔偿甲方相关人员损失。</w:t>
      </w:r>
    </w:p>
    <w:p w14:paraId="3D0080E3">
      <w:pPr>
        <w:pStyle w:val="14"/>
        <w:numPr>
          <w:ilvl w:val="0"/>
          <w:numId w:val="9"/>
        </w:numPr>
        <w:spacing w:line="400" w:lineRule="atLeast"/>
        <w:ind w:firstLine="482" w:firstLineChars="20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未经同意转让权利及义务：</w:t>
      </w:r>
    </w:p>
    <w:p w14:paraId="7CB5D4FE">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未经甲方书面同意，乙方不得以对甲方享有之任何债权向其他第三方进行转让或提供任何形式之担保或保证等。经甲方同意转让合同权利，不解除乙方应承担本合同项下的义务和责任。</w:t>
      </w:r>
    </w:p>
    <w:p w14:paraId="781DFBFD">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bookmarkStart w:id="103" w:name="_Hlk126834115"/>
      <w:bookmarkStart w:id="104" w:name="_Hlk127191104"/>
      <w:r>
        <w:rPr>
          <w:rFonts w:hint="eastAsia" w:ascii="仿宋_GB2312" w:hAnsi="仿宋_GB2312" w:eastAsia="仿宋_GB2312" w:cs="仿宋_GB2312"/>
          <w:b/>
          <w:bCs/>
          <w:color w:val="000000" w:themeColor="text1"/>
          <w:highlight w:val="none"/>
          <w14:textFill>
            <w14:solidFill>
              <w14:schemeClr w14:val="tx1"/>
            </w14:solidFill>
          </w14:textFill>
        </w:rPr>
        <w:t>7、</w:t>
      </w:r>
      <w:bookmarkStart w:id="105" w:name="_Hlk126829881"/>
      <w:r>
        <w:rPr>
          <w:rFonts w:hint="eastAsia" w:ascii="仿宋_GB2312" w:hAnsi="仿宋_GB2312" w:eastAsia="仿宋_GB2312" w:cs="仿宋_GB2312"/>
          <w:b/>
          <w:bCs/>
          <w:color w:val="000000" w:themeColor="text1"/>
          <w:highlight w:val="none"/>
          <w14:textFill>
            <w14:solidFill>
              <w14:schemeClr w14:val="tx1"/>
            </w14:solidFill>
          </w14:textFill>
        </w:rPr>
        <w:t>未履行结算义务：</w:t>
      </w:r>
    </w:p>
    <w:p w14:paraId="39BAAF84">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若发现乙方存在以下行为，视为违约并处以相应的罚款，在当期结算款中扣除（当期结算款额度不够的在下期结算款中扣除），并保留追究相应责任的权利。</w:t>
      </w:r>
    </w:p>
    <w:p w14:paraId="760F60E4">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（1）伪造或虚开工程量数据，一经发现处以罚款2万元/次。</w:t>
      </w:r>
    </w:p>
    <w:p w14:paraId="4A569F94">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（2）伪造甲方管理人员签字盖章，一经发现处以罚款5万元/次。</w:t>
      </w:r>
    </w:p>
    <w:p w14:paraId="1965F149">
      <w:pPr>
        <w:pStyle w:val="14"/>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（3）伪造结算书或其他结算相关材料，一经发现处以罚款10万元/次</w:t>
      </w:r>
      <w:bookmarkEnd w:id="103"/>
      <w:r>
        <w:rPr>
          <w:rFonts w:hint="eastAsia" w:ascii="仿宋_GB2312" w:hAnsi="仿宋_GB2312" w:eastAsia="仿宋_GB2312" w:cs="仿宋_GB2312"/>
          <w:color w:val="000000" w:themeColor="text1"/>
          <w:highlight w:val="none"/>
          <w14:textFill>
            <w14:solidFill>
              <w14:schemeClr w14:val="tx1"/>
            </w14:solidFill>
          </w14:textFill>
        </w:rPr>
        <w:t>。</w:t>
      </w:r>
      <w:bookmarkEnd w:id="104"/>
      <w:bookmarkEnd w:id="105"/>
    </w:p>
    <w:p w14:paraId="5BE86018">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bookmarkStart w:id="106" w:name="_Toc19191"/>
      <w:bookmarkStart w:id="107" w:name="_Toc11521"/>
      <w:bookmarkStart w:id="108" w:name="_Toc20335"/>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highlight w:val="none"/>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供货知识产权存在瑕疵</w:t>
      </w:r>
      <w:r>
        <w:rPr>
          <w:rFonts w:hint="eastAsia" w:ascii="仿宋_GB2312" w:hAnsi="仿宋_GB2312" w:eastAsia="仿宋_GB2312" w:cs="仿宋_GB2312"/>
          <w:b/>
          <w:bCs/>
          <w:color w:val="000000" w:themeColor="text1"/>
          <w:highlight w:val="none"/>
          <w14:textFill>
            <w14:solidFill>
              <w14:schemeClr w14:val="tx1"/>
            </w14:solidFill>
          </w14:textFill>
        </w:rPr>
        <w:t>：</w:t>
      </w:r>
    </w:p>
    <w:p w14:paraId="4CA17D75">
      <w:pPr>
        <w:pStyle w:val="14"/>
        <w:spacing w:line="400" w:lineRule="atLeast"/>
        <w:ind w:firstLine="480" w:firstLineChars="200"/>
        <w:jc w:val="both"/>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若乙方提供物资侵犯他人知识产权（或专利权）导致他人向甲方索赔的，乙方承担由此给甲方造成的一切损失，包括但不限于甲方处理此纠纷发生的律师费、诉讼费、差旅费等一切损失。此外，乙方应向甲方支付合同价款</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u w:val="single"/>
          <w:lang w:val="en-US" w:eastAsia="zh-CN"/>
          <w14:textFill>
            <w14:solidFill>
              <w14:schemeClr w14:val="tx1"/>
            </w14:solidFill>
          </w14:textFill>
        </w:rPr>
        <w:t>20</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highlight w:val="none"/>
          <w14:textFill>
            <w14:solidFill>
              <w14:schemeClr w14:val="tx1"/>
            </w14:solidFill>
          </w14:textFill>
        </w:rPr>
        <w:t>％的违约金。甲方针对上述一切损失有权从乙方结算货款中扣除或依法追索。</w:t>
      </w:r>
    </w:p>
    <w:p w14:paraId="50FC521C">
      <w:pPr>
        <w:pStyle w:val="14"/>
        <w:spacing w:line="400" w:lineRule="atLeast"/>
        <w:ind w:firstLine="482" w:firstLineChars="200"/>
        <w:jc w:val="both"/>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9、私运项目物资</w:t>
      </w:r>
    </w:p>
    <w:p w14:paraId="3A28BA97">
      <w:pPr>
        <w:pStyle w:val="14"/>
        <w:spacing w:line="400" w:lineRule="atLeast"/>
        <w:ind w:firstLine="480" w:firstLineChars="200"/>
        <w:jc w:val="both"/>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highlight w:val="none"/>
          <w:lang w:val="en-US" w:eastAsia="zh-CN"/>
          <w14:textFill>
            <w14:solidFill>
              <w14:schemeClr w14:val="tx1"/>
            </w14:solidFill>
          </w14:textFill>
        </w:rPr>
        <w:t>若乙方私自运送甲方现场物资出场，乙方需向甲方支付所涉及物资原值【2】倍的违约金，情节严重的交由司法机关处理。</w:t>
      </w:r>
    </w:p>
    <w:p w14:paraId="24634546">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10</w:t>
      </w:r>
      <w:r>
        <w:rPr>
          <w:rFonts w:hint="eastAsia" w:ascii="仿宋_GB2312" w:hAnsi="仿宋_GB2312" w:eastAsia="仿宋_GB2312" w:cs="仿宋_GB2312"/>
          <w:b/>
          <w:bCs/>
          <w:color w:val="000000" w:themeColor="text1"/>
          <w:highlight w:val="none"/>
          <w14:textFill>
            <w14:solidFill>
              <w14:schemeClr w14:val="tx1"/>
            </w14:solidFill>
          </w14:textFill>
        </w:rPr>
        <w:t>、未履行本协议约定义务：</w:t>
      </w:r>
    </w:p>
    <w:p w14:paraId="6966CBD7">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乙方不履行本协议约定义务或中途终止履行合同（符合本合同约定的调价和合同解除条件除外）的，乙方按照项目实际工期损失、经济损失承担违约金。</w:t>
      </w:r>
    </w:p>
    <w:p w14:paraId="068E1A6A">
      <w:pPr>
        <w:pStyle w:val="14"/>
        <w:spacing w:line="400" w:lineRule="atLeast"/>
        <w:ind w:firstLine="482" w:firstLineChars="200"/>
        <w:jc w:val="both"/>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11</w:t>
      </w:r>
      <w:r>
        <w:rPr>
          <w:rFonts w:hint="eastAsia" w:ascii="仿宋_GB2312" w:hAnsi="仿宋_GB2312" w:eastAsia="仿宋_GB2312" w:cs="仿宋_GB2312"/>
          <w:b/>
          <w:bCs/>
          <w:color w:val="000000" w:themeColor="text1"/>
          <w:highlight w:val="none"/>
          <w14:textFill>
            <w14:solidFill>
              <w14:schemeClr w14:val="tx1"/>
            </w14:solidFill>
          </w14:textFill>
        </w:rPr>
        <w:t>、违约后的处置方式：</w:t>
      </w:r>
    </w:p>
    <w:p w14:paraId="2280D3F5">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乙方违约后，甲方有权直接从乙方结算款或应付款中扣除违约金；甲方决定合同继续履行的，乙方除承担上述违约责任，仍应继续履行合同。</w:t>
      </w:r>
    </w:p>
    <w:p w14:paraId="4979C3E4">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货物缺陷索赔</w:t>
      </w:r>
      <w:bookmarkEnd w:id="106"/>
      <w:bookmarkEnd w:id="107"/>
      <w:bookmarkEnd w:id="108"/>
    </w:p>
    <w:p w14:paraId="3462A145">
      <w:pPr>
        <w:pStyle w:val="15"/>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1、质量缺陷索赔：</w:t>
      </w:r>
      <w:r>
        <w:rPr>
          <w:rFonts w:hint="eastAsia" w:ascii="仿宋_GB2312" w:hAnsi="仿宋_GB2312" w:eastAsia="仿宋_GB2312" w:cs="仿宋_GB2312"/>
          <w:color w:val="000000" w:themeColor="text1"/>
          <w:sz w:val="24"/>
          <w:highlight w:val="none"/>
          <w14:textFill>
            <w14:solidFill>
              <w14:schemeClr w14:val="tx1"/>
            </w14:solidFill>
          </w14:textFill>
        </w:rPr>
        <w:t>如甲方在各阶段的检验过程中发现货物不合格现象，可选择更换货物或提出索赔。若选择索赔，甲方有权邀请当地有关质量监督管理部门或其他鉴定机构进行检验，并出具检验证书，可以据此向乙方提出索赔。</w:t>
      </w:r>
    </w:p>
    <w:p w14:paraId="6D24338C">
      <w:pPr>
        <w:pStyle w:val="15"/>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2、缺陷索赔解决方式：</w:t>
      </w:r>
      <w:r>
        <w:rPr>
          <w:rFonts w:hint="eastAsia" w:ascii="仿宋_GB2312" w:hAnsi="仿宋_GB2312" w:eastAsia="仿宋_GB2312" w:cs="仿宋_GB2312"/>
          <w:color w:val="000000" w:themeColor="text1"/>
          <w:sz w:val="24"/>
          <w:highlight w:val="none"/>
          <w14:textFill>
            <w14:solidFill>
              <w14:schemeClr w14:val="tx1"/>
            </w14:solidFill>
          </w14:textFill>
        </w:rPr>
        <w:t>对甲方在规定的检验、安装、调试和验收测试期限内和质量保修期内发现缺陷提出的索赔，乙方应按甲方同意的下述一种或多种方法解决索赔事宜：</w:t>
      </w:r>
    </w:p>
    <w:p w14:paraId="5534770B">
      <w:pPr>
        <w:pStyle w:val="15"/>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乙方同意甲方部分或全部退货并把退货部分金额以合同规定的同类货币退还给甲方。乙方负担退货过程中发生的一切损失和费用，包括利息、银行费用、运输和保险费、检验费、仓储和装卸费以及为保管和保护退还货物所发生的其它必要费用，包括但不限于工期延误损失导致业主向甲方的索赔等。</w:t>
      </w:r>
    </w:p>
    <w:p w14:paraId="47F2B0E2">
      <w:pPr>
        <w:pStyle w:val="15"/>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2.2根据货物的质量缺陷和受损程度以及甲方遭受损失的程度，经双方协商同意降低货物价格。</w:t>
      </w:r>
    </w:p>
    <w:p w14:paraId="2B0F4240">
      <w:pPr>
        <w:pStyle w:val="15"/>
        <w:spacing w:after="24" w:afterLines="10" w:line="400" w:lineRule="atLeast"/>
        <w:ind w:right="0"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2.3更换有缺陷的部分货物、零件、部件和设备，或修理缺陷部分，以达到合同规定的规格、质量和性能，乙方承担一切费用和风险，并负担甲方遭受的损失。</w:t>
      </w:r>
    </w:p>
    <w:p w14:paraId="35CD61B7">
      <w:pPr>
        <w:pStyle w:val="15"/>
        <w:spacing w:after="24" w:afterLines="10" w:line="400" w:lineRule="atLeast"/>
        <w:ind w:right="0" w:firstLine="482"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3、缺陷索赔程序：如果甲方提出索赔通知后7日内乙方未予以答复，该索赔应视为已被乙方接受。</w:t>
      </w:r>
      <w:r>
        <w:rPr>
          <w:rFonts w:hint="eastAsia" w:ascii="仿宋_GB2312" w:hAnsi="仿宋_GB2312" w:eastAsia="仿宋_GB2312" w:cs="仿宋_GB2312"/>
          <w:color w:val="000000" w:themeColor="text1"/>
          <w:sz w:val="24"/>
          <w:highlight w:val="none"/>
          <w14:textFill>
            <w14:solidFill>
              <w14:schemeClr w14:val="tx1"/>
            </w14:solidFill>
          </w14:textFill>
        </w:rPr>
        <w:t>若乙方未能在甲方提出索赔通知的合理时限（7日内）或甲方同意的延长期限内，按甲方同意的上述任何一种方式处理索赔事宜</w:t>
      </w:r>
      <w:r>
        <w:rPr>
          <w:rFonts w:hint="eastAsia" w:ascii="仿宋_GB2312" w:hAnsi="仿宋_GB2312" w:eastAsia="仿宋_GB2312" w:cs="仿宋_GB2312"/>
          <w:b/>
          <w:bCs/>
          <w:color w:val="000000" w:themeColor="text1"/>
          <w:sz w:val="24"/>
          <w:highlight w:val="none"/>
          <w14:textFill>
            <w14:solidFill>
              <w14:schemeClr w14:val="tx1"/>
            </w14:solidFill>
          </w14:textFill>
        </w:rPr>
        <w:t>，甲方有权从乙方货款中扣除索赔金额，不足部分，甲方有权向乙方追偿。</w:t>
      </w:r>
    </w:p>
    <w:p w14:paraId="022D7A0B">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4、其他缺陷索赔：</w:t>
      </w:r>
      <w:r>
        <w:rPr>
          <w:rFonts w:hint="eastAsia" w:ascii="仿宋_GB2312" w:hAnsi="仿宋_GB2312" w:eastAsia="仿宋_GB2312" w:cs="仿宋_GB2312"/>
          <w:color w:val="000000" w:themeColor="text1"/>
          <w:highlight w:val="none"/>
          <w14:textFill>
            <w14:solidFill>
              <w14:schemeClr w14:val="tx1"/>
            </w14:solidFill>
          </w14:textFill>
        </w:rPr>
        <w:t>对于甲方提出的非质量缺陷的其他索赔通知，参照适用缺陷索赔规则。</w:t>
      </w:r>
    </w:p>
    <w:p w14:paraId="56173049">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09" w:name="_Toc12864"/>
      <w:bookmarkStart w:id="110" w:name="_Toc13471"/>
      <w:bookmarkStart w:id="111" w:name="_Toc13562"/>
      <w:r>
        <w:rPr>
          <w:rFonts w:hint="eastAsia" w:ascii="仿宋_GB2312" w:hAnsi="仿宋_GB2312" w:eastAsia="仿宋_GB2312" w:cs="仿宋_GB2312"/>
          <w:b/>
          <w:bCs/>
          <w:color w:val="000000" w:themeColor="text1"/>
          <w:highlight w:val="none"/>
          <w14:textFill>
            <w14:solidFill>
              <w14:schemeClr w14:val="tx1"/>
            </w14:solidFill>
          </w14:textFill>
        </w:rPr>
        <w:t>合同变更</w:t>
      </w:r>
      <w:bookmarkEnd w:id="109"/>
      <w:bookmarkEnd w:id="110"/>
      <w:bookmarkEnd w:id="111"/>
    </w:p>
    <w:p w14:paraId="030CA392">
      <w:pPr>
        <w:pStyle w:val="14"/>
        <w:numPr>
          <w:ilvl w:val="0"/>
          <w:numId w:val="10"/>
        </w:numPr>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经双方协商一致可以对本合同条款进行修改、变更或增减，并成为本合同的补充文件</w:t>
      </w:r>
      <w:r>
        <w:rPr>
          <w:rFonts w:hint="eastAsia" w:ascii="仿宋_GB2312" w:hAnsi="仿宋_GB2312" w:eastAsia="仿宋_GB2312" w:cs="仿宋_GB2312"/>
          <w:b/>
          <w:bCs/>
          <w:color w:val="000000" w:themeColor="text1"/>
          <w:highlight w:val="none"/>
          <w14:textFill>
            <w14:solidFill>
              <w14:schemeClr w14:val="tx1"/>
            </w14:solidFill>
          </w14:textFill>
        </w:rPr>
        <w:t>，此类补充文件需按本合同约定的生效条件加盖与本合同相同的印章才可视为成立并生效，具有同等法律效力。</w:t>
      </w:r>
    </w:p>
    <w:p w14:paraId="5C03133A">
      <w:pPr>
        <w:pStyle w:val="14"/>
        <w:numPr>
          <w:ilvl w:val="0"/>
          <w:numId w:val="10"/>
        </w:numPr>
        <w:spacing w:line="400" w:lineRule="atLeast"/>
        <w:ind w:firstLine="480" w:firstLineChars="200"/>
        <w:jc w:val="both"/>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当乙方所供物资超出分供合同标的物的金额不超过原合同金额的10%（含），正常办理结算；分供合同标的物的金额超过原合同金额的10%但不超过30%（含），甲乙双方签订补充协议；分供合同标的物的金额超过原合同金额的30%，则对原合同外的物资重新组织招标。</w:t>
      </w:r>
    </w:p>
    <w:p w14:paraId="32776D31">
      <w:pPr>
        <w:pStyle w:val="14"/>
        <w:numPr>
          <w:ilvl w:val="0"/>
          <w:numId w:val="10"/>
        </w:numPr>
        <w:spacing w:line="400" w:lineRule="atLeast"/>
        <w:ind w:firstLine="480"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工程建设单位、监理单位及相关部门出台的相关规定文件、市场准入制度造成合同不能执行，甲方不承担任何责任。</w:t>
      </w:r>
    </w:p>
    <w:p w14:paraId="56E657BD">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2" w:name="_Toc29083"/>
      <w:bookmarkStart w:id="113" w:name="_Toc28560"/>
      <w:bookmarkStart w:id="114" w:name="_Toc23441"/>
      <w:r>
        <w:rPr>
          <w:rFonts w:hint="eastAsia" w:ascii="仿宋_GB2312" w:hAnsi="仿宋_GB2312" w:eastAsia="仿宋_GB2312" w:cs="仿宋_GB2312"/>
          <w:b/>
          <w:bCs/>
          <w:color w:val="000000" w:themeColor="text1"/>
          <w:highlight w:val="none"/>
          <w14:textFill>
            <w14:solidFill>
              <w14:schemeClr w14:val="tx1"/>
            </w14:solidFill>
          </w14:textFill>
        </w:rPr>
        <w:t>合同解除</w:t>
      </w:r>
      <w:bookmarkEnd w:id="112"/>
      <w:bookmarkEnd w:id="113"/>
      <w:bookmarkEnd w:id="114"/>
    </w:p>
    <w:p w14:paraId="7215EC98">
      <w:pPr>
        <w:pStyle w:val="14"/>
        <w:numPr>
          <w:ilvl w:val="0"/>
          <w:numId w:val="11"/>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bookmarkStart w:id="115" w:name="_Hlk126831282"/>
      <w:r>
        <w:rPr>
          <w:rFonts w:hint="eastAsia" w:ascii="仿宋_GB2312" w:hAnsi="仿宋_GB2312" w:eastAsia="仿宋_GB2312" w:cs="仿宋_GB2312"/>
          <w:color w:val="000000" w:themeColor="text1"/>
          <w:highlight w:val="none"/>
          <w14:textFill>
            <w14:solidFill>
              <w14:schemeClr w14:val="tx1"/>
            </w14:solidFill>
          </w14:textFill>
        </w:rPr>
        <w:t>因不可抗力致使不能实现合同目的等原因，经甲、乙双方协商一致同意可解除合同。</w:t>
      </w:r>
    </w:p>
    <w:p w14:paraId="0523D6F2">
      <w:pPr>
        <w:pStyle w:val="14"/>
        <w:numPr>
          <w:ilvl w:val="0"/>
          <w:numId w:val="11"/>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如甲方与业主签订的总承包合同解除或终止，或因业主变更导致甲方无需采购约定材料，则甲方以书面形式通知乙方终止本合同。</w:t>
      </w:r>
    </w:p>
    <w:p w14:paraId="498D31EE">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3、乙方具有下列事由之一的，甲方可以单方全部解除合同或部分解除合同或终止合同，乙方已收款项全部无条件返还：</w:t>
      </w:r>
    </w:p>
    <w:p w14:paraId="31C0B107">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3.1乙方所提供的产品无法通过相关部门（如质监、监理、设计方、甲方及当地相关政府部门等）验收合格；</w:t>
      </w:r>
    </w:p>
    <w:p w14:paraId="632CD594">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3.2在产品使用后发生因产品质量问题造成人员、财产受到损害的；</w:t>
      </w:r>
    </w:p>
    <w:p w14:paraId="7EDDE739">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3.3乙方将本合同项下权利义务全部或部分转让的；</w:t>
      </w:r>
    </w:p>
    <w:p w14:paraId="51AF8BA1">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3.4未按本合同约定时间交货累计延误达10日历天；</w:t>
      </w:r>
    </w:p>
    <w:p w14:paraId="6F43BB83">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3.5因产品质量未达到本合同专用条款第四条技术标准及质量要求和国家、地方政府相关部门的相关规范和要求，在甲方要求时间内无法更换或补充至甲方要求；</w:t>
      </w:r>
    </w:p>
    <w:p w14:paraId="69D5D9FA">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3.6甲方发现产品不能满足本合同约定的质量标准时，或在本合同履行过程中，乙方未按甲方的要求及时进行整改的；</w:t>
      </w:r>
    </w:p>
    <w:p w14:paraId="1A8D3758">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3.7在本合同履行过程中乙方漠视甲方、设计方指令的或未按甲方、设计方指令执行的；</w:t>
      </w:r>
    </w:p>
    <w:p w14:paraId="367945CE">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3.9其他法律规定可解除合同的事由。</w:t>
      </w:r>
    </w:p>
    <w:p w14:paraId="0DC46D37">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如发生上述事项，甲方将解除或终止合同的意思表示（书面或传真）通知乙方后合同解除或终止。合同解除后乙方仍应承担上述因乙方原因而产生的违约金和因此给甲方造成的全部直接和间接经济损失。乙方在收到解除或终止合同的通知后应无条件配合甲方处理善后事宜。</w:t>
      </w:r>
    </w:p>
    <w:p w14:paraId="6C4A1449">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4、合同解除或终止后，乙方应当积极配合甲方及时办理合同结算及支付手续，否则甲方有权单方办理结算，视为乙方认可甲方审定的结算额</w:t>
      </w:r>
      <w:bookmarkEnd w:id="115"/>
      <w:r>
        <w:rPr>
          <w:rFonts w:hint="eastAsia" w:ascii="仿宋_GB2312" w:hAnsi="仿宋_GB2312" w:eastAsia="仿宋_GB2312" w:cs="仿宋_GB2312"/>
          <w:b/>
          <w:bCs/>
          <w:color w:val="000000" w:themeColor="text1"/>
          <w:highlight w:val="none"/>
          <w14:textFill>
            <w14:solidFill>
              <w14:schemeClr w14:val="tx1"/>
            </w14:solidFill>
          </w14:textFill>
        </w:rPr>
        <w:t>。</w:t>
      </w:r>
    </w:p>
    <w:p w14:paraId="122D3398">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16" w:name="_Toc17777"/>
      <w:bookmarkStart w:id="117" w:name="_Toc24603"/>
      <w:bookmarkStart w:id="118" w:name="_Toc16580"/>
      <w:r>
        <w:rPr>
          <w:rFonts w:hint="eastAsia" w:ascii="仿宋_GB2312" w:hAnsi="仿宋_GB2312" w:eastAsia="仿宋_GB2312" w:cs="仿宋_GB2312"/>
          <w:b/>
          <w:bCs/>
          <w:color w:val="000000" w:themeColor="text1"/>
          <w:highlight w:val="none"/>
          <w14:textFill>
            <w14:solidFill>
              <w14:schemeClr w14:val="tx1"/>
            </w14:solidFill>
          </w14:textFill>
        </w:rPr>
        <w:t>不可抗力</w:t>
      </w:r>
      <w:bookmarkEnd w:id="116"/>
      <w:bookmarkEnd w:id="117"/>
      <w:bookmarkEnd w:id="118"/>
    </w:p>
    <w:p w14:paraId="7A22B1F3">
      <w:pPr>
        <w:pStyle w:val="14"/>
        <w:numPr>
          <w:ilvl w:val="0"/>
          <w:numId w:val="12"/>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bookmarkStart w:id="119" w:name="_Toc10852"/>
      <w:bookmarkStart w:id="120" w:name="_Toc9310"/>
      <w:bookmarkStart w:id="121" w:name="_Toc18501"/>
      <w:r>
        <w:rPr>
          <w:rFonts w:hint="eastAsia" w:ascii="仿宋_GB2312" w:hAnsi="仿宋_GB2312" w:eastAsia="仿宋_GB2312" w:cs="仿宋_GB2312"/>
          <w:b/>
          <w:bCs/>
          <w:color w:val="000000" w:themeColor="text1"/>
          <w:highlight w:val="none"/>
          <w14:textFill>
            <w14:solidFill>
              <w14:schemeClr w14:val="tx1"/>
            </w14:solidFill>
          </w14:textFill>
        </w:rPr>
        <w:t>不可抗力的确认</w:t>
      </w:r>
    </w:p>
    <w:p w14:paraId="33682626">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不可抗力是指合同当事人在签订合同时不可预见，在合同履行过程中不可避免且不能克服的自然灾害和社会性突发事件，如地震、海啸、火灾、特大风雪、连续暴雨、特大降水、洪水等自然灾害，瘟疫、骚乱、戒严、暴动、战争、爆发性传染疾病、雾霾停工及其它通知的政府行为。合同一方当事人遇到不可抗力事件，使其履行合同义务受到阻碍时，应立即通知合同另一方当事人，书面说明不可抗力和受阻碍的详细情况，并提供必要的证明。</w:t>
      </w:r>
    </w:p>
    <w:p w14:paraId="0EE0D6A0">
      <w:pPr>
        <w:pStyle w:val="14"/>
        <w:numPr>
          <w:ilvl w:val="0"/>
          <w:numId w:val="12"/>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不可抗力的通知</w:t>
      </w:r>
    </w:p>
    <w:p w14:paraId="54FAA062">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2.1 不可抗力事件发生后，乙方应立即通知甲方，并在力所能及的条件下迅速采取措施，尽力减少损失，甲方应协助乙方采取措施。若因乙方未能尽力挽救，导致损失扩大的，由乙方承担全部责任。</w:t>
      </w:r>
    </w:p>
    <w:p w14:paraId="37273FA5">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2.2 不可抗力事件结束后14天内，乙方应向甲方提交清理和修复费用的正式报告及有关资料。</w:t>
      </w:r>
    </w:p>
    <w:p w14:paraId="329864B0">
      <w:pPr>
        <w:pStyle w:val="14"/>
        <w:numPr>
          <w:ilvl w:val="0"/>
          <w:numId w:val="12"/>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不可抗力风险的承担</w:t>
      </w:r>
    </w:p>
    <w:p w14:paraId="5984A88A">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3.1 不可抗力导致的人员伤亡、财产损失、费用增加和（或）作业期限延误等后果，由合同当事人按以下原则承担：</w:t>
      </w:r>
    </w:p>
    <w:p w14:paraId="734DACD5">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（1）乙方施工设备的损坏由乙方承担；</w:t>
      </w:r>
    </w:p>
    <w:p w14:paraId="43B98907">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（2）甲方和乙方承担各自人员伤亡和财产的损失；</w:t>
      </w:r>
    </w:p>
    <w:p w14:paraId="1B5F804A">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（3）因不可抗力影响乙方履行合同约定的义务，已经引起或将引起工期延误的，应当顺延工期，由此导致乙方停工的费用损失由乙方承担；</w:t>
      </w:r>
    </w:p>
    <w:p w14:paraId="37FA7018">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（4）因不可抗力引起或将引起工期延误，甲方要求赶工的，由此增加的赶工费用由甲方承担；</w:t>
      </w:r>
    </w:p>
    <w:p w14:paraId="3EBE008B">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（5）乙方在停工期间按照甲方要求照管和清理工程的费用由甲方承担。</w:t>
      </w:r>
    </w:p>
    <w:p w14:paraId="2F3245C2">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不可抗力发生后，合同当事人均应采取措施尽量避免和减少损失的扩大，任何一方当事人没有采取有效措施导致损失扩大的，应对扩大的损失承担责任。</w:t>
      </w:r>
    </w:p>
    <w:p w14:paraId="2C4AF8F8">
      <w:pPr>
        <w:pStyle w:val="14"/>
        <w:numPr>
          <w:ilvl w:val="255"/>
          <w:numId w:val="0"/>
        </w:numPr>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3.2 因合同一方迟延履行合同义务，在迟延履行期间遭遇不可抗力的，不免除其违约责任。</w:t>
      </w:r>
    </w:p>
    <w:p w14:paraId="5E1C426E">
      <w:pPr>
        <w:pStyle w:val="14"/>
        <w:numPr>
          <w:ilvl w:val="0"/>
          <w:numId w:val="12"/>
        </w:numPr>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因不可抗力解除合同</w:t>
      </w:r>
    </w:p>
    <w:p w14:paraId="5C805A83">
      <w:pPr>
        <w:pStyle w:val="14"/>
        <w:numPr>
          <w:ilvl w:val="255"/>
          <w:numId w:val="0"/>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因不可抗力导致本合同无法履行连续超过84天或累计超过140天的，甲方和乙方均有权解除本合同。本合同解除后，甲方有权暂停对乙方的付款，直到双方就退场达成一致。</w:t>
      </w:r>
    </w:p>
    <w:p w14:paraId="11E0893B">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争议解决</w:t>
      </w:r>
      <w:bookmarkEnd w:id="119"/>
      <w:bookmarkEnd w:id="120"/>
      <w:bookmarkEnd w:id="121"/>
    </w:p>
    <w:p w14:paraId="54B44A43">
      <w:pPr>
        <w:pStyle w:val="14"/>
        <w:spacing w:line="400" w:lineRule="atLeast"/>
        <w:ind w:firstLine="482"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1、争议和解：</w:t>
      </w:r>
      <w:r>
        <w:rPr>
          <w:rFonts w:hint="eastAsia" w:ascii="仿宋_GB2312" w:hAnsi="仿宋_GB2312" w:eastAsia="仿宋_GB2312" w:cs="仿宋_GB2312"/>
          <w:color w:val="000000" w:themeColor="text1"/>
          <w:highlight w:val="none"/>
          <w14:textFill>
            <w14:solidFill>
              <w14:schemeClr w14:val="tx1"/>
            </w14:solidFill>
          </w14:textFill>
        </w:rPr>
        <w:t>对因本合同引起或与之相关的任何争议、纠纷或权利主张，任何一方如欲通过本条第2款约定的方式解决，须在提起第2款约定的争议解决方式前，向对方发出书面和解申请书，并告知对方争议、纠纷或权利主张之事实及依据。</w:t>
      </w:r>
    </w:p>
    <w:p w14:paraId="7F9D30A2">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在对方收到上述通知之日起</w:t>
      </w:r>
      <w:r>
        <w:rPr>
          <w:rFonts w:hint="eastAsia" w:ascii="仿宋_GB2312" w:hAnsi="仿宋_GB2312" w:eastAsia="仿宋_GB2312" w:cs="仿宋_GB2312"/>
          <w:color w:val="000000" w:themeColor="text1"/>
          <w:highlight w:val="none"/>
          <w:u w:val="single"/>
          <w14:textFill>
            <w14:solidFill>
              <w14:schemeClr w14:val="tx1"/>
            </w14:solidFill>
          </w14:textFill>
        </w:rPr>
        <w:t>3个月</w:t>
      </w:r>
      <w:r>
        <w:rPr>
          <w:rFonts w:hint="eastAsia" w:ascii="仿宋_GB2312" w:hAnsi="仿宋_GB2312" w:eastAsia="仿宋_GB2312" w:cs="仿宋_GB2312"/>
          <w:color w:val="000000" w:themeColor="text1"/>
          <w:highlight w:val="none"/>
          <w14:textFill>
            <w14:solidFill>
              <w14:schemeClr w14:val="tx1"/>
            </w14:solidFill>
          </w14:textFill>
        </w:rPr>
        <w:t>为双方和解期限。在和解期限内，若双方达成和解协议的，双方的权利义务按照和解协议履行；若未达成和解协议的，任何一方可采取本条第2款约定的争议解决方式。</w:t>
      </w:r>
    </w:p>
    <w:p w14:paraId="36F5936A">
      <w:pPr>
        <w:pStyle w:val="14"/>
        <w:spacing w:line="400" w:lineRule="atLeast"/>
        <w:ind w:firstLine="482" w:firstLineChars="200"/>
        <w:rPr>
          <w:rFonts w:hint="eastAsia" w:ascii="仿宋_GB2312" w:hAnsi="仿宋_GB2312" w:eastAsia="仿宋_GB2312" w:cs="仿宋_GB2312"/>
          <w:color w:val="000000" w:themeColor="text1"/>
          <w:highlight w:val="none"/>
          <w:lang w:val="en-US" w:eastAsia="zh-CN"/>
          <w14:textFill>
            <w14:solidFill>
              <w14:schemeClr w14:val="tx1"/>
            </w14:solidFill>
          </w14:textFill>
        </w:rPr>
      </w:pPr>
      <w:bookmarkStart w:id="122" w:name="_Hlk126830485"/>
      <w:bookmarkStart w:id="123" w:name="_Hlk126770481"/>
      <w:bookmarkStart w:id="124" w:name="_Toc11207"/>
      <w:bookmarkStart w:id="125" w:name="_Toc18393"/>
      <w:bookmarkStart w:id="126" w:name="_Toc31739"/>
      <w:r>
        <w:rPr>
          <w:rFonts w:hint="eastAsia" w:ascii="仿宋_GB2312" w:hAnsi="仿宋_GB2312" w:eastAsia="仿宋_GB2312" w:cs="仿宋_GB2312"/>
          <w:b/>
          <w:bCs/>
          <w:color w:val="000000" w:themeColor="text1"/>
          <w:highlight w:val="none"/>
          <w14:textFill>
            <w14:solidFill>
              <w14:schemeClr w14:val="tx1"/>
            </w14:solidFill>
          </w14:textFill>
        </w:rPr>
        <w:t>2、</w:t>
      </w:r>
      <w:bookmarkEnd w:id="122"/>
      <w:bookmarkEnd w:id="123"/>
      <w:bookmarkStart w:id="127" w:name="_Hlk127194929"/>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争议仲裁：</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因本合同引起或与之相关任何争议、纠纷或权利主张，和解不成且已超过和解期的,双方同意提交石家庄仲裁委员会裁决。</w:t>
      </w:r>
    </w:p>
    <w:p w14:paraId="229698EE">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highlight w:val="none"/>
          <w14:textFill>
            <w14:solidFill>
              <w14:schemeClr w14:val="tx1"/>
            </w14:solidFill>
          </w14:textFill>
        </w:rPr>
        <w:t>本合同中关于管辖权的约定是唯一的，任何一方不得通过债权转让或其它方式对涉及本合同约定事项或与之相关的事项的争议解决方式进行另行约定或对本合同关于管辖权的约定进行变更，如发生类似情形，该等约定亦属无效</w:t>
      </w:r>
      <w:bookmarkEnd w:id="127"/>
      <w:r>
        <w:rPr>
          <w:rFonts w:hint="eastAsia" w:ascii="仿宋_GB2312" w:hAnsi="仿宋_GB2312" w:eastAsia="仿宋_GB2312" w:cs="仿宋_GB2312"/>
          <w:b/>
          <w:bCs/>
          <w:color w:val="000000" w:themeColor="text1"/>
          <w:highlight w:val="none"/>
          <w14:textFill>
            <w14:solidFill>
              <w14:schemeClr w14:val="tx1"/>
            </w14:solidFill>
          </w14:textFill>
        </w:rPr>
        <w:t>。</w:t>
      </w:r>
    </w:p>
    <w:p w14:paraId="61651E56">
      <w:pPr>
        <w:pStyle w:val="14"/>
        <w:spacing w:line="400" w:lineRule="atLeast"/>
        <w:ind w:firstLine="482" w:firstLineChars="200"/>
        <w:jc w:val="both"/>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2.</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highlight w:val="none"/>
          <w14:textFill>
            <w14:solidFill>
              <w14:schemeClr w14:val="tx1"/>
            </w14:solidFill>
          </w14:textFill>
        </w:rPr>
        <w:t>因仲裁产生的各项</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合理</w:t>
      </w:r>
      <w:r>
        <w:rPr>
          <w:rFonts w:hint="eastAsia" w:ascii="仿宋_GB2312" w:hAnsi="仿宋_GB2312" w:eastAsia="仿宋_GB2312" w:cs="仿宋_GB2312"/>
          <w:b/>
          <w:bCs/>
          <w:color w:val="000000" w:themeColor="text1"/>
          <w:highlight w:val="none"/>
          <w14:textFill>
            <w14:solidFill>
              <w14:schemeClr w14:val="tx1"/>
            </w14:solidFill>
          </w14:textFill>
        </w:rPr>
        <w:t>费用由双方自行承担，包括但不限于</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案件受理费、</w:t>
      </w:r>
      <w:r>
        <w:rPr>
          <w:rFonts w:hint="eastAsia" w:ascii="仿宋_GB2312" w:hAnsi="仿宋_GB2312" w:eastAsia="仿宋_GB2312" w:cs="仿宋_GB2312"/>
          <w:b/>
          <w:bCs/>
          <w:color w:val="000000" w:themeColor="text1"/>
          <w:highlight w:val="none"/>
          <w14:textFill>
            <w14:solidFill>
              <w14:schemeClr w14:val="tx1"/>
            </w14:solidFill>
          </w14:textFill>
        </w:rPr>
        <w:t>律师费、仲裁费、保全费、保全保险费、差旅费、公证费及鉴定费等因仲裁引发的费用。</w:t>
      </w:r>
    </w:p>
    <w:p w14:paraId="5C87B329">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保密义务</w:t>
      </w:r>
      <w:bookmarkEnd w:id="124"/>
      <w:bookmarkEnd w:id="125"/>
      <w:bookmarkEnd w:id="126"/>
    </w:p>
    <w:p w14:paraId="6A201661">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bookmarkStart w:id="128" w:name="_Toc12970"/>
      <w:r>
        <w:rPr>
          <w:rFonts w:hint="eastAsia" w:ascii="仿宋_GB2312" w:hAnsi="仿宋_GB2312" w:eastAsia="仿宋_GB2312" w:cs="仿宋_GB2312"/>
          <w:color w:val="000000" w:themeColor="text1"/>
          <w:highlight w:val="none"/>
          <w14:textFill>
            <w14:solidFill>
              <w14:schemeClr w14:val="tx1"/>
            </w14:solidFill>
          </w14:textFill>
        </w:rPr>
        <w:t>1、除乙方为执行合同所雇人员外，在未经甲方书面许可的情况下，乙方不得将合同中的规定、有关规格、计划、图纸、式样、样本或甲方为上述内容向乙方提供的资料向本协议以外的任何第三方披露。乙方须在对外保密的前提下，对其雇用人员提供相关资料仅限于执行合同必须提供的范围之内。</w:t>
      </w:r>
    </w:p>
    <w:p w14:paraId="466E8E28">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2、除合同另有约定以外，本合同列明的所有资料始终为甲方财产，若甲方要求，乙方应于其合同义务履行完毕以后退还甲方相应资料（包括所有副本）。</w:t>
      </w:r>
    </w:p>
    <w:p w14:paraId="353551D8">
      <w:pPr>
        <w:pStyle w:val="14"/>
        <w:numPr>
          <w:ilvl w:val="0"/>
          <w:numId w:val="8"/>
        </w:numPr>
        <w:spacing w:before="120" w:beforeLines="50" w:after="120" w:afterLines="50" w:line="400" w:lineRule="atLeast"/>
        <w:ind w:firstLine="482" w:firstLineChars="200"/>
        <w:outlineLvl w:val="0"/>
        <w:rPr>
          <w:rFonts w:ascii="仿宋_GB2312" w:hAnsi="仿宋_GB2312" w:eastAsia="仿宋_GB2312" w:cs="仿宋_GB2312"/>
          <w:b/>
          <w:bCs/>
          <w:color w:val="000000" w:themeColor="text1"/>
          <w:highlight w:val="none"/>
          <w14:textFill>
            <w14:solidFill>
              <w14:schemeClr w14:val="tx1"/>
            </w14:solidFill>
          </w14:textFill>
        </w:rPr>
      </w:pPr>
      <w:bookmarkStart w:id="129" w:name="_Toc3848"/>
      <w:bookmarkStart w:id="130" w:name="_Toc14038"/>
      <w:r>
        <w:rPr>
          <w:rFonts w:hint="eastAsia" w:ascii="仿宋_GB2312" w:hAnsi="仿宋_GB2312" w:eastAsia="仿宋_GB2312" w:cs="仿宋_GB2312"/>
          <w:b/>
          <w:bCs/>
          <w:color w:val="000000" w:themeColor="text1"/>
          <w:highlight w:val="none"/>
          <w14:textFill>
            <w14:solidFill>
              <w14:schemeClr w14:val="tx1"/>
            </w14:solidFill>
          </w14:textFill>
        </w:rPr>
        <w:t>其他条款</w:t>
      </w:r>
      <w:bookmarkEnd w:id="128"/>
      <w:bookmarkEnd w:id="129"/>
      <w:bookmarkEnd w:id="130"/>
    </w:p>
    <w:p w14:paraId="1AD76A05">
      <w:pPr>
        <w:pStyle w:val="14"/>
        <w:numPr>
          <w:ilvl w:val="0"/>
          <w:numId w:val="13"/>
        </w:numPr>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本合同与甲方招标文件、乙方投标文件有相抵触之处，均以本合同条款为准。</w:t>
      </w:r>
    </w:p>
    <w:p w14:paraId="1D0B0F95">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2、本合同附件是本合同有效组成部分，与本合同具有同等效力。</w:t>
      </w:r>
    </w:p>
    <w:p w14:paraId="1A0E563C">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3、本合同未尽事宜，按《中华人民共和国民法典》有关规定执行。</w:t>
      </w:r>
    </w:p>
    <w:p w14:paraId="30451A43">
      <w:pPr>
        <w:pStyle w:val="14"/>
        <w:spacing w:line="400" w:lineRule="atLeast"/>
        <w:ind w:firstLine="480" w:firstLineChars="200"/>
        <w:rPr>
          <w:rFonts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4、其他约定</w:t>
      </w:r>
      <w:r>
        <w:rPr>
          <w:rFonts w:hint="eastAsia" w:ascii="仿宋_GB2312" w:hAnsi="仿宋_GB2312" w:eastAsia="仿宋_GB2312" w:cs="仿宋_GB2312"/>
          <w:color w:val="000000" w:themeColor="text1"/>
          <w:highlight w:val="none"/>
          <w:u w:val="single"/>
          <w14:textFill>
            <w14:solidFill>
              <w14:schemeClr w14:val="tx1"/>
            </w14:solidFill>
          </w14:textFill>
        </w:rPr>
        <w:t xml:space="preserve"> </w:t>
      </w:r>
      <w:permStart w:id="102" w:edGrp="everyone"/>
      <w:r>
        <w:rPr>
          <w:rFonts w:hint="eastAsia" w:ascii="仿宋_GB2312" w:hAnsi="仿宋_GB2312" w:eastAsia="仿宋_GB2312" w:cs="仿宋_GB2312"/>
          <w:color w:val="000000" w:themeColor="text1"/>
          <w:highlight w:val="none"/>
          <w:u w:val="single"/>
          <w14:textFill>
            <w14:solidFill>
              <w14:schemeClr w14:val="tx1"/>
            </w14:solidFill>
          </w14:textFill>
        </w:rPr>
        <w:t xml:space="preserve"> /  </w:t>
      </w:r>
      <w:permEnd w:id="102"/>
      <w:r>
        <w:rPr>
          <w:rFonts w:hint="eastAsia" w:ascii="仿宋_GB2312" w:hAnsi="仿宋_GB2312" w:eastAsia="仿宋_GB2312" w:cs="仿宋_GB2312"/>
          <w:color w:val="000000" w:themeColor="text1"/>
          <w:highlight w:val="none"/>
          <w14:textFill>
            <w14:solidFill>
              <w14:schemeClr w14:val="tx1"/>
            </w14:solidFill>
          </w14:textFill>
        </w:rPr>
        <w:t>。</w:t>
      </w:r>
    </w:p>
    <w:p w14:paraId="580B9921">
      <w:pPr>
        <w:pStyle w:val="14"/>
        <w:spacing w:line="400" w:lineRule="atLeast"/>
        <w:ind w:firstLine="480" w:firstLineChars="200"/>
        <w:jc w:val="both"/>
        <w:rPr>
          <w:rFonts w:ascii="仿宋_GB2312" w:hAnsi="仿宋_GB2312" w:eastAsia="仿宋_GB2312" w:cs="仿宋_GB2312"/>
          <w:color w:val="000000" w:themeColor="text1"/>
          <w:highlight w:val="none"/>
          <w14:textFill>
            <w14:solidFill>
              <w14:schemeClr w14:val="tx1"/>
            </w14:solidFill>
          </w14:textFill>
        </w:rPr>
      </w:pPr>
      <w:bookmarkStart w:id="131" w:name="_Toc20230"/>
      <w:r>
        <w:rPr>
          <w:rFonts w:hint="eastAsia" w:ascii="仿宋_GB2312" w:hAnsi="仿宋_GB2312" w:eastAsia="仿宋_GB2312" w:cs="仿宋_GB2312"/>
          <w:color w:val="000000" w:themeColor="text1"/>
          <w:highlight w:val="none"/>
          <w14:textFill>
            <w14:solidFill>
              <w14:schemeClr w14:val="tx1"/>
            </w14:solidFill>
          </w14:textFill>
        </w:rPr>
        <w:t>以下无正文</w:t>
      </w:r>
      <w:bookmarkEnd w:id="131"/>
    </w:p>
    <w:p w14:paraId="6C4836ED">
      <w:pPr>
        <w:rPr>
          <w:rFonts w:ascii="仿宋_GB2312" w:hAnsi="仿宋_GB2312" w:eastAsia="仿宋_GB2312" w:cs="仿宋_GB2312"/>
          <w:color w:val="000000" w:themeColor="text1"/>
          <w:sz w:val="24"/>
          <w:highlight w:val="none"/>
          <w14:textFill>
            <w14:solidFill>
              <w14:schemeClr w14:val="tx1"/>
            </w14:solidFill>
          </w14:textFill>
        </w:rPr>
      </w:pPr>
    </w:p>
    <w:p w14:paraId="2C4CFF72">
      <w:pPr>
        <w:rPr>
          <w:highlight w:val="none"/>
        </w:rPr>
      </w:pPr>
    </w:p>
    <w:p w14:paraId="7B0F43B7">
      <w:pPr>
        <w:rPr>
          <w:highlight w:val="none"/>
        </w:rPr>
      </w:pPr>
    </w:p>
    <w:p w14:paraId="5342BA50">
      <w:pPr>
        <w:pStyle w:val="14"/>
        <w:spacing w:line="400" w:lineRule="atLeast"/>
        <w:ind w:firstLine="480" w:firstLineChars="200"/>
        <w:jc w:val="both"/>
        <w:rPr>
          <w:rFonts w:hint="default"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 xml:space="preserve"> 甲  方：                               乙  方：</w:t>
      </w:r>
    </w:p>
    <w:p w14:paraId="082556D0">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法定代表人：                           法定代表人：</w:t>
      </w:r>
    </w:p>
    <w:p w14:paraId="407A3979">
      <w:pPr>
        <w:autoSpaceDE w:val="0"/>
        <w:autoSpaceDN w:val="0"/>
        <w:adjustRightInd w:val="0"/>
        <w:spacing w:line="400" w:lineRule="atLeast"/>
        <w:ind w:firstLine="480" w:firstLineChars="2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或</w:t>
      </w:r>
    </w:p>
    <w:p w14:paraId="5557ECC5">
      <w:pPr>
        <w:autoSpaceDE w:val="0"/>
        <w:autoSpaceDN w:val="0"/>
        <w:adjustRightInd w:val="0"/>
        <w:spacing w:line="400" w:lineRule="atLeast"/>
        <w:ind w:firstLine="720" w:firstLineChars="300"/>
        <w:rPr>
          <w:rFonts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被委托</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人：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被</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委托人：</w:t>
      </w:r>
    </w:p>
    <w:p w14:paraId="25A8E9FA">
      <w:pPr>
        <w:spacing w:line="400" w:lineRule="exact"/>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年  月  日    </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14:textFill>
            <w14:solidFill>
              <w14:schemeClr w14:val="tx1"/>
            </w14:solidFill>
          </w14:textFill>
        </w:rPr>
        <w:t xml:space="preserve">  年  月  日 </w:t>
      </w:r>
    </w:p>
    <w:p w14:paraId="1E108889">
      <w:pPr>
        <w:rPr>
          <w:highlight w:val="none"/>
        </w:rPr>
      </w:pPr>
    </w:p>
    <w:sectPr>
      <w:footerReference r:id="rId12" w:type="default"/>
      <w:pgSz w:w="11906" w:h="16838"/>
      <w:pgMar w:top="1440" w:right="1800" w:bottom="1440" w:left="1800" w:header="850" w:footer="975"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6DB453-260F-49A0-8477-958B89C459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F16DE50-CE78-40F3-8FF3-8D01431C3CC2}"/>
  </w:font>
  <w:font w:name="仿宋_GB2312">
    <w:altName w:val="仿宋"/>
    <w:panose1 w:val="02010609030101010101"/>
    <w:charset w:val="86"/>
    <w:family w:val="modern"/>
    <w:pitch w:val="default"/>
    <w:sig w:usb0="00000000" w:usb1="00000000" w:usb2="00000000" w:usb3="00000000" w:csb0="00040000" w:csb1="00000000"/>
    <w:embedRegular r:id="rId3" w:fontKey="{D12AB5D0-0E92-4F7E-9550-03888E970ABD}"/>
  </w:font>
  <w:font w:name="仿宋">
    <w:panose1 w:val="02010609060101010101"/>
    <w:charset w:val="86"/>
    <w:family w:val="modern"/>
    <w:pitch w:val="default"/>
    <w:sig w:usb0="800002BF" w:usb1="38CF7CFA" w:usb2="00000016" w:usb3="00000000" w:csb0="00040001" w:csb1="00000000"/>
    <w:embedRegular r:id="rId4" w:fontKey="{994E1F0E-3626-4B60-A9E3-A32705407327}"/>
  </w:font>
  <w:font w:name="华文中宋">
    <w:panose1 w:val="02010600040101010101"/>
    <w:charset w:val="86"/>
    <w:family w:val="auto"/>
    <w:pitch w:val="default"/>
    <w:sig w:usb0="00000287" w:usb1="080F0000" w:usb2="00000000" w:usb3="00000000" w:csb0="0004009F" w:csb1="DFD70000"/>
    <w:embedRegular r:id="rId5" w:fontKey="{7D1EC782-683E-4755-97CF-E341ED336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E308">
    <w:pPr>
      <w:pStyle w:val="8"/>
      <w:jc w:val="center"/>
      <w:rPr>
        <w:rFonts w:ascii="仿宋" w:hAnsi="仿宋" w:eastAsia="仿宋" w:cs="仿宋"/>
        <w:sz w:val="24"/>
        <w:szCs w:val="36"/>
      </w:rPr>
    </w:pPr>
    <w:r>
      <w:rPr>
        <w:rFonts w:hint="eastAsia" w:ascii="仿宋" w:hAnsi="仿宋" w:eastAsia="仿宋" w:cs="仿宋"/>
        <w:sz w:val="24"/>
        <w:szCs w:val="36"/>
      </w:rPr>
      <w:t>中建三局第*建设工程有限责任公司</w:t>
    </w:r>
  </w:p>
  <w:p w14:paraId="75A2A075">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22D90">
    <w:pPr>
      <w:pStyle w:val="8"/>
      <w:jc w:val="center"/>
      <w:rPr>
        <w:rFonts w:ascii="仿宋" w:hAnsi="仿宋" w:eastAsia="仿宋" w:cs="仿宋"/>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6EA78">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9F99E">
    <w:pPr>
      <w:pStyle w:val="8"/>
      <w:jc w:val="center"/>
      <w:rPr>
        <w:rFonts w:ascii="仿宋" w:hAnsi="仿宋" w:eastAsia="仿宋" w:cs="仿宋"/>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C9B21">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C8856">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08C8856">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3CBC">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F1486">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E3F1486">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8272">
    <w:pPr>
      <w:pStyle w:val="9"/>
    </w:pPr>
  </w:p>
  <w:p w14:paraId="24CCC831">
    <w:pPr>
      <w:pStyle w:val="9"/>
    </w:pPr>
  </w:p>
  <w:p w14:paraId="2634C4AB">
    <w:pPr>
      <w:pStyle w:val="9"/>
    </w:pPr>
  </w:p>
  <w:p w14:paraId="7091540F">
    <w:pPr>
      <w:pStyle w:val="9"/>
    </w:pPr>
  </w:p>
  <w:p w14:paraId="11D5EA86">
    <w:pPr>
      <w:pStyle w:val="9"/>
      <w:jc w:val="left"/>
      <w:rPr>
        <w:b/>
        <w:bCs/>
      </w:rPr>
    </w:pPr>
    <w:r>
      <w:rPr>
        <w:b/>
        <w:bCs/>
      </w:rPr>
      <w:t>CSCEC</w:t>
    </w:r>
    <w:r>
      <w:t xml:space="preserve">  </w:t>
    </w:r>
    <w:r>
      <w:rPr>
        <w:rFonts w:hint="eastAsia"/>
        <w:b/>
        <w:bCs/>
      </w:rPr>
      <w:t xml:space="preserve">                                                                                 中建</w:t>
    </w:r>
  </w:p>
  <w:p w14:paraId="3A7B6E73">
    <w:pPr>
      <w:pStyle w:val="9"/>
    </w:pPr>
  </w:p>
  <w:p w14:paraId="53FEF75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EE53C">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3360"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3" name="图片 3"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7DC8553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288B">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4384"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7" name="图片 7"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212F6C55">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99A8">
    <w:pPr>
      <w:pBdr>
        <w:top w:val="none" w:color="auto" w:sz="0" w:space="1"/>
        <w:left w:val="none" w:color="auto" w:sz="0" w:space="4"/>
        <w:bottom w:val="none" w:color="auto" w:sz="0" w:space="1"/>
        <w:right w:val="none" w:color="auto" w:sz="0" w:space="4"/>
      </w:pBdr>
      <w:tabs>
        <w:tab w:val="center" w:pos="4153"/>
        <w:tab w:val="right" w:pos="8306"/>
      </w:tabs>
      <w:wordWrap w:val="0"/>
      <w:snapToGrid w:val="0"/>
      <w:rPr>
        <w:rFonts w:ascii="仿宋_GB2312" w:hAnsi="仿宋_GB2312" w:eastAsia="仿宋_GB2312" w:cs="仿宋_GB2312"/>
        <w:b/>
        <w:bCs/>
      </w:rPr>
    </w:pPr>
    <w:r>
      <w:drawing>
        <wp:anchor distT="0" distB="0" distL="114300" distR="114300" simplePos="0" relativeHeight="251665408" behindDoc="0" locked="0" layoutInCell="1" allowOverlap="1">
          <wp:simplePos x="0" y="0"/>
          <wp:positionH relativeFrom="column">
            <wp:posOffset>7620</wp:posOffset>
          </wp:positionH>
          <wp:positionV relativeFrom="paragraph">
            <wp:posOffset>-11430</wp:posOffset>
          </wp:positionV>
          <wp:extent cx="377190" cy="144145"/>
          <wp:effectExtent l="0" t="0" r="3810" b="8255"/>
          <wp:wrapNone/>
          <wp:docPr id="8" name="图片 8"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图片1"/>
                  <pic:cNvPicPr>
                    <a:picLocks noChangeAspect="1"/>
                  </pic:cNvPicPr>
                </pic:nvPicPr>
                <pic:blipFill>
                  <a:blip r:embed="rId1">
                    <a:clrChange>
                      <a:clrFrom>
                        <a:srgbClr val="FEFEFE"/>
                      </a:clrFrom>
                      <a:clrTo>
                        <a:srgbClr val="FEFEFE">
                          <a:alpha val="0"/>
                        </a:srgbClr>
                      </a:clrTo>
                    </a:clrChange>
                    <a:lum contrast="18000"/>
                  </a:blip>
                  <a:srcRect t="72632"/>
                  <a:stretch>
                    <a:fillRect/>
                  </a:stretch>
                </pic:blipFill>
                <pic:spPr>
                  <a:xfrm>
                    <a:off x="0" y="0"/>
                    <a:ext cx="377190" cy="144145"/>
                  </a:xfrm>
                  <a:prstGeom prst="rect">
                    <a:avLst/>
                  </a:prstGeom>
                  <a:noFill/>
                  <a:ln>
                    <a:noFill/>
                  </a:ln>
                </pic:spPr>
              </pic:pic>
            </a:graphicData>
          </a:graphic>
        </wp:anchor>
      </w:drawing>
    </w:r>
    <w:r>
      <w:rPr>
        <w:rFonts w:hint="eastAsia"/>
        <w:sz w:val="18"/>
        <w:szCs w:val="24"/>
      </w:rPr>
      <w:t xml:space="preserve">                                                                                     </w:t>
    </w:r>
    <w:r>
      <w:rPr>
        <w:rFonts w:hint="eastAsia" w:ascii="宋体" w:hAnsi="宋体" w:cs="宋体"/>
        <w:b/>
        <w:color w:val="000000"/>
        <w:szCs w:val="21"/>
      </w:rPr>
      <w:t>CSCEC</w:t>
    </w:r>
  </w:p>
  <w:p w14:paraId="6A1BBEB5">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25A6D"/>
    <w:multiLevelType w:val="singleLevel"/>
    <w:tmpl w:val="9C525A6D"/>
    <w:lvl w:ilvl="0" w:tentative="0">
      <w:start w:val="1"/>
      <w:numFmt w:val="decimal"/>
      <w:suff w:val="nothing"/>
      <w:lvlText w:val="%1、"/>
      <w:lvlJc w:val="left"/>
    </w:lvl>
  </w:abstractNum>
  <w:abstractNum w:abstractNumId="1">
    <w:nsid w:val="CDF988A0"/>
    <w:multiLevelType w:val="singleLevel"/>
    <w:tmpl w:val="CDF988A0"/>
    <w:lvl w:ilvl="0" w:tentative="0">
      <w:start w:val="1"/>
      <w:numFmt w:val="decimal"/>
      <w:suff w:val="nothing"/>
      <w:lvlText w:val="%1、"/>
      <w:lvlJc w:val="left"/>
    </w:lvl>
  </w:abstractNum>
  <w:abstractNum w:abstractNumId="2">
    <w:nsid w:val="D6CC21DA"/>
    <w:multiLevelType w:val="singleLevel"/>
    <w:tmpl w:val="D6CC21DA"/>
    <w:lvl w:ilvl="0" w:tentative="0">
      <w:start w:val="1"/>
      <w:numFmt w:val="decimal"/>
      <w:suff w:val="nothing"/>
      <w:lvlText w:val="%1、"/>
      <w:lvlJc w:val="left"/>
    </w:lvl>
  </w:abstractNum>
  <w:abstractNum w:abstractNumId="3">
    <w:nsid w:val="DA2CD928"/>
    <w:multiLevelType w:val="singleLevel"/>
    <w:tmpl w:val="DA2CD928"/>
    <w:lvl w:ilvl="0" w:tentative="0">
      <w:start w:val="1"/>
      <w:numFmt w:val="decimal"/>
      <w:suff w:val="nothing"/>
      <w:lvlText w:val="%1、"/>
      <w:lvlJc w:val="left"/>
    </w:lvl>
  </w:abstractNum>
  <w:abstractNum w:abstractNumId="4">
    <w:nsid w:val="E0133784"/>
    <w:multiLevelType w:val="singleLevel"/>
    <w:tmpl w:val="E0133784"/>
    <w:lvl w:ilvl="0" w:tentative="0">
      <w:start w:val="1"/>
      <w:numFmt w:val="decimal"/>
      <w:suff w:val="nothing"/>
      <w:lvlText w:val="%1、"/>
      <w:lvlJc w:val="left"/>
    </w:lvl>
  </w:abstractNum>
  <w:abstractNum w:abstractNumId="5">
    <w:nsid w:val="EEFD7662"/>
    <w:multiLevelType w:val="singleLevel"/>
    <w:tmpl w:val="EEFD7662"/>
    <w:lvl w:ilvl="0" w:tentative="0">
      <w:start w:val="1"/>
      <w:numFmt w:val="decimal"/>
      <w:suff w:val="nothing"/>
      <w:lvlText w:val="%1、"/>
      <w:lvlJc w:val="left"/>
    </w:lvl>
  </w:abstractNum>
  <w:abstractNum w:abstractNumId="6">
    <w:nsid w:val="EFACCE70"/>
    <w:multiLevelType w:val="singleLevel"/>
    <w:tmpl w:val="EFACCE70"/>
    <w:lvl w:ilvl="0" w:tentative="0">
      <w:start w:val="1"/>
      <w:numFmt w:val="chineseCounting"/>
      <w:suff w:val="nothing"/>
      <w:lvlText w:val="%1、"/>
      <w:lvlJc w:val="left"/>
      <w:rPr>
        <w:rFonts w:hint="eastAsia"/>
      </w:rPr>
    </w:lvl>
  </w:abstractNum>
  <w:abstractNum w:abstractNumId="7">
    <w:nsid w:val="F4B4D53B"/>
    <w:multiLevelType w:val="singleLevel"/>
    <w:tmpl w:val="F4B4D53B"/>
    <w:lvl w:ilvl="0" w:tentative="0">
      <w:start w:val="1"/>
      <w:numFmt w:val="decimal"/>
      <w:suff w:val="nothing"/>
      <w:lvlText w:val="%1、"/>
      <w:lvlJc w:val="left"/>
    </w:lvl>
  </w:abstractNum>
  <w:abstractNum w:abstractNumId="8">
    <w:nsid w:val="17E12B1E"/>
    <w:multiLevelType w:val="singleLevel"/>
    <w:tmpl w:val="17E12B1E"/>
    <w:lvl w:ilvl="0" w:tentative="0">
      <w:start w:val="6"/>
      <w:numFmt w:val="chineseCounting"/>
      <w:suff w:val="nothing"/>
      <w:lvlText w:val="%1、"/>
      <w:lvlJc w:val="left"/>
      <w:pPr>
        <w:ind w:left="480" w:firstLine="0"/>
      </w:pPr>
      <w:rPr>
        <w:rFonts w:hint="eastAsia"/>
      </w:rPr>
    </w:lvl>
  </w:abstractNum>
  <w:abstractNum w:abstractNumId="9">
    <w:nsid w:val="1C870535"/>
    <w:multiLevelType w:val="singleLevel"/>
    <w:tmpl w:val="1C870535"/>
    <w:lvl w:ilvl="0" w:tentative="0">
      <w:start w:val="1"/>
      <w:numFmt w:val="decimal"/>
      <w:suff w:val="nothing"/>
      <w:lvlText w:val="%1、"/>
      <w:lvlJc w:val="left"/>
      <w:rPr>
        <w:rFonts w:hint="default"/>
        <w:b/>
        <w:bCs/>
      </w:rPr>
    </w:lvl>
  </w:abstractNum>
  <w:abstractNum w:abstractNumId="10">
    <w:nsid w:val="1D9874AA"/>
    <w:multiLevelType w:val="singleLevel"/>
    <w:tmpl w:val="1D9874AA"/>
    <w:lvl w:ilvl="0" w:tentative="0">
      <w:start w:val="1"/>
      <w:numFmt w:val="chineseCounting"/>
      <w:suff w:val="nothing"/>
      <w:lvlText w:val="%1、"/>
      <w:lvlJc w:val="left"/>
      <w:rPr>
        <w:rFonts w:hint="eastAsia"/>
      </w:rPr>
    </w:lvl>
  </w:abstractNum>
  <w:abstractNum w:abstractNumId="11">
    <w:nsid w:val="567023B9"/>
    <w:multiLevelType w:val="singleLevel"/>
    <w:tmpl w:val="567023B9"/>
    <w:lvl w:ilvl="0" w:tentative="0">
      <w:start w:val="1"/>
      <w:numFmt w:val="decimal"/>
      <w:suff w:val="nothing"/>
      <w:lvlText w:val="%1、"/>
      <w:lvlJc w:val="left"/>
    </w:lvl>
  </w:abstractNum>
  <w:abstractNum w:abstractNumId="12">
    <w:nsid w:val="5A99D076"/>
    <w:multiLevelType w:val="singleLevel"/>
    <w:tmpl w:val="5A99D076"/>
    <w:lvl w:ilvl="0" w:tentative="0">
      <w:start w:val="2"/>
      <w:numFmt w:val="decimal"/>
      <w:lvlText w:val="%1."/>
      <w:lvlJc w:val="left"/>
      <w:pPr>
        <w:tabs>
          <w:tab w:val="left" w:pos="312"/>
        </w:tabs>
        <w:ind w:left="480" w:firstLine="0"/>
      </w:pPr>
    </w:lvl>
  </w:abstractNum>
  <w:num w:numId="1">
    <w:abstractNumId w:val="6"/>
  </w:num>
  <w:num w:numId="2">
    <w:abstractNumId w:val="3"/>
  </w:num>
  <w:num w:numId="3">
    <w:abstractNumId w:val="9"/>
  </w:num>
  <w:num w:numId="4">
    <w:abstractNumId w:val="5"/>
  </w:num>
  <w:num w:numId="5">
    <w:abstractNumId w:val="7"/>
  </w:num>
  <w:num w:numId="6">
    <w:abstractNumId w:val="12"/>
  </w:num>
  <w:num w:numId="7">
    <w:abstractNumId w:val="8"/>
  </w:num>
  <w:num w:numId="8">
    <w:abstractNumId w:val="10"/>
  </w:num>
  <w:num w:numId="9">
    <w:abstractNumId w:val="11"/>
  </w:num>
  <w:num w:numId="10">
    <w:abstractNumId w:val="2"/>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1"/>
  <w:bordersDoNotSurroundFooter w:val="1"/>
  <w:documentProtection w:edit="readOnly" w:enforcement="1" w:cryptProviderType="rsaFull" w:cryptAlgorithmClass="hash" w:cryptAlgorithmType="typeAny" w:cryptAlgorithmSid="4" w:cryptSpinCount="0" w:hash="OQuh2Q2VH6zgC487TV8iU3+Nm20=" w:salt="IMa8/xOEvAZtFQCtliX4m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NjM5MWI5OTJlOWQxZDdiYTBmZGI3NTczYTVlNTUifQ=="/>
  </w:docVars>
  <w:rsids>
    <w:rsidRoot w:val="00000000"/>
    <w:rsid w:val="000C6686"/>
    <w:rsid w:val="0A52385F"/>
    <w:rsid w:val="16AB510F"/>
    <w:rsid w:val="2218397D"/>
    <w:rsid w:val="24B87F9E"/>
    <w:rsid w:val="29670CD3"/>
    <w:rsid w:val="3444346A"/>
    <w:rsid w:val="35643934"/>
    <w:rsid w:val="3F313F41"/>
    <w:rsid w:val="3FA37FCE"/>
    <w:rsid w:val="4412063C"/>
    <w:rsid w:val="45AB1879"/>
    <w:rsid w:val="4BE75D9B"/>
    <w:rsid w:val="4D613356"/>
    <w:rsid w:val="4DA3060B"/>
    <w:rsid w:val="53C908CE"/>
    <w:rsid w:val="548F612C"/>
    <w:rsid w:val="5D6D5DCD"/>
    <w:rsid w:val="5E5E5C1F"/>
    <w:rsid w:val="5ED32728"/>
    <w:rsid w:val="65795556"/>
    <w:rsid w:val="65846896"/>
    <w:rsid w:val="6C4B48CB"/>
    <w:rsid w:val="714A63DC"/>
    <w:rsid w:val="79F14BD5"/>
    <w:rsid w:val="7C22636F"/>
    <w:rsid w:val="7E1A1A17"/>
    <w:rsid w:val="7FC37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rFonts w:ascii="宋体" w:hAnsi="宋体" w:eastAsia="宋体" w:cs="宋体"/>
      <w:kern w:val="44"/>
      <w:sz w:val="21"/>
      <w:szCs w:val="21"/>
    </w:rPr>
  </w:style>
  <w:style w:type="paragraph" w:styleId="3">
    <w:name w:val="annotation text"/>
    <w:basedOn w:val="1"/>
    <w:autoRedefine/>
    <w:qFormat/>
    <w:uiPriority w:val="0"/>
    <w:pPr>
      <w:jc w:val="left"/>
    </w:pPr>
  </w:style>
  <w:style w:type="paragraph" w:styleId="4">
    <w:name w:val="Body Text"/>
    <w:basedOn w:val="1"/>
    <w:next w:val="1"/>
    <w:autoRedefine/>
    <w:qFormat/>
    <w:uiPriority w:val="0"/>
    <w:rPr>
      <w:szCs w:val="28"/>
    </w:rPr>
  </w:style>
  <w:style w:type="paragraph" w:styleId="5">
    <w:name w:val="Body Text Indent"/>
    <w:basedOn w:val="1"/>
    <w:qFormat/>
    <w:uiPriority w:val="0"/>
    <w:pPr>
      <w:spacing w:after="120"/>
      <w:ind w:left="420" w:leftChars="200"/>
    </w:pPr>
    <w:rPr>
      <w:rFonts w:ascii="宋体" w:hAnsi="宋体" w:eastAsia="宋体" w:cs="宋体"/>
      <w:kern w:val="44"/>
      <w:sz w:val="28"/>
      <w:szCs w:val="28"/>
    </w:rPr>
  </w:style>
  <w:style w:type="paragraph" w:styleId="6">
    <w:name w:val="Plain Text"/>
    <w:basedOn w:val="1"/>
    <w:autoRedefine/>
    <w:qFormat/>
    <w:uiPriority w:val="0"/>
    <w:rPr>
      <w:rFonts w:ascii="黑体" w:hAnsi="Courier New" w:eastAsia="黑体" w:cs="Times New Roman"/>
      <w:szCs w:val="20"/>
    </w:rPr>
  </w:style>
  <w:style w:type="paragraph" w:styleId="7">
    <w:name w:val="Body Text Indent 2"/>
    <w:basedOn w:val="1"/>
    <w:autoRedefine/>
    <w:qFormat/>
    <w:uiPriority w:val="0"/>
    <w:pPr>
      <w:ind w:firstLine="540" w:firstLineChars="180"/>
    </w:pPr>
    <w:rPr>
      <w:rFonts w:ascii="仿宋_GB2312" w:hAnsi="Calibri" w:eastAsia="仿宋_GB2312" w:cs="Times New Roman"/>
      <w:sz w:val="30"/>
      <w:szCs w:val="24"/>
    </w:rPr>
  </w:style>
  <w:style w:type="paragraph" w:styleId="8">
    <w:name w:val="footer"/>
    <w:basedOn w:val="1"/>
    <w:autoRedefine/>
    <w:qFormat/>
    <w:uiPriority w:val="99"/>
    <w:pPr>
      <w:tabs>
        <w:tab w:val="center" w:pos="4153"/>
        <w:tab w:val="right" w:pos="8306"/>
      </w:tabs>
      <w:snapToGrid w:val="0"/>
      <w:jc w:val="left"/>
    </w:pPr>
    <w:rPr>
      <w:rFonts w:ascii="Calibri" w:hAnsi="Calibri" w:eastAsia="宋体" w:cs="Times New Roman"/>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eastAsia="宋体" w:cs="Times New Roman"/>
      <w:sz w:val="18"/>
    </w:rPr>
  </w:style>
  <w:style w:type="paragraph" w:styleId="10">
    <w:name w:val="toc 1"/>
    <w:basedOn w:val="1"/>
    <w:next w:val="1"/>
    <w:autoRedefine/>
    <w:qFormat/>
    <w:uiPriority w:val="0"/>
    <w:rPr>
      <w:rFonts w:ascii="Calibri" w:hAnsi="Calibri" w:eastAsia="宋体" w:cs="Times New Roman"/>
    </w:rPr>
  </w:style>
  <w:style w:type="paragraph" w:styleId="11">
    <w:name w:val="Body Text First Indent 2"/>
    <w:basedOn w:val="5"/>
    <w:unhideWhenUsed/>
    <w:qFormat/>
    <w:uiPriority w:val="0"/>
    <w:pPr>
      <w:ind w:firstLine="420" w:firstLineChars="200"/>
    </w:pPr>
    <w:rPr>
      <w:rFonts w:ascii="Times New Roman" w:hAnsi="Times New Roman" w:cs="Times New Roman"/>
      <w:kern w:val="2"/>
      <w:sz w:val="21"/>
      <w:szCs w:val="22"/>
    </w:rPr>
  </w:style>
  <w:style w:type="paragraph" w:customStyle="1" w:styleId="14">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5">
    <w:name w:val="。"/>
    <w:basedOn w:val="1"/>
    <w:autoRedefine/>
    <w:qFormat/>
    <w:uiPriority w:val="0"/>
    <w:pPr>
      <w:adjustRightInd w:val="0"/>
      <w:spacing w:line="312" w:lineRule="atLeast"/>
      <w:ind w:right="679"/>
      <w:textAlignment w:val="baseline"/>
    </w:pPr>
    <w:rPr>
      <w:rFonts w:ascii="宋体" w:hAnsi="Calibri" w:eastAsia="宋体" w:cs="Times New Roman"/>
      <w:kern w:val="0"/>
      <w:sz w:val="2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4212</Words>
  <Characters>4349</Characters>
  <Lines>0</Lines>
  <Paragraphs>0</Paragraphs>
  <TotalTime>1</TotalTime>
  <ScaleCrop>false</ScaleCrop>
  <LinksUpToDate>false</LinksUpToDate>
  <CharactersWithSpaces>4912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2023-11-24T06:35:00Z</dcterms:created>
  <dc:creator>周轶群</dc:creator>
  <cp:lastModifiedBy>里肯斯</cp:lastModifiedBy>
  <dcterms:modified xsi:type="dcterms:W3CDTF">2025-09-29T03:22:27Z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2354D6B48F5B402994A95399E55BDD9B_12</vt:lpwstr>
  </property>
  <property fmtid="{D5CDD505-2E9C-101B-9397-08002B2CF9AE}" pid="4" name="KSOTemplateDocerSaveRecord">
    <vt:lpwstr>eyJoZGlkIjoiZjYyNzRmNjc0MWQ2YzY1NDQ4ZmNkMjU3Y2JiMmQwZjgiLCJ1c2VySWQiOiIyNTYwNTgxMjEifQ==</vt:lpwstr>
  </property>
</Properties>
</file>