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46BA8">
      <w:pPr>
        <w:spacing w:line="360" w:lineRule="auto"/>
        <w:jc w:val="left"/>
        <w:rPr>
          <w:rFonts w:hint="eastAsia" w:eastAsia="仿宋_GB2312"/>
          <w:bCs/>
          <w:color w:val="000000"/>
          <w:sz w:val="28"/>
          <w:szCs w:val="28"/>
          <w:highlight w:val="none"/>
          <w:u w:val="single"/>
        </w:rPr>
      </w:pPr>
      <w:bookmarkStart w:id="0" w:name="_Hlk126831517"/>
      <w:permStart w:id="0" w:edGrp="everyone"/>
      <w:permEnd w:id="0"/>
      <w:r>
        <w:rPr>
          <w:rFonts w:hint="eastAsia" w:eastAsia="仿宋_GB2312"/>
          <w:bCs/>
          <w:color w:val="000000"/>
          <w:sz w:val="28"/>
          <w:szCs w:val="28"/>
          <w:highlight w:val="none"/>
        </w:rPr>
        <w:t>合同编号：</w:t>
      </w:r>
      <w:permStart w:id="1" w:edGrp="everyone"/>
      <w:r>
        <w:rPr>
          <w:rFonts w:hint="eastAsia" w:eastAsia="仿宋_GB2312"/>
          <w:bCs/>
          <w:color w:val="000000"/>
          <w:sz w:val="28"/>
          <w:szCs w:val="28"/>
          <w:highlight w:val="none"/>
          <w:u w:val="single"/>
        </w:rPr>
        <w:t xml:space="preserve">  </w:t>
      </w:r>
      <w:r>
        <w:rPr>
          <w:rFonts w:hint="eastAsia" w:ascii="宋体" w:hAnsi="宋体" w:eastAsia="宋体"/>
          <w:highlight w:val="none"/>
          <w:u w:val="single"/>
        </w:rPr>
        <w:t>ZJLQ-FG-昂仁县灾后重建</w:t>
      </w:r>
      <w:r>
        <w:rPr>
          <w:rFonts w:hint="eastAsia" w:ascii="宋体" w:hAnsi="宋体" w:eastAsia="宋体"/>
          <w:highlight w:val="none"/>
          <w:u w:val="single"/>
          <w:lang w:val="en-US" w:eastAsia="zh-CN"/>
        </w:rPr>
        <w:t>7</w:t>
      </w:r>
      <w:r>
        <w:rPr>
          <w:rFonts w:hint="eastAsia" w:ascii="宋体" w:hAnsi="宋体" w:eastAsia="宋体"/>
          <w:highlight w:val="none"/>
          <w:u w:val="single"/>
        </w:rPr>
        <w:t>标-00</w:t>
      </w:r>
      <w:r>
        <w:rPr>
          <w:rFonts w:hint="eastAsia" w:ascii="宋体" w:hAnsi="宋体" w:eastAsia="宋体"/>
          <w:highlight w:val="none"/>
          <w:u w:val="single"/>
          <w:lang w:val="en-US" w:eastAsia="zh-CN"/>
        </w:rPr>
        <w:t>9</w:t>
      </w:r>
      <w:r>
        <w:rPr>
          <w:rFonts w:hint="eastAsia" w:eastAsia="仿宋_GB2312"/>
          <w:bCs/>
          <w:color w:val="000000"/>
          <w:sz w:val="28"/>
          <w:szCs w:val="28"/>
          <w:highlight w:val="none"/>
          <w:u w:val="single"/>
        </w:rPr>
        <w:t xml:space="preserve">   </w:t>
      </w:r>
      <w:permEnd w:id="1"/>
    </w:p>
    <w:p w14:paraId="7028E310">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2" w:edGrp="everyone"/>
      <w:r>
        <w:rPr>
          <w:rFonts w:hint="eastAsia" w:eastAsia="仿宋_GB2312"/>
          <w:bCs/>
          <w:color w:val="000000"/>
          <w:sz w:val="28"/>
          <w:szCs w:val="28"/>
          <w:highlight w:val="none"/>
          <w:u w:val="single"/>
        </w:rPr>
        <w:t xml:space="preserve">                    </w:t>
      </w:r>
      <w:permEnd w:id="2"/>
    </w:p>
    <w:p w14:paraId="741C94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573ED83B">
      <w:pPr>
        <w:pStyle w:val="2"/>
        <w:rPr>
          <w:rFonts w:hint="eastAsia"/>
          <w:highlight w:val="none"/>
        </w:rPr>
      </w:pPr>
    </w:p>
    <w:p w14:paraId="5FE9DEF8">
      <w:pPr>
        <w:pStyle w:val="2"/>
        <w:rPr>
          <w:rFonts w:hint="eastAsia"/>
          <w:highlight w:val="none"/>
        </w:rPr>
      </w:pPr>
    </w:p>
    <w:p w14:paraId="0032B077">
      <w:pPr>
        <w:pStyle w:val="2"/>
        <w:rPr>
          <w:rFonts w:hint="eastAsia"/>
          <w:highlight w:val="none"/>
        </w:rPr>
      </w:pPr>
    </w:p>
    <w:p w14:paraId="7918AD79">
      <w:pPr>
        <w:spacing w:line="360" w:lineRule="auto"/>
        <w:jc w:val="center"/>
        <w:rPr>
          <w:rFonts w:hint="eastAsia" w:ascii="华文中宋" w:hAnsi="华文中宋" w:eastAsia="华文中宋" w:cs="华文中宋"/>
          <w:b/>
          <w:sz w:val="52"/>
          <w:szCs w:val="52"/>
          <w:highlight w:val="none"/>
        </w:rPr>
      </w:pPr>
      <w:permStart w:id="3" w:edGrp="everyone"/>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电线电缆</w:t>
      </w:r>
      <w:r>
        <w:rPr>
          <w:rFonts w:hint="eastAsia" w:ascii="华文中宋" w:hAnsi="华文中宋" w:eastAsia="华文中宋" w:cs="华文中宋"/>
          <w:b/>
          <w:sz w:val="52"/>
          <w:szCs w:val="52"/>
          <w:highlight w:val="none"/>
        </w:rPr>
        <w:t>】</w:t>
      </w:r>
      <w:permEnd w:id="3"/>
      <w:r>
        <w:rPr>
          <w:rFonts w:hint="eastAsia" w:ascii="华文中宋" w:hAnsi="华文中宋" w:eastAsia="华文中宋" w:cs="华文中宋"/>
          <w:b/>
          <w:sz w:val="52"/>
          <w:szCs w:val="52"/>
          <w:highlight w:val="none"/>
        </w:rPr>
        <w:t>采购与供应合同</w:t>
      </w:r>
    </w:p>
    <w:p w14:paraId="03D84E81">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4">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A573421">
      <w:pPr>
        <w:spacing w:line="360" w:lineRule="auto"/>
        <w:jc w:val="center"/>
        <w:rPr>
          <w:rFonts w:hint="eastAsia" w:ascii="宋体" w:hAnsi="宋体" w:cs="宋体"/>
          <w:b/>
          <w:sz w:val="28"/>
          <w:szCs w:val="28"/>
          <w:highlight w:val="none"/>
        </w:rPr>
      </w:pPr>
    </w:p>
    <w:p w14:paraId="2F6CBB18">
      <w:pPr>
        <w:spacing w:line="360" w:lineRule="auto"/>
        <w:jc w:val="center"/>
        <w:rPr>
          <w:rFonts w:hint="eastAsia" w:ascii="宋体" w:hAnsi="宋体" w:cs="宋体"/>
          <w:b/>
          <w:sz w:val="28"/>
          <w:szCs w:val="28"/>
          <w:highlight w:val="none"/>
        </w:rPr>
      </w:pPr>
    </w:p>
    <w:p w14:paraId="5DB9B7DA">
      <w:pPr>
        <w:spacing w:line="360" w:lineRule="auto"/>
        <w:jc w:val="center"/>
        <w:rPr>
          <w:rFonts w:hint="eastAsia" w:ascii="宋体" w:hAnsi="宋体" w:cs="宋体"/>
          <w:b/>
          <w:sz w:val="28"/>
          <w:szCs w:val="28"/>
          <w:highlight w:val="none"/>
        </w:rPr>
      </w:pPr>
    </w:p>
    <w:p w14:paraId="6A9A5699">
      <w:pPr>
        <w:spacing w:line="360" w:lineRule="auto"/>
        <w:jc w:val="center"/>
        <w:rPr>
          <w:rFonts w:hint="eastAsia" w:ascii="宋体" w:hAnsi="宋体" w:cs="宋体"/>
          <w:b/>
          <w:sz w:val="28"/>
          <w:szCs w:val="28"/>
          <w:highlight w:val="none"/>
        </w:rPr>
      </w:pPr>
    </w:p>
    <w:p w14:paraId="7DDEE88A">
      <w:pPr>
        <w:spacing w:line="360" w:lineRule="auto"/>
        <w:rPr>
          <w:rFonts w:hint="eastAsia" w:ascii="宋体" w:hAnsi="宋体" w:cs="宋体"/>
          <w:b/>
          <w:sz w:val="28"/>
          <w:szCs w:val="28"/>
          <w:highlight w:val="none"/>
        </w:rPr>
      </w:pPr>
    </w:p>
    <w:p w14:paraId="2491A3A2">
      <w:pPr>
        <w:pStyle w:val="5"/>
        <w:spacing w:after="120"/>
        <w:ind w:firstLine="560"/>
        <w:rPr>
          <w:rFonts w:hint="eastAsia" w:ascii="宋体" w:hAnsi="宋体" w:cs="宋体"/>
          <w:b/>
          <w:sz w:val="28"/>
          <w:szCs w:val="28"/>
          <w:highlight w:val="none"/>
        </w:rPr>
      </w:pPr>
    </w:p>
    <w:p w14:paraId="3C3CC732">
      <w:pPr>
        <w:pStyle w:val="5"/>
        <w:spacing w:after="120"/>
        <w:ind w:firstLine="560"/>
        <w:rPr>
          <w:rFonts w:hint="eastAsia" w:ascii="宋体" w:hAnsi="宋体" w:cs="宋体"/>
          <w:b/>
          <w:sz w:val="28"/>
          <w:szCs w:val="28"/>
          <w:highlight w:val="none"/>
        </w:rPr>
      </w:pPr>
    </w:p>
    <w:p w14:paraId="46389760">
      <w:pPr>
        <w:spacing w:line="360" w:lineRule="auto"/>
        <w:rPr>
          <w:rFonts w:hint="eastAsia" w:ascii="仿宋_GB2312" w:hAnsi="仿宋_GB2312" w:eastAsia="仿宋_GB2312" w:cs="仿宋_GB2312"/>
          <w:b/>
          <w:bCs/>
          <w:sz w:val="28"/>
          <w:szCs w:val="28"/>
          <w:highlight w:val="none"/>
        </w:rPr>
      </w:pPr>
    </w:p>
    <w:p w14:paraId="370E18BC">
      <w:pPr>
        <w:spacing w:line="360" w:lineRule="auto"/>
        <w:ind w:firstLine="562" w:firstLineChars="200"/>
        <w:rPr>
          <w:rFonts w:hint="eastAsia" w:ascii="仿宋_GB2312" w:hAnsi="仿宋_GB2312" w:eastAsia="仿宋_GB2312" w:cs="仿宋_GB2312"/>
          <w:b/>
          <w:color w:val="000000"/>
          <w:sz w:val="28"/>
          <w:szCs w:val="28"/>
          <w:highlight w:val="none"/>
        </w:rPr>
      </w:pPr>
      <w:permStart w:id="4"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【定日“6.8”级地震灾后恢复重建民房建设</w:t>
      </w:r>
    </w:p>
    <w:p w14:paraId="3CD1102E">
      <w:pPr>
        <w:spacing w:line="360" w:lineRule="auto"/>
        <w:ind w:firstLine="562" w:firstLineChars="20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color w:val="000000"/>
          <w:sz w:val="28"/>
          <w:szCs w:val="28"/>
          <w:highlight w:val="none"/>
        </w:rPr>
        <w:t>项目（昂仁县）PC总承包</w:t>
      </w:r>
      <w:r>
        <w:rPr>
          <w:rFonts w:hint="eastAsia" w:ascii="仿宋_GB2312" w:hAnsi="仿宋_GB2312" w:eastAsia="仿宋_GB2312" w:cs="仿宋_GB2312"/>
          <w:b/>
          <w:color w:val="000000"/>
          <w:sz w:val="28"/>
          <w:szCs w:val="28"/>
          <w:highlight w:val="none"/>
          <w:lang w:val="en-US" w:eastAsia="zh-CN"/>
        </w:rPr>
        <w:t>七</w:t>
      </w:r>
      <w:r>
        <w:rPr>
          <w:rFonts w:hint="eastAsia" w:ascii="仿宋_GB2312" w:hAnsi="仿宋_GB2312" w:eastAsia="仿宋_GB2312" w:cs="仿宋_GB2312"/>
          <w:b/>
          <w:color w:val="000000"/>
          <w:sz w:val="28"/>
          <w:szCs w:val="28"/>
          <w:highlight w:val="none"/>
        </w:rPr>
        <w:t>标段】</w:t>
      </w:r>
    </w:p>
    <w:p w14:paraId="3B453B7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rPr>
        <w:t xml:space="preserve">中建路桥集团有限公司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451AF15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5CED8AF2">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6B47A95">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石家庄市桥西区   </w:t>
      </w:r>
      <w:r>
        <w:rPr>
          <w:rFonts w:hint="eastAsia" w:ascii="仿宋_GB2312" w:hAnsi="仿宋_GB2312" w:eastAsia="仿宋_GB2312" w:cs="仿宋_GB2312"/>
          <w:b/>
          <w:color w:val="000000"/>
          <w:sz w:val="28"/>
          <w:szCs w:val="28"/>
          <w:highlight w:val="none"/>
        </w:rPr>
        <w:t xml:space="preserve">   】</w:t>
      </w:r>
    </w:p>
    <w:bookmarkEnd w:id="0"/>
    <w:p w14:paraId="0D0CAA60">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0" w:footer="975" w:gutter="0"/>
          <w:pgNumType w:start="1"/>
          <w:cols w:space="0" w:num="1"/>
          <w:titlePg/>
          <w:docGrid w:linePitch="312" w:charSpace="0"/>
        </w:sectPr>
      </w:pPr>
    </w:p>
    <w:permEnd w:id="4"/>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03F68A4F">
          <w:pPr>
            <w:pStyle w:val="5"/>
            <w:rPr>
              <w:highlight w:val="none"/>
            </w:rPr>
          </w:pPr>
        </w:p>
        <w:p w14:paraId="48D61705">
          <w:pPr>
            <w:jc w:val="center"/>
            <w:rPr>
              <w:rFonts w:ascii="黑体" w:hAnsi="黑体" w:eastAsia="黑体" w:cs="黑体"/>
              <w:b/>
              <w:bCs/>
              <w:color w:val="000000" w:themeColor="text1"/>
              <w:sz w:val="36"/>
              <w:szCs w:val="36"/>
              <w:highlight w:val="none"/>
              <w14:textFill>
                <w14:solidFill>
                  <w14:schemeClr w14:val="tx1"/>
                </w14:solidFill>
              </w14:textFill>
            </w:rPr>
          </w:pPr>
          <w:permStart w:id="5" w:edGrp="everyone"/>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7052BA17">
          <w:pPr>
            <w:pStyle w:val="5"/>
            <w:rPr>
              <w:highlight w:val="none"/>
            </w:rPr>
          </w:pPr>
        </w:p>
        <w:p w14:paraId="28E2A186">
          <w:pPr>
            <w:pStyle w:val="9"/>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56AFCCED">
          <w:pPr>
            <w:pStyle w:val="9"/>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0F260C1">
          <w:pPr>
            <w:pStyle w:val="9"/>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7FD2BD9B">
          <w:pPr>
            <w:pStyle w:val="9"/>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2</w:t>
          </w:r>
          <w:r>
            <w:rPr>
              <w:highlight w:val="none"/>
            </w:rPr>
            <w:fldChar w:fldCharType="end"/>
          </w:r>
          <w:r>
            <w:rPr>
              <w:highlight w:val="none"/>
            </w:rPr>
            <w:fldChar w:fldCharType="end"/>
          </w:r>
        </w:p>
        <w:p w14:paraId="658A5717">
          <w:pPr>
            <w:pStyle w:val="9"/>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4</w:t>
          </w:r>
          <w:r>
            <w:rPr>
              <w:highlight w:val="none"/>
            </w:rPr>
            <w:fldChar w:fldCharType="end"/>
          </w:r>
          <w:r>
            <w:rPr>
              <w:highlight w:val="none"/>
            </w:rPr>
            <w:fldChar w:fldCharType="end"/>
          </w:r>
        </w:p>
        <w:p w14:paraId="1563E5A1">
          <w:pPr>
            <w:pStyle w:val="9"/>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5</w:t>
          </w:r>
          <w:r>
            <w:rPr>
              <w:highlight w:val="none"/>
            </w:rPr>
            <w:fldChar w:fldCharType="end"/>
          </w:r>
          <w:r>
            <w:rPr>
              <w:highlight w:val="none"/>
            </w:rPr>
            <w:fldChar w:fldCharType="end"/>
          </w:r>
        </w:p>
        <w:p w14:paraId="3ABE9CB6">
          <w:pPr>
            <w:pStyle w:val="9"/>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7</w:t>
          </w:r>
          <w:r>
            <w:rPr>
              <w:highlight w:val="none"/>
            </w:rPr>
            <w:fldChar w:fldCharType="end"/>
          </w:r>
          <w:r>
            <w:rPr>
              <w:highlight w:val="none"/>
            </w:rPr>
            <w:fldChar w:fldCharType="end"/>
          </w:r>
        </w:p>
        <w:p w14:paraId="3A871502">
          <w:pPr>
            <w:pStyle w:val="9"/>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8</w:t>
          </w:r>
          <w:r>
            <w:rPr>
              <w:highlight w:val="none"/>
            </w:rPr>
            <w:fldChar w:fldCharType="end"/>
          </w:r>
          <w:r>
            <w:rPr>
              <w:highlight w:val="none"/>
            </w:rPr>
            <w:fldChar w:fldCharType="end"/>
          </w:r>
        </w:p>
        <w:p w14:paraId="7ED59223">
          <w:pPr>
            <w:pStyle w:val="9"/>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381B1BF0">
          <w:pPr>
            <w:pStyle w:val="9"/>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11</w:t>
          </w:r>
          <w:r>
            <w:rPr>
              <w:highlight w:val="none"/>
            </w:rPr>
            <w:fldChar w:fldCharType="end"/>
          </w:r>
          <w:r>
            <w:rPr>
              <w:highlight w:val="none"/>
            </w:rPr>
            <w:fldChar w:fldCharType="end"/>
          </w:r>
        </w:p>
        <w:p w14:paraId="1894A767">
          <w:pPr>
            <w:pStyle w:val="9"/>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13</w:t>
          </w:r>
          <w:r>
            <w:rPr>
              <w:highlight w:val="none"/>
            </w:rPr>
            <w:fldChar w:fldCharType="end"/>
          </w:r>
          <w:r>
            <w:rPr>
              <w:highlight w:val="none"/>
            </w:rPr>
            <w:fldChar w:fldCharType="end"/>
          </w:r>
        </w:p>
        <w:p w14:paraId="40785E24">
          <w:pPr>
            <w:pStyle w:val="9"/>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14</w:t>
          </w:r>
          <w:r>
            <w:rPr>
              <w:highlight w:val="none"/>
            </w:rPr>
            <w:fldChar w:fldCharType="end"/>
          </w:r>
          <w:r>
            <w:rPr>
              <w:highlight w:val="none"/>
            </w:rPr>
            <w:fldChar w:fldCharType="end"/>
          </w:r>
        </w:p>
        <w:p w14:paraId="534609AB">
          <w:pPr>
            <w:pStyle w:val="9"/>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19</w:t>
          </w:r>
          <w:r>
            <w:rPr>
              <w:highlight w:val="none"/>
            </w:rPr>
            <w:fldChar w:fldCharType="end"/>
          </w:r>
          <w:r>
            <w:rPr>
              <w:highlight w:val="none"/>
            </w:rPr>
            <w:fldChar w:fldCharType="end"/>
          </w:r>
        </w:p>
        <w:p w14:paraId="32CD1E93">
          <w:pPr>
            <w:pStyle w:val="9"/>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23</w:t>
          </w:r>
          <w:r>
            <w:rPr>
              <w:highlight w:val="none"/>
            </w:rPr>
            <w:fldChar w:fldCharType="end"/>
          </w:r>
          <w:r>
            <w:rPr>
              <w:highlight w:val="none"/>
            </w:rPr>
            <w:fldChar w:fldCharType="end"/>
          </w:r>
        </w:p>
        <w:p w14:paraId="78BA12A7">
          <w:pPr>
            <w:pStyle w:val="9"/>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26</w:t>
          </w:r>
          <w:r>
            <w:rPr>
              <w:highlight w:val="none"/>
            </w:rPr>
            <w:fldChar w:fldCharType="end"/>
          </w:r>
          <w:r>
            <w:rPr>
              <w:highlight w:val="none"/>
            </w:rPr>
            <w:fldChar w:fldCharType="end"/>
          </w:r>
        </w:p>
        <w:p w14:paraId="561753E6">
          <w:pPr>
            <w:pStyle w:val="9"/>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26</w:t>
          </w:r>
          <w:r>
            <w:rPr>
              <w:highlight w:val="none"/>
            </w:rPr>
            <w:fldChar w:fldCharType="end"/>
          </w:r>
          <w:r>
            <w:rPr>
              <w:highlight w:val="none"/>
            </w:rPr>
            <w:fldChar w:fldCharType="end"/>
          </w:r>
        </w:p>
        <w:p w14:paraId="4AC02A40">
          <w:pPr>
            <w:pStyle w:val="9"/>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27</w:t>
          </w:r>
          <w:r>
            <w:rPr>
              <w:highlight w:val="none"/>
            </w:rPr>
            <w:fldChar w:fldCharType="end"/>
          </w:r>
          <w:r>
            <w:rPr>
              <w:highlight w:val="none"/>
            </w:rPr>
            <w:fldChar w:fldCharType="end"/>
          </w:r>
        </w:p>
        <w:p w14:paraId="6EF212C1">
          <w:pPr>
            <w:pStyle w:val="9"/>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29</w:t>
          </w:r>
          <w:r>
            <w:rPr>
              <w:highlight w:val="none"/>
            </w:rPr>
            <w:fldChar w:fldCharType="end"/>
          </w:r>
          <w:r>
            <w:rPr>
              <w:highlight w:val="none"/>
            </w:rPr>
            <w:fldChar w:fldCharType="end"/>
          </w:r>
        </w:p>
        <w:p w14:paraId="1839E864">
          <w:pPr>
            <w:pStyle w:val="9"/>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30</w:t>
          </w:r>
          <w:r>
            <w:rPr>
              <w:highlight w:val="none"/>
            </w:rPr>
            <w:fldChar w:fldCharType="end"/>
          </w:r>
          <w:r>
            <w:rPr>
              <w:highlight w:val="none"/>
            </w:rPr>
            <w:fldChar w:fldCharType="end"/>
          </w:r>
        </w:p>
        <w:p w14:paraId="0DC7F411">
          <w:pPr>
            <w:pStyle w:val="9"/>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30</w:t>
          </w:r>
          <w:r>
            <w:rPr>
              <w:highlight w:val="none"/>
            </w:rPr>
            <w:fldChar w:fldCharType="end"/>
          </w:r>
          <w:r>
            <w:rPr>
              <w:highlight w:val="none"/>
            </w:rPr>
            <w:fldChar w:fldCharType="end"/>
          </w:r>
        </w:p>
        <w:p w14:paraId="6D24CBF2">
          <w:pPr>
            <w:pStyle w:val="9"/>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31</w:t>
          </w:r>
          <w:r>
            <w:rPr>
              <w:highlight w:val="none"/>
            </w:rPr>
            <w:fldChar w:fldCharType="end"/>
          </w:r>
          <w:r>
            <w:rPr>
              <w:highlight w:val="none"/>
            </w:rPr>
            <w:fldChar w:fldCharType="end"/>
          </w:r>
        </w:p>
        <w:p w14:paraId="5A2FC7B8">
          <w:pPr>
            <w:pStyle w:val="9"/>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32</w:t>
          </w:r>
          <w:r>
            <w:rPr>
              <w:highlight w:val="none"/>
            </w:rPr>
            <w:fldChar w:fldCharType="end"/>
          </w:r>
          <w:r>
            <w:rPr>
              <w:highlight w:val="none"/>
            </w:rPr>
            <w:fldChar w:fldCharType="end"/>
          </w:r>
        </w:p>
        <w:p w14:paraId="6AD1E87B">
          <w:pPr>
            <w:pStyle w:val="9"/>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32</w:t>
          </w:r>
          <w:r>
            <w:rPr>
              <w:highlight w:val="none"/>
            </w:rPr>
            <w:fldChar w:fldCharType="end"/>
          </w:r>
          <w:r>
            <w:rPr>
              <w:highlight w:val="none"/>
            </w:rPr>
            <w:fldChar w:fldCharType="end"/>
          </w:r>
        </w:p>
        <w:p w14:paraId="1FC31133">
          <w:pPr>
            <w:pStyle w:val="9"/>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32</w:t>
          </w:r>
          <w:r>
            <w:rPr>
              <w:highlight w:val="none"/>
            </w:rPr>
            <w:fldChar w:fldCharType="end"/>
          </w:r>
          <w:r>
            <w:rPr>
              <w:highlight w:val="none"/>
            </w:rPr>
            <w:fldChar w:fldCharType="end"/>
          </w:r>
        </w:p>
        <w:p w14:paraId="6D6F6E3E">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7" w:type="first"/>
              <w:footerReference r:id="rId9" w:type="first"/>
              <w:footerReference r:id="rId8"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5"/>
        </w:p>
      </w:sdtContent>
    </w:sdt>
    <w:p w14:paraId="24B58658">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5953"/>
      <w:bookmarkStart w:id="3" w:name="_Toc31405"/>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bookmarkEnd w:id="3"/>
    </w:p>
    <w:p w14:paraId="05632326">
      <w:pPr>
        <w:pStyle w:val="12"/>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中建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集团有限公司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ermEnd w:id="6"/>
    </w:p>
    <w:p w14:paraId="3BAE9A44">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乙方（卖方）：</w:t>
      </w:r>
      <w:permStart w:id="7"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ermEnd w:id="7"/>
    <w:p w14:paraId="633853E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根据《中华人民共和国民法典》及有关法律规定，遵循平等、自愿、公平和诚实信用的原则，在对本合同进行充分理解的基础上，双方经友好协商一致，订立本合同并共同遵守。</w:t>
      </w:r>
    </w:p>
    <w:p w14:paraId="79F5B57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17203"/>
      <w:bookmarkStart w:id="5" w:name="_Toc29946"/>
      <w:bookmarkStart w:id="6" w:name="_Toc640"/>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4"/>
      <w:bookmarkEnd w:id="5"/>
      <w:bookmarkEnd w:id="6"/>
    </w:p>
    <w:p w14:paraId="17E0D9A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8" w:edGrp="everyone"/>
      <w:r>
        <w:rPr>
          <w:rFonts w:hint="eastAsia" w:ascii="仿宋_GB2312" w:hAnsi="仿宋_GB2312" w:eastAsia="仿宋_GB2312" w:cs="仿宋_GB2312"/>
          <w:color w:val="000000" w:themeColor="text1"/>
          <w:highlight w:val="none"/>
          <w:u w:val="single"/>
          <w14:textFill>
            <w14:solidFill>
              <w14:schemeClr w14:val="tx1"/>
            </w14:solidFill>
          </w14:textFill>
        </w:rPr>
        <w:t>定日“6.8”级地震灾后恢复重建民房建设项目（昂仁县）PC总承包</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七</w:t>
      </w:r>
      <w:r>
        <w:rPr>
          <w:rFonts w:hint="eastAsia" w:ascii="仿宋_GB2312" w:hAnsi="仿宋_GB2312" w:eastAsia="仿宋_GB2312" w:cs="仿宋_GB2312"/>
          <w:color w:val="000000" w:themeColor="text1"/>
          <w:highlight w:val="none"/>
          <w:u w:val="single"/>
          <w14:textFill>
            <w14:solidFill>
              <w14:schemeClr w14:val="tx1"/>
            </w14:solidFill>
          </w14:textFill>
        </w:rPr>
        <w:t>标段</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5B9760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9"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西藏自治区日喀则市昂仁县</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9"/>
      <w:r>
        <w:rPr>
          <w:rFonts w:hint="eastAsia" w:ascii="仿宋_GB2312" w:hAnsi="仿宋_GB2312" w:eastAsia="仿宋_GB2312" w:cs="仿宋_GB2312"/>
          <w:color w:val="000000" w:themeColor="text1"/>
          <w:highlight w:val="none"/>
          <w14:textFill>
            <w14:solidFill>
              <w14:schemeClr w14:val="tx1"/>
            </w14:solidFill>
          </w14:textFill>
        </w:rPr>
        <w:t>；</w:t>
      </w:r>
    </w:p>
    <w:p w14:paraId="2F06DAA7">
      <w:pPr>
        <w:pStyle w:val="12"/>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bookmarkStart w:id="7" w:name="_Toc6010"/>
      <w:bookmarkStart w:id="8" w:name="_Toc2931"/>
      <w:bookmarkStart w:id="9" w:name="_Toc23103"/>
      <w:r>
        <w:rPr>
          <w:rFonts w:hint="eastAsia" w:ascii="仿宋_GB2312" w:hAnsi="仿宋_GB2312" w:eastAsia="仿宋_GB2312" w:cs="仿宋_GB2312"/>
          <w:b/>
          <w:bCs/>
          <w:color w:val="000000" w:themeColor="text1"/>
          <w:highlight w:val="none"/>
          <w14:textFill>
            <w14:solidFill>
              <w14:schemeClr w14:val="tx1"/>
            </w14:solidFill>
          </w14:textFill>
        </w:rPr>
        <w:t>货物清单</w:t>
      </w:r>
      <w:bookmarkEnd w:id="7"/>
      <w:bookmarkEnd w:id="8"/>
      <w:bookmarkEnd w:id="9"/>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价款、计价方式</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051"/>
        <w:gridCol w:w="877"/>
        <w:gridCol w:w="440"/>
        <w:gridCol w:w="919"/>
        <w:gridCol w:w="837"/>
        <w:gridCol w:w="977"/>
        <w:gridCol w:w="549"/>
        <w:gridCol w:w="1103"/>
        <w:gridCol w:w="810"/>
        <w:gridCol w:w="522"/>
      </w:tblGrid>
      <w:tr w14:paraId="2FB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257" w:type="pct"/>
            <w:shd w:val="clear" w:color="auto" w:fill="auto"/>
            <w:vAlign w:val="center"/>
          </w:tcPr>
          <w:p w14:paraId="22BF11B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10"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17" w:type="pct"/>
            <w:shd w:val="clear" w:color="auto" w:fill="auto"/>
            <w:vAlign w:val="center"/>
          </w:tcPr>
          <w:p w14:paraId="792FE88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515" w:type="pct"/>
            <w:shd w:val="clear" w:color="auto" w:fill="auto"/>
            <w:vAlign w:val="center"/>
          </w:tcPr>
          <w:p w14:paraId="58DE95F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58" w:type="pct"/>
            <w:shd w:val="clear" w:color="auto" w:fill="auto"/>
            <w:vAlign w:val="center"/>
          </w:tcPr>
          <w:p w14:paraId="58F68DA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71AEF3E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539" w:type="pct"/>
            <w:shd w:val="clear" w:color="auto" w:fill="auto"/>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0AD443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91" w:type="pct"/>
            <w:shd w:val="clear" w:color="auto" w:fill="auto"/>
            <w:vAlign w:val="center"/>
          </w:tcPr>
          <w:p w14:paraId="791BC4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9E763B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010589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73" w:type="pct"/>
            <w:shd w:val="clear" w:color="auto" w:fill="auto"/>
            <w:vAlign w:val="center"/>
          </w:tcPr>
          <w:p w14:paraId="0787AAA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443877D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5C3F8D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22" w:type="pct"/>
            <w:shd w:val="clear" w:color="auto" w:fill="auto"/>
            <w:vAlign w:val="center"/>
          </w:tcPr>
          <w:p w14:paraId="07B766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0137840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47" w:type="pct"/>
            <w:shd w:val="clear" w:color="auto" w:fill="auto"/>
            <w:vAlign w:val="center"/>
          </w:tcPr>
          <w:p w14:paraId="7B4292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4F4F02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F21D93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75" w:type="pct"/>
            <w:shd w:val="clear" w:color="auto" w:fill="auto"/>
            <w:vAlign w:val="center"/>
          </w:tcPr>
          <w:p w14:paraId="39261B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1A8751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8FD320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302" w:type="pct"/>
            <w:shd w:val="clear" w:color="auto" w:fill="auto"/>
            <w:vAlign w:val="center"/>
          </w:tcPr>
          <w:p w14:paraId="2689611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65BD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51D6466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w:t>
            </w:r>
          </w:p>
        </w:tc>
        <w:tc>
          <w:tcPr>
            <w:tcW w:w="617" w:type="pct"/>
            <w:shd w:val="clear" w:color="auto" w:fill="auto"/>
            <w:vAlign w:val="center"/>
          </w:tcPr>
          <w:p w14:paraId="4E8168A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电线电缆</w:t>
            </w:r>
          </w:p>
        </w:tc>
        <w:tc>
          <w:tcPr>
            <w:tcW w:w="515" w:type="pct"/>
            <w:shd w:val="clear" w:color="auto" w:fill="auto"/>
            <w:vAlign w:val="center"/>
          </w:tcPr>
          <w:p w14:paraId="37C28BEC">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3*16+1</w:t>
            </w:r>
          </w:p>
        </w:tc>
        <w:tc>
          <w:tcPr>
            <w:tcW w:w="258" w:type="pct"/>
            <w:shd w:val="clear" w:color="auto" w:fill="auto"/>
            <w:vAlign w:val="center"/>
          </w:tcPr>
          <w:p w14:paraId="4F7B56FE">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539" w:type="pct"/>
            <w:shd w:val="clear" w:color="auto" w:fill="auto"/>
            <w:vAlign w:val="center"/>
          </w:tcPr>
          <w:p w14:paraId="7007E61A">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1000.00</w:t>
            </w:r>
          </w:p>
        </w:tc>
        <w:tc>
          <w:tcPr>
            <w:tcW w:w="491" w:type="pct"/>
            <w:shd w:val="clear" w:color="auto" w:fill="auto"/>
            <w:noWrap/>
            <w:vAlign w:val="center"/>
          </w:tcPr>
          <w:p w14:paraId="3798B6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2A1AA7C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3095547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1DA8ED4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97DBC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vAlign w:val="center"/>
          </w:tcPr>
          <w:p w14:paraId="74D0C3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498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59F94F1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w:t>
            </w:r>
          </w:p>
        </w:tc>
        <w:tc>
          <w:tcPr>
            <w:tcW w:w="617" w:type="pct"/>
            <w:shd w:val="clear" w:color="auto" w:fill="auto"/>
            <w:vAlign w:val="center"/>
          </w:tcPr>
          <w:p w14:paraId="5269E14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电线电缆</w:t>
            </w:r>
          </w:p>
        </w:tc>
        <w:tc>
          <w:tcPr>
            <w:tcW w:w="515" w:type="pct"/>
            <w:shd w:val="clear" w:color="auto" w:fill="auto"/>
            <w:vAlign w:val="center"/>
          </w:tcPr>
          <w:p w14:paraId="0EF19A64">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3*10</w:t>
            </w:r>
          </w:p>
        </w:tc>
        <w:tc>
          <w:tcPr>
            <w:tcW w:w="258" w:type="pct"/>
            <w:shd w:val="clear" w:color="auto" w:fill="auto"/>
            <w:noWrap/>
            <w:vAlign w:val="center"/>
          </w:tcPr>
          <w:p w14:paraId="18D30C0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539" w:type="pct"/>
            <w:shd w:val="clear" w:color="auto" w:fill="auto"/>
            <w:vAlign w:val="center"/>
          </w:tcPr>
          <w:p w14:paraId="499F820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2200.00</w:t>
            </w:r>
          </w:p>
        </w:tc>
        <w:tc>
          <w:tcPr>
            <w:tcW w:w="491" w:type="pct"/>
            <w:shd w:val="clear" w:color="auto" w:fill="auto"/>
            <w:noWrap/>
            <w:vAlign w:val="center"/>
          </w:tcPr>
          <w:p w14:paraId="39EBD4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4C8D26C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11B2EAE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0A537B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2F9537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1356D0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EC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4FBD3BF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617" w:type="pct"/>
            <w:shd w:val="clear" w:color="auto" w:fill="auto"/>
            <w:vAlign w:val="center"/>
          </w:tcPr>
          <w:p w14:paraId="1AE0907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电线电缆</w:t>
            </w:r>
          </w:p>
        </w:tc>
        <w:tc>
          <w:tcPr>
            <w:tcW w:w="515" w:type="pct"/>
            <w:shd w:val="clear" w:color="auto" w:fill="auto"/>
            <w:vAlign w:val="center"/>
          </w:tcPr>
          <w:p w14:paraId="4BE330E8">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5*10</w:t>
            </w:r>
          </w:p>
        </w:tc>
        <w:tc>
          <w:tcPr>
            <w:tcW w:w="258" w:type="pct"/>
            <w:shd w:val="clear" w:color="auto" w:fill="auto"/>
            <w:noWrap/>
            <w:vAlign w:val="center"/>
          </w:tcPr>
          <w:p w14:paraId="4F657E0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539" w:type="pct"/>
            <w:shd w:val="clear" w:color="auto" w:fill="auto"/>
            <w:vAlign w:val="center"/>
          </w:tcPr>
          <w:p w14:paraId="34AF7A8F">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2000.00</w:t>
            </w:r>
          </w:p>
        </w:tc>
        <w:tc>
          <w:tcPr>
            <w:tcW w:w="491" w:type="pct"/>
            <w:shd w:val="clear" w:color="auto" w:fill="auto"/>
            <w:noWrap/>
            <w:vAlign w:val="center"/>
          </w:tcPr>
          <w:p w14:paraId="1B6966F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1E4FE3E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637C8A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6A9F19F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1426107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28A985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C88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02A707D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w:t>
            </w:r>
          </w:p>
        </w:tc>
        <w:tc>
          <w:tcPr>
            <w:tcW w:w="617" w:type="pct"/>
            <w:shd w:val="clear" w:color="auto" w:fill="auto"/>
            <w:vAlign w:val="center"/>
          </w:tcPr>
          <w:p w14:paraId="60F652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电线电缆</w:t>
            </w:r>
          </w:p>
        </w:tc>
        <w:tc>
          <w:tcPr>
            <w:tcW w:w="515" w:type="pct"/>
            <w:shd w:val="clear" w:color="auto" w:fill="auto"/>
            <w:vAlign w:val="center"/>
          </w:tcPr>
          <w:p w14:paraId="680447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4*35+1</w:t>
            </w:r>
          </w:p>
        </w:tc>
        <w:tc>
          <w:tcPr>
            <w:tcW w:w="258" w:type="pct"/>
            <w:shd w:val="clear" w:color="auto" w:fill="auto"/>
            <w:noWrap/>
            <w:vAlign w:val="center"/>
          </w:tcPr>
          <w:p w14:paraId="41E591F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539" w:type="pct"/>
            <w:shd w:val="clear" w:color="auto" w:fill="auto"/>
            <w:vAlign w:val="center"/>
          </w:tcPr>
          <w:p w14:paraId="5759A32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2000.00</w:t>
            </w:r>
          </w:p>
        </w:tc>
        <w:tc>
          <w:tcPr>
            <w:tcW w:w="491" w:type="pct"/>
            <w:shd w:val="clear" w:color="auto" w:fill="auto"/>
            <w:noWrap/>
            <w:vAlign w:val="center"/>
          </w:tcPr>
          <w:p w14:paraId="426B53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45D2B9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1D8232D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1668A6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A9907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3BA2E3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D0C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67F0D9D9">
            <w:pPr>
              <w:widowControl/>
              <w:jc w:val="center"/>
              <w:textAlignment w:val="center"/>
              <w:rPr>
                <w:rFonts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617" w:type="pct"/>
            <w:shd w:val="clear" w:color="auto" w:fill="auto"/>
            <w:vAlign w:val="center"/>
          </w:tcPr>
          <w:p w14:paraId="3625C004">
            <w:pPr>
              <w:widowControl/>
              <w:jc w:val="center"/>
              <w:textAlignment w:val="center"/>
              <w:rPr>
                <w:rFonts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515" w:type="pct"/>
            <w:shd w:val="clear" w:color="auto" w:fill="auto"/>
            <w:vAlign w:val="center"/>
          </w:tcPr>
          <w:p w14:paraId="3B26CE7E">
            <w:pPr>
              <w:widowControl/>
              <w:jc w:val="center"/>
              <w:textAlignment w:val="center"/>
              <w:rPr>
                <w:rFonts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258" w:type="pct"/>
            <w:shd w:val="clear" w:color="auto" w:fill="auto"/>
            <w:noWrap/>
            <w:vAlign w:val="center"/>
          </w:tcPr>
          <w:p w14:paraId="67BA0F85">
            <w:pPr>
              <w:widowControl/>
              <w:jc w:val="center"/>
              <w:textAlignment w:val="center"/>
              <w:rPr>
                <w:rFonts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539" w:type="pct"/>
            <w:shd w:val="clear" w:color="auto" w:fill="auto"/>
            <w:vAlign w:val="center"/>
          </w:tcPr>
          <w:p w14:paraId="4842269E">
            <w:pPr>
              <w:widowControl/>
              <w:spacing w:line="400" w:lineRule="atLeast"/>
              <w:jc w:val="center"/>
              <w:rPr>
                <w:rFonts w:hint="default"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7200.00</w:t>
            </w:r>
          </w:p>
        </w:tc>
        <w:tc>
          <w:tcPr>
            <w:tcW w:w="491" w:type="pct"/>
            <w:shd w:val="clear" w:color="auto" w:fill="auto"/>
            <w:noWrap/>
            <w:vAlign w:val="center"/>
          </w:tcPr>
          <w:p w14:paraId="52C3D1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75AF42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467117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4FADCF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F9625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3DCAEE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61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6A6B8C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38C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E37E7C7">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10"/>
    </w:tbl>
    <w:p w14:paraId="748A5529">
      <w:pPr>
        <w:pStyle w:val="12"/>
        <w:spacing w:line="400" w:lineRule="atLeast"/>
        <w:ind w:left="479" w:leftChars="228"/>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4C42371A">
      <w:pPr>
        <w:pStyle w:val="12"/>
        <w:numPr>
          <w:ilvl w:val="0"/>
          <w:numId w:val="2"/>
        </w:numPr>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合同单价：</w:t>
      </w:r>
      <w:r>
        <w:rPr>
          <w:rFonts w:hint="eastAsia" w:ascii="仿宋_GB2312" w:hAnsi="仿宋_GB2312" w:eastAsia="仿宋_GB2312" w:cs="仿宋_GB2312"/>
          <w:color w:val="000000" w:themeColor="text1"/>
          <w:highlight w:val="none"/>
          <w14:textFill>
            <w14:solidFill>
              <w14:schemeClr w14:val="tx1"/>
            </w14:solidFill>
          </w14:textFill>
        </w:rPr>
        <w:t>本合同综合单价适用第</w:t>
      </w:r>
      <w:permStart w:id="1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1.1  </w:t>
      </w:r>
      <w:permEnd w:id="11"/>
      <w:r>
        <w:rPr>
          <w:rFonts w:hint="eastAsia" w:ascii="仿宋_GB2312" w:hAnsi="仿宋_GB2312" w:eastAsia="仿宋_GB2312" w:cs="仿宋_GB2312"/>
          <w:color w:val="000000" w:themeColor="text1"/>
          <w:highlight w:val="none"/>
          <w14:textFill>
            <w14:solidFill>
              <w14:schemeClr w14:val="tx1"/>
            </w14:solidFill>
          </w14:textFill>
        </w:rPr>
        <w:t>条</w:t>
      </w:r>
    </w:p>
    <w:p w14:paraId="7B9BC213">
      <w:pPr>
        <w:pStyle w:val="12"/>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10" w:name="_Hlk127188815"/>
      <w:r>
        <w:rPr>
          <w:rFonts w:hint="eastAsia" w:ascii="仿宋_GB2312" w:hAnsi="仿宋_GB2312" w:eastAsia="仿宋_GB2312" w:cs="仿宋_GB2312"/>
          <w:b/>
          <w:bCs/>
          <w:color w:val="000000" w:themeColor="text1"/>
          <w:highlight w:val="none"/>
          <w:u w:val="single"/>
          <w14:textFill>
            <w14:solidFill>
              <w14:schemeClr w14:val="tx1"/>
            </w14:solidFill>
          </w14:textFill>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5C6FE3C3">
      <w:pPr>
        <w:pStyle w:val="12"/>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highlight w:val="none"/>
          <w14:textFill>
            <w14:solidFill>
              <w14:schemeClr w14:val="tx1"/>
            </w14:solidFill>
          </w14:textFill>
        </w:rPr>
        <w:t>本合同约定的“</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7809F5FA">
      <w:pPr>
        <w:pStyle w:val="12"/>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1.3</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2"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12"/>
    </w:p>
    <w:p w14:paraId="4F20F2F5">
      <w:pPr>
        <w:pStyle w:val="12"/>
        <w:numPr>
          <w:ilvl w:val="0"/>
          <w:numId w:val="2"/>
        </w:numPr>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乙方所供物资必须为</w:t>
      </w:r>
      <w:permStart w:id="13"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ermEnd w:id="13"/>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公司生产产品。</w:t>
      </w:r>
    </w:p>
    <w:p w14:paraId="4AAF5B27">
      <w:pPr>
        <w:pStyle w:val="12"/>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47DCD1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0"/>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7655C09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 w:name="_Toc23444"/>
      <w:bookmarkStart w:id="12" w:name="_Toc13168"/>
      <w:bookmarkStart w:id="13" w:name="_Toc15703"/>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1"/>
      <w:bookmarkEnd w:id="12"/>
      <w:bookmarkEnd w:id="13"/>
    </w:p>
    <w:p w14:paraId="1E8E635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14"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permEnd w:id="14"/>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3AAFC54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69087D49">
      <w:pPr>
        <w:pStyle w:val="12"/>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1AA75640">
      <w:pPr>
        <w:pStyle w:val="12"/>
        <w:spacing w:line="400" w:lineRule="atLeast"/>
        <w:ind w:firstLine="482" w:firstLineChars="20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1.3其他</w:t>
      </w:r>
      <w:permStart w:id="15"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
    <w:permEnd w:id="15"/>
    <w:p w14:paraId="165EDFFB">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6"/>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427A5FC5">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1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甲方指定的其他地点</w:t>
      </w:r>
      <w:permEnd w:id="17"/>
      <w:r>
        <w:rPr>
          <w:rFonts w:hint="eastAsia" w:ascii="仿宋_GB2312" w:hAnsi="仿宋_GB2312" w:eastAsia="仿宋_GB2312" w:cs="仿宋_GB2312"/>
          <w:color w:val="000000" w:themeColor="text1"/>
          <w:highlight w:val="none"/>
          <w:u w:val="single"/>
          <w14:textFill>
            <w14:solidFill>
              <w14:schemeClr w14:val="tx1"/>
            </w14:solidFill>
          </w14:textFill>
        </w:rPr>
        <w:t>。</w:t>
      </w:r>
    </w:p>
    <w:p w14:paraId="769A0C3E">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permStart w:id="18"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货物清单内容</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highlight w:val="none"/>
          <w14:textFill>
            <w14:solidFill>
              <w14:schemeClr w14:val="tx1"/>
            </w14:solidFill>
          </w14:textFill>
        </w:rPr>
        <w:t>。</w:t>
      </w:r>
    </w:p>
    <w:p w14:paraId="0D5784B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622E74A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19"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于海潮</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0"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13293387810</w:t>
      </w:r>
      <w:permEnd w:id="2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1"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E89F96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22"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3"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4"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4DB9335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4"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4"/>
      <w:r>
        <w:rPr>
          <w:rFonts w:hint="eastAsia" w:ascii="仿宋_GB2312" w:hAnsi="仿宋_GB2312" w:eastAsia="仿宋_GB2312" w:cs="仿宋_GB2312"/>
          <w:color w:val="000000" w:themeColor="text1"/>
          <w:highlight w:val="none"/>
          <w14:textFill>
            <w14:solidFill>
              <w14:schemeClr w14:val="tx1"/>
            </w14:solidFill>
          </w14:textFill>
        </w:rPr>
        <w:t>。</w:t>
      </w:r>
    </w:p>
    <w:p w14:paraId="6C99587B">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p>
    <w:p w14:paraId="77798E7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09369747">
      <w:pPr>
        <w:pStyle w:val="12"/>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5"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5"/>
      <w:r>
        <w:rPr>
          <w:rFonts w:hint="eastAsia" w:ascii="仿宋_GB2312" w:hAnsi="仿宋_GB2312" w:eastAsia="仿宋_GB2312" w:cs="仿宋_GB2312"/>
          <w:b/>
          <w:bCs/>
          <w:color w:val="000000" w:themeColor="text1"/>
          <w:highlight w:val="none"/>
          <w14:textFill>
            <w14:solidFill>
              <w14:schemeClr w14:val="tx1"/>
            </w14:solidFill>
          </w14:textFill>
        </w:rPr>
        <w:t>。</w:t>
      </w:r>
    </w:p>
    <w:p w14:paraId="08F39C4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34204581">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52453B0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1DD67A31">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211DB85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2E7EAD0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0EAD72BD">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F8F9E84">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70A80171">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18D1973">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permStart w:id="25" w:edGrp="everyone"/>
      <w:r>
        <w:rPr>
          <w:rFonts w:hint="eastAsia" w:ascii="仿宋_GB2312" w:hAnsi="仿宋_GB2312" w:eastAsia="仿宋_GB2312" w:cs="仿宋_GB2312"/>
          <w:color w:val="auto"/>
          <w:sz w:val="24"/>
          <w:szCs w:val="24"/>
          <w:highlight w:val="none"/>
          <w:u w:val="single"/>
        </w:rPr>
        <w:t xml:space="preserve">    /  </w:t>
      </w:r>
      <w:permEnd w:id="25"/>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permStart w:id="26" w:edGrp="everyone"/>
      <w:r>
        <w:rPr>
          <w:rFonts w:hint="eastAsia" w:ascii="仿宋_GB2312" w:hAnsi="仿宋_GB2312" w:eastAsia="仿宋_GB2312" w:cs="仿宋_GB2312"/>
          <w:color w:val="auto"/>
          <w:sz w:val="24"/>
          <w:szCs w:val="24"/>
          <w:highlight w:val="none"/>
          <w:u w:val="single"/>
        </w:rPr>
        <w:t xml:space="preserve">   / </w:t>
      </w:r>
      <w:permEnd w:id="26"/>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1370332">
      <w:pPr>
        <w:pStyle w:val="12"/>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534D54E4">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permStart w:id="27" w:edGrp="everyone"/>
      <w:r>
        <w:rPr>
          <w:rFonts w:hint="eastAsia" w:ascii="仿宋_GB2312" w:hAnsi="仿宋_GB2312" w:eastAsia="仿宋_GB2312" w:cs="仿宋_GB2312"/>
          <w:color w:val="auto"/>
          <w:highlight w:val="none"/>
          <w:u w:val="single"/>
        </w:rPr>
        <w:t xml:space="preserve">   /  </w:t>
      </w:r>
      <w:permEnd w:id="27"/>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64ACC81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B453DA7">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16" w:name="_Toc29361"/>
      <w:bookmarkStart w:id="17" w:name="_Toc12447"/>
      <w:bookmarkStart w:id="18" w:name="_Toc15437"/>
      <w:r>
        <w:rPr>
          <w:rFonts w:hint="eastAsia" w:ascii="仿宋_GB2312" w:hAnsi="仿宋_GB2312" w:eastAsia="仿宋_GB2312" w:cs="仿宋_GB2312"/>
          <w:b/>
          <w:bCs/>
          <w:color w:val="auto"/>
          <w:highlight w:val="none"/>
        </w:rPr>
        <w:t>货物质量</w:t>
      </w:r>
      <w:bookmarkEnd w:id="16"/>
      <w:bookmarkEnd w:id="17"/>
      <w:bookmarkEnd w:id="18"/>
    </w:p>
    <w:p w14:paraId="15B7A066">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406E5DEB">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1.1按照国家标准执行（标准代号、标准编号及标准名称为</w:t>
      </w:r>
      <w:permStart w:id="28" w:edGrp="everyone"/>
      <w:r>
        <w:rPr>
          <w:rFonts w:hint="eastAsia" w:ascii="仿宋_GB2312" w:hAnsi="仿宋_GB2312" w:eastAsia="仿宋_GB2312" w:cs="仿宋_GB2312"/>
          <w:color w:val="auto"/>
          <w:highlight w:val="none"/>
        </w:rPr>
        <w:t>GB 9330《塑料绝缘控制电缆》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IEC 60227《额定电压450/750V及以下聚氯绝缘电缆》</w:t>
      </w:r>
      <w:permEnd w:id="28"/>
      <w:r>
        <w:rPr>
          <w:rFonts w:hint="eastAsia" w:ascii="仿宋_GB2312" w:hAnsi="仿宋_GB2312" w:eastAsia="仿宋_GB2312" w:cs="仿宋_GB2312"/>
          <w:color w:val="auto"/>
          <w:highlight w:val="none"/>
        </w:rPr>
        <w:t>）。</w:t>
      </w:r>
    </w:p>
    <w:p w14:paraId="0AAD8622">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440C241D">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194071B3">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permStart w:id="29" w:edGrp="everyone"/>
      <w:r>
        <w:rPr>
          <w:rFonts w:hint="eastAsia" w:ascii="仿宋_GB2312" w:hAnsi="仿宋_GB2312" w:eastAsia="仿宋_GB2312" w:cs="仿宋_GB2312"/>
          <w:color w:val="auto"/>
          <w:highlight w:val="none"/>
          <w:u w:val="single"/>
          <w:lang w:val="en-US" w:eastAsia="zh-CN"/>
        </w:rPr>
        <w:t>质量标准必须符合现行国家有关工程施工质量验收规范和标准的要求</w:t>
      </w:r>
      <w:bookmarkStart w:id="128" w:name="_GoBack"/>
      <w:bookmarkEnd w:id="128"/>
      <w:r>
        <w:rPr>
          <w:rFonts w:hint="eastAsia" w:ascii="仿宋_GB2312" w:hAnsi="仿宋_GB2312" w:eastAsia="仿宋_GB2312" w:cs="仿宋_GB2312"/>
          <w:color w:val="auto"/>
          <w:highlight w:val="none"/>
        </w:rPr>
        <w:t xml:space="preserve"> </w:t>
      </w:r>
      <w:permEnd w:id="29"/>
      <w:r>
        <w:rPr>
          <w:rFonts w:hint="eastAsia" w:ascii="仿宋_GB2312" w:hAnsi="仿宋_GB2312" w:eastAsia="仿宋_GB2312" w:cs="仿宋_GB2312"/>
          <w:color w:val="auto"/>
          <w:highlight w:val="none"/>
        </w:rPr>
        <w:t>）。</w:t>
      </w:r>
    </w:p>
    <w:p w14:paraId="3D9F0FF1">
      <w:pPr>
        <w:pStyle w:val="12"/>
        <w:spacing w:line="400" w:lineRule="atLeast"/>
        <w:ind w:firstLine="480" w:firstLineChars="200"/>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8CEA718">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1.6其他：</w:t>
      </w:r>
      <w:permStart w:id="30" w:edGrp="everyone"/>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permEnd w:id="30"/>
      <w:r>
        <w:rPr>
          <w:rFonts w:hint="eastAsia" w:ascii="仿宋_GB2312" w:hAnsi="仿宋_GB2312" w:eastAsia="仿宋_GB2312" w:cs="仿宋_GB2312"/>
          <w:color w:val="auto"/>
          <w:highlight w:val="none"/>
        </w:rPr>
        <w:t>。</w:t>
      </w:r>
    </w:p>
    <w:p w14:paraId="0D5661A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permStart w:id="31" w:edGrp="everyone"/>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permEnd w:id="31"/>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4833F580">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3、货物质量保修期：</w:t>
      </w:r>
      <w:r>
        <w:rPr>
          <w:rFonts w:hint="eastAsia" w:ascii="仿宋_GB2312" w:hAnsi="仿宋_GB2312" w:eastAsia="仿宋_GB2312" w:cs="仿宋_GB2312"/>
          <w:color w:val="auto"/>
          <w:highlight w:val="none"/>
        </w:rPr>
        <w:t>按下列第</w:t>
      </w:r>
      <w:r>
        <w:rPr>
          <w:rFonts w:hint="eastAsia" w:ascii="仿宋_GB2312" w:hAnsi="仿宋_GB2312" w:eastAsia="仿宋_GB2312" w:cs="仿宋_GB2312"/>
          <w:color w:val="auto"/>
          <w:highlight w:val="none"/>
          <w:u w:val="single"/>
        </w:rPr>
        <w:t xml:space="preserve"> </w:t>
      </w:r>
      <w:permStart w:id="32" w:edGrp="everyone"/>
      <w:r>
        <w:rPr>
          <w:rFonts w:hint="eastAsia" w:ascii="仿宋_GB2312" w:hAnsi="仿宋_GB2312" w:eastAsia="仿宋_GB2312" w:cs="仿宋_GB2312"/>
          <w:color w:val="auto"/>
          <w:highlight w:val="none"/>
          <w:u w:val="single"/>
          <w:lang w:val="en-US" w:eastAsia="zh-CN"/>
        </w:rPr>
        <w:t>3.3</w:t>
      </w:r>
      <w:permEnd w:id="32"/>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项执行（如货物明示或设计的质量保修期/缺陷责任期较长的，以较长者为准）：</w:t>
      </w:r>
    </w:p>
    <w:p w14:paraId="722EC85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3.1质量保修期无</w:t>
      </w:r>
    </w:p>
    <w:p w14:paraId="6D5A36AF">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3.2质量保修期为</w:t>
      </w:r>
      <w:permStart w:id="33" w:edGrp="everyone"/>
      <w:r>
        <w:rPr>
          <w:rFonts w:hint="eastAsia" w:ascii="仿宋_GB2312" w:hAnsi="仿宋_GB2312" w:eastAsia="仿宋_GB2312" w:cs="仿宋_GB2312"/>
          <w:color w:val="auto"/>
          <w:highlight w:val="none"/>
          <w:u w:val="single"/>
        </w:rPr>
        <w:t xml:space="preserve">  /   </w:t>
      </w:r>
      <w:permEnd w:id="33"/>
      <w:r>
        <w:rPr>
          <w:rFonts w:hint="eastAsia" w:ascii="仿宋_GB2312" w:hAnsi="仿宋_GB2312" w:eastAsia="仿宋_GB2312" w:cs="仿宋_GB2312"/>
          <w:color w:val="auto"/>
          <w:highlight w:val="none"/>
        </w:rPr>
        <w:t>个月，自货物进场验收合格之日起算；</w:t>
      </w:r>
    </w:p>
    <w:p w14:paraId="25ACB3C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3.3质量保修期为</w:t>
      </w:r>
      <w:permStart w:id="34"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4</w:t>
      </w:r>
      <w:r>
        <w:rPr>
          <w:rFonts w:hint="eastAsia" w:ascii="仿宋_GB2312" w:hAnsi="仿宋_GB2312" w:eastAsia="仿宋_GB2312" w:cs="仿宋_GB2312"/>
          <w:color w:val="auto"/>
          <w:highlight w:val="none"/>
          <w:u w:val="single"/>
        </w:rPr>
        <w:t xml:space="preserve">   </w:t>
      </w:r>
      <w:permEnd w:id="34"/>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4AFA9E3B">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2CA03F6">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 w:name="_Toc22036"/>
      <w:bookmarkStart w:id="20" w:name="_Toc12481"/>
      <w:bookmarkStart w:id="21" w:name="_Toc3621"/>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9"/>
      <w:bookmarkEnd w:id="20"/>
      <w:bookmarkEnd w:id="21"/>
    </w:p>
    <w:p w14:paraId="47107D5D">
      <w:pPr>
        <w:pStyle w:val="12"/>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auto"/>
          <w:highlight w:val="none"/>
        </w:rPr>
        <w:t>货物进场需由甲方物资管理人员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不少于2人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bookmarkStart w:id="22" w:name="_Hlk127189311"/>
      <w:r>
        <w:rPr>
          <w:rFonts w:hint="eastAsia" w:ascii="仿宋_GB2312" w:hAnsi="仿宋_GB2312" w:eastAsia="仿宋_GB2312" w:cs="仿宋_GB2312"/>
          <w:color w:val="auto"/>
          <w:highlight w:val="none"/>
        </w:rPr>
        <w:t>现场责任</w:t>
      </w:r>
      <w:bookmarkEnd w:id="22"/>
      <w:r>
        <w:rPr>
          <w:rFonts w:hint="eastAsia" w:ascii="仿宋_GB2312" w:hAnsi="仿宋_GB2312" w:eastAsia="仿宋_GB2312" w:cs="仿宋_GB2312"/>
          <w:color w:val="auto"/>
          <w:highlight w:val="none"/>
        </w:rPr>
        <w:t>工程师、分包单位和乙方发货联系人共同完成现场验收，现场验收不代表货物质量合格，质量是否合格需要进一步复核确定。</w:t>
      </w:r>
    </w:p>
    <w:p w14:paraId="6D07D633">
      <w:pPr>
        <w:pStyle w:val="12"/>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43FFA877">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35D57DD7">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highlight w:val="none"/>
        </w:rPr>
        <w:t>甲乙双方在交货现场以</w:t>
      </w:r>
      <w:permStart w:id="35" w:edGrp="everyone"/>
      <w:r>
        <w:rPr>
          <w:rFonts w:hint="eastAsia" w:ascii="仿宋_GB2312" w:hAnsi="仿宋_GB2312" w:eastAsia="仿宋_GB2312" w:cs="仿宋_GB2312"/>
          <w:highlight w:val="none"/>
          <w:lang w:eastAsia="zh-CN"/>
        </w:rPr>
        <w:t>□</w:t>
      </w:r>
      <w:permEnd w:id="35"/>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36" w:edGrp="everyone"/>
      <w:r>
        <w:rPr>
          <w:rFonts w:hint="eastAsia" w:ascii="仿宋_GB2312" w:hAnsi="仿宋_GB2312" w:eastAsia="仿宋_GB2312" w:cs="仿宋_GB2312"/>
          <w:highlight w:val="none"/>
        </w:rPr>
        <w:t>□</w:t>
      </w:r>
      <w:permEnd w:id="36"/>
      <w:r>
        <w:rPr>
          <w:rFonts w:hint="eastAsia" w:ascii="仿宋_GB2312" w:hAnsi="仿宋_GB2312" w:eastAsia="仿宋_GB2312" w:cs="仿宋_GB2312"/>
          <w:highlight w:val="none"/>
        </w:rPr>
        <w:t xml:space="preserve"> 计件</w:t>
      </w:r>
      <w:r>
        <w:rPr>
          <w:rFonts w:hint="eastAsia" w:ascii="仿宋_GB2312" w:hAnsi="仿宋_GB2312" w:eastAsia="仿宋_GB2312" w:cs="仿宋_GB2312"/>
          <w:highlight w:val="none"/>
          <w:lang w:val="en-US" w:eastAsia="zh-CN"/>
        </w:rPr>
        <w:t>/</w:t>
      </w:r>
      <w:permStart w:id="37" w:edGrp="everyone"/>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 xml:space="preserve"> </w:t>
      </w:r>
      <w:permEnd w:id="37"/>
      <w:r>
        <w:rPr>
          <w:rFonts w:hint="eastAsia" w:ascii="仿宋_GB2312" w:hAnsi="仿宋_GB2312" w:eastAsia="仿宋_GB2312" w:cs="仿宋_GB2312"/>
          <w:highlight w:val="none"/>
        </w:rPr>
        <w:t>检尺</w:t>
      </w:r>
      <w:r>
        <w:rPr>
          <w:rFonts w:hint="eastAsia" w:ascii="仿宋_GB2312" w:hAnsi="仿宋_GB2312" w:eastAsia="仿宋_GB2312" w:cs="仿宋_GB2312"/>
          <w:highlight w:val="none"/>
          <w:lang w:val="en-US" w:eastAsia="zh-CN"/>
        </w:rPr>
        <w:t>/</w:t>
      </w:r>
      <w:permStart w:id="38" w:edGrp="everyone"/>
      <w:r>
        <w:rPr>
          <w:rFonts w:hint="eastAsia" w:ascii="仿宋_GB2312" w:hAnsi="仿宋_GB2312" w:eastAsia="仿宋_GB2312" w:cs="仿宋_GB2312"/>
          <w:highlight w:val="none"/>
        </w:rPr>
        <w:t xml:space="preserve">□ </w:t>
      </w:r>
      <w:permEnd w:id="38"/>
      <w:r>
        <w:rPr>
          <w:rFonts w:hint="eastAsia" w:ascii="仿宋_GB2312" w:hAnsi="仿宋_GB2312" w:eastAsia="仿宋_GB2312" w:cs="仿宋_GB2312"/>
          <w:highlight w:val="none"/>
        </w:rPr>
        <w:t>其他计量方式</w:t>
      </w:r>
      <w:permStart w:id="39" w:edGrp="everyone"/>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permEnd w:id="39"/>
      <w:r>
        <w:rPr>
          <w:rFonts w:hint="eastAsia" w:ascii="仿宋_GB2312" w:hAnsi="仿宋_GB2312" w:eastAsia="仿宋_GB2312" w:cs="仿宋_GB2312"/>
          <w:highlight w:val="none"/>
        </w:rPr>
        <w:t>进行数量验收，乙方应对在甲方工地现场的数量验收数据进行确认。</w:t>
      </w:r>
    </w:p>
    <w:p w14:paraId="27997F8B">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标的物进场的依据，乙方对甲方签字人员权限负有审查义务</w:t>
      </w:r>
      <w:r>
        <w:rPr>
          <w:rFonts w:hint="eastAsia" w:ascii="仿宋_GB2312" w:hAnsi="仿宋_GB2312" w:eastAsia="仿宋_GB2312" w:cs="仿宋_GB2312"/>
          <w:highlight w:val="none"/>
          <w:u w:val="none"/>
          <w:lang w:val="en-US" w:eastAsia="zh-CN"/>
        </w:rPr>
        <w:t>。</w:t>
      </w:r>
    </w:p>
    <w:p w14:paraId="42AEEA02">
      <w:pPr>
        <w:pStyle w:val="12"/>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07ECBFC3">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14A6286B">
      <w:pPr>
        <w:pStyle w:val="12"/>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197DAE15">
      <w:pPr>
        <w:spacing w:line="400" w:lineRule="exact"/>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4.2送样要求：</w:t>
      </w:r>
      <w:r>
        <w:rPr>
          <w:rFonts w:hint="eastAsia" w:ascii="仿宋_GB2312" w:hAnsi="仿宋_GB2312" w:eastAsia="仿宋_GB2312" w:cs="仿宋_GB2312"/>
          <w:sz w:val="24"/>
          <w:szCs w:val="24"/>
          <w:highlight w:val="none"/>
        </w:rPr>
        <w:t>对于甲方要求提前送样的货物,乙方应按照甲方要求送审材料样品，样品送审内容包括但不限于材料样品本身，还包括提供样品材料的</w:t>
      </w:r>
      <w:permStart w:id="40" w:edGrp="everyone"/>
      <w:r>
        <w:rPr>
          <w:rFonts w:hint="eastAsia" w:ascii="仿宋_GB2312" w:hAnsi="仿宋_GB2312" w:eastAsia="仿宋_GB2312" w:cs="仿宋_GB2312"/>
          <w:sz w:val="24"/>
          <w:szCs w:val="24"/>
          <w:highlight w:val="none"/>
          <w:u w:val="single"/>
        </w:rPr>
        <w:t>质量、外观、品牌、商标、规格、型号、花色、标识、生产厂家、产品生产许可证、产品质量证明书、出厂合格证、产品检验报告</w:t>
      </w:r>
      <w:permEnd w:id="40"/>
      <w:r>
        <w:rPr>
          <w:rFonts w:hint="eastAsia" w:ascii="仿宋_GB2312" w:hAnsi="仿宋_GB2312" w:eastAsia="仿宋_GB2312" w:cs="仿宋_GB2312"/>
          <w:sz w:val="24"/>
          <w:szCs w:val="24"/>
          <w:highlight w:val="none"/>
        </w:rPr>
        <w:t>等相关的技术质量资料。一旦甲、乙双方签约后且材料的样品得到甲方、业主及监理认可并且封存样品后，未经甲方、业主及监理同意，乙方不得作任何变更。</w:t>
      </w:r>
    </w:p>
    <w:p w14:paraId="2C84D28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23"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23"/>
      <w:r>
        <w:rPr>
          <w:rFonts w:hint="eastAsia" w:ascii="仿宋_GB2312" w:hAnsi="仿宋_GB2312" w:eastAsia="仿宋_GB2312" w:cs="仿宋_GB2312"/>
          <w:color w:val="000000" w:themeColor="text1"/>
          <w:highlight w:val="none"/>
          <w14:textFill>
            <w14:solidFill>
              <w14:schemeClr w14:val="tx1"/>
            </w14:solidFill>
          </w14:textFill>
        </w:rPr>
        <w:t>。</w:t>
      </w:r>
    </w:p>
    <w:p w14:paraId="0B026F63">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货物应在产品使用前进行检测，待检测合格后方可使用；如检测不合格，由乙方负责在48小时内包退包换，并承担往来运输费、上下车的力资费及相应工期损失、经济损失。</w:t>
      </w:r>
    </w:p>
    <w:p w14:paraId="53F9604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4C5F670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41"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日喀则</w:t>
      </w:r>
      <w:permEnd w:id="41"/>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49289FF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F89A94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12674762">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b/>
          <w:bCs/>
          <w:color w:val="000000" w:themeColor="text1"/>
          <w:highlight w:val="none"/>
          <w14:textFill>
            <w14:solidFill>
              <w14:schemeClr w14:val="tx1"/>
            </w14:solidFill>
          </w14:textFill>
        </w:rPr>
        <w:t>支付中予以扣除，乙方对此不持</w:t>
      </w:r>
      <w:r>
        <w:rPr>
          <w:rFonts w:hint="eastAsia" w:ascii="仿宋_GB2312" w:hAnsi="仿宋_GB2312" w:eastAsia="仿宋_GB2312" w:cs="仿宋_GB2312"/>
          <w:b/>
          <w:bCs/>
          <w:highlight w:val="none"/>
        </w:rPr>
        <w:t>异议。</w:t>
      </w:r>
    </w:p>
    <w:p w14:paraId="4798FBDA">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24" w:name="_Toc22166"/>
      <w:bookmarkStart w:id="25" w:name="_Toc23953"/>
      <w:bookmarkStart w:id="26" w:name="_Toc24231"/>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合同含税单价的</w:t>
      </w:r>
      <w:permStart w:id="42"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80</w:t>
      </w:r>
      <w:permEnd w:id="42"/>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2AB0BA5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43"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43"/>
      <w:r>
        <w:rPr>
          <w:rFonts w:hint="eastAsia" w:ascii="仿宋_GB2312" w:hAnsi="仿宋_GB2312" w:eastAsia="仿宋_GB2312" w:cs="仿宋_GB2312"/>
          <w:color w:val="000000" w:themeColor="text1"/>
          <w:highlight w:val="none"/>
          <w14:textFill>
            <w14:solidFill>
              <w14:schemeClr w14:val="tx1"/>
            </w14:solidFill>
          </w14:textFill>
        </w:rPr>
        <w:t>。</w:t>
      </w:r>
    </w:p>
    <w:p w14:paraId="216EA48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4"/>
      <w:bookmarkEnd w:id="25"/>
      <w:bookmarkEnd w:id="26"/>
    </w:p>
    <w:p w14:paraId="259F3E1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08645ACA">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7C90100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029C33F1">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596FF6BC">
      <w:pPr>
        <w:pStyle w:val="12"/>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0" name="组合 10"/>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2" name="组合 5"/>
                        <wpg:cNvGrpSpPr/>
                        <wpg:grpSpPr>
                          <a:xfrm>
                            <a:off x="2064" y="142451"/>
                            <a:ext cx="8000" cy="1907"/>
                            <a:chOff x="4638" y="144974"/>
                            <a:chExt cx="8000" cy="2118"/>
                          </a:xfrm>
                        </wpg:grpSpPr>
                        <wps:wsp>
                          <wps:cNvPr id="4"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5926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&#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CyhJiY2QAAAAkBAAAPAAAAAAAAAAEAIAAAACIAAABk&#10;cnMvZG93bnJldi54bWxQSwECFAAUAAAACACHTuJAh3SoIuoEAABqFgAADgAAAAAAAAABACAAAAAo&#10;AQAAZHJzL2Uyb0RvYy54bWxQSwUGAAAAAAYABgBZAQAAhAgAAAAA&#10;">
                <o:lock v:ext="edit" aspectratio="f"/>
                <v:group id="组合 5" o:spid="_x0000_s1026"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187B5A46">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0598ED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4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w:t>
      </w:r>
      <w:permEnd w:id="44"/>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16BD8404">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4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45"/>
      <w:r>
        <w:rPr>
          <w:rFonts w:hint="eastAsia" w:ascii="仿宋_GB2312" w:hAnsi="仿宋_GB2312" w:eastAsia="仿宋_GB2312" w:cs="仿宋_GB2312"/>
          <w:color w:val="000000" w:themeColor="text1"/>
          <w:highlight w:val="none"/>
          <w14:textFill>
            <w14:solidFill>
              <w14:schemeClr w14:val="tx1"/>
            </w14:solidFill>
          </w14:textFill>
        </w:rPr>
        <w:t>。</w:t>
      </w:r>
    </w:p>
    <w:p w14:paraId="2C77A87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7"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27"/>
    <w:p w14:paraId="54ED20E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4C4409E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79C79ED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8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71086F3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46"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3FF5E2F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2A00FE24">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中建路桥集团有限公司</w:t>
            </w:r>
          </w:p>
        </w:tc>
      </w:tr>
      <w:tr w14:paraId="2A9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F6F0D2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00A12D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38F98A7A">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670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D73A623">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6E259BA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06E988D">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91130000401700454L</w:t>
            </w:r>
          </w:p>
        </w:tc>
      </w:tr>
      <w:tr w14:paraId="334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70711D1">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21400DF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31985EB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河北省</w:t>
            </w:r>
            <w:r>
              <w:rPr>
                <w:rFonts w:hint="eastAsia" w:ascii="仿宋_GB2312" w:hAnsi="仿宋_GB2312" w:eastAsia="仿宋_GB2312" w:cs="仿宋_GB2312"/>
                <w:color w:val="000000" w:themeColor="text1"/>
                <w:sz w:val="24"/>
                <w:szCs w:val="24"/>
                <w:highlight w:val="none"/>
                <w14:textFill>
                  <w14:solidFill>
                    <w14:schemeClr w14:val="tx1"/>
                  </w14:solidFill>
                </w14:textFill>
              </w:rPr>
              <w:t>石家庄市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桥西区</w:t>
            </w:r>
            <w:r>
              <w:rPr>
                <w:rFonts w:hint="eastAsia" w:ascii="仿宋_GB2312" w:hAnsi="仿宋_GB2312" w:eastAsia="仿宋_GB2312" w:cs="仿宋_GB2312"/>
                <w:color w:val="000000" w:themeColor="text1"/>
                <w:sz w:val="24"/>
                <w:szCs w:val="24"/>
                <w:highlight w:val="none"/>
                <w14:textFill>
                  <w14:solidFill>
                    <w14:schemeClr w14:val="tx1"/>
                  </w14:solidFill>
                </w14:textFill>
              </w:rPr>
              <w:t>建设南大街70号、0311-86028814</w:t>
            </w:r>
          </w:p>
        </w:tc>
      </w:tr>
      <w:tr w14:paraId="3BA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CB2F5A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BE0DF1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77C01D5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石家庄</w:t>
            </w:r>
            <w:r>
              <w:rPr>
                <w:rFonts w:hint="eastAsia" w:ascii="仿宋_GB2312" w:hAnsi="仿宋_GB2312" w:eastAsia="仿宋_GB2312" w:cs="仿宋_GB2312"/>
                <w:color w:val="000000" w:themeColor="text1"/>
                <w:sz w:val="24"/>
                <w:szCs w:val="24"/>
                <w:highlight w:val="none"/>
                <w14:textFill>
                  <w14:solidFill>
                    <w14:schemeClr w14:val="tx1"/>
                  </w14:solidFill>
                </w14:textFill>
              </w:rPr>
              <w:t>平安大街支行13001618601050504927</w:t>
            </w:r>
          </w:p>
        </w:tc>
      </w:tr>
      <w:tr w14:paraId="131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73764FE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748ED551">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29CE57BE">
            <w:pPr>
              <w:rPr>
                <w:highlight w:val="none"/>
              </w:rPr>
            </w:pPr>
          </w:p>
        </w:tc>
        <w:tc>
          <w:tcPr>
            <w:tcW w:w="6143" w:type="dxa"/>
            <w:tcBorders>
              <w:bottom w:val="double" w:color="auto" w:sz="4" w:space="0"/>
              <w:right w:val="single" w:color="auto" w:sz="12" w:space="0"/>
            </w:tcBorders>
          </w:tcPr>
          <w:p w14:paraId="2F01119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E3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E2F39C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644A34E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187B41F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B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1B57E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314772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21EFC6B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5D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12B376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198F38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480AD48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0EC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5088B25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713EF1C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490AF41A">
            <w:pPr>
              <w:pStyle w:val="12"/>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1AC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4030F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1DD1363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D4D6B2D">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46"/>
    </w:tbl>
    <w:p w14:paraId="32EA42D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4EED526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8" w:name="_Toc21859"/>
      <w:bookmarkStart w:id="29" w:name="_Toc32138"/>
      <w:bookmarkStart w:id="30" w:name="_Toc27325"/>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8"/>
      <w:bookmarkEnd w:id="29"/>
      <w:bookmarkEnd w:id="30"/>
    </w:p>
    <w:p w14:paraId="1A1E0861">
      <w:pPr>
        <w:pStyle w:val="12"/>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1、支付周期及支付比例：</w:t>
      </w:r>
      <w:r>
        <w:rPr>
          <w:rFonts w:hint="eastAsia" w:ascii="仿宋_GB2312" w:hAnsi="仿宋_GB2312" w:eastAsia="仿宋_GB2312" w:cs="仿宋_GB2312"/>
          <w:color w:val="000000" w:themeColor="text1"/>
          <w:highlight w:val="none"/>
          <w14:textFill>
            <w14:solidFill>
              <w14:schemeClr w14:val="tx1"/>
            </w14:solidFill>
          </w14:textFill>
        </w:rPr>
        <w:t>双方办理完结算后，适用第</w:t>
      </w:r>
      <w:permStart w:id="4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7"/>
      <w:r>
        <w:rPr>
          <w:rFonts w:hint="eastAsia" w:ascii="仿宋_GB2312" w:hAnsi="仿宋_GB2312" w:eastAsia="仿宋_GB2312" w:cs="仿宋_GB2312"/>
          <w:color w:val="000000" w:themeColor="text1"/>
          <w:highlight w:val="none"/>
          <w14:textFill>
            <w14:solidFill>
              <w14:schemeClr w14:val="tx1"/>
            </w14:solidFill>
          </w14:textFill>
        </w:rPr>
        <w:t>条付款条件：</w:t>
      </w:r>
    </w:p>
    <w:p w14:paraId="5C01F295">
      <w:pPr>
        <w:pStyle w:val="12"/>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本合同无预付款，货款来源于项目工程结算款。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48"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第一</w:t>
      </w:r>
      <w:permEnd w:id="48"/>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49"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90</w:t>
      </w:r>
      <w:permEnd w:id="49"/>
      <w:r>
        <w:rPr>
          <w:rFonts w:hint="eastAsia" w:ascii="仿宋_GB2312" w:hAnsi="仿宋_GB2312" w:eastAsia="仿宋_GB2312" w:cs="仿宋_GB2312"/>
          <w:color w:val="000000" w:themeColor="text1"/>
          <w:highlight w:val="none"/>
          <w14:textFill>
            <w14:solidFill>
              <w14:schemeClr w14:val="tx1"/>
            </w14:solidFill>
          </w14:textFill>
        </w:rPr>
        <w:t>%，</w:t>
      </w:r>
      <w:permStart w:id="5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0"/>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1"/>
      <w:r>
        <w:rPr>
          <w:rFonts w:hint="eastAsia" w:ascii="仿宋_GB2312" w:hAnsi="仿宋_GB2312" w:eastAsia="仿宋_GB2312" w:cs="仿宋_GB2312"/>
          <w:color w:val="000000" w:themeColor="text1"/>
          <w:highlight w:val="none"/>
          <w14:textFill>
            <w14:solidFill>
              <w14:schemeClr w14:val="tx1"/>
            </w14:solidFill>
          </w14:textFill>
        </w:rPr>
        <w:t>%，余下</w:t>
      </w:r>
      <w:permStart w:id="5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10</w:t>
      </w:r>
      <w:permEnd w:id="52"/>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53"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permEnd w:id="53"/>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10C99033">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5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4"/>
    </w:p>
    <w:p w14:paraId="5C94878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61146F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A57583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5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5"/>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5BA91023">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67B7C19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3CDBC0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3AB09F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28A83A7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4FB8380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5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6"/>
    </w:p>
    <w:p w14:paraId="0DE78CB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p>
    <w:p w14:paraId="00BE219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p>
    <w:p w14:paraId="077A673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（身份证号：</w:t>
      </w:r>
      <w:permStart w:id="6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0"/>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582D943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589A300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4BBAEA7">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06031B20">
      <w:pPr>
        <w:spacing w:line="400" w:lineRule="atLeast"/>
        <w:ind w:firstLine="482"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乙方在签订合同前应向甲方缴纳合同额的</w:t>
      </w:r>
      <w:permStart w:id="6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14:paraId="225555E6">
      <w:pPr>
        <w:spacing w:line="400" w:lineRule="atLeas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61"/>
      <w:r>
        <w:rPr>
          <w:rFonts w:hint="eastAsia" w:ascii="仿宋_GB2312" w:hAnsi="仿宋_GB2312" w:eastAsia="仿宋_GB2312" w:cs="仿宋_GB2312"/>
          <w:color w:val="000000" w:themeColor="text1"/>
          <w:sz w:val="24"/>
          <w:szCs w:val="24"/>
          <w:highlight w:val="none"/>
          <w14:textFill>
            <w14:solidFill>
              <w14:schemeClr w14:val="tx1"/>
            </w14:solidFill>
          </w14:textFill>
        </w:rPr>
        <w:t>％或</w:t>
      </w:r>
      <w:permStart w:id="62"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10000</w:t>
      </w:r>
      <w:permEnd w:id="62"/>
      <w:r>
        <w:rPr>
          <w:rFonts w:hint="eastAsia" w:ascii="仿宋_GB2312" w:hAnsi="仿宋_GB2312" w:eastAsia="仿宋_GB2312" w:cs="仿宋_GB2312"/>
          <w:color w:val="000000" w:themeColor="text1"/>
          <w:sz w:val="24"/>
          <w:szCs w:val="24"/>
          <w:highlight w:val="none"/>
          <w14:textFill>
            <w14:solidFill>
              <w14:schemeClr w14:val="tx1"/>
            </w14:solidFill>
          </w14:textFill>
        </w:rPr>
        <w:t>元的履约保证金，具体缴纳形式采用第</w:t>
      </w:r>
      <w:permStart w:id="63"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6.1.2</w:t>
      </w:r>
      <w:permEnd w:id="63"/>
      <w:r>
        <w:rPr>
          <w:rFonts w:hint="eastAsia" w:ascii="仿宋_GB2312" w:hAnsi="仿宋_GB2312" w:eastAsia="仿宋_GB2312" w:cs="仿宋_GB2312"/>
          <w:color w:val="000000" w:themeColor="text1"/>
          <w:sz w:val="24"/>
          <w:szCs w:val="24"/>
          <w:highlight w:val="none"/>
          <w14:textFill>
            <w14:solidFill>
              <w14:schemeClr w14:val="tx1"/>
            </w14:solidFill>
          </w14:textFill>
        </w:rPr>
        <w:t>种：</w:t>
      </w:r>
    </w:p>
    <w:p w14:paraId="5470C74E">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4115C8E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34371AFD">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74802C1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2603160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6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4"/>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3F7FA65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6.1.6履约保证金缴纳账户：</w:t>
      </w:r>
    </w:p>
    <w:p w14:paraId="268492D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6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中建路桥集团第六工程有限公司</w:t>
      </w:r>
      <w:permEnd w:id="6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5DE2BB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6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1305 0165 5272 0000 0297</w:t>
      </w:r>
      <w:permEnd w:id="6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F6729B4">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6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建行邢台青青家园支行  </w:t>
      </w:r>
      <w:permEnd w:id="67"/>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4EB286FE">
      <w:pPr>
        <w:pStyle w:val="12"/>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6.2.履约保证金退还：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68"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30</w:t>
      </w:r>
      <w:permEnd w:id="68"/>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319692C4">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5BF83DFF">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7E53E14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694F78F7">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6D886EC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1169D14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3C0A2894">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bookmarkStart w:id="31" w:name="_Toc10245"/>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5A90A0F0">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32" w:name="_Toc24664"/>
      <w:bookmarkStart w:id="33" w:name="_Toc12208"/>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3A6D322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73EDCB4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6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付晓军</w:t>
      </w:r>
      <w:permEnd w:id="6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0"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15081741749</w:t>
      </w:r>
      <w:permEnd w:id="70"/>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01D343B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71"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张海萍</w:t>
      </w:r>
      <w:permEnd w:id="7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0319-2620099</w:t>
      </w:r>
      <w:permEnd w:id="72"/>
    </w:p>
    <w:p w14:paraId="54335B34">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73"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0319-2620099</w:t>
      </w:r>
      <w:permEnd w:id="73"/>
    </w:p>
    <w:p w14:paraId="0467C2F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74"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zjlq6bgsh@163.com</w:t>
      </w:r>
      <w:permEnd w:id="74"/>
    </w:p>
    <w:p w14:paraId="325C55D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200A400A">
      <w:pPr>
        <w:pStyle w:val="12"/>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75"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highlight w:val="none"/>
          <w14:textFill>
            <w14:solidFill>
              <w14:schemeClr w14:val="tx1"/>
            </w14:solidFill>
          </w14:textFill>
        </w:rPr>
        <w:t>。</w:t>
      </w:r>
    </w:p>
    <w:p w14:paraId="4AC043B0">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1"/>
      <w:bookmarkEnd w:id="32"/>
      <w:bookmarkEnd w:id="33"/>
    </w:p>
    <w:p w14:paraId="4B8451AC">
      <w:pPr>
        <w:pStyle w:val="12"/>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75BE6E7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76"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西藏自治区日喀则市昂仁县定日“6.8”级地震灾后恢复重建民房建设项目（昂仁县）PC总承包七标段项目经理部</w:t>
      </w:r>
      <w:permEnd w:id="76"/>
      <w:r>
        <w:rPr>
          <w:rFonts w:hint="eastAsia" w:ascii="仿宋_GB2312" w:hAnsi="仿宋_GB2312" w:eastAsia="仿宋_GB2312" w:cs="仿宋_GB2312"/>
          <w:color w:val="000000" w:themeColor="text1"/>
          <w:highlight w:val="none"/>
          <w14:textFill>
            <w14:solidFill>
              <w14:schemeClr w14:val="tx1"/>
            </w14:solidFill>
          </w14:textFill>
        </w:rPr>
        <w:t>；</w:t>
      </w:r>
    </w:p>
    <w:p w14:paraId="6104C10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7"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付晓军、15081741749</w:t>
      </w:r>
      <w:permEnd w:id="77"/>
      <w:r>
        <w:rPr>
          <w:rFonts w:hint="eastAsia" w:ascii="仿宋_GB2312" w:hAnsi="仿宋_GB2312" w:eastAsia="仿宋_GB2312" w:cs="仿宋_GB2312"/>
          <w:color w:val="000000" w:themeColor="text1"/>
          <w:highlight w:val="none"/>
          <w14:textFill>
            <w14:solidFill>
              <w14:schemeClr w14:val="tx1"/>
            </w14:solidFill>
          </w14:textFill>
        </w:rPr>
        <w:t>；邮箱：</w:t>
      </w:r>
      <w:permStart w:id="7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highlight w:val="none"/>
          <w14:textFill>
            <w14:solidFill>
              <w14:schemeClr w14:val="tx1"/>
            </w14:solidFill>
          </w14:textFill>
        </w:rPr>
        <w:t>；</w:t>
      </w:r>
    </w:p>
    <w:p w14:paraId="0738D05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7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9"/>
      <w:r>
        <w:rPr>
          <w:rFonts w:hint="eastAsia" w:ascii="仿宋_GB2312" w:hAnsi="仿宋_GB2312" w:eastAsia="仿宋_GB2312" w:cs="仿宋_GB2312"/>
          <w:color w:val="000000" w:themeColor="text1"/>
          <w:highlight w:val="none"/>
          <w14:textFill>
            <w14:solidFill>
              <w14:schemeClr w14:val="tx1"/>
            </w14:solidFill>
          </w14:textFill>
        </w:rPr>
        <w:t>；</w:t>
      </w:r>
    </w:p>
    <w:p w14:paraId="0D0B70A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8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0"/>
      <w:r>
        <w:rPr>
          <w:rFonts w:hint="eastAsia" w:ascii="仿宋_GB2312" w:hAnsi="仿宋_GB2312" w:eastAsia="仿宋_GB2312" w:cs="仿宋_GB2312"/>
          <w:color w:val="000000" w:themeColor="text1"/>
          <w:highlight w:val="none"/>
          <w14:textFill>
            <w14:solidFill>
              <w14:schemeClr w14:val="tx1"/>
            </w14:solidFill>
          </w14:textFill>
        </w:rPr>
        <w:t>；邮箱：</w:t>
      </w:r>
      <w:permStart w:id="8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highlight w:val="none"/>
          <w14:textFill>
            <w14:solidFill>
              <w14:schemeClr w14:val="tx1"/>
            </w14:solidFill>
          </w14:textFill>
        </w:rPr>
        <w:t>；</w:t>
      </w:r>
    </w:p>
    <w:p w14:paraId="462D059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5FC7124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0FBA1299">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4" w:name="_Toc26478"/>
      <w:bookmarkStart w:id="35" w:name="_Toc4701"/>
      <w:bookmarkStart w:id="36" w:name="_Toc21843"/>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4"/>
      <w:bookmarkEnd w:id="35"/>
      <w:bookmarkEnd w:id="36"/>
    </w:p>
    <w:p w14:paraId="09D5058E">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8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permEnd w:id="82"/>
      <w:r>
        <w:rPr>
          <w:rFonts w:hint="eastAsia" w:ascii="仿宋_GB2312" w:hAnsi="仿宋_GB2312" w:eastAsia="仿宋_GB2312" w:cs="仿宋_GB2312"/>
          <w:color w:val="000000" w:themeColor="text1"/>
          <w:highlight w:val="none"/>
          <w14:textFill>
            <w14:solidFill>
              <w14:schemeClr w14:val="tx1"/>
            </w14:solidFill>
          </w14:textFill>
        </w:rPr>
        <w:t>条；</w:t>
      </w:r>
    </w:p>
    <w:p w14:paraId="494C227F">
      <w:pPr>
        <w:pStyle w:val="12"/>
        <w:numPr>
          <w:ilvl w:val="255"/>
          <w:numId w:val="0"/>
        </w:numPr>
        <w:spacing w:line="400" w:lineRule="atLeast"/>
        <w:ind w:firstLine="480" w:firstLineChars="200"/>
        <w:jc w:val="left"/>
        <w:rPr>
          <w:rFonts w:ascii="仿宋_GB2312" w:hAnsi="仿宋_GB2312" w:eastAsia="仿宋_GB2312" w:cs="仿宋_GB2312"/>
          <w:color w:val="000000" w:themeColor="text1"/>
          <w:highlight w:val="none"/>
          <w14:textFill>
            <w14:solidFill>
              <w14:schemeClr w14:val="tx1"/>
            </w14:solidFill>
          </w14:textFill>
        </w:rPr>
      </w:pPr>
      <w:bookmarkStart w:id="37" w:name="_Toc21939"/>
      <w:bookmarkStart w:id="38" w:name="_Toc15785_WPSOffice_Level1"/>
      <w:bookmarkStart w:id="39" w:name="_Toc31827_WPSOffice_Level1"/>
      <w:bookmarkStart w:id="40" w:name="_Toc7989"/>
      <w:bookmarkStart w:id="41" w:name="_Toc6851_WPSOffice_Level1"/>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4E1F31F4">
      <w:pPr>
        <w:pStyle w:val="12"/>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83"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83"/>
      <w:r>
        <w:rPr>
          <w:rFonts w:hint="eastAsia" w:ascii="仿宋_GB2312" w:hAnsi="仿宋_GB2312" w:eastAsia="仿宋_GB2312" w:cs="仿宋_GB2312"/>
          <w:color w:val="000000" w:themeColor="text1"/>
          <w:highlight w:val="none"/>
          <w14:textFill>
            <w14:solidFill>
              <w14:schemeClr w14:val="tx1"/>
            </w14:solidFill>
          </w14:textFill>
        </w:rPr>
        <w:t>份，甲方执</w:t>
      </w:r>
      <w:permStart w:id="84"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伍</w:t>
      </w:r>
      <w:permEnd w:id="84"/>
      <w:r>
        <w:rPr>
          <w:rFonts w:hint="eastAsia" w:ascii="仿宋_GB2312" w:hAnsi="仿宋_GB2312" w:eastAsia="仿宋_GB2312" w:cs="仿宋_GB2312"/>
          <w:color w:val="000000" w:themeColor="text1"/>
          <w:highlight w:val="none"/>
          <w14:textFill>
            <w14:solidFill>
              <w14:schemeClr w14:val="tx1"/>
            </w14:solidFill>
          </w14:textFill>
        </w:rPr>
        <w:t>份，乙方执</w:t>
      </w:r>
      <w:permStart w:id="85"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壹</w:t>
      </w:r>
      <w:permEnd w:id="85"/>
      <w:r>
        <w:rPr>
          <w:rFonts w:hint="eastAsia" w:ascii="仿宋_GB2312" w:hAnsi="仿宋_GB2312" w:eastAsia="仿宋_GB2312" w:cs="仿宋_GB2312"/>
          <w:color w:val="000000" w:themeColor="text1"/>
          <w:highlight w:val="none"/>
          <w14:textFill>
            <w14:solidFill>
              <w14:schemeClr w14:val="tx1"/>
            </w14:solidFill>
          </w14:textFill>
        </w:rPr>
        <w:t>份。</w:t>
      </w:r>
    </w:p>
    <w:p w14:paraId="30468C57">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7"/>
      <w:bookmarkEnd w:id="38"/>
      <w:bookmarkEnd w:id="39"/>
      <w:bookmarkEnd w:id="40"/>
      <w:bookmarkEnd w:id="41"/>
      <w:bookmarkStart w:id="42" w:name="_Toc19595_WPSOffice_Level1"/>
      <w:bookmarkStart w:id="43" w:name="_Toc6163_WPSOffice_Level1"/>
      <w:bookmarkStart w:id="44" w:name="_Toc8898_WPSOffice_Level1"/>
    </w:p>
    <w:p w14:paraId="51E53A87">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5" w:name="_Toc23374"/>
      <w:bookmarkStart w:id="46" w:name="_Toc23779"/>
      <w:bookmarkStart w:id="47" w:name="_Toc3110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2"/>
      <w:bookmarkEnd w:id="43"/>
      <w:bookmarkEnd w:id="44"/>
      <w:bookmarkEnd w:id="45"/>
      <w:bookmarkEnd w:id="46"/>
      <w:bookmarkEnd w:id="47"/>
    </w:p>
    <w:p w14:paraId="5C3D72FB">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8" w:name="_Toc3383_WPSOffice_Level1"/>
      <w:bookmarkStart w:id="49" w:name="_Toc14040"/>
      <w:bookmarkStart w:id="50" w:name="_Toc16133_WPSOffice_Level1"/>
      <w:bookmarkStart w:id="51" w:name="_Toc27542"/>
      <w:bookmarkStart w:id="52" w:name="_Toc5250_WPSOffice_Level1"/>
      <w:bookmarkStart w:id="53"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8"/>
      <w:bookmarkEnd w:id="49"/>
      <w:bookmarkEnd w:id="50"/>
      <w:bookmarkEnd w:id="51"/>
      <w:bookmarkEnd w:id="5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53"/>
    </w:p>
    <w:p w14:paraId="610E4D9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4" w:name="_Toc22730_WPSOffice_Level1"/>
      <w:bookmarkStart w:id="55" w:name="_Toc641_WPSOffice_Level1"/>
      <w:bookmarkStart w:id="56" w:name="_Toc19768_WPSOffice_Level1"/>
      <w:bookmarkStart w:id="57" w:name="_Toc3486"/>
      <w:bookmarkStart w:id="58" w:name="_Toc660"/>
      <w:bookmarkStart w:id="59" w:name="_Toc2659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4"/>
      <w:bookmarkEnd w:id="55"/>
      <w:bookmarkEnd w:id="5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7"/>
      <w:bookmarkEnd w:id="58"/>
      <w:bookmarkEnd w:id="59"/>
    </w:p>
    <w:p w14:paraId="0732E35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0" w:name="_Toc19161_WPSOffice_Level1"/>
      <w:bookmarkStart w:id="61" w:name="_Toc24584_WPSOffice_Level1"/>
      <w:bookmarkStart w:id="62" w:name="_Toc8260_WPSOffice_Level1"/>
      <w:bookmarkStart w:id="63" w:name="_Toc25961"/>
      <w:bookmarkStart w:id="64" w:name="_Toc6994"/>
      <w:bookmarkStart w:id="65" w:name="_Toc459"/>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60"/>
      <w:bookmarkEnd w:id="61"/>
      <w:bookmarkEnd w:id="62"/>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63"/>
      <w:bookmarkEnd w:id="64"/>
      <w:bookmarkEnd w:id="65"/>
    </w:p>
    <w:p w14:paraId="0D4F77D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1BC49BB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711F15D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3159D9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63F3CB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F501C3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1238BA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C3D7439">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6FDACB7A">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594E8F4F">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0" w:type="default"/>
          <w:footerReference r:id="rId11" w:type="default"/>
          <w:pgSz w:w="11906" w:h="16838"/>
          <w:pgMar w:top="1440" w:right="1800" w:bottom="1440" w:left="1800" w:header="850" w:footer="975" w:gutter="0"/>
          <w:pgNumType w:start="1"/>
          <w:cols w:space="0" w:num="1"/>
          <w:docGrid w:linePitch="312" w:charSpace="0"/>
        </w:sectPr>
      </w:pPr>
    </w:p>
    <w:p w14:paraId="2C1BEA80">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66" w:name="_Toc25426"/>
      <w:bookmarkStart w:id="67" w:name="_Toc7321"/>
      <w:bookmarkStart w:id="68" w:name="_Toc31445"/>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6"/>
      <w:bookmarkEnd w:id="67"/>
      <w:bookmarkEnd w:id="68"/>
    </w:p>
    <w:p w14:paraId="22A8DD24">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permStart w:id="86" w:edGrp="everyone"/>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7EF0B586">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4D5633C0">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项目招投标、合同签署及合同履行等事宜。</w:t>
      </w:r>
    </w:p>
    <w:p w14:paraId="199108A4">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款的收取、发票开具等均具有法律效力，授权人均予以认可。</w:t>
      </w:r>
    </w:p>
    <w:p w14:paraId="4CB806F8">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p w14:paraId="7026802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37CE093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63EB6D37">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28996E1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651633DD">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36D111C6">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D03E0F3">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0DA4503C">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tbl>
      <w:tblPr>
        <w:tblStyle w:val="10"/>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615A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30641724">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60" w:type="dxa"/>
            <w:tcBorders>
              <w:left w:val="single" w:color="000000" w:sz="4" w:space="0"/>
            </w:tcBorders>
            <w:vAlign w:val="center"/>
          </w:tcPr>
          <w:p w14:paraId="2A64513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3A3D4E58">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10"/>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492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4ABFA87A">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30" w:type="dxa"/>
            <w:tcBorders>
              <w:left w:val="single" w:color="000000" w:sz="4" w:space="0"/>
            </w:tcBorders>
            <w:vAlign w:val="center"/>
          </w:tcPr>
          <w:p w14:paraId="6619FC2E">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0325FF7E">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5D409106">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ermEnd w:id="86"/>
    <w:p w14:paraId="5AF9C604">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9" w:name="_Toc4519"/>
      <w:bookmarkStart w:id="70" w:name="_Toc16973"/>
      <w:bookmarkStart w:id="71" w:name="_Toc21254"/>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69"/>
      <w:bookmarkEnd w:id="70"/>
      <w:bookmarkEnd w:id="71"/>
    </w:p>
    <w:p w14:paraId="60A16B4E">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致：</w:t>
      </w:r>
      <w:permStart w:id="87"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87"/>
      <w:r>
        <w:rPr>
          <w:rFonts w:hint="eastAsia" w:ascii="仿宋_GB2312" w:hAnsi="仿宋_GB2312" w:eastAsia="仿宋_GB2312" w:cs="仿宋_GB2312"/>
          <w:color w:val="000000" w:themeColor="text1"/>
          <w:sz w:val="24"/>
          <w:szCs w:val="24"/>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ermStart w:id="88" w:edGrp="everyone"/>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bookmarkStart w:id="72" w:name="_Hlk126830603"/>
      <w:r>
        <w:rPr>
          <w:rFonts w:hint="eastAsia" w:ascii="仿宋_GB2312" w:hAnsi="仿宋_GB2312" w:eastAsia="仿宋_GB2312" w:cs="仿宋_GB2312"/>
          <w:color w:val="000000" w:themeColor="text1"/>
          <w:sz w:val="24"/>
          <w:szCs w:val="24"/>
          <w:u w:val="single"/>
          <w14:textFill>
            <w14:solidFill>
              <w14:schemeClr w14:val="tx1"/>
            </w14:solidFill>
          </w14:textFill>
        </w:rPr>
        <w:t>中建路桥集团有限公司</w:t>
      </w:r>
      <w:bookmarkEnd w:id="72"/>
      <w:permEnd w:id="88"/>
      <w:r>
        <w:rPr>
          <w:rFonts w:hint="eastAsia" w:ascii="仿宋_GB2312" w:hAnsi="仿宋_GB2312" w:eastAsia="仿宋_GB2312" w:cs="仿宋_GB2312"/>
          <w:color w:val="000000" w:themeColor="text1"/>
          <w:sz w:val="24"/>
          <w:szCs w:val="24"/>
          <w:lang w:val="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采购方</w:t>
      </w:r>
      <w:r>
        <w:rPr>
          <w:rFonts w:hint="eastAsia" w:ascii="仿宋_GB2312" w:hAnsi="仿宋_GB2312" w:eastAsia="仿宋_GB2312" w:cs="仿宋_GB2312"/>
          <w:color w:val="000000" w:themeColor="text1"/>
          <w:sz w:val="24"/>
          <w:szCs w:val="24"/>
          <w:lang w:val="zh-CN"/>
          <w14:textFill>
            <w14:solidFill>
              <w14:schemeClr w14:val="tx1"/>
            </w14:solidFill>
          </w14:textFill>
        </w:rPr>
        <w:t>全称，以下简称本公司），系依法成立并有效存续的公司。现向本公司</w:t>
      </w:r>
      <w:permStart w:id="89" w:edGrp="everyone"/>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西藏自治区日喀则市昂仁县定日“6.8”级地震灾后恢复重建民房建设项目（昂仁县）PC总承包七标段项目经理部</w:t>
      </w:r>
      <w:permEnd w:id="89"/>
      <w:r>
        <w:rPr>
          <w:rFonts w:hint="eastAsia" w:ascii="仿宋_GB2312" w:hAnsi="仿宋_GB2312" w:eastAsia="仿宋_GB2312" w:cs="仿宋_GB2312"/>
          <w:color w:val="000000" w:themeColor="text1"/>
          <w:sz w:val="24"/>
          <w:szCs w:val="24"/>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14:textFill>
            <w14:solidFill>
              <w14:schemeClr w14:val="tx1"/>
            </w14:solidFill>
          </w14:textFill>
        </w:rPr>
        <w:t>告知</w:t>
      </w:r>
      <w:r>
        <w:rPr>
          <w:rFonts w:hint="eastAsia" w:ascii="仿宋_GB2312" w:hAnsi="仿宋_GB2312" w:eastAsia="仿宋_GB2312" w:cs="仿宋_GB2312"/>
          <w:color w:val="000000" w:themeColor="text1"/>
          <w:sz w:val="24"/>
          <w:szCs w:val="24"/>
          <w:lang w:val="zh-CN"/>
          <w14:textFill>
            <w14:solidFill>
              <w14:schemeClr w14:val="tx1"/>
            </w14:solidFill>
          </w14:textFill>
        </w:rPr>
        <w:t>书），项目经理</w:t>
      </w:r>
      <w:permStart w:id="90"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付晓军</w:t>
      </w:r>
      <w:permEnd w:id="90"/>
      <w:r>
        <w:rPr>
          <w:rFonts w:hint="eastAsia" w:ascii="仿宋_GB2312" w:hAnsi="仿宋_GB2312" w:eastAsia="仿宋_GB2312" w:cs="仿宋_GB2312"/>
          <w:color w:val="000000" w:themeColor="text1"/>
          <w:sz w:val="24"/>
          <w:szCs w:val="24"/>
          <w14:textFill>
            <w14:solidFill>
              <w14:schemeClr w14:val="tx1"/>
            </w14:solidFill>
          </w14:textFill>
        </w:rPr>
        <w:t>（身份证号：</w:t>
      </w:r>
      <w:permStart w:id="91"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130426198612143215</w:t>
      </w:r>
      <w:permEnd w:id="91"/>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一、</w:t>
      </w:r>
      <w:r>
        <w:rPr>
          <w:rFonts w:hint="eastAsia" w:ascii="仿宋_GB2312" w:hAnsi="仿宋_GB2312" w:eastAsia="仿宋_GB2312" w:cs="仿宋_GB2312"/>
          <w:color w:val="000000" w:themeColor="text1"/>
          <w:sz w:val="24"/>
          <w:szCs w:val="24"/>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14:textFill>
            <w14:solidFill>
              <w14:schemeClr w14:val="tx1"/>
            </w14:solidFill>
          </w14:textFill>
        </w:rPr>
        <w:t>不</w:t>
      </w:r>
      <w:r>
        <w:rPr>
          <w:rFonts w:hint="eastAsia" w:ascii="仿宋_GB2312" w:hAnsi="仿宋_GB2312" w:eastAsia="仿宋_GB2312" w:cs="仿宋_GB2312"/>
          <w:color w:val="000000" w:themeColor="text1"/>
          <w:sz w:val="24"/>
          <w:szCs w:val="24"/>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1.项目部有权审批如下事项：</w:t>
      </w:r>
    </w:p>
    <w:tbl>
      <w:tblPr>
        <w:tblStyle w:val="10"/>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24F2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8DA3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1209" w:type="dxa"/>
            <w:vAlign w:val="center"/>
          </w:tcPr>
          <w:p w14:paraId="46C5A47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板块</w:t>
            </w:r>
          </w:p>
        </w:tc>
        <w:tc>
          <w:tcPr>
            <w:tcW w:w="1974" w:type="dxa"/>
            <w:vAlign w:val="center"/>
          </w:tcPr>
          <w:p w14:paraId="2742A1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授权事项</w:t>
            </w:r>
          </w:p>
        </w:tc>
        <w:tc>
          <w:tcPr>
            <w:tcW w:w="5117" w:type="dxa"/>
            <w:vAlign w:val="center"/>
          </w:tcPr>
          <w:p w14:paraId="4249D1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授权权限</w:t>
            </w:r>
          </w:p>
        </w:tc>
      </w:tr>
      <w:tr w14:paraId="0E71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083B6C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p>
        </w:tc>
        <w:tc>
          <w:tcPr>
            <w:tcW w:w="1209" w:type="dxa"/>
            <w:vMerge w:val="restart"/>
            <w:vAlign w:val="center"/>
          </w:tcPr>
          <w:p w14:paraId="2808B3A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总包管理</w:t>
            </w:r>
          </w:p>
        </w:tc>
        <w:tc>
          <w:tcPr>
            <w:tcW w:w="1974" w:type="dxa"/>
            <w:vAlign w:val="center"/>
          </w:tcPr>
          <w:p w14:paraId="70E218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申请开工</w:t>
            </w:r>
          </w:p>
        </w:tc>
        <w:tc>
          <w:tcPr>
            <w:tcW w:w="5117" w:type="dxa"/>
            <w:vAlign w:val="center"/>
          </w:tcPr>
          <w:p w14:paraId="2CE2A8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有权向建设单位申请开工。</w:t>
            </w:r>
          </w:p>
        </w:tc>
      </w:tr>
      <w:tr w14:paraId="4536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AA80B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p>
        </w:tc>
        <w:tc>
          <w:tcPr>
            <w:tcW w:w="1209" w:type="dxa"/>
            <w:vMerge w:val="continue"/>
            <w:vAlign w:val="center"/>
          </w:tcPr>
          <w:p w14:paraId="0BC885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6BBA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w:t>
            </w:r>
          </w:p>
        </w:tc>
        <w:tc>
          <w:tcPr>
            <w:tcW w:w="5117" w:type="dxa"/>
            <w:vAlign w:val="center"/>
          </w:tcPr>
          <w:p w14:paraId="0812684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施工方案、施工组织设计、技术措施的编制、交底、实施和落实。</w:t>
            </w:r>
          </w:p>
        </w:tc>
      </w:tr>
      <w:tr w14:paraId="4BCD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6485D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p>
        </w:tc>
        <w:tc>
          <w:tcPr>
            <w:tcW w:w="1209" w:type="dxa"/>
            <w:vMerge w:val="continue"/>
            <w:vAlign w:val="center"/>
          </w:tcPr>
          <w:p w14:paraId="61358A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5E1995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报送工程进度</w:t>
            </w:r>
          </w:p>
        </w:tc>
        <w:tc>
          <w:tcPr>
            <w:tcW w:w="5117" w:type="dxa"/>
            <w:vAlign w:val="center"/>
          </w:tcPr>
          <w:p w14:paraId="1694214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对外报送工程进度计划及调整。</w:t>
            </w:r>
          </w:p>
        </w:tc>
      </w:tr>
      <w:tr w14:paraId="0D9E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39339C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4</w:t>
            </w:r>
          </w:p>
        </w:tc>
        <w:tc>
          <w:tcPr>
            <w:tcW w:w="1209" w:type="dxa"/>
            <w:vMerge w:val="continue"/>
            <w:vAlign w:val="center"/>
          </w:tcPr>
          <w:p w14:paraId="621CA0F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5838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物资需用计划</w:t>
            </w:r>
          </w:p>
        </w:tc>
        <w:tc>
          <w:tcPr>
            <w:tcW w:w="5117" w:type="dxa"/>
            <w:vAlign w:val="center"/>
          </w:tcPr>
          <w:p w14:paraId="7689556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有权向建设单位报送物资需用计划（适用于工程所需材料由建设单位提供）。</w:t>
            </w:r>
          </w:p>
        </w:tc>
      </w:tr>
      <w:tr w14:paraId="5ADE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923EFC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5</w:t>
            </w:r>
          </w:p>
        </w:tc>
        <w:tc>
          <w:tcPr>
            <w:tcW w:w="1209" w:type="dxa"/>
            <w:vMerge w:val="continue"/>
            <w:vAlign w:val="center"/>
          </w:tcPr>
          <w:p w14:paraId="12B2CF8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D062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甲供材过程及质量问题反馈</w:t>
            </w:r>
          </w:p>
        </w:tc>
        <w:tc>
          <w:tcPr>
            <w:tcW w:w="5117" w:type="dxa"/>
            <w:vAlign w:val="center"/>
          </w:tcPr>
          <w:p w14:paraId="05564D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有权就建设单位方供应（控制）的物质，供货过程及质量问题，向建设单位发联系函。</w:t>
            </w:r>
          </w:p>
        </w:tc>
      </w:tr>
      <w:tr w14:paraId="4A8F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2A13A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6</w:t>
            </w:r>
          </w:p>
        </w:tc>
        <w:tc>
          <w:tcPr>
            <w:tcW w:w="1209" w:type="dxa"/>
            <w:vMerge w:val="continue"/>
            <w:vAlign w:val="center"/>
          </w:tcPr>
          <w:p w14:paraId="1E3FE1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3C918B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废旧物资处理</w:t>
            </w:r>
          </w:p>
        </w:tc>
        <w:tc>
          <w:tcPr>
            <w:tcW w:w="5117" w:type="dxa"/>
            <w:vAlign w:val="center"/>
          </w:tcPr>
          <w:p w14:paraId="24C592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确定的方案实施处理废旧物资。</w:t>
            </w:r>
          </w:p>
        </w:tc>
      </w:tr>
      <w:tr w14:paraId="45AC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F2622B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7</w:t>
            </w:r>
          </w:p>
        </w:tc>
        <w:tc>
          <w:tcPr>
            <w:tcW w:w="1209" w:type="dxa"/>
            <w:vMerge w:val="continue"/>
            <w:vAlign w:val="center"/>
          </w:tcPr>
          <w:p w14:paraId="250E1F3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9D07A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设计变更、签证、索赔</w:t>
            </w:r>
          </w:p>
        </w:tc>
        <w:tc>
          <w:tcPr>
            <w:tcW w:w="5117" w:type="dxa"/>
            <w:vAlign w:val="center"/>
          </w:tcPr>
          <w:p w14:paraId="3DF045A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有权向建设单位报送设计变更、签证、索赔报价单</w:t>
            </w:r>
          </w:p>
        </w:tc>
      </w:tr>
      <w:tr w14:paraId="44CB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A7CA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8</w:t>
            </w:r>
          </w:p>
        </w:tc>
        <w:tc>
          <w:tcPr>
            <w:tcW w:w="1209" w:type="dxa"/>
            <w:vMerge w:val="continue"/>
            <w:vAlign w:val="center"/>
          </w:tcPr>
          <w:p w14:paraId="6B1A491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A74061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对外报量书</w:t>
            </w:r>
          </w:p>
        </w:tc>
        <w:tc>
          <w:tcPr>
            <w:tcW w:w="5117" w:type="dxa"/>
            <w:vAlign w:val="center"/>
          </w:tcPr>
          <w:p w14:paraId="001BC7C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有权编制对外报量书并报送甲方审核。</w:t>
            </w:r>
          </w:p>
        </w:tc>
      </w:tr>
      <w:tr w14:paraId="73C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CACE95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9</w:t>
            </w:r>
          </w:p>
        </w:tc>
        <w:tc>
          <w:tcPr>
            <w:tcW w:w="1209" w:type="dxa"/>
            <w:vMerge w:val="continue"/>
            <w:vAlign w:val="center"/>
          </w:tcPr>
          <w:p w14:paraId="708183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3A57D7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付款申请</w:t>
            </w:r>
          </w:p>
        </w:tc>
        <w:tc>
          <w:tcPr>
            <w:tcW w:w="5117" w:type="dxa"/>
            <w:vAlign w:val="center"/>
          </w:tcPr>
          <w:p w14:paraId="6ECAC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有权向建设单位提出付款申请。</w:t>
            </w:r>
          </w:p>
        </w:tc>
      </w:tr>
      <w:tr w14:paraId="0403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654D00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10</w:t>
            </w:r>
          </w:p>
        </w:tc>
        <w:tc>
          <w:tcPr>
            <w:tcW w:w="1209" w:type="dxa"/>
            <w:vMerge w:val="continue"/>
            <w:vAlign w:val="center"/>
          </w:tcPr>
          <w:p w14:paraId="5EBE5F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8704C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申请工程竣工验收</w:t>
            </w:r>
          </w:p>
        </w:tc>
        <w:tc>
          <w:tcPr>
            <w:tcW w:w="5117" w:type="dxa"/>
            <w:vAlign w:val="center"/>
          </w:tcPr>
          <w:p w14:paraId="172BBD2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有权报监理单位、建设单位组织验收。验收合格的，有权向建设单位提出竣工验收申请。</w:t>
            </w:r>
          </w:p>
        </w:tc>
      </w:tr>
      <w:tr w14:paraId="6FE3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EA0D4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11</w:t>
            </w:r>
          </w:p>
        </w:tc>
        <w:tc>
          <w:tcPr>
            <w:tcW w:w="1209" w:type="dxa"/>
            <w:vMerge w:val="continue"/>
            <w:vAlign w:val="center"/>
          </w:tcPr>
          <w:p w14:paraId="4B04E6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60019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工程交付</w:t>
            </w:r>
          </w:p>
        </w:tc>
        <w:tc>
          <w:tcPr>
            <w:tcW w:w="5117" w:type="dxa"/>
            <w:vAlign w:val="center"/>
          </w:tcPr>
          <w:p w14:paraId="1CCFED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有权组织向建设单位进行交付，办理工程移交单。</w:t>
            </w:r>
          </w:p>
        </w:tc>
      </w:tr>
      <w:tr w14:paraId="47C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7FE2B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12</w:t>
            </w:r>
          </w:p>
        </w:tc>
        <w:tc>
          <w:tcPr>
            <w:tcW w:w="1209" w:type="dxa"/>
            <w:vMerge w:val="continue"/>
            <w:vAlign w:val="center"/>
          </w:tcPr>
          <w:p w14:paraId="0CE73E5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E4E9DD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撤销保函</w:t>
            </w:r>
          </w:p>
        </w:tc>
        <w:tc>
          <w:tcPr>
            <w:tcW w:w="5117" w:type="dxa"/>
            <w:vAlign w:val="center"/>
          </w:tcPr>
          <w:p w14:paraId="490B0B7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有权办理我公司对外开立的保函撤销相关工作。</w:t>
            </w:r>
          </w:p>
        </w:tc>
      </w:tr>
      <w:tr w14:paraId="2D9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2223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13</w:t>
            </w:r>
          </w:p>
        </w:tc>
        <w:tc>
          <w:tcPr>
            <w:tcW w:w="1209" w:type="dxa"/>
            <w:vMerge w:val="continue"/>
            <w:vAlign w:val="center"/>
          </w:tcPr>
          <w:p w14:paraId="10C87D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67832B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递交结算资料</w:t>
            </w:r>
          </w:p>
        </w:tc>
        <w:tc>
          <w:tcPr>
            <w:tcW w:w="5117" w:type="dxa"/>
            <w:vAlign w:val="center"/>
          </w:tcPr>
          <w:p w14:paraId="7C3F90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有权向建设单位递交工程结算书及结算资料。</w:t>
            </w:r>
          </w:p>
        </w:tc>
      </w:tr>
      <w:tr w14:paraId="4D6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3A35C7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14</w:t>
            </w:r>
          </w:p>
        </w:tc>
        <w:tc>
          <w:tcPr>
            <w:tcW w:w="1209" w:type="dxa"/>
            <w:vMerge w:val="continue"/>
            <w:vAlign w:val="center"/>
          </w:tcPr>
          <w:p w14:paraId="0D2039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84B84C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应收账款对账</w:t>
            </w:r>
          </w:p>
        </w:tc>
        <w:tc>
          <w:tcPr>
            <w:tcW w:w="5117" w:type="dxa"/>
            <w:vAlign w:val="center"/>
          </w:tcPr>
          <w:p w14:paraId="74326C0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有权与建设单位进行对账，将双方应收（付）账款金额核对一致。</w:t>
            </w:r>
          </w:p>
        </w:tc>
      </w:tr>
      <w:tr w14:paraId="3B2D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CDE22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15</w:t>
            </w:r>
          </w:p>
        </w:tc>
        <w:tc>
          <w:tcPr>
            <w:tcW w:w="1209" w:type="dxa"/>
            <w:vMerge w:val="continue"/>
            <w:vAlign w:val="center"/>
          </w:tcPr>
          <w:p w14:paraId="026943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B5D45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催款单</w:t>
            </w:r>
          </w:p>
        </w:tc>
        <w:tc>
          <w:tcPr>
            <w:tcW w:w="5117" w:type="dxa"/>
            <w:vAlign w:val="center"/>
          </w:tcPr>
          <w:p w14:paraId="644160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根据《工程施工合同》有关条款，在存在拖欠工程款时，有权向建设单位发函催收。</w:t>
            </w:r>
          </w:p>
        </w:tc>
      </w:tr>
      <w:tr w14:paraId="5ECE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7B259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16</w:t>
            </w:r>
          </w:p>
        </w:tc>
        <w:tc>
          <w:tcPr>
            <w:tcW w:w="1209" w:type="dxa"/>
            <w:vMerge w:val="restart"/>
            <w:vAlign w:val="center"/>
          </w:tcPr>
          <w:p w14:paraId="645D15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分包(供)管理</w:t>
            </w:r>
          </w:p>
        </w:tc>
        <w:tc>
          <w:tcPr>
            <w:tcW w:w="1974" w:type="dxa"/>
            <w:vAlign w:val="center"/>
          </w:tcPr>
          <w:p w14:paraId="61FC6F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分包（供）合同管理</w:t>
            </w:r>
          </w:p>
        </w:tc>
        <w:tc>
          <w:tcPr>
            <w:tcW w:w="5117" w:type="dxa"/>
            <w:vAlign w:val="center"/>
          </w:tcPr>
          <w:p w14:paraId="2C5BF4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/公司审批签约。</w:t>
            </w:r>
          </w:p>
        </w:tc>
      </w:tr>
      <w:tr w14:paraId="2334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0C10D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1209" w:type="dxa"/>
            <w:vMerge w:val="continue"/>
            <w:vAlign w:val="center"/>
          </w:tcPr>
          <w:p w14:paraId="65EF19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0BF321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合同交底管理</w:t>
            </w:r>
          </w:p>
        </w:tc>
        <w:tc>
          <w:tcPr>
            <w:tcW w:w="5117" w:type="dxa"/>
            <w:vAlign w:val="center"/>
          </w:tcPr>
          <w:p w14:paraId="61F230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将相关工程洽商记录、施工图纸及会审记录、设计变更通知书或设计变更图发至乙方，并做书面交底。</w:t>
            </w:r>
          </w:p>
        </w:tc>
      </w:tr>
      <w:tr w14:paraId="71C2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D36BC8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27EBD24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CEDAC1B">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sz w:val="24"/>
                <w:szCs w:val="24"/>
                <w:lang w:val="zh-CN"/>
              </w:rPr>
              <w:t>分包合同签证管理</w:t>
            </w:r>
          </w:p>
        </w:tc>
        <w:tc>
          <w:tcPr>
            <w:tcW w:w="5117" w:type="dxa"/>
            <w:vAlign w:val="center"/>
          </w:tcPr>
          <w:p w14:paraId="64F04CE4">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2C6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2327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4D680B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shd w:val="clear" w:color="auto" w:fill="auto"/>
            <w:vAlign w:val="center"/>
          </w:tcPr>
          <w:p w14:paraId="2B94C803">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分包单位进退场</w:t>
            </w:r>
          </w:p>
        </w:tc>
        <w:tc>
          <w:tcPr>
            <w:tcW w:w="5117" w:type="dxa"/>
            <w:shd w:val="clear" w:color="auto" w:fill="auto"/>
            <w:vAlign w:val="center"/>
          </w:tcPr>
          <w:p w14:paraId="05C9DE9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有权确认分包人员、机械、材料等施工资源进退场。</w:t>
            </w:r>
          </w:p>
        </w:tc>
      </w:tr>
      <w:tr w14:paraId="76C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D44E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20</w:t>
            </w:r>
          </w:p>
        </w:tc>
        <w:tc>
          <w:tcPr>
            <w:tcW w:w="1209" w:type="dxa"/>
            <w:vMerge w:val="continue"/>
            <w:vAlign w:val="center"/>
          </w:tcPr>
          <w:p w14:paraId="6BCD97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946530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劳动力分配计划</w:t>
            </w:r>
          </w:p>
        </w:tc>
        <w:tc>
          <w:tcPr>
            <w:tcW w:w="5117" w:type="dxa"/>
            <w:vAlign w:val="center"/>
          </w:tcPr>
          <w:p w14:paraId="29ECA6D6">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有权要求分包方按要求配置劳动力。</w:t>
            </w:r>
          </w:p>
        </w:tc>
      </w:tr>
      <w:tr w14:paraId="43F7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798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1209" w:type="dxa"/>
            <w:vMerge w:val="continue"/>
            <w:vAlign w:val="center"/>
          </w:tcPr>
          <w:p w14:paraId="1485ADD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76B7D47">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现场零星工程指令</w:t>
            </w:r>
          </w:p>
        </w:tc>
        <w:tc>
          <w:tcPr>
            <w:tcW w:w="5117" w:type="dxa"/>
            <w:vAlign w:val="center"/>
          </w:tcPr>
          <w:p w14:paraId="21B1FB04">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有权根据需要向分</w:t>
            </w:r>
            <w:r>
              <w:rPr>
                <w:rFonts w:hint="eastAsia" w:ascii="仿宋_GB2312" w:hAnsi="仿宋_GB2312" w:eastAsia="仿宋_GB2312" w:cs="仿宋_GB2312"/>
                <w:b/>
                <w:bCs/>
                <w:sz w:val="24"/>
                <w:szCs w:val="24"/>
              </w:rPr>
              <w:t>包</w:t>
            </w:r>
            <w:r>
              <w:rPr>
                <w:rFonts w:hint="eastAsia" w:ascii="仿宋_GB2312" w:hAnsi="仿宋_GB2312" w:eastAsia="仿宋_GB2312" w:cs="仿宋_GB2312"/>
                <w:b/>
                <w:bCs/>
                <w:sz w:val="24"/>
                <w:szCs w:val="24"/>
                <w:lang w:val="zh-CN"/>
              </w:rPr>
              <w:t>方签发现场零星工程指令（金额在2万元以内）。</w:t>
            </w:r>
          </w:p>
        </w:tc>
      </w:tr>
      <w:tr w14:paraId="31CC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0976BE5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1209" w:type="dxa"/>
            <w:vMerge w:val="continue"/>
            <w:vAlign w:val="center"/>
          </w:tcPr>
          <w:p w14:paraId="2B7083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restart"/>
            <w:vAlign w:val="center"/>
          </w:tcPr>
          <w:p w14:paraId="16819B5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紧急采购、零星物资采购</w:t>
            </w:r>
          </w:p>
        </w:tc>
        <w:tc>
          <w:tcPr>
            <w:tcW w:w="5117" w:type="dxa"/>
            <w:vAlign w:val="center"/>
          </w:tcPr>
          <w:p w14:paraId="053087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零星采购：</w:t>
            </w:r>
            <w:r>
              <w:rPr>
                <w:rFonts w:hint="eastAsia" w:ascii="仿宋_GB2312" w:hAnsi="仿宋_GB2312" w:eastAsia="仿宋_GB2312" w:cs="仿宋_GB2312"/>
                <w:b/>
                <w:bCs/>
                <w:sz w:val="24"/>
                <w:szCs w:val="24"/>
              </w:rPr>
              <w:t>按制度权限、额度审批后采购。</w:t>
            </w:r>
          </w:p>
        </w:tc>
      </w:tr>
      <w:tr w14:paraId="07F3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075BD1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209" w:type="dxa"/>
            <w:vMerge w:val="continue"/>
            <w:vAlign w:val="center"/>
          </w:tcPr>
          <w:p w14:paraId="688BA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continue"/>
            <w:vAlign w:val="center"/>
          </w:tcPr>
          <w:p w14:paraId="50EB631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5117" w:type="dxa"/>
            <w:vAlign w:val="center"/>
          </w:tcPr>
          <w:p w14:paraId="71453AF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紧急采购：报公司审核后，项目实施采购。</w:t>
            </w:r>
          </w:p>
        </w:tc>
      </w:tr>
      <w:tr w14:paraId="6041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1DEB92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1209" w:type="dxa"/>
            <w:vMerge w:val="continue"/>
            <w:vAlign w:val="center"/>
          </w:tcPr>
          <w:p w14:paraId="7872254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E0CBDE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材料、料具、设备进退场</w:t>
            </w:r>
          </w:p>
        </w:tc>
        <w:tc>
          <w:tcPr>
            <w:tcW w:w="5117" w:type="dxa"/>
            <w:vAlign w:val="center"/>
          </w:tcPr>
          <w:p w14:paraId="59DF22A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14:textFill>
                  <w14:solidFill>
                    <w14:schemeClr w14:val="tx1"/>
                  </w14:solidFill>
                </w14:textFill>
              </w:rPr>
              <w:t>分供方</w:t>
            </w:r>
            <w:r>
              <w:rPr>
                <w:rFonts w:hint="eastAsia" w:ascii="仿宋_GB2312" w:hAnsi="仿宋_GB2312" w:eastAsia="仿宋_GB2312" w:cs="仿宋_GB2312"/>
                <w:b/>
                <w:bCs/>
                <w:color w:val="000000" w:themeColor="text1"/>
                <w:sz w:val="24"/>
                <w:szCs w:val="24"/>
                <w:lang w:val="zh-CN"/>
                <w14:textFill>
                  <w14:solidFill>
                    <w14:schemeClr w14:val="tx1"/>
                  </w14:solidFill>
                </w14:textFill>
              </w:rPr>
              <w:t>发送物资进退场通知单；有权确认材料、料具、设备及退货材料的进退场单据。</w:t>
            </w:r>
          </w:p>
        </w:tc>
      </w:tr>
      <w:tr w14:paraId="66EB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CE53A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24</w:t>
            </w:r>
          </w:p>
        </w:tc>
        <w:tc>
          <w:tcPr>
            <w:tcW w:w="1209" w:type="dxa"/>
            <w:vMerge w:val="continue"/>
            <w:vAlign w:val="center"/>
          </w:tcPr>
          <w:p w14:paraId="110FC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5AACF2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14:textFill>
                  <w14:solidFill>
                    <w14:schemeClr w14:val="tx1"/>
                  </w14:solidFill>
                </w14:textFill>
              </w:rPr>
              <w:t>检验</w:t>
            </w:r>
          </w:p>
        </w:tc>
        <w:tc>
          <w:tcPr>
            <w:tcW w:w="5117" w:type="dxa"/>
            <w:vAlign w:val="center"/>
          </w:tcPr>
          <w:p w14:paraId="24DA54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14:textFill>
                  <w14:solidFill>
                    <w14:schemeClr w14:val="tx1"/>
                  </w14:solidFill>
                </w14:textFill>
              </w:rPr>
              <w:t>物资</w:t>
            </w:r>
            <w:r>
              <w:rPr>
                <w:rFonts w:hint="eastAsia" w:ascii="仿宋_GB2312" w:hAnsi="仿宋_GB2312" w:eastAsia="仿宋_GB2312" w:cs="仿宋_GB2312"/>
                <w:b/>
                <w:bCs/>
                <w:color w:val="000000" w:themeColor="text1"/>
                <w:sz w:val="24"/>
                <w:szCs w:val="24"/>
                <w:lang w:val="zh-CN"/>
                <w14:textFill>
                  <w14:solidFill>
                    <w14:schemeClr w14:val="tx1"/>
                  </w14:solidFill>
                </w14:textFill>
              </w:rPr>
              <w:t>设备进行检验、试验、检测与计量，联系乙方退货或更换，出具进场设备不合格记录。</w:t>
            </w:r>
          </w:p>
        </w:tc>
      </w:tr>
      <w:tr w14:paraId="332E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07BC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50DCC28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20BFD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物资发放</w:t>
            </w:r>
          </w:p>
        </w:tc>
        <w:tc>
          <w:tcPr>
            <w:tcW w:w="5117" w:type="dxa"/>
            <w:vAlign w:val="center"/>
          </w:tcPr>
          <w:p w14:paraId="436C7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有权确认有关物资发放的领料单、退货单、混凝土浇灌申请表（不含调拨单）。</w:t>
            </w:r>
          </w:p>
        </w:tc>
      </w:tr>
      <w:tr w14:paraId="57D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F4AF4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Merge w:val="continue"/>
            <w:vAlign w:val="center"/>
          </w:tcPr>
          <w:p w14:paraId="0AF4EB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E8E9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履约整改通知</w:t>
            </w:r>
          </w:p>
        </w:tc>
        <w:tc>
          <w:tcPr>
            <w:tcW w:w="5117" w:type="dxa"/>
            <w:vAlign w:val="center"/>
          </w:tcPr>
          <w:p w14:paraId="325090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对分包分供方工程项目的履约情况进行监控和核查，发现问题后，有权通知要求分包分供方进行整改。</w:t>
            </w:r>
          </w:p>
        </w:tc>
      </w:tr>
      <w:tr w14:paraId="00C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1F49D9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continue"/>
            <w:vAlign w:val="center"/>
          </w:tcPr>
          <w:p w14:paraId="604E89D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0ACAB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分包分供方处罚</w:t>
            </w:r>
          </w:p>
        </w:tc>
        <w:tc>
          <w:tcPr>
            <w:tcW w:w="5117" w:type="dxa"/>
            <w:vAlign w:val="center"/>
          </w:tcPr>
          <w:p w14:paraId="791048A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有权根据合同约定对不服从管理或违约的分包分供方作出处罚的决定。</w:t>
            </w:r>
          </w:p>
        </w:tc>
      </w:tr>
      <w:tr w14:paraId="46CA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2F6D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28</w:t>
            </w:r>
          </w:p>
        </w:tc>
        <w:tc>
          <w:tcPr>
            <w:tcW w:w="1209" w:type="dxa"/>
            <w:vMerge w:val="continue"/>
            <w:vAlign w:val="center"/>
          </w:tcPr>
          <w:p w14:paraId="1485C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B2AF09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结算初步办理</w:t>
            </w:r>
          </w:p>
        </w:tc>
        <w:tc>
          <w:tcPr>
            <w:tcW w:w="5117" w:type="dxa"/>
            <w:vAlign w:val="center"/>
          </w:tcPr>
          <w:p w14:paraId="695D993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初步编制</w:t>
            </w:r>
            <w:r>
              <w:rPr>
                <w:rFonts w:hint="eastAsia" w:ascii="仿宋_GB2312" w:hAnsi="仿宋_GB2312" w:eastAsia="仿宋_GB2312" w:cs="仿宋_GB2312"/>
                <w:b/>
                <w:bCs/>
                <w:color w:val="000000" w:themeColor="text1"/>
                <w:sz w:val="24"/>
                <w:szCs w:val="24"/>
                <w14:textFill>
                  <w14:solidFill>
                    <w14:schemeClr w14:val="tx1"/>
                  </w14:solidFill>
                </w14:textFill>
              </w:rPr>
              <w:t>分包分供</w:t>
            </w:r>
            <w:r>
              <w:rPr>
                <w:rFonts w:hint="eastAsia" w:ascii="仿宋_GB2312" w:hAnsi="仿宋_GB2312" w:eastAsia="仿宋_GB2312" w:cs="仿宋_GB2312"/>
                <w:b/>
                <w:bCs/>
                <w:color w:val="000000" w:themeColor="text1"/>
                <w:sz w:val="24"/>
                <w:szCs w:val="24"/>
                <w:lang w:val="zh-CN"/>
                <w14:textFill>
                  <w14:solidFill>
                    <w14:schemeClr w14:val="tx1"/>
                  </w14:solidFill>
                </w14:textFill>
              </w:rPr>
              <w:t>结算单提交甲方</w:t>
            </w:r>
            <w:r>
              <w:rPr>
                <w:rFonts w:hint="eastAsia" w:ascii="仿宋_GB2312" w:hAnsi="仿宋_GB2312" w:eastAsia="仿宋_GB2312" w:cs="仿宋_GB2312"/>
                <w:b/>
                <w:bCs/>
                <w:color w:val="000000" w:themeColor="text1"/>
                <w:sz w:val="24"/>
                <w:szCs w:val="24"/>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确认。</w:t>
            </w:r>
          </w:p>
        </w:tc>
      </w:tr>
      <w:tr w14:paraId="1D1E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BEE56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3173AA4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D57B80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分包分供方结算扣款</w:t>
            </w:r>
          </w:p>
        </w:tc>
        <w:tc>
          <w:tcPr>
            <w:tcW w:w="5117" w:type="dxa"/>
            <w:vAlign w:val="center"/>
          </w:tcPr>
          <w:p w14:paraId="693B259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有权在中间结算和最终结算时扣除分包分供方应扣款项（包括但不限于</w:t>
            </w:r>
            <w:r>
              <w:rPr>
                <w:rFonts w:hint="eastAsia" w:ascii="仿宋_GB2312" w:hAnsi="仿宋_GB2312" w:eastAsia="仿宋_GB2312" w:cs="仿宋_GB2312"/>
                <w:b/>
                <w:bCs/>
                <w:color w:val="000000" w:themeColor="text1"/>
                <w:sz w:val="24"/>
                <w:szCs w:val="24"/>
                <w14:textFill>
                  <w14:solidFill>
                    <w14:schemeClr w14:val="tx1"/>
                  </w14:solidFill>
                </w14:textFill>
              </w:rPr>
              <w:t>质保金、</w:t>
            </w:r>
            <w:r>
              <w:rPr>
                <w:rFonts w:hint="eastAsia" w:ascii="仿宋_GB2312" w:hAnsi="仿宋_GB2312" w:eastAsia="仿宋_GB2312" w:cs="仿宋_GB2312"/>
                <w:b/>
                <w:bCs/>
                <w:color w:val="000000" w:themeColor="text1"/>
                <w:sz w:val="24"/>
                <w:szCs w:val="24"/>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BF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393FAC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30</w:t>
            </w:r>
          </w:p>
        </w:tc>
        <w:tc>
          <w:tcPr>
            <w:tcW w:w="1209" w:type="dxa"/>
            <w:vMerge w:val="restart"/>
            <w:vAlign w:val="center"/>
          </w:tcPr>
          <w:p w14:paraId="4F07B61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安全管理</w:t>
            </w:r>
          </w:p>
        </w:tc>
        <w:tc>
          <w:tcPr>
            <w:tcW w:w="1974" w:type="dxa"/>
            <w:vAlign w:val="center"/>
          </w:tcPr>
          <w:p w14:paraId="75E0C95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事故现场秩序维护</w:t>
            </w:r>
          </w:p>
        </w:tc>
        <w:tc>
          <w:tcPr>
            <w:tcW w:w="5117" w:type="dxa"/>
            <w:vAlign w:val="center"/>
          </w:tcPr>
          <w:p w14:paraId="4B9847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审批（不含安全事故责任认定及赔偿）。</w:t>
            </w:r>
          </w:p>
        </w:tc>
      </w:tr>
      <w:tr w14:paraId="626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BF9B1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31</w:t>
            </w:r>
          </w:p>
        </w:tc>
        <w:tc>
          <w:tcPr>
            <w:tcW w:w="1209" w:type="dxa"/>
            <w:vMerge w:val="continue"/>
            <w:vAlign w:val="center"/>
          </w:tcPr>
          <w:p w14:paraId="75AE4C2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AAD2D7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安全事故处理方案</w:t>
            </w:r>
          </w:p>
        </w:tc>
        <w:tc>
          <w:tcPr>
            <w:tcW w:w="5117" w:type="dxa"/>
            <w:vAlign w:val="center"/>
          </w:tcPr>
          <w:p w14:paraId="20B532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发生安全事故后，有权启动应急预案。</w:t>
            </w:r>
          </w:p>
        </w:tc>
      </w:tr>
      <w:tr w14:paraId="2817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6F82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32</w:t>
            </w:r>
          </w:p>
        </w:tc>
        <w:tc>
          <w:tcPr>
            <w:tcW w:w="1209" w:type="dxa"/>
            <w:vMerge w:val="continue"/>
            <w:vAlign w:val="center"/>
          </w:tcPr>
          <w:p w14:paraId="047BD2E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D55D7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14:textFill>
                  <w14:solidFill>
                    <w14:schemeClr w14:val="tx1"/>
                  </w14:solidFill>
                </w14:textFill>
              </w:rPr>
              <w:t>整改</w:t>
            </w:r>
          </w:p>
        </w:tc>
        <w:tc>
          <w:tcPr>
            <w:tcW w:w="5117" w:type="dxa"/>
            <w:vAlign w:val="center"/>
          </w:tcPr>
          <w:p w14:paraId="012ED5F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对存在的安全生产隐患，下达《安全隐患整改通知书》</w:t>
            </w:r>
          </w:p>
          <w:p w14:paraId="7CD23A6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对存在重大安全生产隐患，下达《安全隐患局部停工整改令》</w:t>
            </w:r>
          </w:p>
        </w:tc>
      </w:tr>
      <w:tr w14:paraId="0C78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AD45E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33</w:t>
            </w:r>
          </w:p>
        </w:tc>
        <w:tc>
          <w:tcPr>
            <w:tcW w:w="1209" w:type="dxa"/>
            <w:vMerge w:val="restart"/>
            <w:vAlign w:val="center"/>
          </w:tcPr>
          <w:p w14:paraId="0040708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质量管理</w:t>
            </w:r>
          </w:p>
        </w:tc>
        <w:tc>
          <w:tcPr>
            <w:tcW w:w="1974" w:type="dxa"/>
            <w:vAlign w:val="center"/>
          </w:tcPr>
          <w:p w14:paraId="4329E3E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质量验收</w:t>
            </w:r>
          </w:p>
        </w:tc>
        <w:tc>
          <w:tcPr>
            <w:tcW w:w="5117" w:type="dxa"/>
            <w:vAlign w:val="center"/>
          </w:tcPr>
          <w:p w14:paraId="3918EE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有权组织实施质量验收工作。</w:t>
            </w:r>
          </w:p>
        </w:tc>
      </w:tr>
      <w:tr w14:paraId="0174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DA63F2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1209" w:type="dxa"/>
            <w:vMerge w:val="continue"/>
            <w:vAlign w:val="center"/>
          </w:tcPr>
          <w:p w14:paraId="6DD0AEF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9D58C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质量事故应急措施</w:t>
            </w:r>
          </w:p>
        </w:tc>
        <w:tc>
          <w:tcPr>
            <w:tcW w:w="5117" w:type="dxa"/>
            <w:vAlign w:val="center"/>
          </w:tcPr>
          <w:p w14:paraId="107C09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p>
        </w:tc>
      </w:tr>
      <w:tr w14:paraId="2CDC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1619E7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790996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E1513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质量事故处理方案</w:t>
            </w:r>
          </w:p>
        </w:tc>
        <w:tc>
          <w:tcPr>
            <w:tcW w:w="5117" w:type="dxa"/>
            <w:vAlign w:val="center"/>
          </w:tcPr>
          <w:p w14:paraId="01F4F15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制定质量事故处理方案处理事故相关事宜。</w:t>
            </w:r>
          </w:p>
        </w:tc>
      </w:tr>
      <w:tr w14:paraId="3F36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80BB6C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Align w:val="center"/>
          </w:tcPr>
          <w:p w14:paraId="1470D5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环境管理</w:t>
            </w:r>
          </w:p>
        </w:tc>
        <w:tc>
          <w:tcPr>
            <w:tcW w:w="1974" w:type="dxa"/>
            <w:vAlign w:val="center"/>
          </w:tcPr>
          <w:p w14:paraId="47BD5E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环境污染事故应急措施</w:t>
            </w:r>
          </w:p>
        </w:tc>
        <w:tc>
          <w:tcPr>
            <w:tcW w:w="5117" w:type="dxa"/>
            <w:vAlign w:val="center"/>
          </w:tcPr>
          <w:p w14:paraId="46DD9F5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14:textFill>
                  <w14:solidFill>
                    <w14:schemeClr w14:val="tx1"/>
                  </w14:solidFill>
                </w14:textFill>
              </w:rPr>
              <w:t>子</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w:t>
            </w:r>
          </w:p>
        </w:tc>
      </w:tr>
      <w:tr w14:paraId="25D7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7868E6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restart"/>
            <w:vAlign w:val="center"/>
          </w:tcPr>
          <w:p w14:paraId="4011D3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维保管理</w:t>
            </w:r>
          </w:p>
        </w:tc>
        <w:tc>
          <w:tcPr>
            <w:tcW w:w="1974" w:type="dxa"/>
            <w:vAlign w:val="center"/>
          </w:tcPr>
          <w:p w14:paraId="06EE4CD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维修整改通知</w:t>
            </w:r>
          </w:p>
        </w:tc>
        <w:tc>
          <w:tcPr>
            <w:tcW w:w="5117" w:type="dxa"/>
            <w:vAlign w:val="center"/>
          </w:tcPr>
          <w:p w14:paraId="7F060AB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有权向分包分供方发送维修整改通知。</w:t>
            </w:r>
          </w:p>
        </w:tc>
      </w:tr>
      <w:tr w14:paraId="10FD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FBE4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306757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079C5D9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协商维修方案</w:t>
            </w:r>
          </w:p>
        </w:tc>
        <w:tc>
          <w:tcPr>
            <w:tcW w:w="5117" w:type="dxa"/>
            <w:vAlign w:val="center"/>
          </w:tcPr>
          <w:p w14:paraId="14BF7BD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对存在的质量问题有权与建设单位协商维修方案。</w:t>
            </w:r>
          </w:p>
        </w:tc>
      </w:tr>
      <w:tr w14:paraId="26FA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CCED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74C945F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8D50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组织维修</w:t>
            </w:r>
          </w:p>
        </w:tc>
        <w:tc>
          <w:tcPr>
            <w:tcW w:w="5117" w:type="dxa"/>
            <w:vAlign w:val="center"/>
          </w:tcPr>
          <w:p w14:paraId="1054F9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有权向建设单位报送维修登记单、维修任务书。</w:t>
            </w:r>
          </w:p>
        </w:tc>
      </w:tr>
      <w:tr w14:paraId="11A2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F452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40</w:t>
            </w:r>
          </w:p>
        </w:tc>
        <w:tc>
          <w:tcPr>
            <w:tcW w:w="1209" w:type="dxa"/>
            <w:vMerge w:val="continue"/>
            <w:vAlign w:val="center"/>
          </w:tcPr>
          <w:p w14:paraId="440E058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F66D1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维修验收</w:t>
            </w:r>
          </w:p>
        </w:tc>
        <w:tc>
          <w:tcPr>
            <w:tcW w:w="5117" w:type="dxa"/>
            <w:vAlign w:val="center"/>
          </w:tcPr>
          <w:p w14:paraId="50C4313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有权组织建设单位对保修工作进行验收、有权组织对分包分供的维修验收。</w:t>
            </w:r>
          </w:p>
        </w:tc>
      </w:tr>
      <w:tr w14:paraId="236C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355422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41</w:t>
            </w:r>
          </w:p>
        </w:tc>
        <w:tc>
          <w:tcPr>
            <w:tcW w:w="1209" w:type="dxa"/>
            <w:vMerge w:val="restart"/>
            <w:vAlign w:val="center"/>
          </w:tcPr>
          <w:p w14:paraId="48D7C36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催收清欠</w:t>
            </w:r>
          </w:p>
        </w:tc>
        <w:tc>
          <w:tcPr>
            <w:tcW w:w="1974" w:type="dxa"/>
            <w:vAlign w:val="center"/>
          </w:tcPr>
          <w:p w14:paraId="186F72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质保金到期催付</w:t>
            </w:r>
          </w:p>
        </w:tc>
        <w:tc>
          <w:tcPr>
            <w:tcW w:w="5117" w:type="dxa"/>
            <w:vAlign w:val="center"/>
          </w:tcPr>
          <w:p w14:paraId="0677225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有权向建设单位发《保修期满通知书》。</w:t>
            </w:r>
          </w:p>
        </w:tc>
      </w:tr>
      <w:tr w14:paraId="72B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3E3057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42</w:t>
            </w:r>
          </w:p>
        </w:tc>
        <w:tc>
          <w:tcPr>
            <w:tcW w:w="1209" w:type="dxa"/>
            <w:vMerge w:val="continue"/>
            <w:vAlign w:val="center"/>
          </w:tcPr>
          <w:p w14:paraId="57553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AF8A4A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其他到期应付款催付</w:t>
            </w:r>
          </w:p>
        </w:tc>
        <w:tc>
          <w:tcPr>
            <w:tcW w:w="5117" w:type="dxa"/>
            <w:vAlign w:val="center"/>
          </w:tcPr>
          <w:p w14:paraId="2FD0A7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有权向建设单位发催款函。</w:t>
            </w:r>
          </w:p>
        </w:tc>
      </w:tr>
      <w:tr w14:paraId="3962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05B5F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43</w:t>
            </w:r>
          </w:p>
        </w:tc>
        <w:tc>
          <w:tcPr>
            <w:tcW w:w="1209" w:type="dxa"/>
            <w:vAlign w:val="center"/>
          </w:tcPr>
          <w:p w14:paraId="4B2337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往来函件</w:t>
            </w:r>
          </w:p>
        </w:tc>
        <w:tc>
          <w:tcPr>
            <w:tcW w:w="1974" w:type="dxa"/>
            <w:vAlign w:val="center"/>
          </w:tcPr>
          <w:p w14:paraId="211D905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工程往来函件</w:t>
            </w:r>
          </w:p>
        </w:tc>
        <w:tc>
          <w:tcPr>
            <w:tcW w:w="5117" w:type="dxa"/>
            <w:vAlign w:val="center"/>
          </w:tcPr>
          <w:p w14:paraId="0638500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有权报送或接收项目工程联系函（如图纸会审、技术核定、设计变更通知等）。</w:t>
            </w:r>
          </w:p>
        </w:tc>
      </w:tr>
    </w:tbl>
    <w:p w14:paraId="1CDC181F">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14:textFill>
            <w14:solidFill>
              <w14:schemeClr w14:val="tx1"/>
            </w14:solidFill>
          </w14:textFill>
        </w:rPr>
      </w:pPr>
      <w:bookmarkStart w:id="73" w:name="_Hlk126826460"/>
      <w:r>
        <w:rPr>
          <w:rFonts w:hint="eastAsia" w:ascii="仿宋_GB2312" w:hAnsi="仿宋_GB2312" w:eastAsia="仿宋_GB2312" w:cs="仿宋_GB2312"/>
          <w:b/>
          <w:bCs/>
          <w:color w:val="000000" w:themeColor="text1"/>
          <w:sz w:val="24"/>
          <w:szCs w:val="24"/>
          <w14:textFill>
            <w14:solidFill>
              <w14:schemeClr w14:val="tx1"/>
            </w14:solidFill>
          </w14:textFill>
        </w:rPr>
        <w:t>项目部无权审批以下事项：</w:t>
      </w:r>
    </w:p>
    <w:bookmarkEnd w:id="73"/>
    <w:tbl>
      <w:tblPr>
        <w:tblStyle w:val="10"/>
        <w:tblW w:w="9037"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304"/>
      </w:tblGrid>
      <w:tr w14:paraId="2EDEEC3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42962EE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bookmarkStart w:id="74" w:name="_Hlk127195047"/>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8304" w:type="dxa"/>
            <w:tcBorders>
              <w:top w:val="single" w:color="auto" w:sz="4" w:space="0"/>
              <w:left w:val="single" w:color="auto" w:sz="4" w:space="0"/>
              <w:bottom w:val="single" w:color="auto" w:sz="4" w:space="0"/>
              <w:right w:val="single" w:color="auto" w:sz="4" w:space="0"/>
            </w:tcBorders>
            <w:vAlign w:val="center"/>
          </w:tcPr>
          <w:p w14:paraId="1693603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禁止性事项</w:t>
            </w:r>
          </w:p>
        </w:tc>
      </w:tr>
      <w:tr w14:paraId="0D0593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1879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8304" w:type="dxa"/>
            <w:tcBorders>
              <w:top w:val="single" w:color="auto" w:sz="4" w:space="0"/>
              <w:left w:val="single" w:color="auto" w:sz="4" w:space="0"/>
              <w:bottom w:val="single" w:color="auto" w:sz="4" w:space="0"/>
              <w:right w:val="single" w:color="auto" w:sz="4" w:space="0"/>
            </w:tcBorders>
            <w:vAlign w:val="center"/>
          </w:tcPr>
          <w:p w14:paraId="7AE70DB3">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69C3EDB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9EFB9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8304" w:type="dxa"/>
            <w:tcBorders>
              <w:top w:val="single" w:color="auto" w:sz="4" w:space="0"/>
              <w:left w:val="single" w:color="auto" w:sz="4" w:space="0"/>
              <w:bottom w:val="single" w:color="auto" w:sz="4" w:space="0"/>
              <w:right w:val="single" w:color="auto" w:sz="4" w:space="0"/>
            </w:tcBorders>
            <w:vAlign w:val="center"/>
          </w:tcPr>
          <w:p w14:paraId="6C99F7CA">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未经分子公司/集团书面批准擅自购买材料、设备。</w:t>
            </w:r>
          </w:p>
        </w:tc>
      </w:tr>
      <w:tr w14:paraId="3A3FE55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C82ECD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8304" w:type="dxa"/>
            <w:tcBorders>
              <w:top w:val="single" w:color="auto" w:sz="4" w:space="0"/>
              <w:left w:val="single" w:color="auto" w:sz="4" w:space="0"/>
              <w:bottom w:val="single" w:color="auto" w:sz="4" w:space="0"/>
              <w:right w:val="single" w:color="auto" w:sz="4" w:space="0"/>
            </w:tcBorders>
            <w:vAlign w:val="center"/>
          </w:tcPr>
          <w:p w14:paraId="65C46412">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14:textFill>
                  <w14:solidFill>
                    <w14:schemeClr w14:val="tx1"/>
                  </w14:solidFill>
                </w14:textFill>
              </w:rPr>
              <w:t>。</w:t>
            </w:r>
          </w:p>
        </w:tc>
      </w:tr>
      <w:tr w14:paraId="365812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04D72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8304" w:type="dxa"/>
            <w:tcBorders>
              <w:top w:val="single" w:color="auto" w:sz="4" w:space="0"/>
              <w:left w:val="single" w:color="auto" w:sz="4" w:space="0"/>
              <w:bottom w:val="single" w:color="auto" w:sz="4" w:space="0"/>
              <w:right w:val="single" w:color="auto" w:sz="4" w:space="0"/>
            </w:tcBorders>
            <w:vAlign w:val="center"/>
          </w:tcPr>
          <w:p w14:paraId="7629A2D1">
            <w:pPr>
              <w:widowControl/>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进行银行贷款等融资活动</w:t>
            </w:r>
          </w:p>
        </w:tc>
      </w:tr>
      <w:tr w14:paraId="38AA1FD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BD90B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8304" w:type="dxa"/>
            <w:tcBorders>
              <w:top w:val="single" w:color="auto" w:sz="4" w:space="0"/>
              <w:left w:val="single" w:color="auto" w:sz="4" w:space="0"/>
              <w:bottom w:val="single" w:color="auto" w:sz="4" w:space="0"/>
              <w:right w:val="single" w:color="auto" w:sz="4" w:space="0"/>
            </w:tcBorders>
            <w:vAlign w:val="center"/>
          </w:tcPr>
          <w:p w14:paraId="0096EA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对外提供担保、出具欠条、签订还款协议、签订调价协议、各类保证书、承诺书。</w:t>
            </w:r>
          </w:p>
        </w:tc>
      </w:tr>
      <w:tr w14:paraId="6A3B25F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19479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8304" w:type="dxa"/>
            <w:tcBorders>
              <w:top w:val="single" w:color="auto" w:sz="4" w:space="0"/>
              <w:left w:val="single" w:color="auto" w:sz="4" w:space="0"/>
              <w:bottom w:val="single" w:color="auto" w:sz="4" w:space="0"/>
              <w:right w:val="single" w:color="auto" w:sz="4" w:space="0"/>
            </w:tcBorders>
            <w:vAlign w:val="center"/>
          </w:tcPr>
          <w:p w14:paraId="68038611">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对外开立各类保函</w:t>
            </w:r>
          </w:p>
        </w:tc>
      </w:tr>
      <w:tr w14:paraId="57CEF06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A2D901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8304" w:type="dxa"/>
            <w:tcBorders>
              <w:top w:val="single" w:color="auto" w:sz="4" w:space="0"/>
              <w:left w:val="single" w:color="auto" w:sz="4" w:space="0"/>
              <w:bottom w:val="single" w:color="auto" w:sz="4" w:space="0"/>
              <w:right w:val="single" w:color="auto" w:sz="4" w:space="0"/>
            </w:tcBorders>
            <w:vAlign w:val="center"/>
          </w:tcPr>
          <w:p w14:paraId="40FD7DC6">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对外拆借资金，以甲方、甲方子企业或甲方项目部名义对外借款。</w:t>
            </w:r>
          </w:p>
        </w:tc>
      </w:tr>
      <w:tr w14:paraId="08AFB1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8EA0A6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8304" w:type="dxa"/>
            <w:tcBorders>
              <w:top w:val="single" w:color="auto" w:sz="4" w:space="0"/>
              <w:left w:val="single" w:color="auto" w:sz="4" w:space="0"/>
              <w:bottom w:val="single" w:color="auto" w:sz="4" w:space="0"/>
              <w:right w:val="single" w:color="auto" w:sz="4" w:space="0"/>
            </w:tcBorders>
            <w:vAlign w:val="center"/>
          </w:tcPr>
          <w:p w14:paraId="059D90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私设小金库，坐支现金。</w:t>
            </w:r>
          </w:p>
        </w:tc>
      </w:tr>
      <w:tr w14:paraId="7D29EC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74902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8304" w:type="dxa"/>
            <w:tcBorders>
              <w:top w:val="single" w:color="auto" w:sz="4" w:space="0"/>
              <w:left w:val="single" w:color="auto" w:sz="4" w:space="0"/>
              <w:bottom w:val="single" w:color="auto" w:sz="4" w:space="0"/>
              <w:right w:val="single" w:color="auto" w:sz="4" w:space="0"/>
            </w:tcBorders>
            <w:vAlign w:val="center"/>
          </w:tcPr>
          <w:p w14:paraId="26F76D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超出本综合授权书权限的分包（供）合同签证办理。</w:t>
            </w:r>
          </w:p>
        </w:tc>
      </w:tr>
      <w:tr w14:paraId="340E351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C716A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10</w:t>
            </w:r>
          </w:p>
        </w:tc>
        <w:tc>
          <w:tcPr>
            <w:tcW w:w="8304" w:type="dxa"/>
            <w:tcBorders>
              <w:top w:val="single" w:color="auto" w:sz="4" w:space="0"/>
              <w:left w:val="single" w:color="auto" w:sz="4" w:space="0"/>
              <w:bottom w:val="single" w:color="auto" w:sz="4" w:space="0"/>
              <w:right w:val="single" w:color="auto" w:sz="4" w:space="0"/>
            </w:tcBorders>
            <w:vAlign w:val="center"/>
          </w:tcPr>
          <w:p w14:paraId="361DE60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确认总包结算、确认分包合同结算（含甲指分包）。</w:t>
            </w:r>
          </w:p>
        </w:tc>
      </w:tr>
      <w:tr w14:paraId="4743562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016B2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11</w:t>
            </w:r>
          </w:p>
        </w:tc>
        <w:tc>
          <w:tcPr>
            <w:tcW w:w="8304" w:type="dxa"/>
            <w:tcBorders>
              <w:top w:val="single" w:color="auto" w:sz="4" w:space="0"/>
              <w:left w:val="single" w:color="auto" w:sz="4" w:space="0"/>
              <w:bottom w:val="single" w:color="auto" w:sz="4" w:space="0"/>
              <w:right w:val="single" w:color="auto" w:sz="4" w:space="0"/>
            </w:tcBorders>
            <w:vAlign w:val="center"/>
          </w:tcPr>
          <w:p w14:paraId="21CCC23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确认材料、设备、料具结算及赔偿（含零星材料、甲供材）。</w:t>
            </w:r>
          </w:p>
        </w:tc>
      </w:tr>
      <w:tr w14:paraId="4B37C36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4DDD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12</w:t>
            </w:r>
          </w:p>
        </w:tc>
        <w:tc>
          <w:tcPr>
            <w:tcW w:w="8304" w:type="dxa"/>
            <w:tcBorders>
              <w:top w:val="single" w:color="auto" w:sz="4" w:space="0"/>
              <w:left w:val="single" w:color="auto" w:sz="4" w:space="0"/>
              <w:bottom w:val="single" w:color="auto" w:sz="4" w:space="0"/>
              <w:right w:val="single" w:color="auto" w:sz="4" w:space="0"/>
            </w:tcBorders>
            <w:vAlign w:val="center"/>
          </w:tcPr>
          <w:p w14:paraId="2F46D3CA">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设立或变更劳动关系（包括签订劳动合同、确认劳动关系等）</w:t>
            </w:r>
          </w:p>
        </w:tc>
      </w:tr>
      <w:tr w14:paraId="70C7BB0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54F0F4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13</w:t>
            </w:r>
          </w:p>
        </w:tc>
        <w:tc>
          <w:tcPr>
            <w:tcW w:w="8304" w:type="dxa"/>
            <w:tcBorders>
              <w:top w:val="single" w:color="auto" w:sz="4" w:space="0"/>
              <w:left w:val="single" w:color="auto" w:sz="4" w:space="0"/>
              <w:bottom w:val="single" w:color="auto" w:sz="4" w:space="0"/>
              <w:right w:val="single" w:color="auto" w:sz="4" w:space="0"/>
            </w:tcBorders>
            <w:vAlign w:val="center"/>
          </w:tcPr>
          <w:p w14:paraId="350A8C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向工伤认定机构提交工伤认定申请或确认工伤事故。</w:t>
            </w:r>
          </w:p>
        </w:tc>
      </w:tr>
      <w:tr w14:paraId="77DF0DC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5E1A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14</w:t>
            </w:r>
          </w:p>
        </w:tc>
        <w:tc>
          <w:tcPr>
            <w:tcW w:w="8304" w:type="dxa"/>
            <w:tcBorders>
              <w:top w:val="single" w:color="auto" w:sz="4" w:space="0"/>
              <w:left w:val="single" w:color="auto" w:sz="4" w:space="0"/>
              <w:bottom w:val="single" w:color="auto" w:sz="4" w:space="0"/>
              <w:right w:val="single" w:color="auto" w:sz="4" w:space="0"/>
            </w:tcBorders>
            <w:vAlign w:val="center"/>
          </w:tcPr>
          <w:p w14:paraId="6A20656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确认第三方维修费用。</w:t>
            </w:r>
          </w:p>
        </w:tc>
      </w:tr>
      <w:tr w14:paraId="1A4253A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321C5E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15</w:t>
            </w:r>
          </w:p>
        </w:tc>
        <w:tc>
          <w:tcPr>
            <w:tcW w:w="8304" w:type="dxa"/>
            <w:tcBorders>
              <w:top w:val="single" w:color="auto" w:sz="4" w:space="0"/>
              <w:left w:val="single" w:color="auto" w:sz="4" w:space="0"/>
              <w:bottom w:val="single" w:color="auto" w:sz="4" w:space="0"/>
              <w:right w:val="single" w:color="auto" w:sz="4" w:space="0"/>
            </w:tcBorders>
            <w:vAlign w:val="center"/>
          </w:tcPr>
          <w:p w14:paraId="01B1BA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决定废旧物资处理方案。</w:t>
            </w:r>
          </w:p>
        </w:tc>
      </w:tr>
      <w:tr w14:paraId="2E7450B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9129C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16</w:t>
            </w:r>
          </w:p>
        </w:tc>
        <w:tc>
          <w:tcPr>
            <w:tcW w:w="8304" w:type="dxa"/>
            <w:tcBorders>
              <w:top w:val="single" w:color="auto" w:sz="4" w:space="0"/>
              <w:left w:val="single" w:color="auto" w:sz="4" w:space="0"/>
              <w:bottom w:val="single" w:color="auto" w:sz="4" w:space="0"/>
              <w:right w:val="single" w:color="auto" w:sz="4" w:space="0"/>
            </w:tcBorders>
            <w:vAlign w:val="center"/>
          </w:tcPr>
          <w:p w14:paraId="44FCB9E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分包分供合同涨价、奖励、补偿、增加合同外的工作范围、变更分包分供合同模式。</w:t>
            </w:r>
          </w:p>
        </w:tc>
      </w:tr>
      <w:tr w14:paraId="0F41726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F4A7E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8304" w:type="dxa"/>
            <w:tcBorders>
              <w:top w:val="single" w:color="auto" w:sz="4" w:space="0"/>
              <w:left w:val="single" w:color="auto" w:sz="4" w:space="0"/>
              <w:bottom w:val="single" w:color="auto" w:sz="4" w:space="0"/>
              <w:right w:val="single" w:color="auto" w:sz="4" w:space="0"/>
            </w:tcBorders>
            <w:vAlign w:val="center"/>
          </w:tcPr>
          <w:p w14:paraId="27F579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危险性较大的分部分项工程安全施工方案。</w:t>
            </w:r>
          </w:p>
        </w:tc>
      </w:tr>
      <w:tr w14:paraId="72D5C98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CCE4DF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18</w:t>
            </w:r>
          </w:p>
        </w:tc>
        <w:tc>
          <w:tcPr>
            <w:tcW w:w="8304" w:type="dxa"/>
            <w:tcBorders>
              <w:top w:val="single" w:color="auto" w:sz="4" w:space="0"/>
              <w:left w:val="single" w:color="auto" w:sz="4" w:space="0"/>
              <w:bottom w:val="single" w:color="auto" w:sz="4" w:space="0"/>
              <w:right w:val="single" w:color="auto" w:sz="4" w:space="0"/>
            </w:tcBorders>
            <w:vAlign w:val="center"/>
          </w:tcPr>
          <w:p w14:paraId="71916B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接收诉讼法律文书、处理人民法院协助执行通知或参加仲裁、诉讼。</w:t>
            </w:r>
          </w:p>
        </w:tc>
      </w:tr>
      <w:bookmarkEnd w:id="74"/>
    </w:tbl>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被委托人：</w:t>
      </w: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3453E8BB">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32F14A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2A464CAF">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12" w:type="default"/>
          <w:pgSz w:w="11906" w:h="16838"/>
          <w:pgMar w:top="1440" w:right="1800" w:bottom="1440" w:left="1800" w:header="850" w:footer="975" w:gutter="0"/>
          <w:cols w:space="0" w:num="1"/>
          <w:docGrid w:linePitch="312" w:charSpace="0"/>
        </w:sectPr>
      </w:pPr>
      <w:bookmarkStart w:id="75" w:name="_Toc11293"/>
      <w:bookmarkStart w:id="76" w:name="_Toc20069"/>
      <w:bookmarkStart w:id="77" w:name="_Toc15118"/>
    </w:p>
    <w:p w14:paraId="0FD1CB49">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5"/>
      <w:bookmarkEnd w:id="76"/>
      <w:bookmarkEnd w:id="77"/>
    </w:p>
    <w:p w14:paraId="1C0C1D2C">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342A1882">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4C16FFB">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permStart w:id="92" w:edGrp="everyone"/>
      <w:bookmarkStart w:id="78" w:name="_Hlk126826529"/>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集团有限公司</w:t>
      </w:r>
      <w:bookmarkEnd w:id="78"/>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92"/>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1401B41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93"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93"/>
    </w:p>
    <w:p w14:paraId="30E75F9D">
      <w:pPr>
        <w:pStyle w:val="6"/>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6E69F79">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1650C0E5">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94"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94"/>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95"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日喀则</w:t>
      </w:r>
      <w:permEnd w:id="95"/>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2C0778B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74B8FA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72B3478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547D1BAC">
      <w:pPr>
        <w:pStyle w:val="12"/>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40A5BFF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7BA5303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40C91C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4217AD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1BBBFEEB">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6E0B0FEA">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226141D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7FECDCF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2804571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09DCC27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8AC619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2AFB16E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2A50B8C0">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62E8096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68F64B2F">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1228DAF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0A8F26E1">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189D048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296DCDA">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3484F4D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1B38162">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76338E7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5FD733E0">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96"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96"/>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71E79B3A">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4482239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16A1245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30EBCDB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5D7557E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2C206D47">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2D849072">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6B90B02B">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38B4BEC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w:t>
      </w:r>
      <w:permStart w:id="97"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《生产安全事故报告和调查处理条例》(493号令)</w:t>
      </w:r>
      <w:permEnd w:id="97"/>
      <w:r>
        <w:rPr>
          <w:rFonts w:hint="eastAsia" w:ascii="仿宋_GB2312" w:hAnsi="仿宋_GB2312" w:eastAsia="仿宋_GB2312" w:cs="仿宋_GB2312"/>
          <w:color w:val="000000" w:themeColor="text1"/>
          <w:sz w:val="24"/>
          <w:szCs w:val="24"/>
          <w:highlight w:val="none"/>
          <w14:textFill>
            <w14:solidFill>
              <w14:schemeClr w14:val="tx1"/>
            </w14:solidFill>
          </w14:textFill>
        </w:rPr>
        <w:t>的规定进行事故处理及上报。乙方应及时将事故情况向甲方上报，不得迟报、漏报、谎报或瞒报。</w:t>
      </w:r>
    </w:p>
    <w:p w14:paraId="02740776">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74652E0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0055BEE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175069C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6B6972C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35D2DE9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C923EF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B1A286C">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1E0C37E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8DCAF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79" w:name="_Hlk12720318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028659DF">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2FF1507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15837B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C835E27">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7D1ADEA">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8659568">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79"/>
    </w:p>
    <w:p w14:paraId="207D32A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2E40EAA0">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80" w:name="_Toc776"/>
      <w:bookmarkStart w:id="81" w:name="_Toc24322"/>
      <w:bookmarkStart w:id="82" w:name="_Toc9726"/>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80"/>
      <w:bookmarkEnd w:id="81"/>
      <w:bookmarkEnd w:id="82"/>
    </w:p>
    <w:p w14:paraId="79298B74">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3"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83"/>
    </w:p>
    <w:p w14:paraId="32566F91">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bookmarkStart w:id="84" w:name="_Hlk127190139"/>
      <w:permStart w:id="98" w:edGrp="everyone"/>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集团有限公司</w:t>
      </w:r>
      <w:bookmarkEnd w:id="84"/>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98"/>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46693D82">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99"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99"/>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0C05924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DF9975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5"/>
    </w:p>
    <w:p w14:paraId="55CBB7D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66F9F1C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31F59E7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1155A17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6"/>
    <w:p w14:paraId="0A1BD26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7"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7"/>
    </w:p>
    <w:p w14:paraId="319CB69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3964D91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2.1按照甲方的招（议）标程序确定供应商，确保公正、公平对待所有合作方；不得在招标文件中有针对性地故意设定条件，以不公正的方法确定供应商；</w:t>
      </w:r>
    </w:p>
    <w:p w14:paraId="7479B45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755D0238">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E9E53B4">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11333E3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E76F09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53763CF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76905EB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3B5990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8"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8"/>
    </w:p>
    <w:p w14:paraId="39AB8F2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41417CE8">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根据自己的实力参与甲方的招（议）标，遵守甲方的管理制度；不得在招标之前或过程中，以不正当手段谋求中标。</w:t>
      </w:r>
    </w:p>
    <w:p w14:paraId="3CD71C5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3518DAE3">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7DADFAE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3684617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1997802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7FEBD96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不得与甲方员工就标书合同条款中的利益条款进行私下协商或达成默契。</w:t>
      </w:r>
    </w:p>
    <w:p w14:paraId="0BD66E1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63E6838E">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467ED2D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0E7ECAE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9"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9"/>
    </w:p>
    <w:p w14:paraId="55FFC9B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302DAB8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2D9EBB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501773FD">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367916A4">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79CD07B7">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02E1238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38D765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BB5FA55">
      <w:pPr>
        <w:pStyle w:val="12"/>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w:t>
      </w:r>
    </w:p>
    <w:p w14:paraId="52D60A99">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9F6BED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0CC9CAA">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A35B870">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1EABFBF1">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6DB7284">
      <w:pPr>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p>
    <w:p w14:paraId="6725C40D">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90" w:name="_Hlk127794870"/>
      <w:bookmarkStart w:id="91" w:name="_Toc1869"/>
      <w:bookmarkStart w:id="92" w:name="_Toc18674"/>
      <w:bookmarkStart w:id="93"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90"/>
      <w:bookmarkEnd w:id="91"/>
      <w:bookmarkEnd w:id="92"/>
    </w:p>
    <w:p w14:paraId="7919CF64">
      <w:pPr>
        <w:pStyle w:val="12"/>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4" w:name="_Toc3066"/>
      <w:bookmarkStart w:id="95" w:name="_Toc11168"/>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3"/>
      <w:bookmarkEnd w:id="94"/>
      <w:bookmarkEnd w:id="95"/>
    </w:p>
    <w:p w14:paraId="22BE5DF0">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2DC07B3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76EDB5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615E8F33">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6656A45C">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1107FD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09CB2BEE">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3A33BFCD">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0015A497">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CEDFEE9">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1DDD6368">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3DBAC1D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34AC889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53E5DD8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01C6561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1A4BA0A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0EEB862C">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085EEE3F">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4645F5C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1AD9E98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6" w:name="_Toc1717"/>
      <w:bookmarkStart w:id="97" w:name="_Toc965"/>
      <w:bookmarkStart w:id="98" w:name="_Toc13486"/>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6"/>
      <w:bookmarkEnd w:id="97"/>
      <w:bookmarkEnd w:id="98"/>
    </w:p>
    <w:p w14:paraId="2DB8285B">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5D58E30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00DB272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4B46DFD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01D1DF0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38A3D36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718ACBA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A41672A">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2798DAC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55385297">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10BF4E9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permStart w:id="10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 </w:t>
      </w:r>
      <w:permEnd w:id="100"/>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3ABE496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05E5C1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01A7CFC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1D39F11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55E819E7">
      <w:pPr>
        <w:pStyle w:val="12"/>
        <w:spacing w:line="400" w:lineRule="atLeast"/>
        <w:ind w:firstLine="480" w:firstLineChars="200"/>
        <w:rPr>
          <w:rFonts w:ascii="仿宋_GB2312" w:hAnsi="仿宋_GB2312" w:eastAsia="仿宋_GB2312" w:cs="仿宋_GB2312"/>
          <w:strike w:val="0"/>
          <w:dstrike w:val="0"/>
          <w:color w:val="000000" w:themeColor="text1"/>
          <w:highlight w:val="none"/>
          <w14:textFill>
            <w14:solidFill>
              <w14:schemeClr w14:val="tx1"/>
            </w14:solidFill>
          </w14:textFill>
        </w:rPr>
      </w:pPr>
      <w:r>
        <w:rPr>
          <w:rFonts w:hint="eastAsia" w:ascii="仿宋_GB2312" w:hAnsi="仿宋_GB2312" w:eastAsia="仿宋_GB2312" w:cs="仿宋_GB2312"/>
          <w:strike w:val="0"/>
          <w:dstrike w:val="0"/>
          <w:color w:val="000000" w:themeColor="text1"/>
          <w:highlight w:val="none"/>
          <w14:textFill>
            <w14:solidFill>
              <w14:schemeClr w14:val="tx1"/>
            </w14:solidFill>
          </w14:textFill>
        </w:rPr>
        <w:t xml:space="preserve">4.5如乙方未在税务机关要求的期限内缴纳税款，导致甲方无法抵扣进项税的，甲方有权拒绝付款，如已经支付的，甲方有权追回已支付的款项，并要求乙方支付违约金或赔偿损失。 </w:t>
      </w:r>
    </w:p>
    <w:p w14:paraId="3A89964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3CC9C68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2FF4623F">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3A03843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124BB44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14EBCC7E">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2B0BBFAC">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351BFE4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26F9D6DF">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79906B3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未经甲方书面同意，乙方不得以对甲方享有之任何债权向其他第三方进行转让或提供任何形式之担保或保证等。经甲方同意转让合同权利，不解除乙方应承担本合同项下的义务和责任。</w:t>
      </w:r>
    </w:p>
    <w:p w14:paraId="3E599476">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9" w:name="_Hlk126834115"/>
      <w:bookmarkStart w:id="100"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101"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760F2D46">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4D98E07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color w:val="000000" w:themeColor="text1"/>
          <w:highlight w:val="none"/>
          <w14:textFill>
            <w14:solidFill>
              <w14:schemeClr w14:val="tx1"/>
            </w14:solidFill>
          </w14:textFill>
        </w:rPr>
        <w:t>数据，一经发现处以罚款2万元/次。</w:t>
      </w:r>
    </w:p>
    <w:p w14:paraId="72ABF8A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0D119DCC">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99"/>
      <w:r>
        <w:rPr>
          <w:rFonts w:hint="eastAsia" w:ascii="仿宋_GB2312" w:hAnsi="仿宋_GB2312" w:eastAsia="仿宋_GB2312" w:cs="仿宋_GB2312"/>
          <w:color w:val="000000" w:themeColor="text1"/>
          <w:highlight w:val="none"/>
          <w14:textFill>
            <w14:solidFill>
              <w14:schemeClr w14:val="tx1"/>
            </w14:solidFill>
          </w14:textFill>
        </w:rPr>
        <w:t>。</w:t>
      </w:r>
      <w:bookmarkEnd w:id="100"/>
      <w:bookmarkEnd w:id="101"/>
    </w:p>
    <w:p w14:paraId="3C81549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02" w:name="_Toc20335"/>
      <w:bookmarkStart w:id="103" w:name="_Toc11521"/>
      <w:bookmarkStart w:id="104" w:name="_Toc19191"/>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62A560EC">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10540F9F">
      <w:pPr>
        <w:pStyle w:val="12"/>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75D918CC">
      <w:pPr>
        <w:pStyle w:val="12"/>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32B143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168BA80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534E8C1F">
      <w:pPr>
        <w:pStyle w:val="12"/>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63A3143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03450768">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102"/>
      <w:bookmarkEnd w:id="103"/>
      <w:bookmarkEnd w:id="104"/>
    </w:p>
    <w:p w14:paraId="1274F4EF">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2E0AA980">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30D5E5C0">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37415E89">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559276BD">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09BF745C">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16DC955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7A62D39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5" w:name="_Toc12864"/>
      <w:bookmarkStart w:id="106" w:name="_Toc13562"/>
      <w:bookmarkStart w:id="107" w:name="_Toc13471"/>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5"/>
      <w:bookmarkEnd w:id="106"/>
      <w:bookmarkEnd w:id="107"/>
    </w:p>
    <w:p w14:paraId="48F24F33">
      <w:pPr>
        <w:pStyle w:val="12"/>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4F37E915">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bookmarkStart w:id="108" w:name="_Toc23441"/>
      <w:bookmarkStart w:id="109" w:name="_Toc29083"/>
      <w:bookmarkStart w:id="110" w:name="_Toc28560"/>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分供合同标的物的金额不超过原合同金额的10%（含），正常办理结算；分供合同标的物的金额超过原合同金额的10%但不超过30%（含），甲乙双方签订补充协议；分供合同标的物的金额超过原合同金额的30%，则对原合同外的物资重新组织招标。</w:t>
      </w:r>
    </w:p>
    <w:p w14:paraId="670CDD6E">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工程建设单位、监理单位及相关部门出台的相关规定文件、市场准入制度造成合同不能执行，甲方不承担任何责任。</w:t>
      </w:r>
    </w:p>
    <w:p w14:paraId="5369AEC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08"/>
      <w:bookmarkEnd w:id="109"/>
      <w:bookmarkEnd w:id="110"/>
    </w:p>
    <w:p w14:paraId="7B54A7FD">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11"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24B5CD61">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77A604A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06E212F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074BCC5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7C7009D8">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3FBAC3C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5F07BBAD">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0AA848D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12B1980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9ACA74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2032456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3CF8C8E">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11"/>
      <w:r>
        <w:rPr>
          <w:rFonts w:hint="eastAsia" w:ascii="仿宋_GB2312" w:hAnsi="仿宋_GB2312" w:eastAsia="仿宋_GB2312" w:cs="仿宋_GB2312"/>
          <w:b/>
          <w:bCs/>
          <w:color w:val="000000" w:themeColor="text1"/>
          <w:highlight w:val="none"/>
          <w14:textFill>
            <w14:solidFill>
              <w14:schemeClr w14:val="tx1"/>
            </w14:solidFill>
          </w14:textFill>
        </w:rPr>
        <w:t>。</w:t>
      </w:r>
    </w:p>
    <w:p w14:paraId="22DBC04B">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2" w:name="_Toc24603"/>
      <w:bookmarkStart w:id="113" w:name="_Toc16580"/>
      <w:bookmarkStart w:id="114" w:name="_Toc17777"/>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12"/>
      <w:bookmarkEnd w:id="113"/>
      <w:bookmarkEnd w:id="114"/>
    </w:p>
    <w:p w14:paraId="3B25D2A9">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不可抗力的确认和通知</w:t>
      </w:r>
    </w:p>
    <w:p w14:paraId="0F8C3D7E">
      <w:pPr>
        <w:pStyle w:val="12"/>
        <w:numPr>
          <w:ilvl w:val="255"/>
          <w:numId w:val="0"/>
        </w:numPr>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eastAsia="zh-Hans"/>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5D74ACE7">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46AD6D0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应立即通知</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，并在力所能及的条件下迅速采取措施，尽力减少损失，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应协助</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采取措施。若因</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未能尽力挽救，导致损失扩大的，由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承担全部责任。</w:t>
      </w:r>
    </w:p>
    <w:p w14:paraId="50ECE559">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应向</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提交清理和修复费用的正式报告及有关资料。</w:t>
      </w:r>
    </w:p>
    <w:p w14:paraId="67CD9729">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742F181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7B09741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施工设备的损坏由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868AC1A">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和</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承担各自人员伤亡和财产的损失；</w:t>
      </w:r>
    </w:p>
    <w:p w14:paraId="4DBC6AC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履行合同约定的义务，已经引起或将引起工期延误的，应当顺延工期，由此导致</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停工的费用损失由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306E1EEB">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要求赶工的，由此增加的赶工费用由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09D09F34">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在停工期间按照</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要求照管和清理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工程的费用由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B595DA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355F74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140200E8">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65C380D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7B052E0">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5" w:name="_Toc10852"/>
      <w:bookmarkStart w:id="116" w:name="_Toc18501"/>
      <w:bookmarkStart w:id="117" w:name="_Toc9310"/>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115"/>
      <w:bookmarkEnd w:id="116"/>
      <w:bookmarkEnd w:id="117"/>
    </w:p>
    <w:p w14:paraId="5E4690C1">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1、争议和解：</w:t>
      </w:r>
      <w:r>
        <w:rPr>
          <w:rFonts w:hint="eastAsia" w:ascii="仿宋_GB2312" w:hAnsi="仿宋_GB2312" w:eastAsia="仿宋_GB2312" w:cs="仿宋_GB2312"/>
          <w:color w:val="000000" w:themeColor="text1"/>
          <w:highlight w:val="none"/>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A0C7F5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none"/>
          <w:u w:val="single"/>
          <w14:textFill>
            <w14:solidFill>
              <w14:schemeClr w14:val="tx1"/>
            </w14:solidFill>
          </w14:textFill>
        </w:rPr>
        <w:t>3个月</w:t>
      </w:r>
      <w:r>
        <w:rPr>
          <w:rFonts w:hint="eastAsia" w:ascii="仿宋_GB2312" w:hAnsi="仿宋_GB2312" w:eastAsia="仿宋_GB2312" w:cs="仿宋_GB2312"/>
          <w:color w:val="000000" w:themeColor="text1"/>
          <w:highlight w:val="none"/>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2"/>
        <w:spacing w:line="400" w:lineRule="atLeast"/>
        <w:ind w:firstLine="482"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bookmarkStart w:id="118" w:name="_Hlk126830485"/>
      <w:bookmarkStart w:id="119" w:name="_Hlk126770481"/>
      <w:bookmarkStart w:id="120" w:name="_Toc31739"/>
      <w:bookmarkStart w:id="121" w:name="_Toc18393"/>
      <w:bookmarkStart w:id="122" w:name="_Toc11207"/>
      <w:r>
        <w:rPr>
          <w:rFonts w:hint="eastAsia" w:ascii="仿宋_GB2312" w:hAnsi="仿宋_GB2312" w:eastAsia="仿宋_GB2312" w:cs="仿宋_GB2312"/>
          <w:b/>
          <w:bCs/>
          <w:color w:val="000000" w:themeColor="text1"/>
          <w:highlight w:val="none"/>
          <w14:textFill>
            <w14:solidFill>
              <w14:schemeClr w14:val="tx1"/>
            </w14:solidFill>
          </w14:textFill>
        </w:rPr>
        <w:t>2、</w:t>
      </w:r>
      <w:bookmarkEnd w:id="118"/>
      <w:bookmarkEnd w:id="119"/>
      <w:bookmarkStart w:id="123" w:name="_Hlk127194929"/>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23"/>
      <w:r>
        <w:rPr>
          <w:rFonts w:hint="eastAsia" w:ascii="仿宋_GB2312" w:hAnsi="仿宋_GB2312" w:eastAsia="仿宋_GB2312" w:cs="仿宋_GB2312"/>
          <w:b/>
          <w:bCs/>
          <w:color w:val="000000" w:themeColor="text1"/>
          <w:highlight w:val="none"/>
          <w14:textFill>
            <w14:solidFill>
              <w14:schemeClr w14:val="tx1"/>
            </w14:solidFill>
          </w14:textFill>
        </w:rPr>
        <w:t>。</w:t>
      </w:r>
    </w:p>
    <w:p w14:paraId="60A9FF2C">
      <w:pPr>
        <w:pStyle w:val="12"/>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因仲裁产生的各项</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none"/>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none"/>
          <w14:textFill>
            <w14:solidFill>
              <w14:schemeClr w14:val="tx1"/>
            </w14:solidFill>
          </w14:textFill>
        </w:rPr>
        <w:t>律师费、仲裁费、保全费、保全保险费、差旅费、公证费及鉴定费等因仲裁引发的费用。</w:t>
      </w:r>
    </w:p>
    <w:p w14:paraId="06CD15D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120"/>
      <w:bookmarkEnd w:id="121"/>
      <w:bookmarkEnd w:id="122"/>
    </w:p>
    <w:p w14:paraId="068C82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4" w:name="_Toc12970"/>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23EF5D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71633CCD">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5" w:name="_Toc14038"/>
      <w:bookmarkStart w:id="126" w:name="_Toc384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24"/>
      <w:bookmarkEnd w:id="125"/>
      <w:bookmarkEnd w:id="126"/>
    </w:p>
    <w:p w14:paraId="7381ED03">
      <w:pPr>
        <w:pStyle w:val="12"/>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本合同与甲方招标文件、乙方投标文件有相抵触之处，均以本合同条款为准。</w:t>
      </w:r>
    </w:p>
    <w:p w14:paraId="0D394E6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41512C4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5E32DC3A">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0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01"/>
      <w:r>
        <w:rPr>
          <w:rFonts w:hint="eastAsia" w:ascii="仿宋_GB2312" w:hAnsi="仿宋_GB2312" w:eastAsia="仿宋_GB2312" w:cs="仿宋_GB2312"/>
          <w:color w:val="000000" w:themeColor="text1"/>
          <w:highlight w:val="none"/>
          <w14:textFill>
            <w14:solidFill>
              <w14:schemeClr w14:val="tx1"/>
            </w14:solidFill>
          </w14:textFill>
        </w:rPr>
        <w:t>。</w:t>
      </w:r>
    </w:p>
    <w:p w14:paraId="02CC4D01">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27"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27"/>
    </w:p>
    <w:p w14:paraId="3622F8E4">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47AE43FE">
      <w:pPr>
        <w:pStyle w:val="12"/>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404CBB7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266642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2C6BDE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9F594FF">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A2C63CD">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3073886">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010F0C5C">
      <w:pPr>
        <w:rPr>
          <w:rFonts w:ascii="仿宋_GB2312" w:hAnsi="仿宋_GB2312" w:eastAsia="仿宋_GB2312" w:cs="仿宋_GB2312"/>
          <w:color w:val="000000" w:themeColor="text1"/>
          <w:sz w:val="24"/>
          <w:highlight w:val="none"/>
          <w14:textFill>
            <w14:solidFill>
              <w14:schemeClr w14:val="tx1"/>
            </w14:solidFill>
          </w14:textFill>
        </w:rPr>
      </w:pPr>
    </w:p>
    <w:p w14:paraId="6B769C1F">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B115">
    <w:pPr>
      <w:pStyle w:val="7"/>
      <w:jc w:val="center"/>
      <w:rPr>
        <w:rFonts w:ascii="仿宋" w:hAnsi="仿宋" w:eastAsia="仿宋" w:cs="仿宋"/>
        <w:sz w:val="24"/>
        <w:szCs w:val="36"/>
      </w:rPr>
    </w:pPr>
    <w:r>
      <w:rPr>
        <w:rFonts w:hint="eastAsia" w:ascii="仿宋" w:hAnsi="仿宋" w:eastAsia="仿宋" w:cs="仿宋"/>
        <w:sz w:val="24"/>
        <w:szCs w:val="36"/>
      </w:rPr>
      <w:t>中建三局第*建设工程有限责任公司</w:t>
    </w:r>
  </w:p>
  <w:p w14:paraId="7C5172F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FFDE">
    <w:pPr>
      <w:pStyle w:val="7"/>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094">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82EB">
    <w:pPr>
      <w:pStyle w:val="7"/>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177">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0382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90382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080C">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7FDCF">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C7FDCF">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49B8">
    <w:pPr>
      <w:pStyle w:val="8"/>
    </w:pPr>
  </w:p>
  <w:p w14:paraId="545303D8">
    <w:pPr>
      <w:pStyle w:val="8"/>
    </w:pPr>
  </w:p>
  <w:p w14:paraId="7AE5AE10">
    <w:pPr>
      <w:pStyle w:val="8"/>
    </w:pPr>
  </w:p>
  <w:p w14:paraId="0A2D9CC1">
    <w:pPr>
      <w:pStyle w:val="8"/>
    </w:pPr>
  </w:p>
  <w:p w14:paraId="1DCB81E7">
    <w:pPr>
      <w:pStyle w:val="8"/>
      <w:jc w:val="left"/>
      <w:rPr>
        <w:b/>
        <w:bCs/>
      </w:rPr>
    </w:pPr>
    <w:r>
      <w:rPr>
        <w:b/>
        <w:bCs/>
      </w:rPr>
      <w:t>CSCEC</w:t>
    </w:r>
    <w:r>
      <w:t xml:space="preserve">  </w:t>
    </w:r>
    <w:r>
      <w:rPr>
        <w:rFonts w:hint="eastAsia"/>
        <w:b/>
        <w:bCs/>
      </w:rPr>
      <w:t xml:space="preserve">                                                                                 中建</w:t>
    </w:r>
  </w:p>
  <w:p w14:paraId="3479C5C7">
    <w:pPr>
      <w:pStyle w:val="8"/>
    </w:pPr>
  </w:p>
  <w:p w14:paraId="2CB33D2A">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FB3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E39938B">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CC2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F7CA813">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8B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1BD7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DA2CD928"/>
    <w:multiLevelType w:val="singleLevel"/>
    <w:tmpl w:val="DA2CD928"/>
    <w:lvl w:ilvl="0" w:tentative="0">
      <w:start w:val="1"/>
      <w:numFmt w:val="decimal"/>
      <w:suff w:val="nothing"/>
      <w:lvlText w:val="%1、"/>
      <w:lvlJc w:val="left"/>
    </w:lvl>
  </w:abstractNum>
  <w:abstractNum w:abstractNumId="4">
    <w:nsid w:val="E0133784"/>
    <w:multiLevelType w:val="singleLevel"/>
    <w:tmpl w:val="E0133784"/>
    <w:lvl w:ilvl="0" w:tentative="0">
      <w:start w:val="1"/>
      <w:numFmt w:val="decimal"/>
      <w:suff w:val="nothing"/>
      <w:lvlText w:val="%1、"/>
      <w:lvlJc w:val="left"/>
    </w:lvl>
  </w:abstractNum>
  <w:abstractNum w:abstractNumId="5">
    <w:nsid w:val="EEFD7662"/>
    <w:multiLevelType w:val="singleLevel"/>
    <w:tmpl w:val="EEFD7662"/>
    <w:lvl w:ilvl="0" w:tentative="0">
      <w:start w:val="1"/>
      <w:numFmt w:val="decimal"/>
      <w:suff w:val="nothing"/>
      <w:lvlText w:val="%1、"/>
      <w:lvlJc w:val="left"/>
    </w:lvl>
  </w:abstractNum>
  <w:abstractNum w:abstractNumId="6">
    <w:nsid w:val="EFACCE70"/>
    <w:multiLevelType w:val="singleLevel"/>
    <w:tmpl w:val="EFACCE70"/>
    <w:lvl w:ilvl="0" w:tentative="0">
      <w:start w:val="1"/>
      <w:numFmt w:val="chineseCounting"/>
      <w:suff w:val="nothing"/>
      <w:lvlText w:val="%1、"/>
      <w:lvlJc w:val="left"/>
      <w:rPr>
        <w:rFonts w:hint="eastAsia"/>
      </w:rPr>
    </w:lvl>
  </w:abstractNum>
  <w:abstractNum w:abstractNumId="7">
    <w:nsid w:val="F4B4D53B"/>
    <w:multiLevelType w:val="singleLevel"/>
    <w:tmpl w:val="F4B4D53B"/>
    <w:lvl w:ilvl="0" w:tentative="0">
      <w:start w:val="1"/>
      <w:numFmt w:val="decimal"/>
      <w:suff w:val="nothing"/>
      <w:lvlText w:val="%1、"/>
      <w:lvlJc w:val="left"/>
    </w:lvl>
  </w:abstractNum>
  <w:abstractNum w:abstractNumId="8">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9">
    <w:nsid w:val="1C870535"/>
    <w:multiLevelType w:val="singleLevel"/>
    <w:tmpl w:val="1C870535"/>
    <w:lvl w:ilvl="0" w:tentative="0">
      <w:start w:val="1"/>
      <w:numFmt w:val="decimal"/>
      <w:suff w:val="nothing"/>
      <w:lvlText w:val="%1、"/>
      <w:lvlJc w:val="left"/>
      <w:rPr>
        <w:rFonts w:hint="default"/>
        <w:b/>
        <w:bCs/>
      </w:rPr>
    </w:lvl>
  </w:abstractNum>
  <w:abstractNum w:abstractNumId="10">
    <w:nsid w:val="1D9874AA"/>
    <w:multiLevelType w:val="singleLevel"/>
    <w:tmpl w:val="1D9874AA"/>
    <w:lvl w:ilvl="0" w:tentative="0">
      <w:start w:val="1"/>
      <w:numFmt w:val="chineseCounting"/>
      <w:suff w:val="nothing"/>
      <w:lvlText w:val="%1、"/>
      <w:lvlJc w:val="left"/>
      <w:rPr>
        <w:rFonts w:hint="eastAsia"/>
      </w:rPr>
    </w:lvl>
  </w:abstractNum>
  <w:abstractNum w:abstractNumId="11">
    <w:nsid w:val="567023B9"/>
    <w:multiLevelType w:val="singleLevel"/>
    <w:tmpl w:val="567023B9"/>
    <w:lvl w:ilvl="0" w:tentative="0">
      <w:start w:val="1"/>
      <w:numFmt w:val="decimal"/>
      <w:suff w:val="nothing"/>
      <w:lvlText w:val="%1、"/>
      <w:lvlJc w:val="left"/>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6"/>
  </w:num>
  <w:num w:numId="2">
    <w:abstractNumId w:val="3"/>
  </w:num>
  <w:num w:numId="3">
    <w:abstractNumId w:val="9"/>
  </w:num>
  <w:num w:numId="4">
    <w:abstractNumId w:val="5"/>
  </w:num>
  <w:num w:numId="5">
    <w:abstractNumId w:val="7"/>
  </w:num>
  <w:num w:numId="6">
    <w:abstractNumId w:val="12"/>
  </w:num>
  <w:num w:numId="7">
    <w:abstractNumId w:val="8"/>
  </w:num>
  <w:num w:numId="8">
    <w:abstractNumId w:val="10"/>
  </w:num>
  <w:num w:numId="9">
    <w:abstractNumId w:val="11"/>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fs2XKhSG+hit/UjY9t+WTymg7K4=" w:salt="co6NzLCP9wIvGGxm6CXX9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2005B8D"/>
    <w:rsid w:val="0560216C"/>
    <w:rsid w:val="07677F35"/>
    <w:rsid w:val="07E22A1E"/>
    <w:rsid w:val="087D170E"/>
    <w:rsid w:val="0C2C12C5"/>
    <w:rsid w:val="0CDB347F"/>
    <w:rsid w:val="0DB8731C"/>
    <w:rsid w:val="0F5D461F"/>
    <w:rsid w:val="10122848"/>
    <w:rsid w:val="11A93B4C"/>
    <w:rsid w:val="14926CC5"/>
    <w:rsid w:val="15064E11"/>
    <w:rsid w:val="15F405EB"/>
    <w:rsid w:val="161401DB"/>
    <w:rsid w:val="194A79C2"/>
    <w:rsid w:val="199F06C1"/>
    <w:rsid w:val="1CCD2EB3"/>
    <w:rsid w:val="1DAE1A6F"/>
    <w:rsid w:val="1DCE5781"/>
    <w:rsid w:val="1E8C6B08"/>
    <w:rsid w:val="1E9811D0"/>
    <w:rsid w:val="20677AD3"/>
    <w:rsid w:val="20D34741"/>
    <w:rsid w:val="24E6773E"/>
    <w:rsid w:val="25AB6412"/>
    <w:rsid w:val="27001DCB"/>
    <w:rsid w:val="27044385"/>
    <w:rsid w:val="2809000E"/>
    <w:rsid w:val="281C1F8A"/>
    <w:rsid w:val="282D2989"/>
    <w:rsid w:val="29143B49"/>
    <w:rsid w:val="2B6B0C1C"/>
    <w:rsid w:val="2CF52523"/>
    <w:rsid w:val="2CFF55C1"/>
    <w:rsid w:val="2F363C4A"/>
    <w:rsid w:val="2F642E8E"/>
    <w:rsid w:val="2FD92135"/>
    <w:rsid w:val="2FF75092"/>
    <w:rsid w:val="329F4483"/>
    <w:rsid w:val="33134E71"/>
    <w:rsid w:val="35966615"/>
    <w:rsid w:val="37A442EA"/>
    <w:rsid w:val="38C55C94"/>
    <w:rsid w:val="3A58061F"/>
    <w:rsid w:val="3DDE2C63"/>
    <w:rsid w:val="3EA80078"/>
    <w:rsid w:val="3EF518D7"/>
    <w:rsid w:val="41173CAB"/>
    <w:rsid w:val="4493311A"/>
    <w:rsid w:val="45007F5B"/>
    <w:rsid w:val="47857C94"/>
    <w:rsid w:val="4B7613B8"/>
    <w:rsid w:val="4C03387D"/>
    <w:rsid w:val="4D7E765F"/>
    <w:rsid w:val="4DAC7892"/>
    <w:rsid w:val="4F461FE7"/>
    <w:rsid w:val="4F8151E4"/>
    <w:rsid w:val="55C3101A"/>
    <w:rsid w:val="57206CE0"/>
    <w:rsid w:val="57415D69"/>
    <w:rsid w:val="577657E8"/>
    <w:rsid w:val="5D403159"/>
    <w:rsid w:val="5E361890"/>
    <w:rsid w:val="5E4E17D8"/>
    <w:rsid w:val="5EE82A63"/>
    <w:rsid w:val="637A221F"/>
    <w:rsid w:val="66576686"/>
    <w:rsid w:val="66F260F2"/>
    <w:rsid w:val="697275C4"/>
    <w:rsid w:val="69F85DC8"/>
    <w:rsid w:val="6ADE3093"/>
    <w:rsid w:val="6BFE7C2B"/>
    <w:rsid w:val="6C537AB1"/>
    <w:rsid w:val="6D441D97"/>
    <w:rsid w:val="6E3470A8"/>
    <w:rsid w:val="6EEF5F38"/>
    <w:rsid w:val="6FA504B7"/>
    <w:rsid w:val="721414BF"/>
    <w:rsid w:val="73272BC7"/>
    <w:rsid w:val="733C129F"/>
    <w:rsid w:val="7474679E"/>
    <w:rsid w:val="74B25521"/>
    <w:rsid w:val="75723680"/>
    <w:rsid w:val="75F93477"/>
    <w:rsid w:val="784A2271"/>
    <w:rsid w:val="7C8A307B"/>
    <w:rsid w:val="7D4E22FA"/>
    <w:rsid w:val="7E55487E"/>
    <w:rsid w:val="7F4C316E"/>
    <w:rsid w:val="7F4C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szCs w:val="28"/>
    </w:rPr>
  </w:style>
  <w:style w:type="paragraph" w:styleId="3">
    <w:name w:val="Normal Indent"/>
    <w:basedOn w:val="1"/>
    <w:qFormat/>
    <w:uiPriority w:val="0"/>
    <w:pPr>
      <w:ind w:firstLine="420"/>
    </w:pPr>
    <w:rPr>
      <w:rFonts w:ascii="宋体" w:hAnsi="宋体" w:eastAsia="宋体" w:cs="宋体"/>
      <w:kern w:val="44"/>
      <w:sz w:val="21"/>
      <w:szCs w:val="21"/>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黑体" w:hAnsi="Courier New" w:eastAsia="黑体" w:cs="Times New Roman"/>
      <w:szCs w:val="20"/>
    </w:rPr>
  </w:style>
  <w:style w:type="paragraph" w:styleId="6">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7">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9">
    <w:name w:val="toc 1"/>
    <w:basedOn w:val="1"/>
    <w:next w:val="1"/>
    <w:autoRedefine/>
    <w:qFormat/>
    <w:uiPriority w:val="0"/>
    <w:rPr>
      <w:rFonts w:ascii="Calibri" w:hAnsi="Calibri" w:eastAsia="宋体" w:cs="Times New Roman"/>
    </w:rPr>
  </w:style>
  <w:style w:type="paragraph" w:customStyle="1" w:styleId="1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6669</Words>
  <Characters>6939</Characters>
  <Lines>0</Lines>
  <Paragraphs>0</Paragraphs>
  <TotalTime>0</TotalTime>
  <ScaleCrop>false</ScaleCrop>
  <LinksUpToDate>false</LinksUpToDate>
  <CharactersWithSpaces>7547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2023-11-09T02:14:00Z</dcterms:created>
  <dc:creator>周轶群</dc:creator>
  <cp:lastModifiedBy>潮</cp:lastModifiedBy>
  <dcterms:modified xsi:type="dcterms:W3CDTF">2025-11-10T08:29:35Z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163A611B0BA84728962FE0B90FEBAB5A_13</vt:lpwstr>
  </property>
  <property fmtid="{D5CDD505-2E9C-101B-9397-08002B2CF9AE}" pid="4" name="KSOTemplateDocerSaveRecord">
    <vt:lpwstr>eyJoZGlkIjoiMmQ2ZTg5ZjA5MzgxZWMzZDdhMmQxZTlhYTBjNjAxYjciLCJ1c2VySWQiOiI5NTM4MTE3NDgifQ==</vt:lpwstr>
  </property>
</Properties>
</file>