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A11506">
      <w:pPr>
        <w:tabs>
          <w:tab w:val="left" w:pos="180"/>
        </w:tabs>
        <w:spacing w:line="600" w:lineRule="auto"/>
        <w:ind w:firstLine="138" w:firstLineChars="49"/>
        <w:jc w:val="right"/>
        <w:rPr>
          <w:rFonts w:hint="eastAsia" w:hAnsi="宋体"/>
          <w:b/>
          <w:color w:val="000000" w:themeColor="text1"/>
          <w:sz w:val="28"/>
          <w:szCs w:val="28"/>
          <w:highlight w:val="none"/>
          <w14:textFill>
            <w14:solidFill>
              <w14:schemeClr w14:val="tx1"/>
            </w14:solidFill>
          </w14:textFill>
        </w:rPr>
      </w:pPr>
    </w:p>
    <w:p w14:paraId="6CB0490A">
      <w:pPr>
        <w:tabs>
          <w:tab w:val="left" w:pos="180"/>
        </w:tabs>
        <w:spacing w:line="600" w:lineRule="auto"/>
        <w:ind w:right="695" w:rightChars="331"/>
        <w:rPr>
          <w:rFonts w:hint="eastAsia" w:hAnsi="宋体"/>
          <w:b/>
          <w:color w:val="000000" w:themeColor="text1"/>
          <w:sz w:val="44"/>
          <w:szCs w:val="44"/>
          <w:highlight w:val="none"/>
          <w:u w:val="single"/>
          <w14:textFill>
            <w14:solidFill>
              <w14:schemeClr w14:val="tx1"/>
            </w14:solidFill>
          </w14:textFill>
        </w:rPr>
      </w:pPr>
    </w:p>
    <w:p w14:paraId="7EE2040D">
      <w:pPr>
        <w:tabs>
          <w:tab w:val="left" w:pos="180"/>
        </w:tabs>
        <w:spacing w:line="360" w:lineRule="auto"/>
        <w:ind w:right="48" w:rightChars="23"/>
        <w:jc w:val="center"/>
        <w:rPr>
          <w:rFonts w:hint="default" w:hAnsi="宋体" w:eastAsia="宋体"/>
          <w:b/>
          <w:color w:val="000000" w:themeColor="text1"/>
          <w:sz w:val="48"/>
          <w:szCs w:val="48"/>
          <w:highlight w:val="none"/>
          <w:lang w:val="en-US" w:eastAsia="zh-CN"/>
          <w14:textFill>
            <w14:solidFill>
              <w14:schemeClr w14:val="tx1"/>
            </w14:solidFill>
          </w14:textFill>
        </w:rPr>
      </w:pPr>
      <w:r>
        <w:rPr>
          <w:rFonts w:hint="eastAsia" w:hAnsi="宋体"/>
          <w:b/>
          <w:color w:val="000000" w:themeColor="text1"/>
          <w:sz w:val="48"/>
          <w:szCs w:val="48"/>
          <w:highlight w:val="none"/>
          <w14:textFill>
            <w14:solidFill>
              <w14:schemeClr w14:val="tx1"/>
            </w14:solidFill>
          </w14:textFill>
        </w:rPr>
        <w:t>广西</w:t>
      </w:r>
      <w:r>
        <w:rPr>
          <w:rFonts w:hint="eastAsia" w:hAnsi="宋体"/>
          <w:b/>
          <w:color w:val="000000" w:themeColor="text1"/>
          <w:sz w:val="48"/>
          <w:szCs w:val="48"/>
          <w:highlight w:val="none"/>
          <w:lang w:val="en-US" w:eastAsia="zh-CN"/>
          <w14:textFill>
            <w14:solidFill>
              <w14:schemeClr w14:val="tx1"/>
            </w14:solidFill>
          </w14:textFill>
        </w:rPr>
        <w:t>桂林项目</w:t>
      </w:r>
      <w:r>
        <w:rPr>
          <w:rFonts w:hint="eastAsia" w:hAnsi="宋体"/>
          <w:b/>
          <w:color w:val="000000" w:themeColor="text1"/>
          <w:sz w:val="48"/>
          <w:szCs w:val="48"/>
          <w:highlight w:val="none"/>
          <w14:textFill>
            <w14:solidFill>
              <w14:schemeClr w14:val="tx1"/>
            </w14:solidFill>
          </w14:textFill>
        </w:rPr>
        <w:t>路面</w:t>
      </w:r>
      <w:r>
        <w:rPr>
          <w:rFonts w:hint="eastAsia" w:hAnsi="宋体"/>
          <w:b/>
          <w:color w:val="000000" w:themeColor="text1"/>
          <w:sz w:val="48"/>
          <w:szCs w:val="48"/>
          <w:highlight w:val="none"/>
          <w:lang w:val="en-US" w:eastAsia="zh-CN"/>
          <w14:textFill>
            <w14:solidFill>
              <w14:schemeClr w14:val="tx1"/>
            </w14:solidFill>
          </w14:textFill>
        </w:rPr>
        <w:t>混凝土铣刨</w:t>
      </w:r>
    </w:p>
    <w:p w14:paraId="45880F6F">
      <w:pPr>
        <w:tabs>
          <w:tab w:val="left" w:pos="180"/>
        </w:tabs>
        <w:spacing w:line="360" w:lineRule="auto"/>
        <w:ind w:right="48" w:rightChars="23"/>
        <w:jc w:val="center"/>
        <w:rPr>
          <w:rFonts w:hint="eastAsia" w:hAnsi="宋体"/>
          <w:b/>
          <w:color w:val="000000" w:themeColor="text1"/>
          <w:sz w:val="48"/>
          <w:szCs w:val="48"/>
          <w:highlight w:val="none"/>
          <w14:textFill>
            <w14:solidFill>
              <w14:schemeClr w14:val="tx1"/>
            </w14:solidFill>
          </w14:textFill>
        </w:rPr>
      </w:pPr>
      <w:r>
        <w:rPr>
          <w:rFonts w:hint="eastAsia" w:hAnsi="宋体"/>
          <w:b/>
          <w:color w:val="000000" w:themeColor="text1"/>
          <w:sz w:val="48"/>
          <w:szCs w:val="48"/>
          <w:highlight w:val="none"/>
          <w14:textFill>
            <w14:solidFill>
              <w14:schemeClr w14:val="tx1"/>
            </w14:solidFill>
          </w14:textFill>
        </w:rPr>
        <w:t>施工劳务分包工程</w:t>
      </w:r>
    </w:p>
    <w:p w14:paraId="7131851B">
      <w:pPr>
        <w:jc w:val="center"/>
        <w:rPr>
          <w:b/>
          <w:color w:val="000000" w:themeColor="text1"/>
          <w:sz w:val="72"/>
          <w:szCs w:val="72"/>
          <w:highlight w:val="none"/>
          <w14:textFill>
            <w14:solidFill>
              <w14:schemeClr w14:val="tx1"/>
            </w14:solidFill>
          </w14:textFill>
        </w:rPr>
      </w:pPr>
    </w:p>
    <w:p w14:paraId="35AF2067">
      <w:pPr>
        <w:jc w:val="center"/>
        <w:rPr>
          <w:b/>
          <w:color w:val="000000" w:themeColor="text1"/>
          <w:sz w:val="36"/>
          <w:szCs w:val="36"/>
          <w:highlight w:val="none"/>
          <w14:textFill>
            <w14:solidFill>
              <w14:schemeClr w14:val="tx1"/>
            </w14:solidFill>
          </w14:textFill>
        </w:rPr>
      </w:pPr>
    </w:p>
    <w:p w14:paraId="4E1C3887">
      <w:pPr>
        <w:tabs>
          <w:tab w:val="left" w:pos="180"/>
        </w:tabs>
        <w:spacing w:line="600" w:lineRule="auto"/>
        <w:ind w:firstLine="138" w:firstLineChars="49"/>
        <w:jc w:val="center"/>
        <w:rPr>
          <w:rFonts w:hint="default" w:hAnsi="宋体" w:eastAsia="宋体"/>
          <w:b/>
          <w:color w:val="000000" w:themeColor="text1"/>
          <w:sz w:val="28"/>
          <w:szCs w:val="28"/>
          <w:highlight w:val="none"/>
          <w:u w:val="single"/>
          <w:lang w:val="en-US" w:eastAsia="zh-CN"/>
          <w14:textFill>
            <w14:solidFill>
              <w14:schemeClr w14:val="tx1"/>
            </w14:solidFill>
          </w14:textFill>
        </w:rPr>
      </w:pPr>
      <w:r>
        <w:rPr>
          <w:rFonts w:hint="eastAsia" w:hAnsi="宋体"/>
          <w:b/>
          <w:color w:val="000000" w:themeColor="text1"/>
          <w:sz w:val="28"/>
          <w:szCs w:val="28"/>
          <w:highlight w:val="none"/>
          <w14:textFill>
            <w14:solidFill>
              <w14:schemeClr w14:val="tx1"/>
            </w14:solidFill>
          </w14:textFill>
        </w:rPr>
        <w:t>采购文件编号：</w:t>
      </w:r>
      <w:r>
        <w:rPr>
          <w:rFonts w:hint="eastAsia" w:hAnsi="宋体"/>
          <w:b/>
          <w:color w:val="000000" w:themeColor="text1"/>
          <w:sz w:val="28"/>
          <w:szCs w:val="28"/>
          <w:highlight w:val="none"/>
          <w:u w:val="single"/>
          <w14:textFill>
            <w14:solidFill>
              <w14:schemeClr w14:val="tx1"/>
            </w14:solidFill>
          </w14:textFill>
        </w:rPr>
        <w:t>ZJLQ-FBCG-（</w:t>
      </w:r>
      <w:r>
        <w:rPr>
          <w:rFonts w:hint="eastAsia" w:hAnsi="宋体"/>
          <w:b/>
          <w:color w:val="000000" w:themeColor="text1"/>
          <w:sz w:val="28"/>
          <w:szCs w:val="28"/>
          <w:highlight w:val="none"/>
          <w:u w:val="single"/>
          <w:lang w:val="en-US" w:eastAsia="zh-CN"/>
          <w14:textFill>
            <w14:solidFill>
              <w14:schemeClr w14:val="tx1"/>
            </w14:solidFill>
          </w14:textFill>
        </w:rPr>
        <w:t>广西桂林项目</w:t>
      </w:r>
      <w:r>
        <w:rPr>
          <w:rFonts w:hint="eastAsia" w:hAnsi="宋体"/>
          <w:b/>
          <w:color w:val="000000" w:themeColor="text1"/>
          <w:sz w:val="28"/>
          <w:szCs w:val="28"/>
          <w:highlight w:val="none"/>
          <w:u w:val="single"/>
          <w14:textFill>
            <w14:solidFill>
              <w14:schemeClr w14:val="tx1"/>
            </w14:solidFill>
          </w14:textFill>
        </w:rPr>
        <w:t>）-0</w:t>
      </w:r>
      <w:r>
        <w:rPr>
          <w:rFonts w:hint="eastAsia" w:hAnsi="宋体"/>
          <w:b/>
          <w:color w:val="000000" w:themeColor="text1"/>
          <w:sz w:val="28"/>
          <w:szCs w:val="28"/>
          <w:highlight w:val="none"/>
          <w:u w:val="single"/>
          <w:lang w:val="en-US" w:eastAsia="zh-CN"/>
          <w14:textFill>
            <w14:solidFill>
              <w14:schemeClr w14:val="tx1"/>
            </w14:solidFill>
          </w14:textFill>
        </w:rPr>
        <w:t>08</w:t>
      </w:r>
    </w:p>
    <w:p w14:paraId="01FC247D">
      <w:pPr>
        <w:jc w:val="center"/>
        <w:rPr>
          <w:rFonts w:hint="eastAsia" w:hAnsi="宋体"/>
          <w:b/>
          <w:color w:val="000000" w:themeColor="text1"/>
          <w:sz w:val="72"/>
          <w:highlight w:val="none"/>
          <w14:textFill>
            <w14:solidFill>
              <w14:schemeClr w14:val="tx1"/>
            </w14:solidFill>
          </w14:textFill>
        </w:rPr>
      </w:pPr>
      <w:r>
        <w:rPr>
          <w:rFonts w:hint="eastAsia" w:hAnsi="宋体"/>
          <w:b/>
          <w:color w:val="000000" w:themeColor="text1"/>
          <w:sz w:val="72"/>
          <w:highlight w:val="none"/>
          <w14:textFill>
            <w14:solidFill>
              <w14:schemeClr w14:val="tx1"/>
            </w14:solidFill>
          </w14:textFill>
        </w:rPr>
        <w:t>采购文件</w:t>
      </w:r>
    </w:p>
    <w:p w14:paraId="411070FA">
      <w:pPr>
        <w:jc w:val="center"/>
        <w:rPr>
          <w:b/>
          <w:color w:val="000000" w:themeColor="text1"/>
          <w:sz w:val="36"/>
          <w:szCs w:val="36"/>
          <w:highlight w:val="none"/>
          <w14:textFill>
            <w14:solidFill>
              <w14:schemeClr w14:val="tx1"/>
            </w14:solidFill>
          </w14:textFill>
        </w:rPr>
      </w:pPr>
    </w:p>
    <w:p w14:paraId="2ECB0F0D">
      <w:pPr>
        <w:jc w:val="center"/>
        <w:rPr>
          <w:b/>
          <w:color w:val="000000" w:themeColor="text1"/>
          <w:sz w:val="36"/>
          <w:szCs w:val="36"/>
          <w:highlight w:val="none"/>
          <w14:textFill>
            <w14:solidFill>
              <w14:schemeClr w14:val="tx1"/>
            </w14:solidFill>
          </w14:textFill>
        </w:rPr>
      </w:pPr>
    </w:p>
    <w:p w14:paraId="3F0D233D">
      <w:pPr>
        <w:jc w:val="center"/>
        <w:rPr>
          <w:b/>
          <w:color w:val="000000" w:themeColor="text1"/>
          <w:sz w:val="36"/>
          <w:szCs w:val="36"/>
          <w:highlight w:val="none"/>
          <w14:textFill>
            <w14:solidFill>
              <w14:schemeClr w14:val="tx1"/>
            </w14:solidFill>
          </w14:textFill>
        </w:rPr>
      </w:pPr>
    </w:p>
    <w:p w14:paraId="30198CD8">
      <w:pPr>
        <w:jc w:val="center"/>
        <w:rPr>
          <w:b/>
          <w:color w:val="000000" w:themeColor="text1"/>
          <w:sz w:val="36"/>
          <w:szCs w:val="36"/>
          <w:highlight w:val="none"/>
          <w14:textFill>
            <w14:solidFill>
              <w14:schemeClr w14:val="tx1"/>
            </w14:solidFill>
          </w14:textFill>
        </w:rPr>
      </w:pPr>
    </w:p>
    <w:p w14:paraId="5F3D01A6">
      <w:pPr>
        <w:jc w:val="center"/>
        <w:rPr>
          <w:b/>
          <w:color w:val="000000" w:themeColor="text1"/>
          <w:sz w:val="36"/>
          <w:szCs w:val="36"/>
          <w:highlight w:val="none"/>
          <w14:textFill>
            <w14:solidFill>
              <w14:schemeClr w14:val="tx1"/>
            </w14:solidFill>
          </w14:textFill>
        </w:rPr>
      </w:pPr>
    </w:p>
    <w:p w14:paraId="42752C93">
      <w:pPr>
        <w:jc w:val="center"/>
        <w:rPr>
          <w:b/>
          <w:color w:val="000000" w:themeColor="text1"/>
          <w:sz w:val="36"/>
          <w:szCs w:val="36"/>
          <w:highlight w:val="none"/>
          <w14:textFill>
            <w14:solidFill>
              <w14:schemeClr w14:val="tx1"/>
            </w14:solidFill>
          </w14:textFill>
        </w:rPr>
      </w:pPr>
    </w:p>
    <w:p w14:paraId="243BD321">
      <w:pPr>
        <w:jc w:val="center"/>
        <w:rPr>
          <w:b/>
          <w:color w:val="000000" w:themeColor="text1"/>
          <w:sz w:val="36"/>
          <w:szCs w:val="36"/>
          <w:highlight w:val="none"/>
          <w14:textFill>
            <w14:solidFill>
              <w14:schemeClr w14:val="tx1"/>
            </w14:solidFill>
          </w14:textFill>
        </w:rPr>
      </w:pPr>
    </w:p>
    <w:p w14:paraId="261F56A8">
      <w:pPr>
        <w:jc w:val="center"/>
        <w:rPr>
          <w:b/>
          <w:color w:val="000000" w:themeColor="text1"/>
          <w:sz w:val="36"/>
          <w:szCs w:val="36"/>
          <w:highlight w:val="none"/>
          <w14:textFill>
            <w14:solidFill>
              <w14:schemeClr w14:val="tx1"/>
            </w14:solidFill>
          </w14:textFill>
        </w:rPr>
      </w:pPr>
    </w:p>
    <w:p w14:paraId="1B4C3151">
      <w:pPr>
        <w:jc w:val="center"/>
        <w:rPr>
          <w:b/>
          <w:color w:val="000000" w:themeColor="text1"/>
          <w:sz w:val="36"/>
          <w:szCs w:val="36"/>
          <w:highlight w:val="none"/>
          <w14:textFill>
            <w14:solidFill>
              <w14:schemeClr w14:val="tx1"/>
            </w14:solidFill>
          </w14:textFill>
        </w:rPr>
      </w:pPr>
    </w:p>
    <w:p w14:paraId="550CB270">
      <w:pPr>
        <w:jc w:val="center"/>
        <w:rPr>
          <w:b/>
          <w:color w:val="000000" w:themeColor="text1"/>
          <w:sz w:val="36"/>
          <w:szCs w:val="36"/>
          <w:highlight w:val="none"/>
          <w14:textFill>
            <w14:solidFill>
              <w14:schemeClr w14:val="tx1"/>
            </w14:solidFill>
          </w14:textFill>
        </w:rPr>
      </w:pPr>
    </w:p>
    <w:p w14:paraId="63264D80">
      <w:pPr>
        <w:jc w:val="center"/>
        <w:rPr>
          <w:b/>
          <w:color w:val="000000" w:themeColor="text1"/>
          <w:sz w:val="36"/>
          <w:szCs w:val="36"/>
          <w:highlight w:val="none"/>
          <w14:textFill>
            <w14:solidFill>
              <w14:schemeClr w14:val="tx1"/>
            </w14:solidFill>
          </w14:textFill>
        </w:rPr>
      </w:pPr>
    </w:p>
    <w:p w14:paraId="4F780708">
      <w:pPr>
        <w:spacing w:line="360" w:lineRule="auto"/>
        <w:ind w:right="27" w:rightChars="13"/>
        <w:jc w:val="center"/>
        <w:rPr>
          <w:b/>
          <w:color w:val="000000" w:themeColor="text1"/>
          <w:sz w:val="36"/>
          <w:szCs w:val="36"/>
          <w:highlight w:val="none"/>
          <w14:textFill>
            <w14:solidFill>
              <w14:schemeClr w14:val="tx1"/>
            </w14:solidFill>
          </w14:textFill>
        </w:rPr>
      </w:pPr>
      <w:r>
        <w:rPr>
          <w:rFonts w:hint="eastAsia"/>
          <w:b/>
          <w:color w:val="000000" w:themeColor="text1"/>
          <w:sz w:val="36"/>
          <w:szCs w:val="36"/>
          <w:highlight w:val="none"/>
          <w14:textFill>
            <w14:solidFill>
              <w14:schemeClr w14:val="tx1"/>
            </w14:solidFill>
          </w14:textFill>
        </w:rPr>
        <w:t>中建路桥集团</w:t>
      </w:r>
      <w:r>
        <w:rPr>
          <w:b/>
          <w:color w:val="000000" w:themeColor="text1"/>
          <w:sz w:val="36"/>
          <w:szCs w:val="36"/>
          <w:highlight w:val="none"/>
          <w14:textFill>
            <w14:solidFill>
              <w14:schemeClr w14:val="tx1"/>
            </w14:solidFill>
          </w14:textFill>
        </w:rPr>
        <w:t>有限公司</w:t>
      </w:r>
    </w:p>
    <w:p w14:paraId="4AB2AE73">
      <w:pPr>
        <w:spacing w:line="360" w:lineRule="auto"/>
        <w:jc w:val="center"/>
        <w:rPr>
          <w:b/>
          <w:color w:val="000000" w:themeColor="text1"/>
          <w:sz w:val="36"/>
          <w:szCs w:val="36"/>
          <w:highlight w:val="none"/>
          <w14:textFill>
            <w14:solidFill>
              <w14:schemeClr w14:val="tx1"/>
            </w14:solidFill>
          </w14:textFill>
        </w:rPr>
      </w:pPr>
      <w:r>
        <w:rPr>
          <w:rFonts w:hint="eastAsia"/>
          <w:b/>
          <w:color w:val="000000" w:themeColor="text1"/>
          <w:sz w:val="36"/>
          <w:szCs w:val="36"/>
          <w:highlight w:val="none"/>
          <w14:textFill>
            <w14:solidFill>
              <w14:schemeClr w14:val="tx1"/>
            </w14:solidFill>
          </w14:textFill>
        </w:rPr>
        <w:t>2026年</w:t>
      </w:r>
      <w:r>
        <w:rPr>
          <w:rFonts w:hint="eastAsia"/>
          <w:b/>
          <w:color w:val="000000" w:themeColor="text1"/>
          <w:sz w:val="36"/>
          <w:szCs w:val="36"/>
          <w:highlight w:val="none"/>
          <w:lang w:val="en-US" w:eastAsia="zh-CN"/>
          <w14:textFill>
            <w14:solidFill>
              <w14:schemeClr w14:val="tx1"/>
            </w14:solidFill>
          </w14:textFill>
        </w:rPr>
        <w:t>8</w:t>
      </w:r>
      <w:r>
        <w:rPr>
          <w:rFonts w:hint="eastAsia"/>
          <w:b/>
          <w:color w:val="000000" w:themeColor="text1"/>
          <w:sz w:val="36"/>
          <w:szCs w:val="36"/>
          <w:highlight w:val="none"/>
          <w14:textFill>
            <w14:solidFill>
              <w14:schemeClr w14:val="tx1"/>
            </w14:solidFill>
          </w14:textFill>
        </w:rPr>
        <w:t>月</w:t>
      </w:r>
    </w:p>
    <w:p w14:paraId="43DB44DF">
      <w:pPr>
        <w:spacing w:line="360" w:lineRule="auto"/>
        <w:ind w:right="17" w:firstLine="1932"/>
        <w:rPr>
          <w:color w:val="000000" w:themeColor="text1"/>
          <w:sz w:val="24"/>
          <w:highlight w:val="none"/>
          <w14:textFill>
            <w14:solidFill>
              <w14:schemeClr w14:val="tx1"/>
            </w14:solidFill>
          </w14:textFill>
        </w:rPr>
      </w:pPr>
    </w:p>
    <w:p w14:paraId="22CDE378">
      <w:pPr>
        <w:spacing w:line="360" w:lineRule="auto"/>
        <w:ind w:right="17" w:firstLine="1932"/>
        <w:rPr>
          <w:color w:val="000000" w:themeColor="text1"/>
          <w:sz w:val="24"/>
          <w:highlight w:val="none"/>
          <w14:textFill>
            <w14:solidFill>
              <w14:schemeClr w14:val="tx1"/>
            </w14:solidFill>
          </w14:textFill>
        </w:rPr>
        <w:sectPr>
          <w:headerReference r:id="rId5" w:type="first"/>
          <w:headerReference r:id="rId3" w:type="default"/>
          <w:footerReference r:id="rId6" w:type="default"/>
          <w:headerReference r:id="rId4" w:type="even"/>
          <w:footerReference r:id="rId7" w:type="even"/>
          <w:pgSz w:w="11907" w:h="16840"/>
          <w:pgMar w:top="1417" w:right="1701" w:bottom="1417" w:left="1701" w:header="850" w:footer="1134" w:gutter="0"/>
          <w:cols w:space="0" w:num="1"/>
          <w:rtlGutter w:val="0"/>
          <w:docGrid w:linePitch="312" w:charSpace="0"/>
        </w:sectPr>
      </w:pPr>
    </w:p>
    <w:p w14:paraId="3FF757C5">
      <w:pPr>
        <w:pStyle w:val="2"/>
        <w:rPr>
          <w:color w:val="000000" w:themeColor="text1"/>
          <w:highlight w:val="none"/>
          <w14:textFill>
            <w14:solidFill>
              <w14:schemeClr w14:val="tx1"/>
            </w14:solidFill>
          </w14:textFill>
        </w:rPr>
      </w:pPr>
      <w:bookmarkStart w:id="0" w:name="_Toc53949168"/>
      <w:bookmarkStart w:id="1" w:name="_Toc54278546"/>
      <w:bookmarkStart w:id="2" w:name="_Toc53916200"/>
      <w:bookmarkStart w:id="3" w:name="_Toc144872077"/>
      <w:bookmarkStart w:id="4" w:name="_Toc53939570"/>
      <w:bookmarkStart w:id="5" w:name="_Toc54291111"/>
      <w:bookmarkStart w:id="6" w:name="_Toc53918797"/>
      <w:bookmarkStart w:id="7" w:name="_Toc54281207"/>
      <w:bookmarkStart w:id="8" w:name="_Toc53936506"/>
      <w:bookmarkStart w:id="9" w:name="_Toc53945771"/>
      <w:bookmarkStart w:id="10" w:name="_Toc54280781"/>
      <w:bookmarkStart w:id="11" w:name="_Toc145499727"/>
      <w:bookmarkStart w:id="12" w:name="_Toc284135586"/>
      <w:bookmarkStart w:id="13" w:name="_Toc53948325"/>
      <w:bookmarkStart w:id="14" w:name="_Toc145426861"/>
      <w:bookmarkStart w:id="15" w:name="_Toc54280355"/>
      <w:bookmarkStart w:id="16" w:name="_Toc54279929"/>
      <w:r>
        <w:rPr>
          <w:rFonts w:hint="eastAsia"/>
          <w:color w:val="000000" w:themeColor="text1"/>
          <w:highlight w:val="none"/>
          <w14:textFill>
            <w14:solidFill>
              <w14:schemeClr w14:val="tx1"/>
            </w14:solidFill>
          </w14:textFill>
        </w:rPr>
        <w:t>第一篇  采购公告</w:t>
      </w:r>
    </w:p>
    <w:p w14:paraId="0EEEF371">
      <w:pPr>
        <w:spacing w:line="360" w:lineRule="auto"/>
        <w:ind w:firstLine="640" w:firstLineChars="200"/>
        <w:rPr>
          <w:rFonts w:hint="default" w:ascii="宋体" w:hAnsi="宋体" w:cs="宋体"/>
          <w:color w:val="000000" w:themeColor="text1"/>
          <w:kern w:val="0"/>
          <w:sz w:val="32"/>
          <w:szCs w:val="32"/>
          <w:highlight w:val="none"/>
          <w:lang w:val="en-US" w:eastAsia="zh-CN"/>
          <w14:textFill>
            <w14:solidFill>
              <w14:schemeClr w14:val="tx1"/>
            </w14:solidFill>
          </w14:textFill>
        </w:rPr>
      </w:pPr>
      <w:r>
        <w:rPr>
          <w:rFonts w:hint="eastAsia" w:ascii="宋体" w:hAnsi="宋体" w:cs="宋体"/>
          <w:color w:val="000000" w:themeColor="text1"/>
          <w:kern w:val="0"/>
          <w:sz w:val="32"/>
          <w:szCs w:val="32"/>
          <w:highlight w:val="none"/>
          <w:u w:val="single"/>
          <w14:textFill>
            <w14:solidFill>
              <w14:schemeClr w14:val="tx1"/>
            </w14:solidFill>
          </w14:textFill>
        </w:rPr>
        <w:t>广西</w:t>
      </w:r>
      <w:r>
        <w:rPr>
          <w:rFonts w:hint="eastAsia" w:ascii="宋体" w:hAnsi="宋体" w:cs="宋体"/>
          <w:color w:val="000000" w:themeColor="text1"/>
          <w:kern w:val="0"/>
          <w:sz w:val="32"/>
          <w:szCs w:val="32"/>
          <w:highlight w:val="none"/>
          <w:u w:val="single"/>
          <w:lang w:val="en-US" w:eastAsia="zh-CN"/>
          <w14:textFill>
            <w14:solidFill>
              <w14:schemeClr w14:val="tx1"/>
            </w14:solidFill>
          </w14:textFill>
        </w:rPr>
        <w:t>桂</w:t>
      </w:r>
      <w:r>
        <w:rPr>
          <w:rFonts w:hint="eastAsia" w:ascii="宋体" w:hAnsi="宋体" w:cs="宋体"/>
          <w:b w:val="0"/>
          <w:bCs w:val="0"/>
          <w:color w:val="000000" w:themeColor="text1"/>
          <w:kern w:val="0"/>
          <w:sz w:val="32"/>
          <w:szCs w:val="32"/>
          <w:highlight w:val="none"/>
          <w:u w:val="single"/>
          <w:lang w:val="en-US" w:eastAsia="zh-CN"/>
          <w14:textFill>
            <w14:solidFill>
              <w14:schemeClr w14:val="tx1"/>
            </w14:solidFill>
          </w14:textFill>
        </w:rPr>
        <w:t>林项</w:t>
      </w:r>
      <w:r>
        <w:rPr>
          <w:rFonts w:hint="eastAsia" w:ascii="宋体" w:hAnsi="宋体" w:cs="宋体"/>
          <w:color w:val="000000" w:themeColor="text1"/>
          <w:kern w:val="0"/>
          <w:sz w:val="32"/>
          <w:szCs w:val="32"/>
          <w:highlight w:val="none"/>
          <w:u w:val="single"/>
          <w:lang w:val="en-US" w:eastAsia="zh-CN"/>
          <w14:textFill>
            <w14:solidFill>
              <w14:schemeClr w14:val="tx1"/>
            </w14:solidFill>
          </w14:textFill>
        </w:rPr>
        <w:t>目路面混凝土铣刨施工劳务</w:t>
      </w:r>
      <w:r>
        <w:rPr>
          <w:rFonts w:hint="eastAsia" w:ascii="宋体" w:hAnsi="宋体" w:cs="宋体"/>
          <w:color w:val="000000" w:themeColor="text1"/>
          <w:kern w:val="0"/>
          <w:sz w:val="32"/>
          <w:szCs w:val="32"/>
          <w:highlight w:val="none"/>
          <w14:textFill>
            <w14:solidFill>
              <w14:schemeClr w14:val="tx1"/>
            </w14:solidFill>
          </w14:textFill>
        </w:rPr>
        <w:t>分包工程采</w:t>
      </w:r>
      <w:r>
        <w:rPr>
          <w:rFonts w:hint="eastAsia" w:ascii="宋体" w:hAnsi="宋体" w:cs="宋体"/>
          <w:color w:val="000000" w:themeColor="text1"/>
          <w:kern w:val="0"/>
          <w:sz w:val="32"/>
          <w:szCs w:val="32"/>
          <w:highlight w:val="none"/>
          <w:lang w:val="en-US" w:eastAsia="zh-CN"/>
          <w14:textFill>
            <w14:solidFill>
              <w14:schemeClr w14:val="tx1"/>
            </w14:solidFill>
          </w14:textFill>
        </w:rPr>
        <w:t>购公告</w:t>
      </w:r>
    </w:p>
    <w:p w14:paraId="4A5978B3">
      <w:pPr>
        <w:spacing w:line="360" w:lineRule="auto"/>
        <w:rPr>
          <w:b/>
          <w:color w:val="000000" w:themeColor="text1"/>
          <w:highlight w:val="none"/>
          <w14:textFill>
            <w14:solidFill>
              <w14:schemeClr w14:val="tx1"/>
            </w14:solidFill>
          </w14:textFill>
        </w:rPr>
      </w:pPr>
    </w:p>
    <w:p w14:paraId="65783CC6">
      <w:pPr>
        <w:spacing w:line="360" w:lineRule="auto"/>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 xml:space="preserve">1. </w:t>
      </w:r>
      <w:bookmarkStart w:id="17" w:name="_Toc326091674"/>
      <w:bookmarkStart w:id="18" w:name="_Toc321926658"/>
      <w:r>
        <w:rPr>
          <w:rFonts w:hint="eastAsia" w:ascii="宋体" w:hAnsi="宋体"/>
          <w:b/>
          <w:color w:val="000000" w:themeColor="text1"/>
          <w:sz w:val="28"/>
          <w:szCs w:val="28"/>
          <w:highlight w:val="none"/>
          <w14:textFill>
            <w14:solidFill>
              <w14:schemeClr w14:val="tx1"/>
            </w14:solidFill>
          </w14:textFill>
        </w:rPr>
        <w:t>采购条件</w:t>
      </w:r>
      <w:bookmarkEnd w:id="17"/>
      <w:bookmarkEnd w:id="18"/>
    </w:p>
    <w:p w14:paraId="50C05849">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坚持以习近平新时代中国特色社会主义思想为指导，全面贯彻党的二十大精神，遵守社会主义核心价值观。贯彻国家“双碳”战略，引领供应链上下游绿色低碳发展。根据中国建筑集团有限公司分包管理方针和中建路桥集团有限公司采购管理办法，</w:t>
      </w:r>
      <w:r>
        <w:rPr>
          <w:rFonts w:hint="eastAsia" w:ascii="宋体" w:hAnsi="宋体" w:cs="宋体"/>
          <w:color w:val="000000" w:themeColor="text1"/>
          <w:kern w:val="0"/>
          <w:sz w:val="24"/>
          <w:highlight w:val="none"/>
          <w:u w:val="single"/>
          <w14:textFill>
            <w14:solidFill>
              <w14:schemeClr w14:val="tx1"/>
            </w14:solidFill>
          </w14:textFill>
        </w:rPr>
        <w:t>广西</w:t>
      </w:r>
      <w:r>
        <w:rPr>
          <w:rFonts w:hint="eastAsia" w:ascii="宋体" w:hAnsi="宋体" w:cs="宋体"/>
          <w:color w:val="000000" w:themeColor="text1"/>
          <w:kern w:val="0"/>
          <w:sz w:val="24"/>
          <w:highlight w:val="none"/>
          <w:u w:val="single"/>
          <w:lang w:val="en-US" w:eastAsia="zh-CN"/>
          <w14:textFill>
            <w14:solidFill>
              <w14:schemeClr w14:val="tx1"/>
            </w14:solidFill>
          </w14:textFill>
        </w:rPr>
        <w:t>桂林项目</w:t>
      </w:r>
      <w:r>
        <w:rPr>
          <w:rFonts w:hint="eastAsia" w:ascii="宋体" w:hAnsi="宋体" w:cs="宋体"/>
          <w:color w:val="000000" w:themeColor="text1"/>
          <w:kern w:val="0"/>
          <w:sz w:val="24"/>
          <w:highlight w:val="none"/>
          <w:u w:val="single"/>
          <w14:textFill>
            <w14:solidFill>
              <w14:schemeClr w14:val="tx1"/>
            </w14:solidFill>
          </w14:textFill>
        </w:rPr>
        <w:t>路面</w:t>
      </w:r>
      <w:r>
        <w:rPr>
          <w:rFonts w:hint="eastAsia" w:ascii="宋体" w:hAnsi="宋体" w:cs="宋体"/>
          <w:color w:val="000000" w:themeColor="text1"/>
          <w:kern w:val="0"/>
          <w:sz w:val="24"/>
          <w:highlight w:val="none"/>
          <w:u w:val="single"/>
          <w:lang w:val="en-US" w:eastAsia="zh-CN"/>
          <w14:textFill>
            <w14:solidFill>
              <w14:schemeClr w14:val="tx1"/>
            </w14:solidFill>
          </w14:textFill>
        </w:rPr>
        <w:t>混凝土铣刨</w:t>
      </w:r>
      <w:r>
        <w:rPr>
          <w:rFonts w:hint="eastAsia" w:ascii="宋体" w:hAnsi="宋体" w:cs="宋体"/>
          <w:color w:val="000000" w:themeColor="text1"/>
          <w:kern w:val="0"/>
          <w:sz w:val="24"/>
          <w:highlight w:val="none"/>
          <w:u w:val="single"/>
          <w14:textFill>
            <w14:solidFill>
              <w14:schemeClr w14:val="tx1"/>
            </w14:solidFill>
          </w14:textFill>
        </w:rPr>
        <w:t>施工劳务</w:t>
      </w:r>
      <w:r>
        <w:rPr>
          <w:rFonts w:hint="eastAsia" w:ascii="宋体" w:hAnsi="宋体" w:cs="宋体"/>
          <w:color w:val="000000" w:themeColor="text1"/>
          <w:kern w:val="0"/>
          <w:sz w:val="24"/>
          <w:highlight w:val="none"/>
          <w14:textFill>
            <w14:solidFill>
              <w14:schemeClr w14:val="tx1"/>
            </w14:solidFill>
          </w14:textFill>
        </w:rPr>
        <w:t>分包工程已具备采购条件，</w:t>
      </w:r>
      <w:r>
        <w:rPr>
          <w:rFonts w:hint="eastAsia" w:ascii="宋体" w:hAnsi="宋体" w:cs="宋体"/>
          <w:color w:val="000000" w:themeColor="text1"/>
          <w:sz w:val="24"/>
          <w:highlight w:val="none"/>
          <w14:textFill>
            <w14:solidFill>
              <w14:schemeClr w14:val="tx1"/>
            </w14:solidFill>
          </w14:textFill>
        </w:rPr>
        <w:t>采购人为</w:t>
      </w:r>
      <w:r>
        <w:rPr>
          <w:rFonts w:hint="eastAsia" w:ascii="宋体" w:hAnsi="宋体" w:cs="宋体"/>
          <w:color w:val="000000" w:themeColor="text1"/>
          <w:sz w:val="24"/>
          <w:highlight w:val="none"/>
          <w:u w:val="single"/>
          <w14:textFill>
            <w14:solidFill>
              <w14:schemeClr w14:val="tx1"/>
            </w14:solidFill>
          </w14:textFill>
        </w:rPr>
        <w:t>中建路桥集团有限公司</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现对该项目进行公开采购，诚邀符合资质要求、能提供优质服务的分供商参与项目采购活动。</w:t>
      </w:r>
    </w:p>
    <w:p w14:paraId="7E07D8FC">
      <w:pPr>
        <w:spacing w:line="360" w:lineRule="auto"/>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2</w:t>
      </w:r>
      <w:r>
        <w:rPr>
          <w:rFonts w:ascii="宋体" w:hAnsi="宋体"/>
          <w:b/>
          <w:color w:val="000000" w:themeColor="text1"/>
          <w:sz w:val="28"/>
          <w:szCs w:val="28"/>
          <w:highlight w:val="none"/>
          <w14:textFill>
            <w14:solidFill>
              <w14:schemeClr w14:val="tx1"/>
            </w14:solidFill>
          </w14:textFill>
        </w:rPr>
        <w:t>．项目概况与采购范围</w:t>
      </w:r>
    </w:p>
    <w:p w14:paraId="26A80A6E">
      <w:pPr>
        <w:autoSpaceDE w:val="0"/>
        <w:autoSpaceDN w:val="0"/>
        <w:spacing w:line="360" w:lineRule="auto"/>
        <w:ind w:firstLine="480" w:firstLineChars="200"/>
        <w:jc w:val="left"/>
        <w:rPr>
          <w:rFonts w:hint="eastAsia" w:ascii="宋体" w:hAnsi="宋体" w:cs="宋体"/>
          <w:color w:val="000000" w:themeColor="text1"/>
          <w:kern w:val="0"/>
          <w:sz w:val="24"/>
          <w:highlight w:val="none"/>
          <w14:textFill>
            <w14:solidFill>
              <w14:schemeClr w14:val="tx1"/>
            </w14:solidFill>
          </w14:textFill>
        </w:rPr>
      </w:pPr>
      <w:bookmarkStart w:id="19" w:name="_Toc235071704"/>
      <w:r>
        <w:rPr>
          <w:rFonts w:hint="eastAsia" w:ascii="宋体" w:hAnsi="宋体" w:cs="宋体"/>
          <w:color w:val="000000" w:themeColor="text1"/>
          <w:kern w:val="0"/>
          <w:sz w:val="24"/>
          <w:highlight w:val="none"/>
          <w14:textFill>
            <w14:solidFill>
              <w14:schemeClr w14:val="tx1"/>
            </w14:solidFill>
          </w14:textFill>
        </w:rPr>
        <w:t>建设地点：</w:t>
      </w:r>
      <w:r>
        <w:rPr>
          <w:rFonts w:hint="eastAsia" w:ascii="宋体" w:hAnsi="宋体" w:cs="宋体"/>
          <w:color w:val="000000" w:themeColor="text1"/>
          <w:kern w:val="0"/>
          <w:sz w:val="24"/>
          <w:highlight w:val="none"/>
          <w:lang w:val="en-US" w:eastAsia="zh-CN"/>
          <w14:textFill>
            <w14:solidFill>
              <w14:schemeClr w14:val="tx1"/>
            </w14:solidFill>
          </w14:textFill>
        </w:rPr>
        <w:t>桂林市临桂区永福县</w:t>
      </w:r>
    </w:p>
    <w:p w14:paraId="027A0F56">
      <w:pPr>
        <w:autoSpaceDE w:val="0"/>
        <w:autoSpaceDN w:val="0"/>
        <w:spacing w:line="360" w:lineRule="auto"/>
        <w:ind w:firstLine="480" w:firstLineChars="20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规模：</w:t>
      </w:r>
      <w:r>
        <w:rPr>
          <w:rFonts w:hint="eastAsia"/>
          <w:b w:val="0"/>
          <w:bCs/>
          <w:color w:val="000000" w:themeColor="text1"/>
          <w:sz w:val="24"/>
          <w:szCs w:val="24"/>
          <w:highlight w:val="none"/>
          <w:u w:val="none"/>
          <w14:textFill>
            <w14:solidFill>
              <w14:schemeClr w14:val="tx1"/>
            </w14:solidFill>
          </w14:textFill>
        </w:rPr>
        <w:t>封层撒布施工劳务分包工程</w:t>
      </w:r>
      <w:r>
        <w:rPr>
          <w:rFonts w:hint="eastAsia"/>
          <w:b w:val="0"/>
          <w:bCs/>
          <w:color w:val="000000" w:themeColor="text1"/>
          <w:sz w:val="24"/>
          <w:szCs w:val="24"/>
          <w:highlight w:val="none"/>
          <w:u w:val="none"/>
          <w:lang w:eastAsia="zh-CN"/>
          <w14:textFill>
            <w14:solidFill>
              <w14:schemeClr w14:val="tx1"/>
            </w14:solidFill>
          </w14:textFill>
        </w:rPr>
        <w:t>，</w:t>
      </w:r>
      <w:r>
        <w:rPr>
          <w:rFonts w:hint="eastAsia"/>
          <w:b w:val="0"/>
          <w:bCs/>
          <w:color w:val="000000" w:themeColor="text1"/>
          <w:sz w:val="24"/>
          <w:szCs w:val="24"/>
          <w:highlight w:val="none"/>
          <w:u w:val="none"/>
          <w:lang w:val="en-US" w:eastAsia="zh-CN"/>
          <w14:textFill>
            <w14:solidFill>
              <w14:schemeClr w14:val="tx1"/>
            </w14:solidFill>
          </w14:textFill>
        </w:rPr>
        <w:t>其中</w:t>
      </w:r>
      <w:r>
        <w:rPr>
          <w:rFonts w:hint="eastAsia" w:ascii="宋体" w:hAnsi="宋体" w:cs="宋体"/>
          <w:color w:val="000000" w:themeColor="text1"/>
          <w:kern w:val="0"/>
          <w:sz w:val="24"/>
          <w:highlight w:val="none"/>
          <w:lang w:val="en-US" w:eastAsia="zh-CN"/>
          <w14:textFill>
            <w14:solidFill>
              <w14:schemeClr w14:val="tx1"/>
            </w14:solidFill>
          </w14:textFill>
        </w:rPr>
        <w:t>路基15.39km、桥梁10.44km、隧道20.5km、服务区1个、枢纽1个。</w:t>
      </w:r>
    </w:p>
    <w:p w14:paraId="420684A2">
      <w:pPr>
        <w:autoSpaceDE w:val="0"/>
        <w:autoSpaceDN w:val="0"/>
        <w:spacing w:line="360" w:lineRule="auto"/>
        <w:ind w:firstLine="480" w:firstLineChars="20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计划工期：</w:t>
      </w:r>
      <w:r>
        <w:rPr>
          <w:rFonts w:hint="eastAsia" w:ascii="宋体" w:hAnsi="宋体" w:cs="宋体"/>
          <w:color w:val="000000" w:themeColor="text1"/>
          <w:kern w:val="0"/>
          <w:sz w:val="24"/>
          <w:highlight w:val="none"/>
          <w:lang w:val="en-US" w:eastAsia="zh-CN"/>
          <w14:textFill>
            <w14:solidFill>
              <w14:schemeClr w14:val="tx1"/>
            </w14:solidFill>
          </w14:textFill>
        </w:rPr>
        <w:t>5个月</w:t>
      </w:r>
    </w:p>
    <w:p w14:paraId="0F1B113F">
      <w:pPr>
        <w:autoSpaceDE w:val="0"/>
        <w:autoSpaceDN w:val="0"/>
        <w:spacing w:line="360" w:lineRule="auto"/>
        <w:ind w:firstLine="480" w:firstLineChars="20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采购范围：</w:t>
      </w:r>
      <w:r>
        <w:rPr>
          <w:rFonts w:hint="eastAsia"/>
          <w:b w:val="0"/>
          <w:bCs/>
          <w:color w:val="000000" w:themeColor="text1"/>
          <w:sz w:val="24"/>
          <w:szCs w:val="24"/>
          <w:highlight w:val="none"/>
          <w:u w:val="none"/>
          <w:lang w:val="en-US" w:eastAsia="zh-CN"/>
          <w14:textFill>
            <w14:solidFill>
              <w14:schemeClr w14:val="tx1"/>
            </w14:solidFill>
          </w14:textFill>
        </w:rPr>
        <w:t>铣刨</w:t>
      </w:r>
      <w:r>
        <w:rPr>
          <w:rFonts w:hint="eastAsia"/>
          <w:b w:val="0"/>
          <w:bCs/>
          <w:color w:val="000000" w:themeColor="text1"/>
          <w:sz w:val="24"/>
          <w:szCs w:val="24"/>
          <w:highlight w:val="none"/>
          <w:u w:val="none"/>
          <w:lang w:eastAsia="zh-CN"/>
          <w14:textFill>
            <w14:solidFill>
              <w14:schemeClr w14:val="tx1"/>
            </w14:solidFill>
          </w14:textFill>
        </w:rPr>
        <w:t>前对</w:t>
      </w:r>
      <w:r>
        <w:rPr>
          <w:rFonts w:hint="eastAsia"/>
          <w:b w:val="0"/>
          <w:bCs/>
          <w:color w:val="000000" w:themeColor="text1"/>
          <w:sz w:val="24"/>
          <w:szCs w:val="24"/>
          <w:highlight w:val="none"/>
          <w:u w:val="none"/>
          <w:lang w:val="en-US" w:eastAsia="zh-CN"/>
          <w14:textFill>
            <w14:solidFill>
              <w14:schemeClr w14:val="tx1"/>
            </w14:solidFill>
          </w14:textFill>
        </w:rPr>
        <w:t>混凝土面层</w:t>
      </w:r>
      <w:r>
        <w:rPr>
          <w:rFonts w:hint="eastAsia"/>
          <w:b w:val="0"/>
          <w:bCs/>
          <w:color w:val="000000" w:themeColor="text1"/>
          <w:sz w:val="24"/>
          <w:szCs w:val="24"/>
          <w:highlight w:val="none"/>
          <w:u w:val="none"/>
          <w:lang w:eastAsia="zh-CN"/>
          <w14:textFill>
            <w14:solidFill>
              <w14:schemeClr w14:val="tx1"/>
            </w14:solidFill>
          </w14:textFill>
        </w:rPr>
        <w:t>的检查和清扫；</w:t>
      </w:r>
      <w:r>
        <w:rPr>
          <w:rFonts w:hint="eastAsia"/>
          <w:b w:val="0"/>
          <w:bCs/>
          <w:color w:val="000000" w:themeColor="text1"/>
          <w:sz w:val="24"/>
          <w:szCs w:val="24"/>
          <w:highlight w:val="none"/>
          <w:u w:val="none"/>
          <w:lang w:val="en-US" w:eastAsia="zh-CN"/>
          <w14:textFill>
            <w14:solidFill>
              <w14:schemeClr w14:val="tx1"/>
            </w14:solidFill>
          </w14:textFill>
        </w:rPr>
        <w:t>混凝土面层铣刨；完工后清理施工现场；</w:t>
      </w:r>
      <w:r>
        <w:rPr>
          <w:rFonts w:hint="eastAsia"/>
          <w:b w:val="0"/>
          <w:bCs/>
          <w:color w:val="000000" w:themeColor="text1"/>
          <w:sz w:val="24"/>
          <w:szCs w:val="24"/>
          <w:highlight w:val="none"/>
          <w:u w:val="none"/>
          <w:lang w:eastAsia="zh-CN"/>
          <w14:textFill>
            <w14:solidFill>
              <w14:schemeClr w14:val="tx1"/>
            </w14:solidFill>
          </w14:textFill>
        </w:rPr>
        <w:t>配合甲方进行测量等所有为完成路面</w:t>
      </w:r>
      <w:r>
        <w:rPr>
          <w:rFonts w:hint="eastAsia"/>
          <w:b w:val="0"/>
          <w:bCs/>
          <w:color w:val="000000" w:themeColor="text1"/>
          <w:sz w:val="24"/>
          <w:szCs w:val="24"/>
          <w:highlight w:val="none"/>
          <w:u w:val="none"/>
          <w:lang w:val="en-US" w:eastAsia="zh-CN"/>
          <w14:textFill>
            <w14:solidFill>
              <w14:schemeClr w14:val="tx1"/>
            </w14:solidFill>
          </w14:textFill>
        </w:rPr>
        <w:t>铣刨</w:t>
      </w:r>
      <w:r>
        <w:rPr>
          <w:rFonts w:hint="eastAsia"/>
          <w:b w:val="0"/>
          <w:bCs/>
          <w:color w:val="000000" w:themeColor="text1"/>
          <w:sz w:val="24"/>
          <w:szCs w:val="24"/>
          <w:highlight w:val="none"/>
          <w:u w:val="none"/>
          <w:lang w:eastAsia="zh-CN"/>
          <w14:textFill>
            <w14:solidFill>
              <w14:schemeClr w14:val="tx1"/>
            </w14:solidFill>
          </w14:textFill>
        </w:rPr>
        <w:t>的所有相关工作内容</w:t>
      </w:r>
    </w:p>
    <w:p w14:paraId="1C7161ED">
      <w:pPr>
        <w:autoSpaceDE w:val="0"/>
        <w:autoSpaceDN w:val="0"/>
        <w:spacing w:line="360" w:lineRule="auto"/>
        <w:ind w:firstLine="480" w:firstLineChars="200"/>
        <w:jc w:val="left"/>
        <w:rPr>
          <w:rFonts w:hint="default"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段落划分：</w:t>
      </w:r>
      <w:r>
        <w:rPr>
          <w:rFonts w:hint="eastAsia" w:ascii="宋体" w:hAnsi="宋体" w:cs="宋体"/>
          <w:color w:val="000000" w:themeColor="text1"/>
          <w:kern w:val="0"/>
          <w:sz w:val="24"/>
          <w:highlight w:val="none"/>
          <w:lang w:val="en-US" w:eastAsia="zh-CN"/>
          <w14:textFill>
            <w14:solidFill>
              <w14:schemeClr w14:val="tx1"/>
            </w14:solidFill>
          </w14:textFill>
        </w:rPr>
        <w:t>K64+294-K110+669段路面</w:t>
      </w:r>
    </w:p>
    <w:p w14:paraId="44C671E0">
      <w:pPr>
        <w:autoSpaceDE w:val="0"/>
        <w:autoSpaceDN w:val="0"/>
        <w:spacing w:line="360" w:lineRule="auto"/>
        <w:ind w:firstLine="480" w:firstLineChars="20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其他：</w:t>
      </w:r>
    </w:p>
    <w:p w14:paraId="0C0B81BC">
      <w:pPr>
        <w:spacing w:line="360" w:lineRule="auto"/>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3．响应单位资格要求</w:t>
      </w:r>
      <w:bookmarkEnd w:id="19"/>
    </w:p>
    <w:p w14:paraId="307CB73B">
      <w:pPr>
        <w:spacing w:line="360" w:lineRule="auto"/>
        <w:ind w:firstLine="480" w:firstLineChars="200"/>
        <w:rPr>
          <w:rFonts w:hint="eastAsia" w:ascii="宋体" w:hAnsi="宋体"/>
          <w:color w:val="000000" w:themeColor="text1"/>
          <w:sz w:val="24"/>
          <w:highlight w:val="none"/>
          <w14:textFill>
            <w14:solidFill>
              <w14:schemeClr w14:val="tx1"/>
            </w14:solidFill>
          </w14:textFill>
        </w:rPr>
      </w:pPr>
      <w:bookmarkStart w:id="20" w:name="_Toc235071706"/>
      <w:bookmarkStart w:id="21" w:name="_Toc232836822"/>
      <w:bookmarkStart w:id="22" w:name="_Toc184704557"/>
      <w:bookmarkStart w:id="23" w:name="_Toc234932518"/>
      <w:r>
        <w:rPr>
          <w:rFonts w:hint="eastAsia" w:ascii="宋体" w:hAnsi="宋体"/>
          <w:color w:val="000000" w:themeColor="text1"/>
          <w:sz w:val="24"/>
          <w:highlight w:val="none"/>
          <w14:textFill>
            <w14:solidFill>
              <w14:schemeClr w14:val="tx1"/>
            </w14:solidFill>
          </w14:textFill>
        </w:rPr>
        <w:t>3.1本次采购要求响应单位须具备</w:t>
      </w:r>
      <w:r>
        <w:rPr>
          <w:rFonts w:hint="eastAsia" w:ascii="宋体" w:hAnsi="宋体"/>
          <w:color w:val="000000" w:themeColor="text1"/>
          <w:sz w:val="24"/>
          <w:highlight w:val="none"/>
          <w:u w:val="single"/>
          <w:lang w:val="en-US" w:eastAsia="zh-CN"/>
          <w14:textFill>
            <w14:solidFill>
              <w14:schemeClr w14:val="tx1"/>
            </w14:solidFill>
          </w14:textFill>
        </w:rPr>
        <w:t>施工劳务不分等级</w:t>
      </w:r>
      <w:r>
        <w:rPr>
          <w:rFonts w:hint="eastAsia" w:ascii="宋体" w:hAnsi="宋体"/>
          <w:color w:val="000000" w:themeColor="text1"/>
          <w:sz w:val="24"/>
          <w:highlight w:val="none"/>
          <w14:textFill>
            <w14:solidFill>
              <w14:schemeClr w14:val="tx1"/>
            </w14:solidFill>
          </w14:textFill>
        </w:rPr>
        <w:t>资质</w:t>
      </w:r>
      <w:r>
        <w:rPr>
          <w:rFonts w:hint="eastAsia" w:ascii="宋体" w:hAnsi="宋体"/>
          <w:color w:val="000000" w:themeColor="text1"/>
          <w:sz w:val="24"/>
          <w:highlight w:val="none"/>
          <w:lang w:eastAsia="zh-CN"/>
          <w14:textFill>
            <w14:solidFill>
              <w14:schemeClr w14:val="tx1"/>
            </w14:solidFill>
          </w14:textFill>
        </w:rPr>
        <w:t>，</w:t>
      </w:r>
      <w:r>
        <w:rPr>
          <w:rFonts w:hint="eastAsia"/>
          <w:b w:val="0"/>
          <w:bCs/>
          <w:color w:val="000000" w:themeColor="text1"/>
          <w:sz w:val="24"/>
          <w:szCs w:val="24"/>
          <w:highlight w:val="none"/>
          <w:u w:val="none"/>
          <w:lang w:eastAsia="zh-CN"/>
          <w14:textFill>
            <w14:solidFill>
              <w14:schemeClr w14:val="tx1"/>
            </w14:solidFill>
          </w14:textFill>
        </w:rPr>
        <w:t>且近5年内具备</w:t>
      </w:r>
      <w:r>
        <w:rPr>
          <w:rFonts w:hint="eastAsia"/>
          <w:b w:val="0"/>
          <w:bCs/>
          <w:color w:val="000000" w:themeColor="text1"/>
          <w:sz w:val="24"/>
          <w:szCs w:val="24"/>
          <w:highlight w:val="none"/>
          <w:u w:val="none"/>
          <w:lang w:val="en-US" w:eastAsia="zh-CN"/>
          <w14:textFill>
            <w14:solidFill>
              <w14:schemeClr w14:val="tx1"/>
            </w14:solidFill>
          </w14:textFill>
        </w:rPr>
        <w:t>1项以上路面施工业绩</w:t>
      </w:r>
      <w:r>
        <w:rPr>
          <w:rFonts w:hint="eastAsia"/>
          <w:b w:val="0"/>
          <w:bCs/>
          <w:color w:val="000000" w:themeColor="text1"/>
          <w:sz w:val="24"/>
          <w:szCs w:val="24"/>
          <w:highlight w:val="none"/>
          <w:u w:val="none"/>
          <w:lang w:eastAsia="zh-CN"/>
          <w14:textFill>
            <w14:solidFill>
              <w14:schemeClr w14:val="tx1"/>
            </w14:solidFill>
          </w14:textFill>
        </w:rPr>
        <w:t>，响应单位需在中建路桥集团合格分供商名录中，未在中建系统不合格（含不良行为）名册中，并在人员、设备、资金等方面具备相应的施工能力。</w:t>
      </w:r>
    </w:p>
    <w:p w14:paraId="3B8E132C">
      <w:pPr>
        <w:pStyle w:val="15"/>
        <w:spacing w:line="360" w:lineRule="auto"/>
        <w:ind w:firstLine="480" w:firstLineChars="200"/>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3.2本次采购不接受联合体形式参与采购活动。</w:t>
      </w:r>
    </w:p>
    <w:p w14:paraId="5482566D">
      <w:pPr>
        <w:pStyle w:val="15"/>
        <w:spacing w:line="360" w:lineRule="auto"/>
        <w:ind w:firstLine="480"/>
        <w:rPr>
          <w:rFonts w:hint="eastAsia" w:hAnsi="宋体"/>
          <w:color w:val="000000" w:themeColor="text1"/>
          <w:sz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3.3每个响应单位最多可参与</w:t>
      </w:r>
      <w:r>
        <w:rPr>
          <w:rFonts w:hint="eastAsia" w:hAnsi="宋体"/>
          <w:color w:val="000000" w:themeColor="text1"/>
          <w:sz w:val="24"/>
          <w:highlight w:val="none"/>
          <w:u w:val="single"/>
          <w:lang w:val="en-US" w:eastAsia="zh-CN"/>
          <w14:textFill>
            <w14:solidFill>
              <w14:schemeClr w14:val="tx1"/>
            </w14:solidFill>
          </w14:textFill>
        </w:rPr>
        <w:t>1</w:t>
      </w:r>
      <w:r>
        <w:rPr>
          <w:rFonts w:hint="eastAsia" w:hAnsi="宋体"/>
          <w:color w:val="000000" w:themeColor="text1"/>
          <w:sz w:val="24"/>
          <w:highlight w:val="none"/>
          <w14:textFill>
            <w14:solidFill>
              <w14:schemeClr w14:val="tx1"/>
            </w14:solidFill>
          </w14:textFill>
        </w:rPr>
        <w:t>个段落施工采购活动。</w:t>
      </w:r>
    </w:p>
    <w:p w14:paraId="273A6C77">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3.4与采购人存在利害关系可能影响采购公正性的单位，不得参与采购活动。单位负责人为同一人或者存在控股、管理关系的不同单位，不得同时参与同一标段采购活动。采购人在采购过程任何阶段发现响应单位存在相互关联情形的，均将取消其参与资格。响应单位关联关系认定详见附件《关于响应单位关联关系的认定说明》。</w:t>
      </w:r>
    </w:p>
    <w:p w14:paraId="075FD50B">
      <w:pPr>
        <w:spacing w:line="360" w:lineRule="auto"/>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4．采购文件的获取</w:t>
      </w:r>
      <w:bookmarkEnd w:id="20"/>
      <w:bookmarkEnd w:id="21"/>
      <w:bookmarkEnd w:id="22"/>
      <w:bookmarkEnd w:id="23"/>
    </w:p>
    <w:p w14:paraId="027CC93D">
      <w:pPr>
        <w:spacing w:line="360" w:lineRule="auto"/>
        <w:ind w:firstLine="480" w:firstLineChars="200"/>
        <w:rPr>
          <w:rFonts w:hint="eastAsia" w:ascii="宋体" w:hAnsi="宋体"/>
          <w:color w:val="000000" w:themeColor="text1"/>
          <w:sz w:val="24"/>
          <w:szCs w:val="21"/>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凡有意参加</w:t>
      </w:r>
      <w:r>
        <w:rPr>
          <w:rFonts w:hint="eastAsia" w:ascii="宋体" w:hAnsi="宋体"/>
          <w:color w:val="000000" w:themeColor="text1"/>
          <w:sz w:val="24"/>
          <w:szCs w:val="21"/>
          <w:highlight w:val="none"/>
          <w:lang w:val="en-US" w:eastAsia="zh-CN"/>
          <w14:textFill>
            <w14:solidFill>
              <w14:schemeClr w14:val="tx1"/>
            </w14:solidFill>
          </w14:textFill>
        </w:rPr>
        <w:t>采购</w:t>
      </w:r>
      <w:r>
        <w:rPr>
          <w:rFonts w:hint="eastAsia" w:ascii="宋体" w:hAnsi="宋体"/>
          <w:color w:val="000000" w:themeColor="text1"/>
          <w:sz w:val="24"/>
          <w:szCs w:val="21"/>
          <w:highlight w:val="none"/>
          <w14:textFill>
            <w14:solidFill>
              <w14:schemeClr w14:val="tx1"/>
            </w14:solidFill>
          </w14:textFill>
        </w:rPr>
        <w:t>者，请于</w:t>
      </w:r>
      <w:r>
        <w:rPr>
          <w:rFonts w:hint="eastAsia" w:ascii="宋体" w:hAnsi="宋体"/>
          <w:color w:val="000000" w:themeColor="text1"/>
          <w:sz w:val="24"/>
          <w:szCs w:val="21"/>
          <w:highlight w:val="none"/>
          <w:u w:val="single"/>
          <w:lang w:val="en-US" w:eastAsia="zh-CN"/>
          <w14:textFill>
            <w14:solidFill>
              <w14:schemeClr w14:val="tx1"/>
            </w14:solidFill>
          </w14:textFill>
        </w:rPr>
        <w:t>2026</w:t>
      </w:r>
      <w:r>
        <w:rPr>
          <w:rFonts w:hint="eastAsia" w:ascii="宋体" w:hAnsi="宋体"/>
          <w:color w:val="000000" w:themeColor="text1"/>
          <w:sz w:val="24"/>
          <w:szCs w:val="21"/>
          <w:highlight w:val="none"/>
          <w14:textFill>
            <w14:solidFill>
              <w14:schemeClr w14:val="tx1"/>
            </w14:solidFill>
          </w14:textFill>
        </w:rPr>
        <w:t>年</w:t>
      </w:r>
      <w:r>
        <w:rPr>
          <w:rFonts w:hint="eastAsia" w:ascii="宋体" w:hAnsi="宋体"/>
          <w:color w:val="000000" w:themeColor="text1"/>
          <w:sz w:val="24"/>
          <w:szCs w:val="21"/>
          <w:highlight w:val="none"/>
          <w:u w:val="single"/>
          <w:lang w:val="en-US" w:eastAsia="zh-CN"/>
          <w14:textFill>
            <w14:solidFill>
              <w14:schemeClr w14:val="tx1"/>
            </w14:solidFill>
          </w14:textFill>
        </w:rPr>
        <w:t xml:space="preserve"> 8</w:t>
      </w:r>
      <w:r>
        <w:rPr>
          <w:rFonts w:hint="eastAsia" w:ascii="宋体" w:hAnsi="宋体"/>
          <w:color w:val="000000" w:themeColor="text1"/>
          <w:sz w:val="24"/>
          <w:szCs w:val="21"/>
          <w:highlight w:val="none"/>
          <w:lang w:val="en-US" w:eastAsia="zh-CN"/>
          <w14:textFill>
            <w14:solidFill>
              <w14:schemeClr w14:val="tx1"/>
            </w14:solidFill>
          </w14:textFill>
        </w:rPr>
        <w:t xml:space="preserve"> </w:t>
      </w:r>
      <w:r>
        <w:rPr>
          <w:rFonts w:hint="eastAsia" w:ascii="宋体" w:hAnsi="宋体"/>
          <w:color w:val="000000" w:themeColor="text1"/>
          <w:sz w:val="24"/>
          <w:szCs w:val="21"/>
          <w:highlight w:val="none"/>
          <w14:textFill>
            <w14:solidFill>
              <w14:schemeClr w14:val="tx1"/>
            </w14:solidFill>
          </w14:textFill>
        </w:rPr>
        <w:t>月</w:t>
      </w:r>
      <w:r>
        <w:rPr>
          <w:rFonts w:hint="eastAsia" w:ascii="宋体" w:hAnsi="宋体"/>
          <w:color w:val="000000" w:themeColor="text1"/>
          <w:sz w:val="24"/>
          <w:szCs w:val="21"/>
          <w:highlight w:val="none"/>
          <w:u w:val="single"/>
          <w:lang w:val="en-US" w:eastAsia="zh-CN"/>
          <w14:textFill>
            <w14:solidFill>
              <w14:schemeClr w14:val="tx1"/>
            </w14:solidFill>
          </w14:textFill>
        </w:rPr>
        <w:t>19</w:t>
      </w:r>
      <w:r>
        <w:rPr>
          <w:rFonts w:hint="eastAsia" w:ascii="宋体" w:hAnsi="宋体"/>
          <w:color w:val="000000" w:themeColor="text1"/>
          <w:sz w:val="24"/>
          <w:szCs w:val="21"/>
          <w:highlight w:val="none"/>
          <w14:textFill>
            <w14:solidFill>
              <w14:schemeClr w14:val="tx1"/>
            </w14:solidFill>
          </w14:textFill>
        </w:rPr>
        <w:t>日至</w:t>
      </w:r>
      <w:r>
        <w:rPr>
          <w:rFonts w:hint="eastAsia" w:ascii="宋体" w:hAnsi="宋体"/>
          <w:color w:val="000000" w:themeColor="text1"/>
          <w:sz w:val="24"/>
          <w:szCs w:val="21"/>
          <w:highlight w:val="none"/>
          <w:u w:val="single"/>
          <w:lang w:val="en-US" w:eastAsia="zh-CN"/>
          <w14:textFill>
            <w14:solidFill>
              <w14:schemeClr w14:val="tx1"/>
            </w14:solidFill>
          </w14:textFill>
        </w:rPr>
        <w:t xml:space="preserve"> 2026 </w:t>
      </w:r>
      <w:r>
        <w:rPr>
          <w:rFonts w:hint="eastAsia" w:ascii="宋体" w:hAnsi="宋体"/>
          <w:color w:val="000000" w:themeColor="text1"/>
          <w:sz w:val="24"/>
          <w:szCs w:val="21"/>
          <w:highlight w:val="none"/>
          <w14:textFill>
            <w14:solidFill>
              <w14:schemeClr w14:val="tx1"/>
            </w14:solidFill>
          </w14:textFill>
        </w:rPr>
        <w:t>年</w:t>
      </w:r>
      <w:r>
        <w:rPr>
          <w:rFonts w:hint="eastAsia" w:ascii="宋体" w:hAnsi="宋体"/>
          <w:color w:val="000000" w:themeColor="text1"/>
          <w:sz w:val="24"/>
          <w:szCs w:val="21"/>
          <w:highlight w:val="none"/>
          <w:u w:val="single"/>
          <w:lang w:val="en-US" w:eastAsia="zh-CN"/>
          <w14:textFill>
            <w14:solidFill>
              <w14:schemeClr w14:val="tx1"/>
            </w14:solidFill>
          </w14:textFill>
        </w:rPr>
        <w:t xml:space="preserve"> 8 </w:t>
      </w:r>
      <w:r>
        <w:rPr>
          <w:rFonts w:hint="eastAsia" w:ascii="宋体" w:hAnsi="宋体"/>
          <w:color w:val="000000" w:themeColor="text1"/>
          <w:sz w:val="24"/>
          <w:szCs w:val="21"/>
          <w:highlight w:val="none"/>
          <w14:textFill>
            <w14:solidFill>
              <w14:schemeClr w14:val="tx1"/>
            </w14:solidFill>
          </w14:textFill>
        </w:rPr>
        <w:t>月</w:t>
      </w:r>
      <w:r>
        <w:rPr>
          <w:rFonts w:hint="eastAsia" w:ascii="宋体" w:hAnsi="宋体"/>
          <w:color w:val="000000" w:themeColor="text1"/>
          <w:sz w:val="24"/>
          <w:szCs w:val="21"/>
          <w:highlight w:val="none"/>
          <w:u w:val="single"/>
          <w:lang w:val="en-US" w:eastAsia="zh-CN"/>
          <w14:textFill>
            <w14:solidFill>
              <w14:schemeClr w14:val="tx1"/>
            </w14:solidFill>
          </w14:textFill>
        </w:rPr>
        <w:t xml:space="preserve">21 </w:t>
      </w:r>
      <w:r>
        <w:rPr>
          <w:rFonts w:hint="eastAsia" w:ascii="宋体" w:hAnsi="宋体"/>
          <w:color w:val="000000" w:themeColor="text1"/>
          <w:sz w:val="24"/>
          <w:szCs w:val="21"/>
          <w:highlight w:val="none"/>
          <w:lang w:val="en-US" w:eastAsia="zh-CN"/>
          <w14:textFill>
            <w14:solidFill>
              <w14:schemeClr w14:val="tx1"/>
            </w14:solidFill>
          </w14:textFill>
        </w:rPr>
        <w:t xml:space="preserve"> </w:t>
      </w:r>
      <w:r>
        <w:rPr>
          <w:rFonts w:hint="eastAsia" w:ascii="宋体" w:hAnsi="宋体"/>
          <w:color w:val="000000" w:themeColor="text1"/>
          <w:sz w:val="24"/>
          <w:szCs w:val="21"/>
          <w:highlight w:val="none"/>
          <w14:textFill>
            <w14:solidFill>
              <w14:schemeClr w14:val="tx1"/>
            </w14:solidFill>
          </w14:textFill>
        </w:rPr>
        <w:t>日（法定公休日、法定节假日正常上班)，每日上午 9 时至 11 时，下午 14 时至 18 时持单位介绍信或授权书、经办人或被授权人的身份证到</w:t>
      </w:r>
      <w:r>
        <w:rPr>
          <w:rFonts w:hint="eastAsia" w:ascii="宋体" w:hAnsi="宋体"/>
          <w:color w:val="000000" w:themeColor="text1"/>
          <w:sz w:val="24"/>
          <w:szCs w:val="21"/>
          <w:highlight w:val="none"/>
          <w:u w:val="single"/>
          <w:lang w:val="en-US" w:eastAsia="zh-CN"/>
          <w14:textFill>
            <w14:solidFill>
              <w14:schemeClr w14:val="tx1"/>
            </w14:solidFill>
          </w14:textFill>
        </w:rPr>
        <w:t xml:space="preserve"> 广西省桂林市永福县罗锦镇上牵马洞屯中建路桥路面项目部</w:t>
      </w:r>
      <w:r>
        <w:rPr>
          <w:rFonts w:hint="eastAsia" w:ascii="宋体" w:hAnsi="宋体"/>
          <w:color w:val="000000" w:themeColor="text1"/>
          <w:sz w:val="24"/>
          <w:szCs w:val="21"/>
          <w:highlight w:val="none"/>
          <w14:textFill>
            <w14:solidFill>
              <w14:schemeClr w14:val="tx1"/>
            </w14:solidFill>
          </w14:textFill>
        </w:rPr>
        <w:t>报名并领取采购文件或与下方联系人联络获取电子版采购文件。</w:t>
      </w:r>
    </w:p>
    <w:p w14:paraId="38E4C757">
      <w:pPr>
        <w:spacing w:line="360" w:lineRule="auto"/>
        <w:rPr>
          <w:rFonts w:hint="eastAsia" w:ascii="宋体" w:hAnsi="宋体"/>
          <w:b/>
          <w:color w:val="000000" w:themeColor="text1"/>
          <w:sz w:val="28"/>
          <w:szCs w:val="28"/>
          <w:highlight w:val="none"/>
          <w14:textFill>
            <w14:solidFill>
              <w14:schemeClr w14:val="tx1"/>
            </w14:solidFill>
          </w14:textFill>
        </w:rPr>
      </w:pPr>
      <w:bookmarkStart w:id="24" w:name="_Toc232836823"/>
      <w:bookmarkStart w:id="25" w:name="_Toc184704558"/>
      <w:bookmarkStart w:id="26" w:name="_Toc235071707"/>
      <w:bookmarkStart w:id="27" w:name="_Toc234932519"/>
      <w:r>
        <w:rPr>
          <w:rFonts w:hint="eastAsia" w:ascii="宋体" w:hAnsi="宋体"/>
          <w:b/>
          <w:color w:val="000000" w:themeColor="text1"/>
          <w:sz w:val="28"/>
          <w:szCs w:val="28"/>
          <w:highlight w:val="none"/>
          <w14:textFill>
            <w14:solidFill>
              <w14:schemeClr w14:val="tx1"/>
            </w14:solidFill>
          </w14:textFill>
        </w:rPr>
        <w:t>5．响应文件的递交</w:t>
      </w:r>
      <w:bookmarkEnd w:id="24"/>
      <w:bookmarkEnd w:id="25"/>
      <w:bookmarkEnd w:id="26"/>
      <w:bookmarkEnd w:id="27"/>
    </w:p>
    <w:p w14:paraId="58071276">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5.1 递交响应文件截止时间（响应截止时间，下同）为</w:t>
      </w:r>
      <w:r>
        <w:rPr>
          <w:rFonts w:hint="default" w:ascii="宋体" w:hAnsi="宋体"/>
          <w:color w:val="000000" w:themeColor="text1"/>
          <w:sz w:val="24"/>
          <w:highlight w:val="none"/>
          <w14:textFill>
            <w14:solidFill>
              <w14:schemeClr w14:val="tx1"/>
            </w14:solidFill>
          </w14:textFill>
        </w:rPr>
        <w:t>2026</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lang w:val="en-US" w:eastAsia="zh-CN"/>
          <w14:textFill>
            <w14:solidFill>
              <w14:schemeClr w14:val="tx1"/>
            </w14:solidFill>
          </w14:textFill>
        </w:rPr>
        <w:t>8</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lang w:val="en-US" w:eastAsia="zh-CN"/>
          <w14:textFill>
            <w14:solidFill>
              <w14:schemeClr w14:val="tx1"/>
            </w14:solidFill>
          </w14:textFill>
        </w:rPr>
        <w:t>24</w:t>
      </w:r>
      <w:r>
        <w:rPr>
          <w:rFonts w:hint="eastAsia" w:ascii="宋体" w:hAnsi="宋体"/>
          <w:color w:val="000000" w:themeColor="text1"/>
          <w:sz w:val="24"/>
          <w:highlight w:val="none"/>
          <w14:textFill>
            <w14:solidFill>
              <w14:schemeClr w14:val="tx1"/>
            </w14:solidFill>
          </w14:textFill>
        </w:rPr>
        <w:t>日</w:t>
      </w:r>
      <w:r>
        <w:rPr>
          <w:rFonts w:hint="eastAsia" w:ascii="宋体" w:hAnsi="宋体"/>
          <w:color w:val="000000" w:themeColor="text1"/>
          <w:sz w:val="24"/>
          <w:highlight w:val="none"/>
          <w:lang w:val="en-US" w:eastAsia="zh-CN"/>
          <w14:textFill>
            <w14:solidFill>
              <w14:schemeClr w14:val="tx1"/>
            </w14:solidFill>
          </w14:textFill>
        </w:rPr>
        <w:t>11</w:t>
      </w:r>
      <w:r>
        <w:rPr>
          <w:rFonts w:hint="eastAsia" w:ascii="宋体" w:hAnsi="宋体"/>
          <w:color w:val="000000" w:themeColor="text1"/>
          <w:sz w:val="24"/>
          <w:highlight w:val="none"/>
          <w14:textFill>
            <w14:solidFill>
              <w14:schemeClr w14:val="tx1"/>
            </w14:solidFill>
          </w14:textFill>
        </w:rPr>
        <w:t>时，</w:t>
      </w:r>
      <w:r>
        <w:rPr>
          <w:rFonts w:hint="eastAsia" w:ascii="宋体" w:hAnsi="宋体"/>
          <w:color w:val="000000" w:themeColor="text1"/>
          <w:sz w:val="24"/>
          <w:highlight w:val="none"/>
          <w:lang w:val="en-US" w:eastAsia="zh-CN"/>
          <w14:textFill>
            <w14:solidFill>
              <w14:schemeClr w14:val="tx1"/>
            </w14:solidFill>
          </w14:textFill>
        </w:rPr>
        <w:t>响应</w:t>
      </w:r>
      <w:r>
        <w:rPr>
          <w:rFonts w:hint="eastAsia" w:ascii="宋体" w:hAnsi="宋体"/>
          <w:color w:val="000000" w:themeColor="text1"/>
          <w:sz w:val="24"/>
          <w:highlight w:val="none"/>
          <w14:textFill>
            <w14:solidFill>
              <w14:schemeClr w14:val="tx1"/>
            </w14:solidFill>
          </w14:textFill>
        </w:rPr>
        <w:t>人应于当日</w:t>
      </w:r>
      <w:r>
        <w:rPr>
          <w:rFonts w:hint="eastAsia" w:ascii="宋体" w:hAnsi="宋体"/>
          <w:color w:val="000000" w:themeColor="text1"/>
          <w:sz w:val="24"/>
          <w:highlight w:val="none"/>
          <w:u w:val="single"/>
          <w:lang w:val="en-US" w:eastAsia="zh-CN"/>
          <w14:textFill>
            <w14:solidFill>
              <w14:schemeClr w14:val="tx1"/>
            </w14:solidFill>
          </w14:textFill>
        </w:rPr>
        <w:t xml:space="preserve"> 10 </w:t>
      </w:r>
      <w:r>
        <w:rPr>
          <w:rFonts w:hint="eastAsia" w:ascii="宋体" w:hAnsi="宋体"/>
          <w:color w:val="000000" w:themeColor="text1"/>
          <w:sz w:val="24"/>
          <w:highlight w:val="none"/>
          <w14:textFill>
            <w14:solidFill>
              <w14:schemeClr w14:val="tx1"/>
            </w14:solidFill>
          </w14:textFill>
        </w:rPr>
        <w:t>时</w:t>
      </w:r>
      <w:r>
        <w:rPr>
          <w:rFonts w:hint="eastAsia" w:ascii="宋体" w:hAnsi="宋体"/>
          <w:color w:val="000000" w:themeColor="text1"/>
          <w:sz w:val="24"/>
          <w:highlight w:val="none"/>
          <w:u w:val="single"/>
          <w:lang w:val="en-US" w:eastAsia="zh-CN"/>
          <w14:textFill>
            <w14:solidFill>
              <w14:schemeClr w14:val="tx1"/>
            </w14:solidFill>
          </w14:textFill>
        </w:rPr>
        <w:t xml:space="preserve">  00  </w:t>
      </w:r>
      <w:r>
        <w:rPr>
          <w:rFonts w:hint="eastAsia" w:ascii="宋体" w:hAnsi="宋体"/>
          <w:color w:val="000000" w:themeColor="text1"/>
          <w:sz w:val="24"/>
          <w:highlight w:val="none"/>
          <w14:textFill>
            <w14:solidFill>
              <w14:schemeClr w14:val="tx1"/>
            </w14:solidFill>
          </w14:textFill>
        </w:rPr>
        <w:t>分至</w:t>
      </w:r>
      <w:r>
        <w:rPr>
          <w:rFonts w:hint="eastAsia" w:ascii="宋体" w:hAnsi="宋体"/>
          <w:color w:val="000000" w:themeColor="text1"/>
          <w:sz w:val="24"/>
          <w:highlight w:val="none"/>
          <w:u w:val="single"/>
          <w:lang w:val="en-US" w:eastAsia="zh-CN"/>
          <w14:textFill>
            <w14:solidFill>
              <w14:schemeClr w14:val="tx1"/>
            </w14:solidFill>
          </w14:textFill>
        </w:rPr>
        <w:t xml:space="preserve">  11 </w:t>
      </w:r>
      <w:r>
        <w:rPr>
          <w:rFonts w:hint="eastAsia" w:ascii="宋体" w:hAnsi="宋体"/>
          <w:color w:val="000000" w:themeColor="text1"/>
          <w:sz w:val="24"/>
          <w:highlight w:val="none"/>
          <w14:textFill>
            <w14:solidFill>
              <w14:schemeClr w14:val="tx1"/>
            </w14:solidFill>
          </w14:textFill>
        </w:rPr>
        <w:t>时</w:t>
      </w:r>
      <w:r>
        <w:rPr>
          <w:rFonts w:hint="eastAsia" w:ascii="宋体" w:hAnsi="宋体"/>
          <w:color w:val="000000" w:themeColor="text1"/>
          <w:sz w:val="24"/>
          <w:highlight w:val="none"/>
          <w:u w:val="single"/>
          <w:lang w:val="en-US" w:eastAsia="zh-CN"/>
          <w14:textFill>
            <w14:solidFill>
              <w14:schemeClr w14:val="tx1"/>
            </w14:solidFill>
          </w14:textFill>
        </w:rPr>
        <w:t xml:space="preserve"> 00  </w:t>
      </w:r>
      <w:r>
        <w:rPr>
          <w:rFonts w:hint="eastAsia" w:ascii="宋体" w:hAnsi="宋体"/>
          <w:color w:val="000000" w:themeColor="text1"/>
          <w:sz w:val="24"/>
          <w:highlight w:val="none"/>
          <w14:textFill>
            <w14:solidFill>
              <w14:schemeClr w14:val="tx1"/>
            </w14:solidFill>
          </w14:textFill>
        </w:rPr>
        <w:t>分将</w:t>
      </w:r>
      <w:r>
        <w:rPr>
          <w:rFonts w:hint="eastAsia" w:ascii="宋体" w:hAnsi="宋体"/>
          <w:color w:val="000000" w:themeColor="text1"/>
          <w:sz w:val="24"/>
          <w:highlight w:val="none"/>
          <w:lang w:val="en-US" w:eastAsia="zh-CN"/>
          <w14:textFill>
            <w14:solidFill>
              <w14:schemeClr w14:val="tx1"/>
            </w14:solidFill>
          </w14:textFill>
        </w:rPr>
        <w:t>响应</w:t>
      </w:r>
      <w:r>
        <w:rPr>
          <w:rFonts w:hint="eastAsia" w:ascii="宋体" w:hAnsi="宋体"/>
          <w:color w:val="000000" w:themeColor="text1"/>
          <w:sz w:val="24"/>
          <w:highlight w:val="none"/>
          <w14:textFill>
            <w14:solidFill>
              <w14:schemeClr w14:val="tx1"/>
            </w14:solidFill>
          </w14:textFill>
        </w:rPr>
        <w:t>文件递交至</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none"/>
          <w:lang w:val="en-US" w:eastAsia="zh-CN"/>
          <w14:textFill>
            <w14:solidFill>
              <w14:schemeClr w14:val="tx1"/>
            </w14:solidFill>
          </w14:textFill>
        </w:rPr>
        <w:t xml:space="preserve">                </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szCs w:val="21"/>
          <w:highlight w:val="none"/>
          <w:u w:val="single"/>
          <w:lang w:val="en-US" w:eastAsia="zh-CN"/>
          <w14:textFill>
            <w14:solidFill>
              <w14:schemeClr w14:val="tx1"/>
            </w14:solidFill>
          </w14:textFill>
        </w:rPr>
        <w:t>广西省桂林市永福县罗锦镇上牵马洞屯中建路桥路面项目部</w:t>
      </w:r>
      <w:r>
        <w:rPr>
          <w:rFonts w:hint="eastAsia" w:ascii="宋体" w:hAnsi="宋体"/>
          <w:color w:val="000000" w:themeColor="text1"/>
          <w:sz w:val="24"/>
          <w:highlight w:val="none"/>
          <w14:textFill>
            <w14:solidFill>
              <w14:schemeClr w14:val="tx1"/>
            </w14:solidFill>
          </w14:textFill>
        </w:rPr>
        <w:t>完成采购响应，逾期</w:t>
      </w:r>
      <w:r>
        <w:rPr>
          <w:rFonts w:hint="eastAsia" w:ascii="宋体" w:hAnsi="宋体"/>
          <w:color w:val="000000" w:themeColor="text1"/>
          <w:sz w:val="24"/>
          <w:highlight w:val="none"/>
          <w:lang w:val="en-US" w:eastAsia="zh-CN"/>
          <w14:textFill>
            <w14:solidFill>
              <w14:schemeClr w14:val="tx1"/>
            </w14:solidFill>
          </w14:textFill>
        </w:rPr>
        <w:t>未递交</w:t>
      </w:r>
      <w:r>
        <w:rPr>
          <w:rFonts w:hint="eastAsia" w:ascii="宋体" w:hAnsi="宋体"/>
          <w:color w:val="000000" w:themeColor="text1"/>
          <w:sz w:val="24"/>
          <w:highlight w:val="none"/>
          <w14:textFill>
            <w14:solidFill>
              <w14:schemeClr w14:val="tx1"/>
            </w14:solidFill>
          </w14:textFill>
        </w:rPr>
        <w:t>响应文件的，采购人不再另行受理。</w:t>
      </w:r>
    </w:p>
    <w:p w14:paraId="747BFD98">
      <w:pPr>
        <w:pStyle w:val="2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0" w:right="0" w:firstLine="0"/>
        <w:rPr>
          <w:rFonts w:hint="eastAsia" w:ascii="宋体" w:hAnsi="宋体" w:eastAsia="宋体" w:cs="Times New Roman"/>
          <w:color w:val="000000" w:themeColor="text1"/>
          <w:kern w:val="2"/>
          <w:sz w:val="24"/>
          <w:szCs w:val="24"/>
          <w:highlight w:val="none"/>
          <w:lang w:val="en-US" w:eastAsia="zh-CN" w:bidi="ar-SA"/>
          <w14:textFill>
            <w14:solidFill>
              <w14:schemeClr w14:val="tx1"/>
            </w14:solidFill>
          </w14:textFill>
        </w:rPr>
      </w:pPr>
      <w:bookmarkStart w:id="28" w:name="_Toc235071708"/>
      <w:bookmarkStart w:id="29" w:name="_Toc184704559"/>
      <w:bookmarkStart w:id="30" w:name="_Toc234932520"/>
      <w:bookmarkStart w:id="31" w:name="_Toc232836824"/>
      <w:r>
        <w:rPr>
          <w:rFonts w:hint="default" w:ascii="Times New Roman" w:hAnsi="Times New Roman" w:eastAsia="宋体" w:cs="Times New Roman"/>
          <w:i w:val="0"/>
          <w:iCs w:val="0"/>
          <w:caps w:val="0"/>
          <w:color w:val="000000" w:themeColor="text1"/>
          <w:spacing w:val="0"/>
          <w:sz w:val="21"/>
          <w:szCs w:val="21"/>
          <w:highlight w:val="none"/>
          <w:shd w:val="clear" w:fill="FFFFFF"/>
          <w14:textFill>
            <w14:solidFill>
              <w14:schemeClr w14:val="tx1"/>
            </w14:solidFill>
          </w14:textFill>
        </w:rPr>
        <w:t>　</w:t>
      </w:r>
      <w:r>
        <w:rPr>
          <w:rFonts w:hint="default" w:ascii="宋体" w:hAnsi="宋体" w:eastAsia="宋体" w:cs="Times New Roman"/>
          <w:color w:val="000000" w:themeColor="text1"/>
          <w:kern w:val="2"/>
          <w:sz w:val="24"/>
          <w:szCs w:val="24"/>
          <w:highlight w:val="none"/>
          <w:lang w:val="en-US" w:eastAsia="zh-CN" w:bidi="ar-SA"/>
          <w14:textFill>
            <w14:solidFill>
              <w14:schemeClr w14:val="tx1"/>
            </w14:solidFill>
          </w14:textFill>
        </w:rPr>
        <w:t>　5.2 </w:t>
      </w:r>
      <w:r>
        <w:rPr>
          <w:rFonts w:hint="eastAsia" w:ascii="宋体" w:hAnsi="宋体" w:eastAsia="宋体" w:cs="Times New Roman"/>
          <w:color w:val="000000" w:themeColor="text1"/>
          <w:kern w:val="2"/>
          <w:sz w:val="24"/>
          <w:szCs w:val="24"/>
          <w:highlight w:val="none"/>
          <w:lang w:val="en-US" w:eastAsia="zh-CN" w:bidi="ar-SA"/>
          <w14:textFill>
            <w14:solidFill>
              <w14:schemeClr w14:val="tx1"/>
            </w14:solidFill>
          </w14:textFill>
        </w:rPr>
        <w:t>逾期未完成采购响应的、未按采购文件要求提交响应担保的响应文件，</w:t>
      </w:r>
      <w:r>
        <w:rPr>
          <w:rFonts w:hint="eastAsia" w:cs="Times New Roman"/>
          <w:color w:val="000000" w:themeColor="text1"/>
          <w:kern w:val="2"/>
          <w:sz w:val="24"/>
          <w:szCs w:val="24"/>
          <w:highlight w:val="none"/>
          <w:lang w:val="en-US" w:eastAsia="zh-CN" w:bidi="ar-SA"/>
          <w14:textFill>
            <w14:solidFill>
              <w14:schemeClr w14:val="tx1"/>
            </w14:solidFill>
          </w14:textFill>
        </w:rPr>
        <w:t>采购人</w:t>
      </w:r>
      <w:r>
        <w:rPr>
          <w:rFonts w:hint="eastAsia" w:ascii="宋体" w:hAnsi="宋体" w:eastAsia="宋体" w:cs="Times New Roman"/>
          <w:color w:val="000000" w:themeColor="text1"/>
          <w:kern w:val="2"/>
          <w:sz w:val="24"/>
          <w:szCs w:val="24"/>
          <w:highlight w:val="none"/>
          <w:lang w:val="en-US" w:eastAsia="zh-CN" w:bidi="ar-SA"/>
          <w14:textFill>
            <w14:solidFill>
              <w14:schemeClr w14:val="tx1"/>
            </w14:solidFill>
          </w14:textFill>
        </w:rPr>
        <w:t>将予以拒收。</w:t>
      </w:r>
    </w:p>
    <w:p w14:paraId="3172E2F1">
      <w:pPr>
        <w:pStyle w:val="2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0" w:right="0" w:firstLine="0"/>
        <w:rPr>
          <w:rFonts w:hint="eastAsia" w:ascii="宋体" w:hAnsi="宋体"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宋体" w:hAnsi="宋体" w:eastAsia="宋体" w:cs="Times New Roman"/>
          <w:color w:val="000000" w:themeColor="text1"/>
          <w:kern w:val="2"/>
          <w:sz w:val="24"/>
          <w:szCs w:val="24"/>
          <w:highlight w:val="none"/>
          <w:lang w:val="en-US" w:eastAsia="zh-CN" w:bidi="ar-SA"/>
          <w14:textFill>
            <w14:solidFill>
              <w14:schemeClr w14:val="tx1"/>
            </w14:solidFill>
          </w14:textFill>
        </w:rPr>
        <w:t>　　5.3 </w:t>
      </w:r>
      <w:r>
        <w:rPr>
          <w:rFonts w:hint="eastAsia" w:ascii="宋体" w:hAnsi="宋体" w:eastAsia="宋体" w:cs="Times New Roman"/>
          <w:color w:val="000000" w:themeColor="text1"/>
          <w:kern w:val="2"/>
          <w:sz w:val="24"/>
          <w:szCs w:val="24"/>
          <w:highlight w:val="none"/>
          <w:lang w:val="en-US" w:eastAsia="zh-CN" w:bidi="ar-SA"/>
          <w14:textFill>
            <w14:solidFill>
              <w14:schemeClr w14:val="tx1"/>
            </w14:solidFill>
          </w14:textFill>
        </w:rPr>
        <w:t>响应文件应符合采购文件所列其他要求。</w:t>
      </w:r>
    </w:p>
    <w:p w14:paraId="446AC18B">
      <w:pPr>
        <w:spacing w:line="360" w:lineRule="auto"/>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6. 发布公告的媒介</w:t>
      </w:r>
      <w:bookmarkEnd w:id="28"/>
      <w:bookmarkEnd w:id="29"/>
      <w:bookmarkEnd w:id="30"/>
      <w:bookmarkEnd w:id="31"/>
    </w:p>
    <w:p w14:paraId="4E8FDB72">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本次采购公告在</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集团官网https://rb.cscec.com/zpzb/syhz/</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统一公开发布。</w:t>
      </w:r>
    </w:p>
    <w:p w14:paraId="7FE2781B">
      <w:pPr>
        <w:spacing w:line="360" w:lineRule="auto"/>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7. 联系方式</w:t>
      </w:r>
    </w:p>
    <w:p w14:paraId="1713332F">
      <w:pPr>
        <w:spacing w:line="360" w:lineRule="auto"/>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 购 人：</w:t>
      </w:r>
      <w:r>
        <w:rPr>
          <w:rFonts w:hint="eastAsia" w:ascii="宋体" w:hAnsi="宋体" w:cs="宋体"/>
          <w:color w:val="000000" w:themeColor="text1"/>
          <w:sz w:val="24"/>
          <w:highlight w:val="none"/>
          <w:u w:val="single"/>
          <w14:textFill>
            <w14:solidFill>
              <w14:schemeClr w14:val="tx1"/>
            </w14:solidFill>
          </w14:textFill>
        </w:rPr>
        <w:t>中建路桥集团有限公司</w:t>
      </w:r>
    </w:p>
    <w:p w14:paraId="041B688D">
      <w:pPr>
        <w:spacing w:line="360" w:lineRule="auto"/>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邮    编：</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050021</w:t>
      </w:r>
      <w:r>
        <w:rPr>
          <w:rFonts w:hint="eastAsia" w:ascii="宋体" w:hAnsi="宋体" w:cs="宋体"/>
          <w:color w:val="000000" w:themeColor="text1"/>
          <w:sz w:val="24"/>
          <w:highlight w:val="none"/>
          <w:u w:val="single"/>
          <w14:textFill>
            <w14:solidFill>
              <w14:schemeClr w14:val="tx1"/>
            </w14:solidFill>
          </w14:textFill>
        </w:rPr>
        <w:t xml:space="preserve">   </w:t>
      </w:r>
    </w:p>
    <w:p w14:paraId="00C4EDF5">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    址：</w:t>
      </w:r>
      <w:r>
        <w:rPr>
          <w:rFonts w:hint="eastAsia" w:ascii="宋体" w:hAnsi="宋体" w:cs="宋体"/>
          <w:color w:val="000000" w:themeColor="text1"/>
          <w:sz w:val="24"/>
          <w:highlight w:val="none"/>
          <w:u w:val="single"/>
          <w14:textFill>
            <w14:solidFill>
              <w14:schemeClr w14:val="tx1"/>
            </w14:solidFill>
          </w14:textFill>
        </w:rPr>
        <w:t>河北省石家庄市桥西区建设南大街70号</w:t>
      </w:r>
    </w:p>
    <w:p w14:paraId="7430BC3A">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电    话：</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15131192930</w:t>
      </w:r>
      <w:r>
        <w:rPr>
          <w:rFonts w:hint="eastAsia" w:ascii="宋体" w:hAnsi="宋体" w:cs="宋体"/>
          <w:color w:val="000000" w:themeColor="text1"/>
          <w:sz w:val="24"/>
          <w:highlight w:val="none"/>
          <w:u w:val="single"/>
          <w14:textFill>
            <w14:solidFill>
              <w14:schemeClr w14:val="tx1"/>
            </w14:solidFill>
          </w14:textFill>
        </w:rPr>
        <w:t xml:space="preserve"> </w:t>
      </w:r>
    </w:p>
    <w:p w14:paraId="57EB012D">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 系 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白广涛</w:t>
      </w:r>
      <w:r>
        <w:rPr>
          <w:rFonts w:hint="eastAsia" w:ascii="宋体" w:hAnsi="宋体" w:cs="宋体"/>
          <w:color w:val="000000" w:themeColor="text1"/>
          <w:sz w:val="24"/>
          <w:highlight w:val="none"/>
          <w:u w:val="single"/>
          <w14:textFill>
            <w14:solidFill>
              <w14:schemeClr w14:val="tx1"/>
            </w14:solidFill>
          </w14:textFill>
        </w:rPr>
        <w:t xml:space="preserve">   </w:t>
      </w:r>
    </w:p>
    <w:p w14:paraId="61D65434">
      <w:pPr>
        <w:rPr>
          <w:color w:val="000000" w:themeColor="text1"/>
          <w:highlight w:val="none"/>
          <w14:textFill>
            <w14:solidFill>
              <w14:schemeClr w14:val="tx1"/>
            </w14:solidFill>
          </w14:textFill>
        </w:rPr>
        <w:sectPr>
          <w:footerReference r:id="rId8" w:type="default"/>
          <w:pgSz w:w="11907" w:h="16840"/>
          <w:pgMar w:top="1417" w:right="1701" w:bottom="1417" w:left="1701" w:header="850" w:footer="1134" w:gutter="0"/>
          <w:pgNumType w:fmt="decimal"/>
          <w:cols w:space="0" w:num="1"/>
          <w:rtlGutter w:val="0"/>
          <w:docGrid w:linePitch="312" w:charSpace="0"/>
        </w:sectPr>
      </w:pPr>
      <w:r>
        <w:rPr>
          <w:rFonts w:hint="eastAsia"/>
          <w:b/>
          <w:color w:val="000000" w:themeColor="text1"/>
          <w:highlight w:val="non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2026</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 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8</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13</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1879BF74">
      <w:pPr>
        <w:pStyle w:val="2"/>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第</w:t>
      </w:r>
      <w:r>
        <w:rPr>
          <w:rFonts w:hint="eastAsia"/>
          <w:color w:val="000000" w:themeColor="text1"/>
          <w:highlight w:val="none"/>
          <w14:textFill>
            <w14:solidFill>
              <w14:schemeClr w14:val="tx1"/>
            </w14:solidFill>
          </w14:textFill>
        </w:rPr>
        <w:t>二</w:t>
      </w:r>
      <w:r>
        <w:rPr>
          <w:color w:val="000000" w:themeColor="text1"/>
          <w:highlight w:val="none"/>
          <w14:textFill>
            <w14:solidFill>
              <w14:schemeClr w14:val="tx1"/>
            </w14:solidFill>
          </w14:textFill>
        </w:rPr>
        <w:t xml:space="preserve">篇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color w:val="000000" w:themeColor="text1"/>
          <w:highlight w:val="none"/>
          <w14:textFill>
            <w14:solidFill>
              <w14:schemeClr w14:val="tx1"/>
            </w14:solidFill>
          </w14:textFill>
        </w:rPr>
        <w:t>响应单位须知</w:t>
      </w:r>
    </w:p>
    <w:p w14:paraId="11B2715A">
      <w:pPr>
        <w:pStyle w:val="3"/>
        <w:tabs>
          <w:tab w:val="center" w:pos="4513"/>
          <w:tab w:val="left" w:pos="6930"/>
        </w:tabs>
        <w:spacing w:before="240" w:beforeLines="100" w:after="0" w:line="360" w:lineRule="auto"/>
        <w:jc w:val="center"/>
        <w:rPr>
          <w:rFonts w:ascii="Times New Roman" w:hAnsi="Times New Roman" w:eastAsia="宋体"/>
          <w:bCs w:val="0"/>
          <w:color w:val="000000" w:themeColor="text1"/>
          <w:sz w:val="28"/>
          <w:szCs w:val="28"/>
          <w:highlight w:val="none"/>
          <w14:textFill>
            <w14:solidFill>
              <w14:schemeClr w14:val="tx1"/>
            </w14:solidFill>
          </w14:textFill>
        </w:rPr>
      </w:pPr>
      <w:bookmarkStart w:id="32" w:name="_Toc284135587"/>
      <w:bookmarkStart w:id="33" w:name="_Toc145499728"/>
      <w:r>
        <w:rPr>
          <w:rStyle w:val="46"/>
          <w:rFonts w:ascii="Times New Roman" w:hAnsi="宋体" w:eastAsia="宋体"/>
          <w:b/>
          <w:bCs w:val="0"/>
          <w:color w:val="000000" w:themeColor="text1"/>
          <w:sz w:val="28"/>
          <w:szCs w:val="28"/>
          <w:highlight w:val="none"/>
          <w14:textFill>
            <w14:solidFill>
              <w14:schemeClr w14:val="tx1"/>
            </w14:solidFill>
          </w14:textFill>
        </w:rPr>
        <w:t>响应单位须知前附表</w:t>
      </w:r>
      <w:bookmarkEnd w:id="32"/>
      <w:bookmarkEnd w:id="33"/>
    </w:p>
    <w:tbl>
      <w:tblPr>
        <w:tblStyle w:val="31"/>
        <w:tblW w:w="858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1308"/>
        <w:gridCol w:w="6478"/>
      </w:tblGrid>
      <w:tr w14:paraId="115EBE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53" w:hRule="atLeast"/>
          <w:tblHeader/>
          <w:jc w:val="center"/>
        </w:trPr>
        <w:tc>
          <w:tcPr>
            <w:tcW w:w="798" w:type="dxa"/>
            <w:vAlign w:val="center"/>
          </w:tcPr>
          <w:p w14:paraId="05B3439E">
            <w:pPr>
              <w:ind w:left="-105" w:leftChars="-50" w:right="-105" w:rightChars="-50"/>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项号</w:t>
            </w:r>
          </w:p>
        </w:tc>
        <w:tc>
          <w:tcPr>
            <w:tcW w:w="1308" w:type="dxa"/>
            <w:vAlign w:val="center"/>
          </w:tcPr>
          <w:p w14:paraId="4935C789">
            <w:pPr>
              <w:ind w:left="-42" w:leftChars="-20" w:right="-42" w:rightChars="-20"/>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内容</w:t>
            </w:r>
          </w:p>
        </w:tc>
        <w:tc>
          <w:tcPr>
            <w:tcW w:w="6478" w:type="dxa"/>
            <w:vAlign w:val="center"/>
          </w:tcPr>
          <w:p w14:paraId="2F34A305">
            <w:pPr>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说明与要求</w:t>
            </w:r>
          </w:p>
        </w:tc>
      </w:tr>
      <w:tr w14:paraId="06E28F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798" w:type="dxa"/>
            <w:vAlign w:val="center"/>
          </w:tcPr>
          <w:p w14:paraId="7ACE4D5A">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1308" w:type="dxa"/>
            <w:vAlign w:val="center"/>
          </w:tcPr>
          <w:p w14:paraId="577A60B1">
            <w:pPr>
              <w:ind w:right="-42" w:rightChars="-20"/>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名  称</w:t>
            </w:r>
          </w:p>
        </w:tc>
        <w:tc>
          <w:tcPr>
            <w:tcW w:w="6478" w:type="dxa"/>
            <w:vAlign w:val="center"/>
          </w:tcPr>
          <w:p w14:paraId="6B69CD8D">
            <w:pPr>
              <w:tabs>
                <w:tab w:val="left" w:pos="180"/>
              </w:tabs>
              <w:spacing w:line="360" w:lineRule="auto"/>
              <w:ind w:right="48" w:rightChars="23"/>
              <w:jc w:val="left"/>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项目名称：广西</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桂林项目</w:t>
            </w:r>
          </w:p>
          <w:p w14:paraId="36F0507E">
            <w:pPr>
              <w:tabs>
                <w:tab w:val="left" w:pos="180"/>
              </w:tabs>
              <w:spacing w:line="360" w:lineRule="auto"/>
              <w:ind w:right="48" w:rightChars="23"/>
              <w:jc w:val="left"/>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采购分包工程名称：路面</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混凝土铣刨</w:t>
            </w:r>
            <w:r>
              <w:rPr>
                <w:rFonts w:hint="eastAsia" w:ascii="宋体" w:hAnsi="宋体" w:eastAsia="宋体" w:cs="宋体"/>
                <w:bCs/>
                <w:color w:val="000000" w:themeColor="text1"/>
                <w:sz w:val="24"/>
                <w:szCs w:val="24"/>
                <w:highlight w:val="none"/>
                <w14:textFill>
                  <w14:solidFill>
                    <w14:schemeClr w14:val="tx1"/>
                  </w14:solidFill>
                </w14:textFill>
              </w:rPr>
              <w:t>施工劳务分包工程</w:t>
            </w:r>
          </w:p>
        </w:tc>
      </w:tr>
      <w:tr w14:paraId="0BA853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696" w:hRule="atLeast"/>
          <w:jc w:val="center"/>
        </w:trPr>
        <w:tc>
          <w:tcPr>
            <w:tcW w:w="798" w:type="dxa"/>
            <w:vAlign w:val="center"/>
          </w:tcPr>
          <w:p w14:paraId="3CB0041F">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1308" w:type="dxa"/>
            <w:vAlign w:val="center"/>
          </w:tcPr>
          <w:p w14:paraId="479AEC48">
            <w:pPr>
              <w:ind w:left="-42" w:leftChars="-20" w:right="-42" w:rightChars="-20"/>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采购人</w:t>
            </w:r>
          </w:p>
        </w:tc>
        <w:tc>
          <w:tcPr>
            <w:tcW w:w="6478" w:type="dxa"/>
            <w:vAlign w:val="center"/>
          </w:tcPr>
          <w:p w14:paraId="728F18B0">
            <w:pPr>
              <w:spacing w:line="360" w:lineRule="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采 购 人：</w:t>
            </w:r>
            <w:r>
              <w:rPr>
                <w:rFonts w:hint="eastAsia" w:ascii="宋体" w:hAnsi="宋体" w:eastAsia="宋体" w:cs="宋体"/>
                <w:color w:val="000000" w:themeColor="text1"/>
                <w:sz w:val="24"/>
                <w:szCs w:val="24"/>
                <w:highlight w:val="none"/>
                <w:u w:val="single"/>
                <w14:textFill>
                  <w14:solidFill>
                    <w14:schemeClr w14:val="tx1"/>
                  </w14:solidFill>
                </w14:textFill>
              </w:rPr>
              <w:t>中建路桥集团有限公司</w:t>
            </w:r>
          </w:p>
          <w:p w14:paraId="6D943C5B">
            <w:pPr>
              <w:spacing w:line="360" w:lineRule="auto"/>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邮    编：</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050021</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04FC2F9D">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地    址：</w:t>
            </w:r>
            <w:r>
              <w:rPr>
                <w:rFonts w:hint="eastAsia" w:ascii="宋体" w:hAnsi="宋体" w:eastAsia="宋体" w:cs="宋体"/>
                <w:color w:val="000000" w:themeColor="text1"/>
                <w:sz w:val="24"/>
                <w:szCs w:val="24"/>
                <w:highlight w:val="none"/>
                <w:u w:val="single"/>
                <w14:textFill>
                  <w14:solidFill>
                    <w14:schemeClr w14:val="tx1"/>
                  </w14:solidFill>
                </w14:textFill>
              </w:rPr>
              <w:t>河北省石家庄市桥西区建设南大街70号</w:t>
            </w:r>
          </w:p>
          <w:p w14:paraId="73765724">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电    话：</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15131192930</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0ACD356D">
            <w:pPr>
              <w:spacing w:line="360" w:lineRule="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联 系 人：</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白广涛</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tc>
      </w:tr>
      <w:tr w14:paraId="2C303E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90" w:hRule="atLeast"/>
          <w:jc w:val="center"/>
        </w:trPr>
        <w:tc>
          <w:tcPr>
            <w:tcW w:w="798" w:type="dxa"/>
            <w:vAlign w:val="center"/>
          </w:tcPr>
          <w:p w14:paraId="539B97CE">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1308" w:type="dxa"/>
            <w:vAlign w:val="center"/>
          </w:tcPr>
          <w:p w14:paraId="131B8C69">
            <w:pPr>
              <w:ind w:left="-42" w:leftChars="-20" w:right="-42" w:rightChars="-20"/>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现场踏勘</w:t>
            </w:r>
          </w:p>
        </w:tc>
        <w:tc>
          <w:tcPr>
            <w:tcW w:w="6478" w:type="dxa"/>
            <w:vAlign w:val="center"/>
          </w:tcPr>
          <w:p w14:paraId="22E65211">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eastAsia="zh-CN"/>
                <w14:textFill>
                  <w14:solidFill>
                    <w14:schemeClr w14:val="tx1"/>
                  </w14:solidFill>
                </w14:textFill>
              </w:rPr>
              <w:t>☑</w:t>
            </w:r>
            <w:r>
              <w:rPr>
                <w:rFonts w:hint="eastAsia" w:ascii="宋体" w:hAnsi="宋体" w:eastAsia="宋体" w:cs="宋体"/>
                <w:bCs/>
                <w:color w:val="000000" w:themeColor="text1"/>
                <w:sz w:val="24"/>
                <w:szCs w:val="24"/>
                <w:highlight w:val="none"/>
                <w14:textFill>
                  <w14:solidFill>
                    <w14:schemeClr w14:val="tx1"/>
                  </w14:solidFill>
                </w14:textFill>
              </w:rPr>
              <w:t>不组织，各响应单位可自行前往。</w:t>
            </w:r>
          </w:p>
          <w:p w14:paraId="78E7194F">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□组织，勘察时间：  年  月  日  时</w:t>
            </w:r>
          </w:p>
          <w:p w14:paraId="54C2E24F">
            <w:pPr>
              <w:pStyle w:val="8"/>
              <w:ind w:firstLine="0" w:firstLineChars="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 xml:space="preserve">勘察地点： </w:t>
            </w:r>
          </w:p>
          <w:p w14:paraId="5370DF38">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勘察</w:t>
            </w:r>
            <w:r>
              <w:rPr>
                <w:rFonts w:hint="eastAsia" w:ascii="宋体" w:hAnsi="宋体" w:eastAsia="宋体" w:cs="宋体"/>
                <w:color w:val="000000" w:themeColor="text1"/>
                <w:sz w:val="24"/>
                <w:szCs w:val="24"/>
                <w:highlight w:val="none"/>
                <w14:textFill>
                  <w14:solidFill>
                    <w14:schemeClr w14:val="tx1"/>
                  </w14:solidFill>
                </w14:textFill>
              </w:rPr>
              <w:t>联系人：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白广涛</w:t>
            </w:r>
            <w:r>
              <w:rPr>
                <w:rFonts w:hint="eastAsia" w:ascii="宋体" w:hAnsi="宋体" w:eastAsia="宋体" w:cs="宋体"/>
                <w:color w:val="000000" w:themeColor="text1"/>
                <w:sz w:val="24"/>
                <w:szCs w:val="24"/>
                <w:highlight w:val="none"/>
                <w14:textFill>
                  <w14:solidFill>
                    <w14:schemeClr w14:val="tx1"/>
                  </w14:solidFill>
                </w14:textFill>
              </w:rPr>
              <w:t xml:space="preserve">                 电话：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15131192930</w:t>
            </w:r>
            <w:r>
              <w:rPr>
                <w:rFonts w:hint="eastAsia" w:ascii="宋体" w:hAnsi="宋体" w:eastAsia="宋体" w:cs="宋体"/>
                <w:color w:val="000000" w:themeColor="text1"/>
                <w:sz w:val="24"/>
                <w:szCs w:val="24"/>
                <w:highlight w:val="none"/>
                <w14:textFill>
                  <w14:solidFill>
                    <w14:schemeClr w14:val="tx1"/>
                  </w14:solidFill>
                </w14:textFill>
              </w:rPr>
              <w:t xml:space="preserve"> </w:t>
            </w:r>
          </w:p>
        </w:tc>
      </w:tr>
      <w:tr w14:paraId="3390F0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33" w:hRule="atLeast"/>
          <w:jc w:val="center"/>
        </w:trPr>
        <w:tc>
          <w:tcPr>
            <w:tcW w:w="798" w:type="dxa"/>
            <w:vAlign w:val="center"/>
          </w:tcPr>
          <w:p w14:paraId="51CB9F0C">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w:t>
            </w:r>
          </w:p>
        </w:tc>
        <w:tc>
          <w:tcPr>
            <w:tcW w:w="1308" w:type="dxa"/>
            <w:vAlign w:val="center"/>
          </w:tcPr>
          <w:p w14:paraId="0BA17843">
            <w:pPr>
              <w:ind w:left="-42" w:leftChars="-20" w:right="-42" w:rightChars="-20"/>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采购范围</w:t>
            </w:r>
          </w:p>
        </w:tc>
        <w:tc>
          <w:tcPr>
            <w:tcW w:w="6478" w:type="dxa"/>
            <w:vAlign w:val="center"/>
          </w:tcPr>
          <w:p w14:paraId="4C8F6134">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路面</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混凝土</w:t>
            </w:r>
            <w:r>
              <w:rPr>
                <w:rFonts w:hint="eastAsia" w:ascii="宋体" w:hAnsi="宋体" w:cs="宋体"/>
                <w:bCs/>
                <w:color w:val="000000" w:themeColor="text1"/>
                <w:sz w:val="24"/>
                <w:szCs w:val="24"/>
                <w:highlight w:val="none"/>
                <w:lang w:val="en-US" w:eastAsia="zh-CN"/>
                <w14:textFill>
                  <w14:solidFill>
                    <w14:schemeClr w14:val="tx1"/>
                  </w14:solidFill>
                </w14:textFill>
              </w:rPr>
              <w:t>精</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铣刨</w:t>
            </w:r>
          </w:p>
        </w:tc>
      </w:tr>
      <w:tr w14:paraId="7CF659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447" w:hRule="atLeast"/>
          <w:jc w:val="center"/>
        </w:trPr>
        <w:tc>
          <w:tcPr>
            <w:tcW w:w="798" w:type="dxa"/>
            <w:vAlign w:val="center"/>
          </w:tcPr>
          <w:p w14:paraId="5A781A5A">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p>
        </w:tc>
        <w:tc>
          <w:tcPr>
            <w:tcW w:w="1308" w:type="dxa"/>
            <w:vAlign w:val="center"/>
          </w:tcPr>
          <w:p w14:paraId="4C97CF81">
            <w:pPr>
              <w:ind w:left="-42" w:leftChars="-20" w:right="-42" w:rightChars="-20"/>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工期及质量要求</w:t>
            </w:r>
          </w:p>
        </w:tc>
        <w:tc>
          <w:tcPr>
            <w:tcW w:w="6478" w:type="dxa"/>
            <w:vAlign w:val="center"/>
          </w:tcPr>
          <w:p w14:paraId="4F24802B">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计划开工日期：</w:t>
            </w:r>
            <w:r>
              <w:rPr>
                <w:rFonts w:hint="eastAsia" w:ascii="宋体" w:hAnsi="宋体" w:cs="宋体"/>
                <w:bCs/>
                <w:color w:val="000000" w:themeColor="text1"/>
                <w:sz w:val="24"/>
                <w:szCs w:val="24"/>
                <w:highlight w:val="none"/>
                <w:lang w:val="en-US" w:eastAsia="zh-CN"/>
                <w14:textFill>
                  <w14:solidFill>
                    <w14:schemeClr w14:val="tx1"/>
                  </w14:solidFill>
                </w14:textFill>
              </w:rPr>
              <w:t>2026</w:t>
            </w:r>
            <w:r>
              <w:rPr>
                <w:rFonts w:hint="eastAsia" w:ascii="宋体" w:hAnsi="宋体" w:eastAsia="宋体" w:cs="宋体"/>
                <w:bCs/>
                <w:color w:val="000000" w:themeColor="text1"/>
                <w:sz w:val="24"/>
                <w:szCs w:val="24"/>
                <w:highlight w:val="none"/>
                <w14:textFill>
                  <w14:solidFill>
                    <w14:schemeClr w14:val="tx1"/>
                  </w14:solidFill>
                </w14:textFill>
              </w:rPr>
              <w:t>年</w:t>
            </w:r>
            <w:r>
              <w:rPr>
                <w:rFonts w:hint="eastAsia" w:ascii="宋体" w:hAnsi="宋体" w:cs="宋体"/>
                <w:bCs/>
                <w:color w:val="000000" w:themeColor="text1"/>
                <w:sz w:val="24"/>
                <w:szCs w:val="24"/>
                <w:highlight w:val="none"/>
                <w:lang w:val="en-US" w:eastAsia="zh-CN"/>
                <w14:textFill>
                  <w14:solidFill>
                    <w14:schemeClr w14:val="tx1"/>
                  </w14:solidFill>
                </w14:textFill>
              </w:rPr>
              <w:t>09</w:t>
            </w:r>
            <w:r>
              <w:rPr>
                <w:rFonts w:hint="eastAsia" w:ascii="宋体" w:hAnsi="宋体" w:eastAsia="宋体" w:cs="宋体"/>
                <w:bCs/>
                <w:color w:val="000000" w:themeColor="text1"/>
                <w:sz w:val="24"/>
                <w:szCs w:val="24"/>
                <w:highlight w:val="none"/>
                <w14:textFill>
                  <w14:solidFill>
                    <w14:schemeClr w14:val="tx1"/>
                  </w14:solidFill>
                </w14:textFill>
              </w:rPr>
              <w:t>月</w:t>
            </w:r>
            <w:r>
              <w:rPr>
                <w:rFonts w:hint="eastAsia" w:ascii="宋体" w:hAnsi="宋体" w:cs="宋体"/>
                <w:bCs/>
                <w:color w:val="000000" w:themeColor="text1"/>
                <w:sz w:val="24"/>
                <w:szCs w:val="24"/>
                <w:highlight w:val="none"/>
                <w:lang w:val="en-US" w:eastAsia="zh-CN"/>
                <w14:textFill>
                  <w14:solidFill>
                    <w14:schemeClr w14:val="tx1"/>
                  </w14:solidFill>
                </w14:textFill>
              </w:rPr>
              <w:t>01</w:t>
            </w:r>
            <w:r>
              <w:rPr>
                <w:rFonts w:hint="eastAsia" w:ascii="宋体" w:hAnsi="宋体" w:eastAsia="宋体" w:cs="宋体"/>
                <w:bCs/>
                <w:color w:val="000000" w:themeColor="text1"/>
                <w:sz w:val="24"/>
                <w:szCs w:val="24"/>
                <w:highlight w:val="none"/>
                <w14:textFill>
                  <w14:solidFill>
                    <w14:schemeClr w14:val="tx1"/>
                  </w14:solidFill>
                </w14:textFill>
              </w:rPr>
              <w:t>日</w:t>
            </w:r>
          </w:p>
          <w:p w14:paraId="2D6A4601">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计划完工日期：</w:t>
            </w:r>
            <w:r>
              <w:rPr>
                <w:rFonts w:hint="eastAsia" w:ascii="宋体" w:hAnsi="宋体" w:cs="宋体"/>
                <w:bCs/>
                <w:color w:val="000000" w:themeColor="text1"/>
                <w:sz w:val="24"/>
                <w:szCs w:val="24"/>
                <w:highlight w:val="none"/>
                <w:lang w:val="en-US" w:eastAsia="zh-CN"/>
                <w14:textFill>
                  <w14:solidFill>
                    <w14:schemeClr w14:val="tx1"/>
                  </w14:solidFill>
                </w14:textFill>
              </w:rPr>
              <w:t>2027</w:t>
            </w:r>
            <w:r>
              <w:rPr>
                <w:rFonts w:hint="eastAsia" w:ascii="宋体" w:hAnsi="宋体" w:eastAsia="宋体" w:cs="宋体"/>
                <w:bCs/>
                <w:color w:val="000000" w:themeColor="text1"/>
                <w:sz w:val="24"/>
                <w:szCs w:val="24"/>
                <w:highlight w:val="none"/>
                <w14:textFill>
                  <w14:solidFill>
                    <w14:schemeClr w14:val="tx1"/>
                  </w14:solidFill>
                </w14:textFill>
              </w:rPr>
              <w:t>年</w:t>
            </w:r>
            <w:r>
              <w:rPr>
                <w:rFonts w:hint="eastAsia" w:ascii="宋体" w:hAnsi="宋体" w:cs="宋体"/>
                <w:bCs/>
                <w:color w:val="000000" w:themeColor="text1"/>
                <w:sz w:val="24"/>
                <w:szCs w:val="24"/>
                <w:highlight w:val="none"/>
                <w:lang w:val="en-US" w:eastAsia="zh-CN"/>
                <w14:textFill>
                  <w14:solidFill>
                    <w14:schemeClr w14:val="tx1"/>
                  </w14:solidFill>
                </w14:textFill>
              </w:rPr>
              <w:t>01</w:t>
            </w:r>
            <w:r>
              <w:rPr>
                <w:rFonts w:hint="eastAsia" w:ascii="宋体" w:hAnsi="宋体" w:eastAsia="宋体" w:cs="宋体"/>
                <w:bCs/>
                <w:color w:val="000000" w:themeColor="text1"/>
                <w:sz w:val="24"/>
                <w:szCs w:val="24"/>
                <w:highlight w:val="none"/>
                <w14:textFill>
                  <w14:solidFill>
                    <w14:schemeClr w14:val="tx1"/>
                  </w14:solidFill>
                </w14:textFill>
              </w:rPr>
              <w:t>月</w:t>
            </w:r>
            <w:r>
              <w:rPr>
                <w:rFonts w:hint="eastAsia" w:ascii="宋体" w:hAnsi="宋体" w:cs="宋体"/>
                <w:bCs/>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bCs/>
                <w:color w:val="000000" w:themeColor="text1"/>
                <w:sz w:val="24"/>
                <w:szCs w:val="24"/>
                <w:highlight w:val="none"/>
                <w14:textFill>
                  <w14:solidFill>
                    <w14:schemeClr w14:val="tx1"/>
                  </w14:solidFill>
                </w14:textFill>
              </w:rPr>
              <w:t>日</w:t>
            </w:r>
          </w:p>
          <w:p w14:paraId="401CFA7F">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计划合同工期：</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1</w:t>
            </w:r>
            <w:r>
              <w:rPr>
                <w:rFonts w:hint="eastAsia" w:ascii="宋体" w:hAnsi="宋体" w:cs="宋体"/>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0</w:t>
            </w:r>
            <w:r>
              <w:rPr>
                <w:rFonts w:hint="eastAsia" w:ascii="宋体" w:hAnsi="宋体" w:eastAsia="宋体" w:cs="宋体"/>
                <w:bCs/>
                <w:color w:val="000000" w:themeColor="text1"/>
                <w:sz w:val="24"/>
                <w:szCs w:val="24"/>
                <w:highlight w:val="none"/>
                <w14:textFill>
                  <w14:solidFill>
                    <w14:schemeClr w14:val="tx1"/>
                  </w14:solidFill>
                </w14:textFill>
              </w:rPr>
              <w:t>日历天</w:t>
            </w:r>
          </w:p>
          <w:p w14:paraId="67A89D52">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质量要求：</w:t>
            </w:r>
            <w:r>
              <w:rPr>
                <w:rFonts w:hint="eastAsia" w:ascii="宋体" w:hAnsi="宋体" w:eastAsia="宋体" w:cs="宋体"/>
                <w:bCs/>
                <w:color w:val="000000" w:themeColor="text1"/>
                <w:sz w:val="24"/>
                <w:szCs w:val="24"/>
                <w:highlight w:val="none"/>
                <w14:textFill>
                  <w14:solidFill>
                    <w14:schemeClr w14:val="tx1"/>
                  </w14:solidFill>
                </w14:textFill>
              </w:rPr>
              <w:t>工程一次验收合格率100%</w:t>
            </w:r>
            <w:r>
              <w:rPr>
                <w:rFonts w:hint="eastAsia" w:ascii="宋体" w:hAnsi="宋体" w:eastAsia="宋体" w:cs="宋体"/>
                <w:bCs/>
                <w:color w:val="000000" w:themeColor="text1"/>
                <w:sz w:val="24"/>
                <w:szCs w:val="24"/>
                <w:highlight w:val="none"/>
                <w:lang w:eastAsia="zh-CN"/>
                <w14:textFill>
                  <w14:solidFill>
                    <w14:schemeClr w14:val="tx1"/>
                  </w14:solidFill>
                </w14:textFill>
              </w:rPr>
              <w:t>，</w:t>
            </w:r>
            <w:r>
              <w:rPr>
                <w:rFonts w:hint="eastAsia" w:ascii="宋体" w:hAnsi="宋体" w:eastAsia="宋体" w:cs="宋体"/>
                <w:bCs/>
                <w:color w:val="000000" w:themeColor="text1"/>
                <w:sz w:val="24"/>
                <w:szCs w:val="24"/>
                <w:highlight w:val="none"/>
                <w14:textFill>
                  <w14:solidFill>
                    <w14:schemeClr w14:val="tx1"/>
                  </w14:solidFill>
                </w14:textFill>
              </w:rPr>
              <w:t>本工程交工验收阶段质量评定合格；竣工验收质量评定优良。</w:t>
            </w:r>
          </w:p>
        </w:tc>
      </w:tr>
      <w:tr w14:paraId="4CF5CC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33" w:hRule="atLeast"/>
          <w:jc w:val="center"/>
        </w:trPr>
        <w:tc>
          <w:tcPr>
            <w:tcW w:w="798" w:type="dxa"/>
            <w:vAlign w:val="center"/>
          </w:tcPr>
          <w:p w14:paraId="11E45C66">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w:t>
            </w:r>
          </w:p>
        </w:tc>
        <w:tc>
          <w:tcPr>
            <w:tcW w:w="1308" w:type="dxa"/>
            <w:vAlign w:val="center"/>
          </w:tcPr>
          <w:p w14:paraId="00B9683C">
            <w:pPr>
              <w:ind w:left="-42" w:leftChars="-20" w:right="-42" w:rightChars="-20"/>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采购文件</w:t>
            </w:r>
          </w:p>
          <w:p w14:paraId="63E07B98">
            <w:pPr>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的澄清</w:t>
            </w:r>
          </w:p>
        </w:tc>
        <w:tc>
          <w:tcPr>
            <w:tcW w:w="6478" w:type="dxa"/>
            <w:vAlign w:val="center"/>
          </w:tcPr>
          <w:p w14:paraId="25C6BC71">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可以书面形式或致电质疑，接收人：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白广涛</w:t>
            </w:r>
            <w:r>
              <w:rPr>
                <w:rFonts w:hint="eastAsia" w:ascii="宋体" w:hAnsi="宋体" w:eastAsia="宋体" w:cs="宋体"/>
                <w:bCs/>
                <w:color w:val="000000" w:themeColor="text1"/>
                <w:sz w:val="24"/>
                <w:szCs w:val="24"/>
                <w:highlight w:val="none"/>
                <w14:textFill>
                  <w14:solidFill>
                    <w14:schemeClr w14:val="tx1"/>
                  </w14:solidFill>
                </w14:textFill>
              </w:rPr>
              <w:t xml:space="preserve">      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15131192930</w:t>
            </w:r>
            <w:r>
              <w:rPr>
                <w:rFonts w:hint="eastAsia" w:ascii="宋体" w:hAnsi="宋体" w:eastAsia="宋体" w:cs="宋体"/>
                <w:bCs/>
                <w:color w:val="000000" w:themeColor="text1"/>
                <w:sz w:val="24"/>
                <w:szCs w:val="24"/>
                <w:highlight w:val="none"/>
                <w14:textFill>
                  <w14:solidFill>
                    <w14:schemeClr w14:val="tx1"/>
                  </w14:solidFill>
                </w14:textFill>
              </w:rPr>
              <w:t xml:space="preserve"> </w:t>
            </w:r>
          </w:p>
          <w:p w14:paraId="56E12D96">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澄清截止日期：</w:t>
            </w:r>
            <w:r>
              <w:rPr>
                <w:rFonts w:hint="eastAsia" w:ascii="宋体" w:hAnsi="宋体" w:cs="宋体"/>
                <w:bCs/>
                <w:color w:val="000000" w:themeColor="text1"/>
                <w:sz w:val="24"/>
                <w:szCs w:val="24"/>
                <w:highlight w:val="none"/>
                <w:lang w:val="en-US" w:eastAsia="zh-CN"/>
                <w14:textFill>
                  <w14:solidFill>
                    <w14:schemeClr w14:val="tx1"/>
                  </w14:solidFill>
                </w14:textFill>
              </w:rPr>
              <w:t>2026</w:t>
            </w:r>
            <w:r>
              <w:rPr>
                <w:rFonts w:hint="eastAsia" w:ascii="宋体" w:hAnsi="宋体" w:eastAsia="宋体" w:cs="宋体"/>
                <w:bCs/>
                <w:color w:val="000000" w:themeColor="text1"/>
                <w:sz w:val="24"/>
                <w:szCs w:val="24"/>
                <w:highlight w:val="none"/>
                <w14:textFill>
                  <w14:solidFill>
                    <w14:schemeClr w14:val="tx1"/>
                  </w14:solidFill>
                </w14:textFill>
              </w:rPr>
              <w:t>年</w:t>
            </w:r>
            <w:r>
              <w:rPr>
                <w:rFonts w:hint="eastAsia" w:ascii="宋体" w:hAnsi="宋体" w:cs="宋体"/>
                <w:bCs/>
                <w:color w:val="000000" w:themeColor="text1"/>
                <w:sz w:val="24"/>
                <w:szCs w:val="24"/>
                <w:highlight w:val="none"/>
                <w:lang w:val="en-US" w:eastAsia="zh-CN"/>
                <w14:textFill>
                  <w14:solidFill>
                    <w14:schemeClr w14:val="tx1"/>
                  </w14:solidFill>
                </w14:textFill>
              </w:rPr>
              <w:t>8</w:t>
            </w:r>
            <w:r>
              <w:rPr>
                <w:rFonts w:hint="eastAsia" w:ascii="宋体" w:hAnsi="宋体" w:eastAsia="宋体" w:cs="宋体"/>
                <w:bCs/>
                <w:color w:val="000000" w:themeColor="text1"/>
                <w:sz w:val="24"/>
                <w:szCs w:val="24"/>
                <w:highlight w:val="none"/>
                <w14:textFill>
                  <w14:solidFill>
                    <w14:schemeClr w14:val="tx1"/>
                  </w14:solidFill>
                </w14:textFill>
              </w:rPr>
              <w:t>月</w:t>
            </w:r>
            <w:r>
              <w:rPr>
                <w:rFonts w:hint="eastAsia" w:ascii="宋体" w:hAnsi="宋体" w:cs="宋体"/>
                <w:bCs/>
                <w:color w:val="000000" w:themeColor="text1"/>
                <w:sz w:val="24"/>
                <w:szCs w:val="24"/>
                <w:highlight w:val="none"/>
                <w:lang w:val="en-US" w:eastAsia="zh-CN"/>
                <w14:textFill>
                  <w14:solidFill>
                    <w14:schemeClr w14:val="tx1"/>
                  </w14:solidFill>
                </w14:textFill>
              </w:rPr>
              <w:t>23</w:t>
            </w:r>
            <w:r>
              <w:rPr>
                <w:rFonts w:hint="eastAsia" w:ascii="宋体" w:hAnsi="宋体" w:eastAsia="宋体" w:cs="宋体"/>
                <w:bCs/>
                <w:color w:val="000000" w:themeColor="text1"/>
                <w:sz w:val="24"/>
                <w:szCs w:val="24"/>
                <w:highlight w:val="none"/>
                <w14:textFill>
                  <w14:solidFill>
                    <w14:schemeClr w14:val="tx1"/>
                  </w14:solidFill>
                </w14:textFill>
              </w:rPr>
              <w:t>日</w:t>
            </w:r>
            <w:r>
              <w:rPr>
                <w:rFonts w:hint="eastAsia" w:ascii="宋体" w:hAnsi="宋体" w:cs="宋体"/>
                <w:bCs/>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bCs/>
                <w:color w:val="000000" w:themeColor="text1"/>
                <w:sz w:val="24"/>
                <w:szCs w:val="24"/>
                <w:highlight w:val="none"/>
                <w14:textFill>
                  <w14:solidFill>
                    <w14:schemeClr w14:val="tx1"/>
                  </w14:solidFill>
                </w14:textFill>
              </w:rPr>
              <w:t>时</w:t>
            </w:r>
          </w:p>
        </w:tc>
      </w:tr>
      <w:tr w14:paraId="05CAA7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33" w:hRule="atLeast"/>
          <w:jc w:val="center"/>
        </w:trPr>
        <w:tc>
          <w:tcPr>
            <w:tcW w:w="798" w:type="dxa"/>
            <w:vAlign w:val="center"/>
          </w:tcPr>
          <w:p w14:paraId="0CB1D88F">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w:t>
            </w:r>
          </w:p>
        </w:tc>
        <w:tc>
          <w:tcPr>
            <w:tcW w:w="1308" w:type="dxa"/>
            <w:vAlign w:val="center"/>
          </w:tcPr>
          <w:p w14:paraId="1DCDABEF">
            <w:pPr>
              <w:ind w:left="-42" w:leftChars="-20" w:right="-42" w:rightChars="-20"/>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采购文件的修改</w:t>
            </w:r>
          </w:p>
        </w:tc>
        <w:tc>
          <w:tcPr>
            <w:tcW w:w="6478" w:type="dxa"/>
            <w:vAlign w:val="center"/>
          </w:tcPr>
          <w:p w14:paraId="7649BC53">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采购人在响应文件递交截止日</w:t>
            </w:r>
            <w:r>
              <w:rPr>
                <w:rFonts w:hint="eastAsia" w:ascii="宋体" w:hAnsi="宋体" w:eastAsia="宋体" w:cs="宋体"/>
                <w:bCs/>
                <w:color w:val="000000" w:themeColor="text1"/>
                <w:sz w:val="24"/>
                <w:szCs w:val="24"/>
                <w:highlight w:val="none"/>
                <w:u w:val="single"/>
                <w14:textFill>
                  <w14:solidFill>
                    <w14:schemeClr w14:val="tx1"/>
                  </w14:solidFill>
                </w14:textFill>
              </w:rPr>
              <w:t xml:space="preserve"> 1天 </w:t>
            </w:r>
            <w:r>
              <w:rPr>
                <w:rFonts w:hint="eastAsia" w:ascii="宋体" w:hAnsi="宋体" w:eastAsia="宋体" w:cs="宋体"/>
                <w:bCs/>
                <w:color w:val="000000" w:themeColor="text1"/>
                <w:sz w:val="24"/>
                <w:szCs w:val="24"/>
                <w:highlight w:val="none"/>
                <w14:textFill>
                  <w14:solidFill>
                    <w14:schemeClr w14:val="tx1"/>
                  </w14:solidFill>
                </w14:textFill>
              </w:rPr>
              <w:t>前，可因任何原因，以“补充采购文件”形式对采购文件进行修改。</w:t>
            </w:r>
          </w:p>
        </w:tc>
      </w:tr>
      <w:tr w14:paraId="55C63E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26" w:hRule="atLeast"/>
          <w:jc w:val="center"/>
        </w:trPr>
        <w:tc>
          <w:tcPr>
            <w:tcW w:w="798" w:type="dxa"/>
            <w:vAlign w:val="center"/>
          </w:tcPr>
          <w:p w14:paraId="4A86C4D0">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8</w:t>
            </w:r>
          </w:p>
        </w:tc>
        <w:tc>
          <w:tcPr>
            <w:tcW w:w="1308" w:type="dxa"/>
            <w:vAlign w:val="center"/>
          </w:tcPr>
          <w:p w14:paraId="2F3937D4">
            <w:pPr>
              <w:ind w:left="-42" w:leftChars="-20" w:right="-42" w:rightChars="-20"/>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响应文件的份数</w:t>
            </w:r>
          </w:p>
        </w:tc>
        <w:tc>
          <w:tcPr>
            <w:tcW w:w="6478" w:type="dxa"/>
            <w:vAlign w:val="center"/>
          </w:tcPr>
          <w:p w14:paraId="411F98CE">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响应单位应按照采购文件要求编制响应文件。</w:t>
            </w:r>
          </w:p>
          <w:p w14:paraId="7435FA0A">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电子版响应文件要求：盖章签字响应文件完整扫描件（PDF格式，彩色，清晰度不低于200dpi）。</w:t>
            </w:r>
          </w:p>
        </w:tc>
      </w:tr>
      <w:tr w14:paraId="023017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39" w:hRule="atLeast"/>
          <w:jc w:val="center"/>
        </w:trPr>
        <w:tc>
          <w:tcPr>
            <w:tcW w:w="798" w:type="dxa"/>
            <w:vAlign w:val="center"/>
          </w:tcPr>
          <w:p w14:paraId="3152F21D">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w:t>
            </w:r>
          </w:p>
        </w:tc>
        <w:tc>
          <w:tcPr>
            <w:tcW w:w="1308" w:type="dxa"/>
            <w:vAlign w:val="center"/>
          </w:tcPr>
          <w:p w14:paraId="561F2032">
            <w:pPr>
              <w:ind w:left="-42" w:leftChars="-20" w:right="-42" w:rightChars="-20"/>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响应文件的封面</w:t>
            </w:r>
          </w:p>
        </w:tc>
        <w:tc>
          <w:tcPr>
            <w:tcW w:w="6478" w:type="dxa"/>
            <w:vAlign w:val="center"/>
          </w:tcPr>
          <w:p w14:paraId="0322F9F5">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响应文件为A4大小，采用胶装方式装订；</w:t>
            </w:r>
          </w:p>
          <w:p w14:paraId="6FDBCCAC">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封面均按采购文件要求以黑体字标明工程名称；</w:t>
            </w:r>
          </w:p>
          <w:p w14:paraId="5E47C3D1">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封面内容、格式见“</w:t>
            </w:r>
            <w:r>
              <w:rPr>
                <w:rFonts w:hint="eastAsia" w:ascii="宋体" w:hAnsi="宋体" w:eastAsia="宋体" w:cs="宋体"/>
                <w:color w:val="000000" w:themeColor="text1"/>
                <w:sz w:val="24"/>
                <w:szCs w:val="24"/>
                <w:highlight w:val="none"/>
                <w14:textFill>
                  <w14:solidFill>
                    <w14:schemeClr w14:val="tx1"/>
                  </w14:solidFill>
                </w14:textFill>
              </w:rPr>
              <w:t>第六篇  响应文件格式”</w:t>
            </w:r>
          </w:p>
        </w:tc>
      </w:tr>
      <w:tr w14:paraId="3C5B43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8" w:hRule="atLeast"/>
          <w:jc w:val="center"/>
        </w:trPr>
        <w:tc>
          <w:tcPr>
            <w:tcW w:w="798" w:type="dxa"/>
            <w:vAlign w:val="center"/>
          </w:tcPr>
          <w:p w14:paraId="0A118669">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w:t>
            </w:r>
          </w:p>
        </w:tc>
        <w:tc>
          <w:tcPr>
            <w:tcW w:w="1308" w:type="dxa"/>
            <w:vAlign w:val="center"/>
          </w:tcPr>
          <w:p w14:paraId="5D5E11EF">
            <w:pPr>
              <w:ind w:left="-42" w:leftChars="-20" w:right="-42" w:rightChars="-20"/>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响应文件</w:t>
            </w:r>
          </w:p>
          <w:p w14:paraId="7CE2D999">
            <w:pPr>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有效期</w:t>
            </w:r>
          </w:p>
        </w:tc>
        <w:tc>
          <w:tcPr>
            <w:tcW w:w="6478" w:type="dxa"/>
            <w:vAlign w:val="center"/>
          </w:tcPr>
          <w:p w14:paraId="25C2C70F">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自响应文件递交截止日后90日历天。</w:t>
            </w:r>
          </w:p>
        </w:tc>
      </w:tr>
      <w:tr w14:paraId="700390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750" w:hRule="atLeast"/>
          <w:jc w:val="center"/>
        </w:trPr>
        <w:tc>
          <w:tcPr>
            <w:tcW w:w="798" w:type="dxa"/>
            <w:vAlign w:val="center"/>
          </w:tcPr>
          <w:p w14:paraId="14327576">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w:t>
            </w:r>
          </w:p>
        </w:tc>
        <w:tc>
          <w:tcPr>
            <w:tcW w:w="1308" w:type="dxa"/>
            <w:vAlign w:val="center"/>
          </w:tcPr>
          <w:p w14:paraId="6ED0ED15">
            <w:pPr>
              <w:ind w:left="-42" w:leftChars="-20" w:right="-42" w:rightChars="-20"/>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响应担保</w:t>
            </w:r>
          </w:p>
        </w:tc>
        <w:tc>
          <w:tcPr>
            <w:tcW w:w="6478" w:type="dxa"/>
            <w:vAlign w:val="center"/>
          </w:tcPr>
          <w:p w14:paraId="5B0E29A2">
            <w:pPr>
              <w:rPr>
                <w:rFonts w:hint="eastAsia" w:ascii="宋体" w:hAnsi="宋体" w:eastAsia="宋体" w:cs="宋体"/>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响应担保金额：小写：</w:t>
            </w:r>
            <w:r>
              <w:rPr>
                <w:rFonts w:hint="eastAsia" w:ascii="宋体" w:hAnsi="宋体" w:eastAsia="宋体" w:cs="宋体"/>
                <w:bCs/>
                <w:color w:val="000000" w:themeColor="text1"/>
                <w:sz w:val="24"/>
                <w:szCs w:val="24"/>
                <w:highlight w:val="none"/>
                <w:u w:val="single"/>
                <w14:textFill>
                  <w14:solidFill>
                    <w14:schemeClr w14:val="tx1"/>
                  </w14:solidFill>
                </w14:textFill>
              </w:rPr>
              <w:t xml:space="preserve"> </w:t>
            </w:r>
            <w:r>
              <w:rPr>
                <w:rFonts w:hint="eastAsia" w:ascii="宋体" w:hAnsi="宋体" w:cs="宋体"/>
                <w:bCs/>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bCs/>
                <w:color w:val="000000" w:themeColor="text1"/>
                <w:sz w:val="24"/>
                <w:szCs w:val="24"/>
                <w:highlight w:val="none"/>
                <w:u w:val="single"/>
                <w:lang w:val="en-US" w:eastAsia="zh-CN"/>
                <w14:textFill>
                  <w14:solidFill>
                    <w14:schemeClr w14:val="tx1"/>
                  </w14:solidFill>
                </w14:textFill>
              </w:rPr>
              <w:t>0000元，</w:t>
            </w:r>
            <w:r>
              <w:rPr>
                <w:rFonts w:hint="eastAsia" w:ascii="宋体" w:hAnsi="宋体" w:eastAsia="宋体" w:cs="宋体"/>
                <w:bCs/>
                <w:color w:val="000000" w:themeColor="text1"/>
                <w:sz w:val="24"/>
                <w:szCs w:val="24"/>
                <w:highlight w:val="none"/>
                <w14:textFill>
                  <w14:solidFill>
                    <w14:schemeClr w14:val="tx1"/>
                  </w14:solidFill>
                </w14:textFill>
              </w:rPr>
              <w:t>大写：</w:t>
            </w:r>
            <w:r>
              <w:rPr>
                <w:rFonts w:hint="eastAsia" w:ascii="宋体" w:hAnsi="宋体" w:cs="宋体"/>
                <w:bCs/>
                <w:color w:val="000000" w:themeColor="text1"/>
                <w:sz w:val="24"/>
                <w:szCs w:val="24"/>
                <w:highlight w:val="none"/>
                <w:u w:val="single"/>
                <w:lang w:val="en-US" w:eastAsia="zh-CN"/>
                <w14:textFill>
                  <w14:solidFill>
                    <w14:schemeClr w14:val="tx1"/>
                  </w14:solidFill>
                </w14:textFill>
              </w:rPr>
              <w:t>伍</w:t>
            </w:r>
            <w:r>
              <w:rPr>
                <w:rFonts w:hint="eastAsia" w:ascii="宋体" w:hAnsi="宋体" w:eastAsia="宋体" w:cs="宋体"/>
                <w:bCs/>
                <w:color w:val="000000" w:themeColor="text1"/>
                <w:sz w:val="24"/>
                <w:szCs w:val="24"/>
                <w:highlight w:val="none"/>
                <w:u w:val="single"/>
                <w:lang w:val="en-US" w:eastAsia="zh-CN"/>
                <w14:textFill>
                  <w14:solidFill>
                    <w14:schemeClr w14:val="tx1"/>
                  </w14:solidFill>
                </w14:textFill>
              </w:rPr>
              <w:t>万圆整。</w:t>
            </w:r>
          </w:p>
          <w:p w14:paraId="4BB58853">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响应保证金，在上交响应文件之前电汇汇入下列账户</w:t>
            </w:r>
          </w:p>
          <w:p w14:paraId="0AB82116">
            <w:p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账户名称：中建路桥集团建设发展有限公司</w:t>
            </w:r>
          </w:p>
          <w:p w14:paraId="0740A485">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账    号：</w:t>
            </w:r>
            <w:r>
              <w:rPr>
                <w:rFonts w:hint="eastAsia" w:ascii="宋体" w:hAnsi="宋体" w:eastAsia="宋体" w:cs="宋体"/>
                <w:color w:val="000000" w:themeColor="text1"/>
                <w:sz w:val="24"/>
                <w:szCs w:val="24"/>
                <w:highlight w:val="none"/>
                <w14:textFill>
                  <w14:solidFill>
                    <w14:schemeClr w14:val="tx1"/>
                  </w14:solidFill>
                </w14:textFill>
              </w:rPr>
              <w:t xml:space="preserve"> 8111801012501322184</w:t>
            </w:r>
          </w:p>
          <w:p w14:paraId="76847474">
            <w:p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开户银行：</w:t>
            </w:r>
            <w:r>
              <w:rPr>
                <w:rFonts w:hint="eastAsia" w:ascii="宋体" w:hAnsi="宋体" w:eastAsia="宋体" w:cs="宋体"/>
                <w:color w:val="000000" w:themeColor="text1"/>
                <w:sz w:val="24"/>
                <w:szCs w:val="24"/>
                <w:highlight w:val="none"/>
                <w14:textFill>
                  <w14:solidFill>
                    <w14:schemeClr w14:val="tx1"/>
                  </w14:solidFill>
                </w14:textFill>
              </w:rPr>
              <w:t xml:space="preserve"> 中信银行石家庄建设北大街支行</w:t>
            </w:r>
          </w:p>
          <w:p w14:paraId="15FB114D">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重要说明：以响应单位基本账户汇入，请注明“</w:t>
            </w:r>
            <w:r>
              <w:rPr>
                <w:rFonts w:hint="eastAsia" w:ascii="宋体" w:hAnsi="宋体" w:cs="宋体"/>
                <w:bCs/>
                <w:color w:val="000000" w:themeColor="text1"/>
                <w:sz w:val="24"/>
                <w:szCs w:val="24"/>
                <w:highlight w:val="none"/>
                <w:lang w:val="en-US" w:eastAsia="zh-CN"/>
                <w14:textFill>
                  <w14:solidFill>
                    <w14:schemeClr w14:val="tx1"/>
                  </w14:solidFill>
                </w14:textFill>
              </w:rPr>
              <w:t>广西桂林</w:t>
            </w:r>
            <w:r>
              <w:rPr>
                <w:rFonts w:hint="eastAsia" w:ascii="宋体" w:hAnsi="宋体" w:eastAsia="宋体" w:cs="宋体"/>
                <w:bCs/>
                <w:color w:val="000000" w:themeColor="text1"/>
                <w:sz w:val="24"/>
                <w:szCs w:val="24"/>
                <w:highlight w:val="none"/>
                <w14:textFill>
                  <w14:solidFill>
                    <w14:schemeClr w14:val="tx1"/>
                  </w14:solidFill>
                </w14:textFill>
              </w:rPr>
              <w:t>项目响应保证金”。</w:t>
            </w:r>
          </w:p>
          <w:p w14:paraId="5819444D">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响应单位提供响应担保时也可选择电子保函（保险）等方式，由响应单位自主进行选择。</w:t>
            </w:r>
          </w:p>
          <w:p w14:paraId="066AC56E">
            <w:pP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采用银行保函时，须为见索即付保函。</w:t>
            </w:r>
          </w:p>
        </w:tc>
      </w:tr>
      <w:tr w14:paraId="2D6D10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47" w:hRule="atLeast"/>
          <w:jc w:val="center"/>
        </w:trPr>
        <w:tc>
          <w:tcPr>
            <w:tcW w:w="798" w:type="dxa"/>
            <w:vAlign w:val="center"/>
          </w:tcPr>
          <w:p w14:paraId="53C8B635">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12 </w:t>
            </w:r>
          </w:p>
        </w:tc>
        <w:tc>
          <w:tcPr>
            <w:tcW w:w="1308" w:type="dxa"/>
            <w:vAlign w:val="center"/>
          </w:tcPr>
          <w:p w14:paraId="5602FEF9">
            <w:pPr>
              <w:ind w:left="-42" w:leftChars="-20" w:right="-42" w:rightChars="-20"/>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采购控制价</w:t>
            </w:r>
          </w:p>
        </w:tc>
        <w:tc>
          <w:tcPr>
            <w:tcW w:w="6478" w:type="dxa"/>
            <w:vAlign w:val="center"/>
          </w:tcPr>
          <w:p w14:paraId="4BFC69A1">
            <w:pPr>
              <w:rPr>
                <w:rFonts w:hint="eastAsia" w:ascii="宋体" w:hAnsi="宋体" w:eastAsia="宋体" w:cs="宋体"/>
                <w:bCs/>
                <w:color w:val="000000" w:themeColor="text1"/>
                <w:sz w:val="24"/>
                <w:szCs w:val="24"/>
                <w:highlight w:val="none"/>
                <w:u w:val="singl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最高采购限价为</w:t>
            </w:r>
            <w:r>
              <w:rPr>
                <w:rFonts w:hint="eastAsia" w:ascii="宋体" w:hAnsi="宋体" w:cs="宋体"/>
                <w:bCs/>
                <w:color w:val="000000" w:themeColor="text1"/>
                <w:sz w:val="24"/>
                <w:szCs w:val="24"/>
                <w:highlight w:val="none"/>
                <w:u w:val="single"/>
                <w:lang w:val="en-US" w:eastAsia="zh-CN"/>
                <w14:textFill>
                  <w14:solidFill>
                    <w14:schemeClr w14:val="tx1"/>
                  </w14:solidFill>
                </w14:textFill>
              </w:rPr>
              <w:t>495.9</w:t>
            </w:r>
            <w:r>
              <w:rPr>
                <w:rFonts w:hint="eastAsia" w:ascii="宋体" w:hAnsi="宋体" w:eastAsia="宋体" w:cs="宋体"/>
                <w:bCs/>
                <w:color w:val="000000" w:themeColor="text1"/>
                <w:sz w:val="24"/>
                <w:szCs w:val="24"/>
                <w:highlight w:val="none"/>
                <w:u w:val="single"/>
                <w:lang w:val="en-US" w:eastAsia="zh-CN"/>
                <w14:textFill>
                  <w14:solidFill>
                    <w14:schemeClr w14:val="tx1"/>
                  </w14:solidFill>
                </w14:textFill>
              </w:rPr>
              <w:t>万</w:t>
            </w:r>
            <w:r>
              <w:rPr>
                <w:rFonts w:hint="eastAsia" w:ascii="宋体" w:hAnsi="宋体" w:eastAsia="宋体" w:cs="宋体"/>
                <w:bCs/>
                <w:color w:val="000000" w:themeColor="text1"/>
                <w:sz w:val="24"/>
                <w:szCs w:val="24"/>
                <w:highlight w:val="none"/>
                <w14:textFill>
                  <w14:solidFill>
                    <w14:schemeClr w14:val="tx1"/>
                  </w14:solidFill>
                </w14:textFill>
              </w:rPr>
              <w:t>元，报价金额超过最高采购限价的，按废标处理。</w:t>
            </w:r>
          </w:p>
        </w:tc>
      </w:tr>
      <w:tr w14:paraId="394C31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798" w:type="dxa"/>
            <w:vAlign w:val="center"/>
          </w:tcPr>
          <w:p w14:paraId="4C2A0447">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w:t>
            </w:r>
          </w:p>
        </w:tc>
        <w:tc>
          <w:tcPr>
            <w:tcW w:w="1308" w:type="dxa"/>
            <w:vAlign w:val="center"/>
          </w:tcPr>
          <w:p w14:paraId="02F2EB0B">
            <w:pPr>
              <w:ind w:left="-42" w:leftChars="-20" w:right="-42" w:rightChars="-20"/>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响应截止</w:t>
            </w:r>
          </w:p>
          <w:p w14:paraId="3C2FB0E8">
            <w:pPr>
              <w:ind w:left="-42" w:leftChars="-20" w:right="-42" w:rightChars="-20"/>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时间</w:t>
            </w:r>
          </w:p>
        </w:tc>
        <w:tc>
          <w:tcPr>
            <w:tcW w:w="6478" w:type="dxa"/>
            <w:vAlign w:val="center"/>
          </w:tcPr>
          <w:p w14:paraId="0CA278B2">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响应文件递交截止时间：</w:t>
            </w:r>
            <w:r>
              <w:rPr>
                <w:rFonts w:hint="eastAsia" w:ascii="宋体" w:hAnsi="宋体" w:cs="宋体"/>
                <w:bCs/>
                <w:color w:val="000000" w:themeColor="text1"/>
                <w:sz w:val="24"/>
                <w:szCs w:val="24"/>
                <w:highlight w:val="none"/>
                <w:lang w:val="en-US" w:eastAsia="zh-CN"/>
                <w14:textFill>
                  <w14:solidFill>
                    <w14:schemeClr w14:val="tx1"/>
                  </w14:solidFill>
                </w14:textFill>
              </w:rPr>
              <w:t>2026年8月24</w:t>
            </w:r>
            <w:r>
              <w:rPr>
                <w:rFonts w:hint="eastAsia" w:ascii="宋体" w:hAnsi="宋体" w:eastAsia="宋体" w:cs="宋体"/>
                <w:bCs/>
                <w:color w:val="000000" w:themeColor="text1"/>
                <w:sz w:val="24"/>
                <w:szCs w:val="24"/>
                <w:highlight w:val="none"/>
                <w14:textFill>
                  <w14:solidFill>
                    <w14:schemeClr w14:val="tx1"/>
                  </w14:solidFill>
                </w14:textFill>
              </w:rPr>
              <w:t>日</w:t>
            </w:r>
            <w:r>
              <w:rPr>
                <w:rFonts w:hint="eastAsia" w:ascii="宋体" w:hAnsi="宋体" w:cs="宋体"/>
                <w:bCs/>
                <w:color w:val="000000" w:themeColor="text1"/>
                <w:sz w:val="24"/>
                <w:szCs w:val="24"/>
                <w:highlight w:val="none"/>
                <w:lang w:val="en-US" w:eastAsia="zh-CN"/>
                <w14:textFill>
                  <w14:solidFill>
                    <w14:schemeClr w14:val="tx1"/>
                  </w14:solidFill>
                </w14:textFill>
              </w:rPr>
              <w:t>11</w:t>
            </w:r>
            <w:r>
              <w:rPr>
                <w:rFonts w:hint="eastAsia" w:ascii="宋体" w:hAnsi="宋体" w:eastAsia="宋体" w:cs="宋体"/>
                <w:bCs/>
                <w:color w:val="000000" w:themeColor="text1"/>
                <w:sz w:val="24"/>
                <w:szCs w:val="24"/>
                <w:highlight w:val="none"/>
                <w14:textFill>
                  <w14:solidFill>
                    <w14:schemeClr w14:val="tx1"/>
                  </w14:solidFill>
                </w14:textFill>
              </w:rPr>
              <w:t>时；</w:t>
            </w:r>
          </w:p>
          <w:p w14:paraId="4FFD08EC">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响应文件递交方式：见下方开启响应文件的通知。</w:t>
            </w:r>
          </w:p>
        </w:tc>
      </w:tr>
      <w:tr w14:paraId="5200A6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798" w:type="dxa"/>
            <w:vAlign w:val="center"/>
          </w:tcPr>
          <w:p w14:paraId="3B1E9CA6">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15</w:t>
            </w:r>
          </w:p>
        </w:tc>
        <w:tc>
          <w:tcPr>
            <w:tcW w:w="1308" w:type="dxa"/>
            <w:vAlign w:val="center"/>
          </w:tcPr>
          <w:p w14:paraId="206C61BA">
            <w:pPr>
              <w:ind w:left="-42" w:leftChars="-20" w:right="-42" w:rightChars="-20"/>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开启响应文件</w:t>
            </w:r>
          </w:p>
        </w:tc>
        <w:tc>
          <w:tcPr>
            <w:tcW w:w="6478" w:type="dxa"/>
            <w:vAlign w:val="center"/>
          </w:tcPr>
          <w:p w14:paraId="78EDD2BE">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 xml:space="preserve">开启响应文件时间： </w:t>
            </w:r>
            <w:r>
              <w:rPr>
                <w:rFonts w:hint="eastAsia" w:ascii="宋体" w:hAnsi="宋体" w:cs="宋体"/>
                <w:bCs/>
                <w:color w:val="000000" w:themeColor="text1"/>
                <w:sz w:val="24"/>
                <w:szCs w:val="24"/>
                <w:highlight w:val="none"/>
                <w:lang w:val="en-US" w:eastAsia="zh-CN"/>
                <w14:textFill>
                  <w14:solidFill>
                    <w14:schemeClr w14:val="tx1"/>
                  </w14:solidFill>
                </w14:textFill>
              </w:rPr>
              <w:t>2026</w:t>
            </w:r>
            <w:r>
              <w:rPr>
                <w:rFonts w:hint="eastAsia" w:ascii="宋体" w:hAnsi="宋体" w:eastAsia="宋体" w:cs="宋体"/>
                <w:bCs/>
                <w:color w:val="000000" w:themeColor="text1"/>
                <w:sz w:val="24"/>
                <w:szCs w:val="24"/>
                <w:highlight w:val="none"/>
                <w14:textFill>
                  <w14:solidFill>
                    <w14:schemeClr w14:val="tx1"/>
                  </w14:solidFill>
                </w14:textFill>
              </w:rPr>
              <w:t xml:space="preserve">年 </w:t>
            </w:r>
            <w:r>
              <w:rPr>
                <w:rFonts w:hint="eastAsia" w:ascii="宋体" w:hAnsi="宋体" w:cs="宋体"/>
                <w:bCs/>
                <w:color w:val="000000" w:themeColor="text1"/>
                <w:sz w:val="24"/>
                <w:szCs w:val="24"/>
                <w:highlight w:val="none"/>
                <w:lang w:val="en-US" w:eastAsia="zh-CN"/>
                <w14:textFill>
                  <w14:solidFill>
                    <w14:schemeClr w14:val="tx1"/>
                  </w14:solidFill>
                </w14:textFill>
              </w:rPr>
              <w:t>8</w:t>
            </w:r>
            <w:r>
              <w:rPr>
                <w:rFonts w:hint="eastAsia" w:ascii="宋体" w:hAnsi="宋体" w:eastAsia="宋体" w:cs="宋体"/>
                <w:bCs/>
                <w:color w:val="000000" w:themeColor="text1"/>
                <w:sz w:val="24"/>
                <w:szCs w:val="24"/>
                <w:highlight w:val="none"/>
                <w14:textFill>
                  <w14:solidFill>
                    <w14:schemeClr w14:val="tx1"/>
                  </w14:solidFill>
                </w14:textFill>
              </w:rPr>
              <w:t xml:space="preserve">月 </w:t>
            </w:r>
            <w:r>
              <w:rPr>
                <w:rFonts w:hint="eastAsia" w:ascii="宋体" w:hAnsi="宋体" w:cs="宋体"/>
                <w:bCs/>
                <w:color w:val="000000" w:themeColor="text1"/>
                <w:sz w:val="24"/>
                <w:szCs w:val="24"/>
                <w:highlight w:val="none"/>
                <w:lang w:val="en-US" w:eastAsia="zh-CN"/>
                <w14:textFill>
                  <w14:solidFill>
                    <w14:schemeClr w14:val="tx1"/>
                  </w14:solidFill>
                </w14:textFill>
              </w:rPr>
              <w:t>24</w:t>
            </w:r>
            <w:r>
              <w:rPr>
                <w:rFonts w:hint="eastAsia" w:ascii="宋体" w:hAnsi="宋体" w:eastAsia="宋体" w:cs="宋体"/>
                <w:bCs/>
                <w:color w:val="000000" w:themeColor="text1"/>
                <w:sz w:val="24"/>
                <w:szCs w:val="24"/>
                <w:highlight w:val="none"/>
                <w14:textFill>
                  <w14:solidFill>
                    <w14:schemeClr w14:val="tx1"/>
                  </w14:solidFill>
                </w14:textFill>
              </w:rPr>
              <w:t xml:space="preserve">日 </w:t>
            </w:r>
            <w:r>
              <w:rPr>
                <w:rFonts w:hint="eastAsia" w:ascii="宋体" w:hAnsi="宋体" w:cs="宋体"/>
                <w:bCs/>
                <w:color w:val="000000" w:themeColor="text1"/>
                <w:sz w:val="24"/>
                <w:szCs w:val="24"/>
                <w:highlight w:val="none"/>
                <w:lang w:val="en-US" w:eastAsia="zh-CN"/>
                <w14:textFill>
                  <w14:solidFill>
                    <w14:schemeClr w14:val="tx1"/>
                  </w14:solidFill>
                </w14:textFill>
              </w:rPr>
              <w:t>11</w:t>
            </w:r>
            <w:r>
              <w:rPr>
                <w:rFonts w:hint="eastAsia" w:ascii="宋体" w:hAnsi="宋体" w:eastAsia="宋体" w:cs="宋体"/>
                <w:bCs/>
                <w:color w:val="000000" w:themeColor="text1"/>
                <w:sz w:val="24"/>
                <w:szCs w:val="24"/>
                <w:highlight w:val="none"/>
                <w14:textFill>
                  <w14:solidFill>
                    <w14:schemeClr w14:val="tx1"/>
                  </w14:solidFill>
                </w14:textFill>
              </w:rPr>
              <w:t>时；</w:t>
            </w:r>
          </w:p>
          <w:p w14:paraId="56BAA960">
            <w:pPr>
              <w:contextualSpacing/>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开启响应文件方式：采购公告及相关补遗文件。</w:t>
            </w:r>
          </w:p>
        </w:tc>
      </w:tr>
      <w:tr w14:paraId="3681AD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96" w:hRule="atLeast"/>
          <w:jc w:val="center"/>
        </w:trPr>
        <w:tc>
          <w:tcPr>
            <w:tcW w:w="798" w:type="dxa"/>
            <w:vAlign w:val="center"/>
          </w:tcPr>
          <w:p w14:paraId="7E00B2DF">
            <w:pPr>
              <w:ind w:left="-42" w:leftChars="-20" w:right="-42" w:rightChars="-2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16</w:t>
            </w:r>
          </w:p>
        </w:tc>
        <w:tc>
          <w:tcPr>
            <w:tcW w:w="1308" w:type="dxa"/>
            <w:vAlign w:val="center"/>
          </w:tcPr>
          <w:p w14:paraId="7BDB198E">
            <w:pPr>
              <w:ind w:left="-42" w:leftChars="-20" w:right="-42" w:rightChars="-20"/>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评审响应文件</w:t>
            </w:r>
          </w:p>
        </w:tc>
        <w:tc>
          <w:tcPr>
            <w:tcW w:w="6478" w:type="dxa"/>
            <w:vAlign w:val="center"/>
          </w:tcPr>
          <w:p w14:paraId="1F70693B">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综合评分法，其中商务部分</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bCs/>
                <w:color w:val="000000" w:themeColor="text1"/>
                <w:sz w:val="24"/>
                <w:szCs w:val="24"/>
                <w:highlight w:val="none"/>
                <w14:textFill>
                  <w14:solidFill>
                    <w14:schemeClr w14:val="tx1"/>
                  </w14:solidFill>
                </w14:textFill>
              </w:rPr>
              <w:t>分，技术部分</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30</w:t>
            </w:r>
            <w:r>
              <w:rPr>
                <w:rFonts w:hint="eastAsia" w:ascii="宋体" w:hAnsi="宋体" w:eastAsia="宋体" w:cs="宋体"/>
                <w:bCs/>
                <w:color w:val="000000" w:themeColor="text1"/>
                <w:sz w:val="24"/>
                <w:szCs w:val="24"/>
                <w:highlight w:val="none"/>
                <w14:textFill>
                  <w14:solidFill>
                    <w14:schemeClr w14:val="tx1"/>
                  </w14:solidFill>
                </w14:textFill>
              </w:rPr>
              <w:t>分，经济部分</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60</w:t>
            </w:r>
            <w:r>
              <w:rPr>
                <w:rFonts w:hint="eastAsia" w:ascii="宋体" w:hAnsi="宋体" w:eastAsia="宋体" w:cs="宋体"/>
                <w:bCs/>
                <w:color w:val="000000" w:themeColor="text1"/>
                <w:sz w:val="24"/>
                <w:szCs w:val="24"/>
                <w:highlight w:val="none"/>
                <w14:textFill>
                  <w14:solidFill>
                    <w14:schemeClr w14:val="tx1"/>
                  </w14:solidFill>
                </w14:textFill>
              </w:rPr>
              <w:t>分，具体详见评审办法。</w:t>
            </w:r>
          </w:p>
        </w:tc>
      </w:tr>
      <w:tr w14:paraId="51863E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798" w:type="dxa"/>
            <w:vAlign w:val="center"/>
          </w:tcPr>
          <w:p w14:paraId="27F01333">
            <w:pPr>
              <w:ind w:left="-42" w:leftChars="-20" w:right="-42" w:rightChars="-2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17</w:t>
            </w:r>
          </w:p>
        </w:tc>
        <w:tc>
          <w:tcPr>
            <w:tcW w:w="1308" w:type="dxa"/>
            <w:vAlign w:val="center"/>
          </w:tcPr>
          <w:p w14:paraId="401D4718">
            <w:pPr>
              <w:ind w:left="-42" w:leftChars="-20" w:right="-42" w:rightChars="-20"/>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履约担保</w:t>
            </w:r>
          </w:p>
        </w:tc>
        <w:tc>
          <w:tcPr>
            <w:tcW w:w="6478" w:type="dxa"/>
            <w:vAlign w:val="center"/>
          </w:tcPr>
          <w:p w14:paraId="2DCBE22B">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履约担保以现金支付，保证金额度：小写：</w:t>
            </w:r>
            <w:r>
              <w:rPr>
                <w:rFonts w:hint="eastAsia" w:ascii="宋体" w:hAnsi="宋体" w:eastAsia="宋体" w:cs="宋体"/>
                <w:bCs/>
                <w:color w:val="000000" w:themeColor="text1"/>
                <w:sz w:val="24"/>
                <w:szCs w:val="24"/>
                <w:highlight w:val="none"/>
                <w:u w:val="single"/>
                <w14:textFill>
                  <w14:solidFill>
                    <w14:schemeClr w14:val="tx1"/>
                  </w14:solidFill>
                </w14:textFill>
              </w:rPr>
              <w:t xml:space="preserve"> </w:t>
            </w:r>
            <w:r>
              <w:rPr>
                <w:rFonts w:hint="eastAsia" w:ascii="宋体" w:hAnsi="宋体" w:cs="宋体"/>
                <w:bCs/>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bCs/>
                <w:color w:val="000000" w:themeColor="text1"/>
                <w:sz w:val="24"/>
                <w:szCs w:val="24"/>
                <w:highlight w:val="none"/>
                <w:u w:val="single"/>
                <w:lang w:val="en-US" w:eastAsia="zh-CN"/>
                <w14:textFill>
                  <w14:solidFill>
                    <w14:schemeClr w14:val="tx1"/>
                  </w14:solidFill>
                </w14:textFill>
              </w:rPr>
              <w:t>00000元</w:t>
            </w:r>
            <w:r>
              <w:rPr>
                <w:rFonts w:hint="eastAsia" w:ascii="宋体" w:hAnsi="宋体" w:eastAsia="宋体" w:cs="宋体"/>
                <w:bCs/>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bCs/>
                <w:color w:val="000000" w:themeColor="text1"/>
                <w:sz w:val="24"/>
                <w:szCs w:val="24"/>
                <w:highlight w:val="none"/>
                <w14:textFill>
                  <w14:solidFill>
                    <w14:schemeClr w14:val="tx1"/>
                  </w14:solidFill>
                </w14:textFill>
              </w:rPr>
              <w:t>大写：</w:t>
            </w:r>
            <w:r>
              <w:rPr>
                <w:rFonts w:hint="eastAsia" w:ascii="宋体" w:hAnsi="宋体" w:cs="宋体"/>
                <w:bCs/>
                <w:color w:val="000000" w:themeColor="text1"/>
                <w:sz w:val="24"/>
                <w:szCs w:val="24"/>
                <w:highlight w:val="none"/>
                <w:u w:val="single"/>
                <w:lang w:val="en-US" w:eastAsia="zh-CN"/>
                <w14:textFill>
                  <w14:solidFill>
                    <w14:schemeClr w14:val="tx1"/>
                  </w14:solidFill>
                </w14:textFill>
              </w:rPr>
              <w:t>壹</w:t>
            </w:r>
            <w:r>
              <w:rPr>
                <w:rFonts w:hint="eastAsia" w:ascii="宋体" w:hAnsi="宋体" w:eastAsia="宋体" w:cs="宋体"/>
                <w:bCs/>
                <w:color w:val="000000" w:themeColor="text1"/>
                <w:sz w:val="24"/>
                <w:szCs w:val="24"/>
                <w:highlight w:val="none"/>
                <w:u w:val="single"/>
                <w:lang w:val="en-US" w:eastAsia="zh-CN"/>
                <w14:textFill>
                  <w14:solidFill>
                    <w14:schemeClr w14:val="tx1"/>
                  </w14:solidFill>
                </w14:textFill>
              </w:rPr>
              <w:t>拾万圆整</w:t>
            </w:r>
            <w:r>
              <w:rPr>
                <w:rFonts w:hint="eastAsia" w:ascii="宋体" w:hAnsi="宋体" w:eastAsia="宋体" w:cs="宋体"/>
                <w:bCs/>
                <w:color w:val="000000" w:themeColor="text1"/>
                <w:sz w:val="24"/>
                <w:szCs w:val="24"/>
                <w:highlight w:val="none"/>
                <w14:textFill>
                  <w14:solidFill>
                    <w14:schemeClr w14:val="tx1"/>
                  </w14:solidFill>
                </w14:textFill>
              </w:rPr>
              <w:t>；</w:t>
            </w:r>
          </w:p>
          <w:p w14:paraId="1BCE9787">
            <w:pPr>
              <w:pStyle w:val="8"/>
              <w:ind w:firstLine="0" w:firstLineChars="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履约保证金提交截止时间：签订合同时。</w:t>
            </w:r>
          </w:p>
          <w:p w14:paraId="675C66BC">
            <w:pPr>
              <w:pStyle w:val="8"/>
              <w:ind w:firstLine="0" w:firstLineChars="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如已支付响应保证金的，成交后响应保证金转为履约保证金。</w:t>
            </w:r>
          </w:p>
          <w:p w14:paraId="75CA0D59">
            <w:pPr>
              <w:pStyle w:val="8"/>
              <w:ind w:firstLine="0" w:firstLineChars="0"/>
              <w:rPr>
                <w:rFonts w:hint="default" w:ascii="宋体" w:hAnsi="宋体" w:eastAsia="宋体" w:cs="宋体"/>
                <w:bCs/>
                <w:color w:val="000000" w:themeColor="text1"/>
                <w:sz w:val="24"/>
                <w:szCs w:val="24"/>
                <w:highlight w:val="none"/>
                <w:lang w:val="en-US" w:eastAsia="zh-CN"/>
                <w14:textFill>
                  <w14:solidFill>
                    <w14:schemeClr w14:val="tx1"/>
                  </w14:solidFill>
                </w14:textFill>
              </w:rPr>
            </w:pPr>
            <w:r>
              <w:rPr>
                <w:rFonts w:hint="eastAsia" w:hAnsi="宋体"/>
                <w:b/>
                <w:color w:val="000000" w:themeColor="text1"/>
                <w:szCs w:val="21"/>
                <w:highlight w:val="none"/>
                <w:lang w:val="en-US" w:eastAsia="zh-CN"/>
                <w14:textFill>
                  <w14:solidFill>
                    <w14:schemeClr w14:val="tx1"/>
                  </w14:solidFill>
                </w14:textFill>
              </w:rPr>
              <w:t>不足部分在月度结算中暂扣。</w:t>
            </w:r>
          </w:p>
        </w:tc>
      </w:tr>
      <w:tr w14:paraId="11693C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798" w:type="dxa"/>
            <w:vAlign w:val="center"/>
          </w:tcPr>
          <w:p w14:paraId="26251007">
            <w:pPr>
              <w:ind w:left="-42" w:leftChars="-20" w:right="-42" w:rightChars="-2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18</w:t>
            </w:r>
          </w:p>
        </w:tc>
        <w:tc>
          <w:tcPr>
            <w:tcW w:w="1308" w:type="dxa"/>
            <w:vAlign w:val="center"/>
          </w:tcPr>
          <w:p w14:paraId="76E4A6A5">
            <w:pPr>
              <w:ind w:left="-42" w:leftChars="-20" w:right="-42" w:rightChars="-20"/>
              <w:jc w:val="cente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合同协议书的签署</w:t>
            </w:r>
          </w:p>
        </w:tc>
        <w:tc>
          <w:tcPr>
            <w:tcW w:w="6478" w:type="dxa"/>
            <w:vAlign w:val="center"/>
          </w:tcPr>
          <w:p w14:paraId="3CD9FA6F">
            <w:pPr>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合同协议书的签署期限：签发成交通知书后</w:t>
            </w:r>
            <w:r>
              <w:rPr>
                <w:rFonts w:hint="eastAsia" w:ascii="宋体" w:hAnsi="宋体" w:eastAsia="宋体" w:cs="宋体"/>
                <w:bCs/>
                <w:color w:val="000000" w:themeColor="text1"/>
                <w:sz w:val="24"/>
                <w:szCs w:val="24"/>
                <w:highlight w:val="none"/>
                <w:u w:val="single"/>
                <w14:textFill>
                  <w14:solidFill>
                    <w14:schemeClr w14:val="tx1"/>
                  </w14:solidFill>
                </w14:textFill>
              </w:rPr>
              <w:t xml:space="preserve"> 30 </w:t>
            </w:r>
            <w:r>
              <w:rPr>
                <w:rFonts w:hint="eastAsia" w:ascii="宋体" w:hAnsi="宋体" w:eastAsia="宋体" w:cs="宋体"/>
                <w:bCs/>
                <w:color w:val="000000" w:themeColor="text1"/>
                <w:sz w:val="24"/>
                <w:szCs w:val="24"/>
                <w:highlight w:val="none"/>
                <w14:textFill>
                  <w14:solidFill>
                    <w14:schemeClr w14:val="tx1"/>
                  </w14:solidFill>
                </w14:textFill>
              </w:rPr>
              <w:t>天内。</w:t>
            </w:r>
          </w:p>
        </w:tc>
      </w:tr>
    </w:tbl>
    <w:p w14:paraId="0D4D90F0">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column"/>
      </w:r>
    </w:p>
    <w:p w14:paraId="73BDF737">
      <w:pPr>
        <w:pStyle w:val="3"/>
        <w:spacing w:before="240" w:beforeLines="100" w:after="120" w:afterLines="50" w:line="360" w:lineRule="auto"/>
        <w:jc w:val="center"/>
        <w:rPr>
          <w:rStyle w:val="46"/>
          <w:rFonts w:ascii="Times New Roman" w:hAnsi="Times New Roman" w:eastAsia="宋体"/>
          <w:b/>
          <w:bCs w:val="0"/>
          <w:color w:val="000000" w:themeColor="text1"/>
          <w:sz w:val="28"/>
          <w:szCs w:val="28"/>
          <w:highlight w:val="none"/>
          <w14:textFill>
            <w14:solidFill>
              <w14:schemeClr w14:val="tx1"/>
            </w14:solidFill>
          </w14:textFill>
        </w:rPr>
      </w:pPr>
      <w:bookmarkStart w:id="34" w:name="_Toc53936507"/>
      <w:bookmarkStart w:id="35" w:name="_Toc53948748"/>
      <w:bookmarkStart w:id="36" w:name="_Toc145499729"/>
      <w:bookmarkStart w:id="37" w:name="_Toc284135588"/>
      <w:bookmarkStart w:id="38" w:name="_Toc54281208"/>
      <w:bookmarkStart w:id="39" w:name="_Toc53948327"/>
      <w:bookmarkStart w:id="40" w:name="_Toc53949169"/>
      <w:bookmarkStart w:id="41" w:name="_Toc53918798"/>
      <w:bookmarkStart w:id="42" w:name="_Toc54279930"/>
      <w:bookmarkStart w:id="43" w:name="_Toc54280782"/>
      <w:bookmarkStart w:id="44" w:name="_Toc54280356"/>
      <w:bookmarkStart w:id="45" w:name="_Toc53945772"/>
      <w:bookmarkStart w:id="46" w:name="_Toc53939571"/>
      <w:r>
        <w:rPr>
          <w:rStyle w:val="46"/>
          <w:rFonts w:ascii="Times New Roman" w:hAnsi="宋体" w:eastAsia="宋体"/>
          <w:b/>
          <w:bCs w:val="0"/>
          <w:color w:val="000000" w:themeColor="text1"/>
          <w:sz w:val="28"/>
          <w:szCs w:val="28"/>
          <w:highlight w:val="none"/>
          <w14:textFill>
            <w14:solidFill>
              <w14:schemeClr w14:val="tx1"/>
            </w14:solidFill>
          </w14:textFill>
        </w:rPr>
        <w:t>第一章</w:t>
      </w:r>
      <w:r>
        <w:rPr>
          <w:rStyle w:val="46"/>
          <w:rFonts w:ascii="Times New Roman" w:hAnsi="Times New Roman" w:eastAsia="宋体"/>
          <w:b/>
          <w:bCs w:val="0"/>
          <w:color w:val="000000" w:themeColor="text1"/>
          <w:sz w:val="28"/>
          <w:szCs w:val="28"/>
          <w:highlight w:val="none"/>
          <w14:textFill>
            <w14:solidFill>
              <w14:schemeClr w14:val="tx1"/>
            </w14:solidFill>
          </w14:textFill>
        </w:rPr>
        <w:t xml:space="preserve">  </w:t>
      </w:r>
      <w:r>
        <w:rPr>
          <w:rStyle w:val="46"/>
          <w:rFonts w:ascii="Times New Roman" w:hAnsi="宋体" w:eastAsia="宋体"/>
          <w:b/>
          <w:bCs w:val="0"/>
          <w:color w:val="000000" w:themeColor="text1"/>
          <w:sz w:val="28"/>
          <w:szCs w:val="28"/>
          <w:highlight w:val="none"/>
          <w14:textFill>
            <w14:solidFill>
              <w14:schemeClr w14:val="tx1"/>
            </w14:solidFill>
          </w14:textFill>
        </w:rPr>
        <w:t>总</w:t>
      </w:r>
      <w:bookmarkStart w:id="47" w:name="_Hlt15790948"/>
      <w:r>
        <w:rPr>
          <w:rStyle w:val="46"/>
          <w:rFonts w:ascii="Times New Roman" w:hAnsi="宋体" w:eastAsia="宋体"/>
          <w:b/>
          <w:bCs w:val="0"/>
          <w:color w:val="000000" w:themeColor="text1"/>
          <w:sz w:val="28"/>
          <w:szCs w:val="28"/>
          <w:highlight w:val="none"/>
          <w14:textFill>
            <w14:solidFill>
              <w14:schemeClr w14:val="tx1"/>
            </w14:solidFill>
          </w14:textFill>
        </w:rPr>
        <w:t>则</w:t>
      </w:r>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59C1E361">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48" w:name="_Toc54279931"/>
      <w:bookmarkStart w:id="49" w:name="_Toc53939572"/>
      <w:bookmarkStart w:id="50" w:name="_Toc54280783"/>
      <w:bookmarkStart w:id="51" w:name="_Toc54280357"/>
      <w:bookmarkStart w:id="52" w:name="_Toc53945773"/>
      <w:bookmarkStart w:id="53" w:name="_Toc53948328"/>
      <w:bookmarkStart w:id="54" w:name="_Toc54281209"/>
      <w:bookmarkStart w:id="55" w:name="_Toc53936508"/>
      <w:bookmarkStart w:id="56" w:name="_Toc145499730"/>
      <w:bookmarkStart w:id="57" w:name="_Toc53948749"/>
      <w:bookmarkStart w:id="58" w:name="_Toc53918799"/>
      <w:bookmarkStart w:id="59" w:name="_Toc53949170"/>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1.项目概述</w:t>
      </w:r>
      <w:bookmarkEnd w:id="48"/>
      <w:bookmarkEnd w:id="49"/>
      <w:bookmarkEnd w:id="50"/>
      <w:bookmarkEnd w:id="51"/>
      <w:bookmarkEnd w:id="52"/>
      <w:bookmarkEnd w:id="53"/>
      <w:bookmarkEnd w:id="54"/>
      <w:bookmarkEnd w:id="55"/>
      <w:bookmarkEnd w:id="56"/>
      <w:bookmarkEnd w:id="57"/>
      <w:bookmarkEnd w:id="58"/>
      <w:bookmarkEnd w:id="59"/>
    </w:p>
    <w:p w14:paraId="590A02BE">
      <w:pPr>
        <w:autoSpaceDE w:val="0"/>
        <w:autoSpaceDN w:val="0"/>
        <w:spacing w:line="360" w:lineRule="auto"/>
        <w:jc w:val="left"/>
        <w:rPr>
          <w:color w:val="000000" w:themeColor="text1"/>
          <w:szCs w:val="21"/>
          <w:highlight w:val="none"/>
          <w14:textFill>
            <w14:solidFill>
              <w14:schemeClr w14:val="tx1"/>
            </w14:solidFill>
          </w14:textFill>
        </w:rPr>
      </w:pPr>
      <w:bookmarkStart w:id="60" w:name="_Toc54279932"/>
      <w:bookmarkStart w:id="61" w:name="_Toc53948750"/>
      <w:bookmarkStart w:id="62" w:name="_Toc145499731"/>
      <w:bookmarkStart w:id="63" w:name="_Toc54280358"/>
      <w:bookmarkStart w:id="64" w:name="_Toc53918800"/>
      <w:bookmarkStart w:id="65" w:name="_Toc54280784"/>
      <w:bookmarkStart w:id="66" w:name="_Toc53939573"/>
      <w:bookmarkStart w:id="67" w:name="_Toc54281210"/>
      <w:bookmarkStart w:id="68" w:name="_Toc53945774"/>
      <w:bookmarkStart w:id="69" w:name="_Toc53948329"/>
      <w:bookmarkStart w:id="70" w:name="_Toc53949171"/>
      <w:bookmarkStart w:id="71" w:name="_Toc53936509"/>
      <w:r>
        <w:rPr>
          <w:rFonts w:hint="eastAsia"/>
          <w:color w:val="000000" w:themeColor="text1"/>
          <w:szCs w:val="21"/>
          <w:highlight w:val="none"/>
          <w14:textFill>
            <w14:solidFill>
              <w14:schemeClr w14:val="tx1"/>
            </w14:solidFill>
          </w14:textFill>
        </w:rPr>
        <w:t>1.1项目名称、地点及概况：</w:t>
      </w:r>
      <w:r>
        <w:rPr>
          <w:rFonts w:hint="eastAsia"/>
          <w:b w:val="0"/>
          <w:bCs/>
          <w:color w:val="000000" w:themeColor="text1"/>
          <w:sz w:val="24"/>
          <w:szCs w:val="24"/>
          <w:highlight w:val="none"/>
          <w:u w:val="none"/>
          <w14:textFill>
            <w14:solidFill>
              <w14:schemeClr w14:val="tx1"/>
            </w14:solidFill>
          </w14:textFill>
        </w:rPr>
        <w:t>路面</w:t>
      </w:r>
      <w:r>
        <w:rPr>
          <w:rFonts w:hint="eastAsia"/>
          <w:b w:val="0"/>
          <w:bCs/>
          <w:color w:val="000000" w:themeColor="text1"/>
          <w:sz w:val="24"/>
          <w:szCs w:val="24"/>
          <w:highlight w:val="none"/>
          <w:u w:val="none"/>
          <w:lang w:val="en-US" w:eastAsia="zh-CN"/>
          <w14:textFill>
            <w14:solidFill>
              <w14:schemeClr w14:val="tx1"/>
            </w14:solidFill>
          </w14:textFill>
        </w:rPr>
        <w:t>工程位于桂林市永福县</w:t>
      </w:r>
      <w:r>
        <w:rPr>
          <w:rFonts w:hint="eastAsia"/>
          <w:b w:val="0"/>
          <w:bCs/>
          <w:color w:val="000000" w:themeColor="text1"/>
          <w:sz w:val="24"/>
          <w:szCs w:val="24"/>
          <w:highlight w:val="none"/>
          <w:u w:val="none"/>
          <w:lang w:eastAsia="zh-CN"/>
          <w14:textFill>
            <w14:solidFill>
              <w14:schemeClr w14:val="tx1"/>
            </w14:solidFill>
          </w14:textFill>
        </w:rPr>
        <w:t>，</w:t>
      </w:r>
      <w:r>
        <w:rPr>
          <w:rFonts w:hint="eastAsia"/>
          <w:b w:val="0"/>
          <w:bCs/>
          <w:color w:val="000000" w:themeColor="text1"/>
          <w:sz w:val="24"/>
          <w:szCs w:val="24"/>
          <w:highlight w:val="none"/>
          <w:u w:val="none"/>
          <w:lang w:val="en-US" w:eastAsia="zh-CN"/>
          <w14:textFill>
            <w14:solidFill>
              <w14:schemeClr w14:val="tx1"/>
            </w14:solidFill>
          </w14:textFill>
        </w:rPr>
        <w:t>其中</w:t>
      </w:r>
      <w:r>
        <w:rPr>
          <w:rFonts w:hint="eastAsia" w:ascii="宋体" w:hAnsi="宋体" w:cs="宋体"/>
          <w:color w:val="000000" w:themeColor="text1"/>
          <w:kern w:val="0"/>
          <w:sz w:val="24"/>
          <w:highlight w:val="none"/>
          <w:lang w:val="en-US" w:eastAsia="zh-CN"/>
          <w14:textFill>
            <w14:solidFill>
              <w14:schemeClr w14:val="tx1"/>
            </w14:solidFill>
          </w14:textFill>
        </w:rPr>
        <w:t>路基15.39km、桥梁10.44km、隧道20.5km、服务区1个、枢纽1个。</w:t>
      </w:r>
    </w:p>
    <w:p w14:paraId="0D13798D">
      <w:pPr>
        <w:spacing w:line="360" w:lineRule="auto"/>
        <w:ind w:left="371" w:leftChars="151" w:hanging="54" w:hangingChars="26"/>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采购分包工程名称：</w:t>
      </w:r>
      <w:r>
        <w:rPr>
          <w:rFonts w:hint="eastAsia"/>
          <w:color w:val="000000" w:themeColor="text1"/>
          <w:sz w:val="21"/>
          <w:szCs w:val="21"/>
          <w:highlight w:val="none"/>
          <w14:textFill>
            <w14:solidFill>
              <w14:schemeClr w14:val="tx1"/>
            </w14:solidFill>
          </w14:textFill>
        </w:rPr>
        <w:t>路面</w:t>
      </w:r>
      <w:r>
        <w:rPr>
          <w:rFonts w:hint="eastAsia"/>
          <w:color w:val="000000" w:themeColor="text1"/>
          <w:sz w:val="21"/>
          <w:szCs w:val="21"/>
          <w:highlight w:val="none"/>
          <w:lang w:val="en-US" w:eastAsia="zh-CN"/>
          <w14:textFill>
            <w14:solidFill>
              <w14:schemeClr w14:val="tx1"/>
            </w14:solidFill>
          </w14:textFill>
        </w:rPr>
        <w:t>混凝土铣刨</w:t>
      </w:r>
      <w:r>
        <w:rPr>
          <w:rFonts w:hint="eastAsia" w:hAnsi="宋体"/>
          <w:bCs/>
          <w:color w:val="000000" w:themeColor="text1"/>
          <w:szCs w:val="21"/>
          <w:highlight w:val="none"/>
          <w:lang w:val="en-US" w:eastAsia="zh-CN"/>
          <w14:textFill>
            <w14:solidFill>
              <w14:schemeClr w14:val="tx1"/>
            </w14:solidFill>
          </w14:textFill>
        </w:rPr>
        <w:t>。</w:t>
      </w:r>
    </w:p>
    <w:p w14:paraId="77A1A6A9">
      <w:pPr>
        <w:spacing w:line="360" w:lineRule="auto"/>
        <w:ind w:left="371" w:leftChars="1" w:hanging="369" w:hangingChars="176"/>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1.2采购人信息参见</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相应单位</w:t>
      </w:r>
      <w:r>
        <w:rPr>
          <w:color w:val="000000" w:themeColor="text1"/>
          <w:szCs w:val="21"/>
          <w:highlight w:val="none"/>
          <w14:textFill>
            <w14:solidFill>
              <w14:schemeClr w14:val="tx1"/>
            </w14:solidFill>
          </w14:textFill>
        </w:rPr>
        <w:t>须知前附表》</w:t>
      </w:r>
      <w:r>
        <w:rPr>
          <w:rFonts w:hint="eastAsia"/>
          <w:color w:val="000000" w:themeColor="text1"/>
          <w:szCs w:val="21"/>
          <w:highlight w:val="none"/>
          <w14:textFill>
            <w14:solidFill>
              <w14:schemeClr w14:val="tx1"/>
            </w14:solidFill>
          </w14:textFill>
        </w:rPr>
        <w:t>第2项。</w:t>
      </w:r>
    </w:p>
    <w:bookmarkEnd w:id="60"/>
    <w:bookmarkEnd w:id="61"/>
    <w:bookmarkEnd w:id="62"/>
    <w:bookmarkEnd w:id="63"/>
    <w:bookmarkEnd w:id="64"/>
    <w:bookmarkEnd w:id="65"/>
    <w:bookmarkEnd w:id="66"/>
    <w:bookmarkEnd w:id="67"/>
    <w:bookmarkEnd w:id="68"/>
    <w:bookmarkEnd w:id="69"/>
    <w:bookmarkEnd w:id="70"/>
    <w:bookmarkEnd w:id="71"/>
    <w:p w14:paraId="0F839683">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72" w:name="_Toc53948330"/>
      <w:bookmarkStart w:id="73" w:name="_Toc54279933"/>
      <w:bookmarkStart w:id="74" w:name="_Toc145499732"/>
      <w:bookmarkStart w:id="75" w:name="_Toc53949172"/>
      <w:bookmarkStart w:id="76" w:name="_Toc53936510"/>
      <w:bookmarkStart w:id="77" w:name="_Toc53918801"/>
      <w:bookmarkStart w:id="78" w:name="_Toc54281211"/>
      <w:bookmarkStart w:id="79" w:name="_Toc53945775"/>
      <w:bookmarkStart w:id="80" w:name="_Toc54280359"/>
      <w:bookmarkStart w:id="81" w:name="_Toc53939574"/>
      <w:bookmarkStart w:id="82" w:name="_Toc54280785"/>
      <w:bookmarkStart w:id="83" w:name="_Toc53948751"/>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2</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.响应单位的合格条件</w:t>
      </w:r>
      <w:bookmarkEnd w:id="72"/>
      <w:bookmarkEnd w:id="73"/>
      <w:bookmarkEnd w:id="74"/>
      <w:bookmarkEnd w:id="75"/>
      <w:bookmarkEnd w:id="76"/>
      <w:bookmarkEnd w:id="77"/>
      <w:bookmarkEnd w:id="78"/>
      <w:bookmarkEnd w:id="79"/>
      <w:bookmarkEnd w:id="80"/>
      <w:bookmarkEnd w:id="81"/>
      <w:bookmarkEnd w:id="82"/>
      <w:bookmarkEnd w:id="83"/>
    </w:p>
    <w:p w14:paraId="4631CF78">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2.1响应单位应具备的合格条件：</w:t>
      </w:r>
    </w:p>
    <w:p w14:paraId="7FF10B0D">
      <w:pPr>
        <w:widowControl/>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2.1.1合格响应单位应是具有独立法人资格，能够自主经营、独立核算，持有建筑施工企业安全生产许可证、且在</w:t>
      </w:r>
      <w:r>
        <w:rPr>
          <w:rFonts w:hint="eastAsia"/>
          <w:color w:val="000000" w:themeColor="text1"/>
          <w:szCs w:val="21"/>
          <w:highlight w:val="none"/>
          <w14:textFill>
            <w14:solidFill>
              <w14:schemeClr w14:val="tx1"/>
            </w14:solidFill>
          </w14:textFill>
        </w:rPr>
        <w:t>采购活动</w:t>
      </w:r>
      <w:r>
        <w:rPr>
          <w:color w:val="000000" w:themeColor="text1"/>
          <w:szCs w:val="21"/>
          <w:highlight w:val="none"/>
          <w14:textFill>
            <w14:solidFill>
              <w14:schemeClr w14:val="tx1"/>
            </w14:solidFill>
          </w14:textFill>
        </w:rPr>
        <w:t>期间（成交通知书签发之前）未被暂扣；</w:t>
      </w:r>
    </w:p>
    <w:p w14:paraId="4D0D52CE">
      <w:pPr>
        <w:widowControl/>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2.1.2应具备下列施工资质之一：</w:t>
      </w:r>
    </w:p>
    <w:p w14:paraId="73DF3AD1">
      <w:pPr>
        <w:widowControl/>
        <w:spacing w:line="360" w:lineRule="auto"/>
        <w:ind w:left="1675" w:leftChars="492" w:hanging="642" w:hangingChars="30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2.1.2.1</w:t>
      </w:r>
      <w:r>
        <w:rPr>
          <w:rFonts w:hint="eastAsia"/>
          <w:color w:val="000000" w:themeColor="text1"/>
          <w:szCs w:val="21"/>
          <w:highlight w:val="none"/>
          <w14:textFill>
            <w14:solidFill>
              <w14:schemeClr w14:val="tx1"/>
            </w14:solidFill>
          </w14:textFill>
        </w:rPr>
        <w:t>劳务分包资质</w:t>
      </w:r>
      <w:r>
        <w:rPr>
          <w:color w:val="000000" w:themeColor="text1"/>
          <w:szCs w:val="21"/>
          <w:highlight w:val="none"/>
          <w14:textFill>
            <w14:solidFill>
              <w14:schemeClr w14:val="tx1"/>
            </w14:solidFill>
          </w14:textFill>
        </w:rPr>
        <w:t>；</w:t>
      </w:r>
    </w:p>
    <w:p w14:paraId="1DDB70C6">
      <w:pPr>
        <w:widowControl/>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2.1.3且</w:t>
      </w:r>
      <w:r>
        <w:rPr>
          <w:rFonts w:hint="eastAsia"/>
          <w:color w:val="000000" w:themeColor="text1"/>
          <w:szCs w:val="21"/>
          <w:highlight w:val="none"/>
          <w14:textFill>
            <w14:solidFill>
              <w14:schemeClr w14:val="tx1"/>
            </w14:solidFill>
          </w14:textFill>
        </w:rPr>
        <w:t>近5年内具备</w:t>
      </w:r>
      <w:r>
        <w:rPr>
          <w:rFonts w:hint="eastAsia"/>
          <w:color w:val="000000" w:themeColor="text1"/>
          <w:szCs w:val="21"/>
          <w:highlight w:val="none"/>
          <w:lang w:val="en-US" w:eastAsia="zh-CN"/>
          <w14:textFill>
            <w14:solidFill>
              <w14:schemeClr w14:val="tx1"/>
            </w14:solidFill>
          </w14:textFill>
        </w:rPr>
        <w:t>1项以上路面施工业绩</w:t>
      </w:r>
      <w:r>
        <w:rPr>
          <w:color w:val="000000" w:themeColor="text1"/>
          <w:szCs w:val="21"/>
          <w:highlight w:val="none"/>
          <w14:textFill>
            <w14:solidFill>
              <w14:schemeClr w14:val="tx1"/>
            </w14:solidFill>
          </w14:textFill>
        </w:rPr>
        <w:t>；</w:t>
      </w:r>
    </w:p>
    <w:p w14:paraId="256BBDB2">
      <w:pPr>
        <w:widowControl/>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2.1.4拟派项目</w:t>
      </w:r>
      <w:r>
        <w:rPr>
          <w:rFonts w:hint="eastAsia"/>
          <w:color w:val="000000" w:themeColor="text1"/>
          <w:szCs w:val="21"/>
          <w:highlight w:val="none"/>
          <w14:textFill>
            <w14:solidFill>
              <w14:schemeClr w14:val="tx1"/>
            </w14:solidFill>
          </w14:textFill>
        </w:rPr>
        <w:t>负责人需具备符合当地要求的相应证书，且在采购活动期间（成交通知书签发之前）未发生被有关部门暂扣情况；</w:t>
      </w:r>
      <w:r>
        <w:rPr>
          <w:color w:val="000000" w:themeColor="text1"/>
          <w:szCs w:val="21"/>
          <w:highlight w:val="none"/>
          <w14:textFill>
            <w14:solidFill>
              <w14:schemeClr w14:val="tx1"/>
            </w14:solidFill>
          </w14:textFill>
        </w:rPr>
        <w:t xml:space="preserve"> </w:t>
      </w:r>
    </w:p>
    <w:p w14:paraId="315927DD">
      <w:pPr>
        <w:widowControl/>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2.1.5</w:t>
      </w:r>
      <w:r>
        <w:rPr>
          <w:rFonts w:hint="eastAsia"/>
          <w:color w:val="000000" w:themeColor="text1"/>
          <w:szCs w:val="21"/>
          <w:highlight w:val="none"/>
          <w14:textFill>
            <w14:solidFill>
              <w14:schemeClr w14:val="tx1"/>
            </w14:solidFill>
          </w14:textFill>
        </w:rPr>
        <w:t>响应单位没有处于被责令停业，响应资格被取消，财产被接管、冻结、破产状态；未列入全国人民法院失信被执行人名单。</w:t>
      </w:r>
    </w:p>
    <w:p w14:paraId="445B06BA">
      <w:pPr>
        <w:widowControl/>
        <w:spacing w:line="360" w:lineRule="auto"/>
        <w:ind w:left="1035" w:leftChars="247" w:hanging="516" w:hangingChars="246"/>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2.1.6响应单位在最近3年内没有骗取中标（采购成交）和严重违约及重大工程质量事故。</w:t>
      </w:r>
    </w:p>
    <w:p w14:paraId="731DE54F">
      <w:pPr>
        <w:widowControl/>
        <w:spacing w:line="360" w:lineRule="auto"/>
        <w:ind w:left="489" w:leftChars="23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2.1.7响应单位需在中建路桥集团合格分供商名录中，未在中建系统不合格（含不良行为）名册中。</w:t>
      </w:r>
    </w:p>
    <w:p w14:paraId="5CF2FC70">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2.2本工程采购是并被认为其具有2.1款中所规定的合格条件，且按</w:t>
      </w:r>
      <w:r>
        <w:rPr>
          <w:rFonts w:hint="eastAsia"/>
          <w:color w:val="000000" w:themeColor="text1"/>
          <w:szCs w:val="21"/>
          <w:highlight w:val="none"/>
          <w14:textFill>
            <w14:solidFill>
              <w14:schemeClr w14:val="tx1"/>
            </w14:solidFill>
          </w14:textFill>
        </w:rPr>
        <w:t>采购</w:t>
      </w:r>
      <w:r>
        <w:rPr>
          <w:color w:val="000000" w:themeColor="text1"/>
          <w:szCs w:val="21"/>
          <w:highlight w:val="none"/>
          <w14:textFill>
            <w14:solidFill>
              <w14:schemeClr w14:val="tx1"/>
            </w14:solidFill>
          </w14:textFill>
        </w:rPr>
        <w:t>文件的要求如实填报了一切必要的材料。</w:t>
      </w:r>
    </w:p>
    <w:p w14:paraId="70CB2E86">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2.3响应单位应真实、完整地填报响应文件。如响应单位刻意隐瞒所报资料的真实性或采购活动期间在施项目发生重大质量或安全事故，采购人将保留取消其</w:t>
      </w:r>
      <w:r>
        <w:rPr>
          <w:rFonts w:hint="eastAsia"/>
          <w:color w:val="000000" w:themeColor="text1"/>
          <w:szCs w:val="21"/>
          <w:highlight w:val="none"/>
          <w14:textFill>
            <w14:solidFill>
              <w14:schemeClr w14:val="tx1"/>
            </w14:solidFill>
          </w14:textFill>
        </w:rPr>
        <w:t>响应/成交</w:t>
      </w:r>
      <w:r>
        <w:rPr>
          <w:color w:val="000000" w:themeColor="text1"/>
          <w:szCs w:val="21"/>
          <w:highlight w:val="none"/>
          <w14:textFill>
            <w14:solidFill>
              <w14:schemeClr w14:val="tx1"/>
            </w14:solidFill>
          </w14:textFill>
        </w:rPr>
        <w:t>资格的权力。</w:t>
      </w:r>
    </w:p>
    <w:p w14:paraId="3DC4C2B7">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2.4响应单位应慎重选择和填报拟投入人员，确保他们满足采购人的要求，并保证一旦</w:t>
      </w:r>
      <w:r>
        <w:rPr>
          <w:rFonts w:hint="eastAsia"/>
          <w:color w:val="000000" w:themeColor="text1"/>
          <w:szCs w:val="21"/>
          <w:highlight w:val="none"/>
          <w14:textFill>
            <w14:solidFill>
              <w14:schemeClr w14:val="tx1"/>
            </w14:solidFill>
          </w14:textFill>
        </w:rPr>
        <w:t>成交</w:t>
      </w:r>
      <w:r>
        <w:rPr>
          <w:color w:val="000000" w:themeColor="text1"/>
          <w:szCs w:val="21"/>
          <w:highlight w:val="none"/>
          <w14:textFill>
            <w14:solidFill>
              <w14:schemeClr w14:val="tx1"/>
            </w14:solidFill>
          </w14:textFill>
        </w:rPr>
        <w:t>能够按时进场。</w:t>
      </w:r>
      <w:r>
        <w:rPr>
          <w:rFonts w:hint="eastAsia"/>
          <w:color w:val="000000" w:themeColor="text1"/>
          <w:szCs w:val="21"/>
          <w:highlight w:val="none"/>
          <w14:textFill>
            <w14:solidFill>
              <w14:schemeClr w14:val="tx1"/>
            </w14:solidFill>
          </w14:textFill>
        </w:rPr>
        <w:t>合同签订后，若</w:t>
      </w:r>
      <w:r>
        <w:rPr>
          <w:color w:val="000000" w:themeColor="text1"/>
          <w:szCs w:val="21"/>
          <w:highlight w:val="none"/>
          <w14:textFill>
            <w14:solidFill>
              <w14:schemeClr w14:val="tx1"/>
            </w14:solidFill>
          </w14:textFill>
        </w:rPr>
        <w:t>非采购人主动要求，响应单位自行更换进场人员的，</w:t>
      </w:r>
      <w:r>
        <w:rPr>
          <w:rFonts w:hint="eastAsia"/>
          <w:color w:val="000000" w:themeColor="text1"/>
          <w:szCs w:val="21"/>
          <w:highlight w:val="none"/>
          <w14:textFill>
            <w14:solidFill>
              <w14:schemeClr w14:val="tx1"/>
            </w14:solidFill>
          </w14:textFill>
        </w:rPr>
        <w:t>需经</w:t>
      </w:r>
      <w:r>
        <w:rPr>
          <w:color w:val="000000" w:themeColor="text1"/>
          <w:szCs w:val="21"/>
          <w:highlight w:val="none"/>
          <w14:textFill>
            <w14:solidFill>
              <w14:schemeClr w14:val="tx1"/>
            </w14:solidFill>
          </w14:textFill>
        </w:rPr>
        <w:t>采购人同意，</w:t>
      </w:r>
      <w:r>
        <w:rPr>
          <w:rFonts w:hint="eastAsia"/>
          <w:color w:val="000000" w:themeColor="text1"/>
          <w:szCs w:val="21"/>
          <w:highlight w:val="none"/>
          <w14:textFill>
            <w14:solidFill>
              <w14:schemeClr w14:val="tx1"/>
            </w14:solidFill>
          </w14:textFill>
        </w:rPr>
        <w:t>否则</w:t>
      </w:r>
      <w:r>
        <w:rPr>
          <w:color w:val="000000" w:themeColor="text1"/>
          <w:szCs w:val="21"/>
          <w:highlight w:val="none"/>
          <w14:textFill>
            <w14:solidFill>
              <w14:schemeClr w14:val="tx1"/>
            </w14:solidFill>
          </w14:textFill>
        </w:rPr>
        <w:t>将从其</w:t>
      </w:r>
      <w:r>
        <w:rPr>
          <w:rFonts w:hint="eastAsia"/>
          <w:color w:val="000000" w:themeColor="text1"/>
          <w:szCs w:val="21"/>
          <w:highlight w:val="none"/>
          <w14:textFill>
            <w14:solidFill>
              <w14:schemeClr w14:val="tx1"/>
            </w14:solidFill>
          </w14:textFill>
        </w:rPr>
        <w:t>成交</w:t>
      </w:r>
      <w:r>
        <w:rPr>
          <w:color w:val="000000" w:themeColor="text1"/>
          <w:szCs w:val="21"/>
          <w:highlight w:val="none"/>
          <w14:textFill>
            <w14:solidFill>
              <w14:schemeClr w14:val="tx1"/>
            </w14:solidFill>
          </w14:textFill>
        </w:rPr>
        <w:t>金额中扣取一定的违约金。项目</w:t>
      </w:r>
      <w:r>
        <w:rPr>
          <w:rFonts w:hint="eastAsia"/>
          <w:color w:val="000000" w:themeColor="text1"/>
          <w:szCs w:val="21"/>
          <w:highlight w:val="none"/>
          <w14:textFill>
            <w14:solidFill>
              <w14:schemeClr w14:val="tx1"/>
            </w14:solidFill>
          </w14:textFill>
        </w:rPr>
        <w:t>负责人</w:t>
      </w:r>
      <w:r>
        <w:rPr>
          <w:color w:val="000000" w:themeColor="text1"/>
          <w:szCs w:val="21"/>
          <w:highlight w:val="none"/>
          <w14:textFill>
            <w14:solidFill>
              <w14:schemeClr w14:val="tx1"/>
            </w14:solidFill>
          </w14:textFill>
        </w:rPr>
        <w:t>或技术负责人扣款标准为：</w:t>
      </w:r>
      <w:r>
        <w:rPr>
          <w:rFonts w:hint="eastAsia"/>
          <w:color w:val="000000" w:themeColor="text1"/>
          <w:szCs w:val="21"/>
          <w:highlight w:val="none"/>
          <w14:textFill>
            <w14:solidFill>
              <w14:schemeClr w14:val="tx1"/>
            </w14:solidFill>
          </w14:textFill>
        </w:rPr>
        <w:t>成交</w:t>
      </w:r>
      <w:r>
        <w:rPr>
          <w:color w:val="000000" w:themeColor="text1"/>
          <w:szCs w:val="21"/>
          <w:highlight w:val="none"/>
          <w14:textFill>
            <w14:solidFill>
              <w14:schemeClr w14:val="tx1"/>
            </w14:solidFill>
          </w14:textFill>
        </w:rPr>
        <w:t>金额*5‰/人</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次</w:t>
      </w:r>
      <w:r>
        <w:rPr>
          <w:rFonts w:hint="eastAsia"/>
          <w:color w:val="000000" w:themeColor="text1"/>
          <w:szCs w:val="21"/>
          <w:highlight w:val="none"/>
          <w14:textFill>
            <w14:solidFill>
              <w14:schemeClr w14:val="tx1"/>
            </w14:solidFill>
          </w14:textFill>
        </w:rPr>
        <w:t>（不小于贰</w:t>
      </w:r>
      <w:r>
        <w:rPr>
          <w:color w:val="000000" w:themeColor="text1"/>
          <w:szCs w:val="21"/>
          <w:highlight w:val="none"/>
          <w14:textFill>
            <w14:solidFill>
              <w14:schemeClr w14:val="tx1"/>
            </w14:solidFill>
          </w14:textFill>
        </w:rPr>
        <w:t>万元/人</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次。</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；除此外其他人员为</w:t>
      </w:r>
      <w:r>
        <w:rPr>
          <w:rFonts w:hint="eastAsia"/>
          <w:color w:val="000000" w:themeColor="text1"/>
          <w:szCs w:val="21"/>
          <w:highlight w:val="none"/>
          <w14:textFill>
            <w14:solidFill>
              <w14:schemeClr w14:val="tx1"/>
            </w14:solidFill>
          </w14:textFill>
        </w:rPr>
        <w:t>壹</w:t>
      </w:r>
      <w:r>
        <w:rPr>
          <w:color w:val="000000" w:themeColor="text1"/>
          <w:szCs w:val="21"/>
          <w:highlight w:val="none"/>
          <w14:textFill>
            <w14:solidFill>
              <w14:schemeClr w14:val="tx1"/>
            </w14:solidFill>
          </w14:textFill>
        </w:rPr>
        <w:t>万元/人</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次。</w:t>
      </w:r>
    </w:p>
    <w:p w14:paraId="406EC005">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84" w:name="_Toc53948752"/>
      <w:bookmarkStart w:id="85" w:name="_Toc53918802"/>
      <w:bookmarkStart w:id="86" w:name="_Toc54279934"/>
      <w:bookmarkStart w:id="87" w:name="_Toc54281212"/>
      <w:bookmarkStart w:id="88" w:name="_Toc53945776"/>
      <w:bookmarkStart w:id="89" w:name="_Toc53949173"/>
      <w:bookmarkStart w:id="90" w:name="_Toc145499733"/>
      <w:bookmarkStart w:id="91" w:name="_Toc54280786"/>
      <w:bookmarkStart w:id="92" w:name="_Toc53948331"/>
      <w:bookmarkStart w:id="93" w:name="_Toc53936511"/>
      <w:bookmarkStart w:id="94" w:name="_Toc54280360"/>
      <w:bookmarkStart w:id="95" w:name="_Toc53939575"/>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3</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.联合体</w:t>
      </w:r>
      <w:bookmarkEnd w:id="84"/>
      <w:bookmarkEnd w:id="85"/>
      <w:bookmarkEnd w:id="86"/>
      <w:bookmarkEnd w:id="87"/>
      <w:bookmarkEnd w:id="88"/>
      <w:bookmarkEnd w:id="89"/>
      <w:bookmarkEnd w:id="90"/>
      <w:bookmarkEnd w:id="91"/>
      <w:bookmarkEnd w:id="92"/>
      <w:bookmarkEnd w:id="93"/>
      <w:bookmarkEnd w:id="94"/>
      <w:bookmarkEnd w:id="95"/>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响应采购</w:t>
      </w:r>
    </w:p>
    <w:p w14:paraId="73C95BFA">
      <w:pPr>
        <w:widowControl/>
        <w:spacing w:line="360" w:lineRule="auto"/>
        <w:ind w:left="419" w:leftChars="33" w:hanging="350" w:hangingChars="167"/>
        <w:rPr>
          <w:color w:val="000000" w:themeColor="text1"/>
          <w:szCs w:val="21"/>
          <w:highlight w:val="none"/>
          <w14:textFill>
            <w14:solidFill>
              <w14:schemeClr w14:val="tx1"/>
            </w14:solidFill>
          </w14:textFill>
        </w:rPr>
      </w:pPr>
      <w:bookmarkStart w:id="96" w:name="_Toc53948753"/>
      <w:bookmarkStart w:id="97" w:name="_Toc53939576"/>
      <w:bookmarkStart w:id="98" w:name="_Toc53936512"/>
      <w:bookmarkStart w:id="99" w:name="_Toc54281213"/>
      <w:bookmarkStart w:id="100" w:name="_Toc54280787"/>
      <w:bookmarkStart w:id="101" w:name="_Toc54280361"/>
      <w:bookmarkStart w:id="102" w:name="_Toc53945777"/>
      <w:bookmarkStart w:id="103" w:name="_Toc53948332"/>
      <w:bookmarkStart w:id="104" w:name="_Toc53918803"/>
      <w:bookmarkStart w:id="105" w:name="_Toc53949174"/>
      <w:bookmarkStart w:id="106" w:name="_Toc54279935"/>
      <w:r>
        <w:rPr>
          <w:rFonts w:hint="eastAsia"/>
          <w:color w:val="000000" w:themeColor="text1"/>
          <w:szCs w:val="21"/>
          <w:highlight w:val="none"/>
          <w14:textFill>
            <w14:solidFill>
              <w14:schemeClr w14:val="tx1"/>
            </w14:solidFill>
          </w14:textFill>
        </w:rPr>
        <w:t>3.1本分包工程采购人不接受联合体参与采购活动。</w:t>
      </w:r>
    </w:p>
    <w:p w14:paraId="0EDA6FB3">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107" w:name="_Toc145499734"/>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4</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w:t>
      </w:r>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采购响应</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费用</w:t>
      </w:r>
      <w:bookmarkEnd w:id="96"/>
      <w:bookmarkEnd w:id="97"/>
      <w:bookmarkEnd w:id="98"/>
      <w:bookmarkEnd w:id="99"/>
      <w:bookmarkEnd w:id="100"/>
      <w:bookmarkEnd w:id="101"/>
      <w:bookmarkEnd w:id="102"/>
      <w:bookmarkEnd w:id="103"/>
      <w:bookmarkEnd w:id="104"/>
      <w:bookmarkEnd w:id="105"/>
      <w:bookmarkEnd w:id="106"/>
      <w:bookmarkEnd w:id="107"/>
    </w:p>
    <w:p w14:paraId="6CFBCC77">
      <w:pPr>
        <w:widowControl/>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.1响应单位在</w:t>
      </w:r>
      <w:r>
        <w:rPr>
          <w:rFonts w:hint="eastAsia"/>
          <w:color w:val="000000" w:themeColor="text1"/>
          <w:szCs w:val="21"/>
          <w:highlight w:val="none"/>
          <w14:textFill>
            <w14:solidFill>
              <w14:schemeClr w14:val="tx1"/>
            </w14:solidFill>
          </w14:textFill>
        </w:rPr>
        <w:t>采购</w:t>
      </w:r>
      <w:r>
        <w:rPr>
          <w:color w:val="000000" w:themeColor="text1"/>
          <w:szCs w:val="21"/>
          <w:highlight w:val="none"/>
          <w14:textFill>
            <w14:solidFill>
              <w14:schemeClr w14:val="tx1"/>
            </w14:solidFill>
          </w14:textFill>
        </w:rPr>
        <w:t>过程中的一切费用，不论</w:t>
      </w:r>
      <w:r>
        <w:rPr>
          <w:rFonts w:hint="eastAsia"/>
          <w:color w:val="000000" w:themeColor="text1"/>
          <w:szCs w:val="21"/>
          <w:highlight w:val="none"/>
          <w14:textFill>
            <w14:solidFill>
              <w14:schemeClr w14:val="tx1"/>
            </w14:solidFill>
          </w14:textFill>
        </w:rPr>
        <w:t>成交</w:t>
      </w:r>
      <w:r>
        <w:rPr>
          <w:color w:val="000000" w:themeColor="text1"/>
          <w:szCs w:val="21"/>
          <w:highlight w:val="none"/>
          <w14:textFill>
            <w14:solidFill>
              <w14:schemeClr w14:val="tx1"/>
            </w14:solidFill>
          </w14:textFill>
        </w:rPr>
        <w:t>与否，均由响应单位自负。</w:t>
      </w:r>
    </w:p>
    <w:p w14:paraId="12DFD20A">
      <w:pPr>
        <w:widowControl/>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.2采购人对未</w:t>
      </w:r>
      <w:r>
        <w:rPr>
          <w:rFonts w:hint="eastAsia"/>
          <w:color w:val="000000" w:themeColor="text1"/>
          <w:szCs w:val="21"/>
          <w:highlight w:val="none"/>
          <w14:textFill>
            <w14:solidFill>
              <w14:schemeClr w14:val="tx1"/>
            </w14:solidFill>
          </w14:textFill>
        </w:rPr>
        <w:t>成交响应单位</w:t>
      </w:r>
      <w:r>
        <w:rPr>
          <w:color w:val="000000" w:themeColor="text1"/>
          <w:szCs w:val="21"/>
          <w:highlight w:val="none"/>
          <w14:textFill>
            <w14:solidFill>
              <w14:schemeClr w14:val="tx1"/>
            </w14:solidFill>
          </w14:textFill>
        </w:rPr>
        <w:t>不予补偿。</w:t>
      </w:r>
    </w:p>
    <w:p w14:paraId="2F89972F">
      <w:pPr>
        <w:widowControl/>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4.3采购文件工本费：无。</w:t>
      </w:r>
    </w:p>
    <w:p w14:paraId="4C79BFD6">
      <w:pPr>
        <w:widowControl/>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4.4图纸押金：无。</w:t>
      </w:r>
    </w:p>
    <w:p w14:paraId="75C165CE">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108" w:name="_Toc53918804"/>
      <w:bookmarkStart w:id="109" w:name="_Toc54279936"/>
      <w:bookmarkStart w:id="110" w:name="_Toc53939577"/>
      <w:bookmarkStart w:id="111" w:name="_Toc53948754"/>
      <w:bookmarkStart w:id="112" w:name="_Toc54280362"/>
      <w:bookmarkStart w:id="113" w:name="_Toc54280788"/>
      <w:bookmarkStart w:id="114" w:name="_Toc54281214"/>
      <w:bookmarkStart w:id="115" w:name="_Toc53948333"/>
      <w:bookmarkStart w:id="116" w:name="_Toc53949175"/>
      <w:bookmarkStart w:id="117" w:name="_Toc53945778"/>
      <w:bookmarkStart w:id="118" w:name="_Toc53936513"/>
      <w:bookmarkStart w:id="119" w:name="_Toc145499735"/>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5</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w:t>
      </w:r>
      <w:bookmarkEnd w:id="108"/>
      <w:bookmarkEnd w:id="109"/>
      <w:bookmarkEnd w:id="110"/>
      <w:bookmarkEnd w:id="111"/>
      <w:bookmarkEnd w:id="112"/>
      <w:bookmarkEnd w:id="113"/>
      <w:bookmarkEnd w:id="114"/>
      <w:bookmarkEnd w:id="115"/>
      <w:bookmarkEnd w:id="116"/>
      <w:bookmarkEnd w:id="117"/>
      <w:bookmarkEnd w:id="118"/>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现场</w:t>
      </w:r>
      <w:bookmarkEnd w:id="119"/>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踏勘</w:t>
      </w:r>
    </w:p>
    <w:p w14:paraId="176B93B6">
      <w:pPr>
        <w:widowControl/>
        <w:spacing w:line="360" w:lineRule="auto"/>
        <w:ind w:left="419" w:leftChars="33" w:hanging="350" w:hangingChars="167"/>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5.1响应单位应按照《响应单位须知前附表》中第</w:t>
      </w: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项要求的时间和地址，</w:t>
      </w:r>
      <w:r>
        <w:rPr>
          <w:rFonts w:hint="eastAsia"/>
          <w:color w:val="000000" w:themeColor="text1"/>
          <w:szCs w:val="21"/>
          <w:highlight w:val="none"/>
          <w14:textFill>
            <w14:solidFill>
              <w14:schemeClr w14:val="tx1"/>
            </w14:solidFill>
          </w14:textFill>
        </w:rPr>
        <w:t>自行组织前往对</w:t>
      </w:r>
      <w:r>
        <w:rPr>
          <w:color w:val="000000" w:themeColor="text1"/>
          <w:szCs w:val="21"/>
          <w:highlight w:val="none"/>
          <w14:textFill>
            <w14:solidFill>
              <w14:schemeClr w14:val="tx1"/>
            </w14:solidFill>
          </w14:textFill>
        </w:rPr>
        <w:t>现场及其周围环境进行的</w:t>
      </w:r>
      <w:r>
        <w:rPr>
          <w:rFonts w:hint="eastAsia"/>
          <w:color w:val="000000" w:themeColor="text1"/>
          <w:szCs w:val="21"/>
          <w:highlight w:val="none"/>
          <w14:textFill>
            <w14:solidFill>
              <w14:schemeClr w14:val="tx1"/>
            </w14:solidFill>
          </w14:textFill>
        </w:rPr>
        <w:t>踏勘</w:t>
      </w:r>
      <w:r>
        <w:rPr>
          <w:color w:val="000000" w:themeColor="text1"/>
          <w:szCs w:val="21"/>
          <w:highlight w:val="none"/>
          <w14:textFill>
            <w14:solidFill>
              <w14:schemeClr w14:val="tx1"/>
            </w14:solidFill>
          </w14:textFill>
        </w:rPr>
        <w:t>，以便使响应单位自行查明或核实有关编制响应文件和签订合同所必需的一切资料。</w:t>
      </w:r>
    </w:p>
    <w:p w14:paraId="150E7AF8">
      <w:pPr>
        <w:widowControl/>
        <w:spacing w:line="360" w:lineRule="auto"/>
        <w:ind w:left="419" w:leftChars="33" w:hanging="350" w:hangingChars="167"/>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5.2现场</w:t>
      </w:r>
      <w:r>
        <w:rPr>
          <w:rFonts w:hint="eastAsia"/>
          <w:color w:val="000000" w:themeColor="text1"/>
          <w:szCs w:val="21"/>
          <w:highlight w:val="none"/>
          <w14:textFill>
            <w14:solidFill>
              <w14:schemeClr w14:val="tx1"/>
            </w14:solidFill>
          </w14:textFill>
        </w:rPr>
        <w:t>踏勘</w:t>
      </w:r>
      <w:r>
        <w:rPr>
          <w:color w:val="000000" w:themeColor="text1"/>
          <w:szCs w:val="21"/>
          <w:highlight w:val="none"/>
          <w14:textFill>
            <w14:solidFill>
              <w14:schemeClr w14:val="tx1"/>
            </w14:solidFill>
          </w14:textFill>
        </w:rPr>
        <w:t>时，采购人</w:t>
      </w:r>
      <w:r>
        <w:rPr>
          <w:rFonts w:hint="eastAsia"/>
          <w:color w:val="000000" w:themeColor="text1"/>
          <w:szCs w:val="21"/>
          <w:highlight w:val="none"/>
          <w14:textFill>
            <w14:solidFill>
              <w14:schemeClr w14:val="tx1"/>
            </w14:solidFill>
          </w14:textFill>
        </w:rPr>
        <w:t>相关负责人</w:t>
      </w:r>
      <w:r>
        <w:rPr>
          <w:color w:val="000000" w:themeColor="text1"/>
          <w:szCs w:val="21"/>
          <w:highlight w:val="none"/>
          <w14:textFill>
            <w14:solidFill>
              <w14:schemeClr w14:val="tx1"/>
            </w14:solidFill>
          </w14:textFill>
        </w:rPr>
        <w:t>将介绍工程的地形、地貌、水文、地质、气象、料场、水源、电源、通讯、交通条件等，以帮助响应单位了解现场情况，利于编制响应文件。</w:t>
      </w:r>
    </w:p>
    <w:p w14:paraId="67904B5E">
      <w:pPr>
        <w:widowControl/>
        <w:spacing w:line="360" w:lineRule="auto"/>
        <w:ind w:left="419" w:leftChars="33" w:hanging="350" w:hangingChars="167"/>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w:t>
      </w: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现场</w:t>
      </w:r>
      <w:r>
        <w:rPr>
          <w:rFonts w:hint="eastAsia"/>
          <w:color w:val="000000" w:themeColor="text1"/>
          <w:szCs w:val="21"/>
          <w:highlight w:val="none"/>
          <w14:textFill>
            <w14:solidFill>
              <w14:schemeClr w14:val="tx1"/>
            </w14:solidFill>
          </w14:textFill>
        </w:rPr>
        <w:t>踏勘</w:t>
      </w:r>
      <w:r>
        <w:rPr>
          <w:color w:val="000000" w:themeColor="text1"/>
          <w:szCs w:val="21"/>
          <w:highlight w:val="none"/>
          <w14:textFill>
            <w14:solidFill>
              <w14:schemeClr w14:val="tx1"/>
            </w14:solidFill>
          </w14:textFill>
        </w:rPr>
        <w:t>期间，响应单位如果发生人身伤亡、财物或其他损失，无论何种原因造成，采购人均不负责。</w:t>
      </w:r>
    </w:p>
    <w:p w14:paraId="25A835BC">
      <w:pPr>
        <w:widowControl/>
        <w:spacing w:line="360" w:lineRule="auto"/>
        <w:ind w:left="419" w:leftChars="33" w:hanging="350" w:hangingChars="167"/>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w:t>
      </w: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现场</w:t>
      </w:r>
      <w:r>
        <w:rPr>
          <w:rFonts w:hint="eastAsia"/>
          <w:color w:val="000000" w:themeColor="text1"/>
          <w:szCs w:val="21"/>
          <w:highlight w:val="none"/>
          <w14:textFill>
            <w14:solidFill>
              <w14:schemeClr w14:val="tx1"/>
            </w14:solidFill>
          </w14:textFill>
        </w:rPr>
        <w:t>踏勘</w:t>
      </w:r>
      <w:r>
        <w:rPr>
          <w:color w:val="000000" w:themeColor="text1"/>
          <w:szCs w:val="21"/>
          <w:highlight w:val="none"/>
          <w14:textFill>
            <w14:solidFill>
              <w14:schemeClr w14:val="tx1"/>
            </w14:solidFill>
          </w14:textFill>
        </w:rPr>
        <w:t>期间，响应单位应自备车辆，其食宿</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费用、风险自理。</w:t>
      </w:r>
    </w:p>
    <w:p w14:paraId="412225F1">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120" w:name="_Toc53948756"/>
      <w:bookmarkStart w:id="121" w:name="_Toc54280364"/>
      <w:bookmarkStart w:id="122" w:name="_Toc53939579"/>
      <w:bookmarkStart w:id="123" w:name="_Toc53949177"/>
      <w:bookmarkStart w:id="124" w:name="_Toc53948335"/>
      <w:bookmarkStart w:id="125" w:name="_Toc54279938"/>
      <w:bookmarkStart w:id="126" w:name="_Toc54281216"/>
      <w:bookmarkStart w:id="127" w:name="_Toc53918806"/>
      <w:bookmarkStart w:id="128" w:name="_Toc54280790"/>
      <w:bookmarkStart w:id="129" w:name="_Toc53945780"/>
      <w:bookmarkStart w:id="130" w:name="_Toc145499737"/>
      <w:bookmarkStart w:id="131" w:name="_Toc53936515"/>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6</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.水文及地表以下资料</w:t>
      </w:r>
      <w:bookmarkEnd w:id="120"/>
      <w:bookmarkEnd w:id="121"/>
      <w:bookmarkEnd w:id="122"/>
      <w:bookmarkEnd w:id="123"/>
      <w:bookmarkEnd w:id="124"/>
      <w:bookmarkEnd w:id="125"/>
      <w:bookmarkEnd w:id="126"/>
      <w:bookmarkEnd w:id="127"/>
      <w:bookmarkEnd w:id="128"/>
      <w:bookmarkEnd w:id="129"/>
      <w:bookmarkEnd w:id="130"/>
      <w:bookmarkEnd w:id="131"/>
    </w:p>
    <w:p w14:paraId="561674AD">
      <w:pPr>
        <w:widowControl/>
        <w:spacing w:line="360" w:lineRule="auto"/>
        <w:ind w:left="419" w:leftChars="33" w:hanging="350" w:hangingChars="167"/>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w:t>
      </w:r>
      <w:r>
        <w:rPr>
          <w:color w:val="000000" w:themeColor="text1"/>
          <w:szCs w:val="21"/>
          <w:highlight w:val="none"/>
          <w14:textFill>
            <w14:solidFill>
              <w14:schemeClr w14:val="tx1"/>
            </w14:solidFill>
          </w14:textFill>
        </w:rPr>
        <w:t>.1采购人</w:t>
      </w:r>
      <w:r>
        <w:rPr>
          <w:rFonts w:hint="eastAsia"/>
          <w:color w:val="000000" w:themeColor="text1"/>
          <w:szCs w:val="21"/>
          <w:highlight w:val="none"/>
          <w14:textFill>
            <w14:solidFill>
              <w14:schemeClr w14:val="tx1"/>
            </w14:solidFill>
          </w14:textFill>
        </w:rPr>
        <w:t>若有且需要提供给响应单位的，采购人可提供水文</w:t>
      </w:r>
      <w:r>
        <w:rPr>
          <w:color w:val="000000" w:themeColor="text1"/>
          <w:szCs w:val="21"/>
          <w:highlight w:val="none"/>
          <w14:textFill>
            <w14:solidFill>
              <w14:schemeClr w14:val="tx1"/>
            </w14:solidFill>
          </w14:textFill>
        </w:rPr>
        <w:t>及</w:t>
      </w:r>
      <w:r>
        <w:rPr>
          <w:rFonts w:hint="eastAsia"/>
          <w:color w:val="000000" w:themeColor="text1"/>
          <w:szCs w:val="21"/>
          <w:highlight w:val="none"/>
          <w14:textFill>
            <w14:solidFill>
              <w14:schemeClr w14:val="tx1"/>
            </w14:solidFill>
          </w14:textFill>
        </w:rPr>
        <w:t>地表以下</w:t>
      </w:r>
      <w:r>
        <w:rPr>
          <w:color w:val="000000" w:themeColor="text1"/>
          <w:szCs w:val="21"/>
          <w:highlight w:val="none"/>
          <w14:textFill>
            <w14:solidFill>
              <w14:schemeClr w14:val="tx1"/>
            </w14:solidFill>
          </w14:textFill>
        </w:rPr>
        <w:t>等其它资料</w:t>
      </w:r>
      <w:r>
        <w:rPr>
          <w:rFonts w:hint="eastAsia"/>
          <w:color w:val="000000" w:themeColor="text1"/>
          <w:szCs w:val="21"/>
          <w:highlight w:val="none"/>
          <w14:textFill>
            <w14:solidFill>
              <w14:schemeClr w14:val="tx1"/>
            </w14:solidFill>
          </w14:textFill>
        </w:rPr>
        <w:t>。</w:t>
      </w:r>
    </w:p>
    <w:p w14:paraId="368700CB">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132" w:name="_Toc54281217"/>
      <w:bookmarkStart w:id="133" w:name="_Toc53945781"/>
      <w:bookmarkStart w:id="134" w:name="_Toc54280791"/>
      <w:bookmarkStart w:id="135" w:name="_Toc53948336"/>
      <w:bookmarkStart w:id="136" w:name="_Toc54279939"/>
      <w:bookmarkStart w:id="137" w:name="_Toc54280365"/>
      <w:bookmarkStart w:id="138" w:name="_Toc53948757"/>
      <w:bookmarkStart w:id="139" w:name="_Toc53918807"/>
      <w:bookmarkStart w:id="140" w:name="_Toc53936516"/>
      <w:bookmarkStart w:id="141" w:name="_Toc53939580"/>
      <w:bookmarkStart w:id="142" w:name="_Toc53949178"/>
      <w:bookmarkStart w:id="143" w:name="_Toc145499738"/>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7</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.采购人式</w:t>
      </w:r>
      <w:bookmarkEnd w:id="132"/>
      <w:bookmarkEnd w:id="133"/>
      <w:bookmarkEnd w:id="134"/>
      <w:bookmarkEnd w:id="135"/>
      <w:bookmarkEnd w:id="136"/>
      <w:bookmarkEnd w:id="137"/>
      <w:bookmarkEnd w:id="138"/>
      <w:bookmarkEnd w:id="139"/>
      <w:bookmarkEnd w:id="140"/>
      <w:bookmarkEnd w:id="141"/>
      <w:bookmarkEnd w:id="142"/>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和范围</w:t>
      </w:r>
      <w:bookmarkEnd w:id="143"/>
    </w:p>
    <w:p w14:paraId="74362D75">
      <w:pPr>
        <w:widowControl/>
        <w:spacing w:line="360" w:lineRule="auto"/>
        <w:ind w:left="419" w:leftChars="33" w:hanging="350" w:hangingChars="167"/>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7</w:t>
      </w:r>
      <w:r>
        <w:rPr>
          <w:color w:val="000000" w:themeColor="text1"/>
          <w:szCs w:val="21"/>
          <w:highlight w:val="none"/>
          <w14:textFill>
            <w14:solidFill>
              <w14:schemeClr w14:val="tx1"/>
            </w14:solidFill>
          </w14:textFill>
        </w:rPr>
        <w:t>.1本工程将</w:t>
      </w:r>
      <w:r>
        <w:rPr>
          <w:rFonts w:hint="eastAsia"/>
          <w:color w:val="000000" w:themeColor="text1"/>
          <w:szCs w:val="21"/>
          <w:highlight w:val="none"/>
          <w14:textFill>
            <w14:solidFill>
              <w14:schemeClr w14:val="tx1"/>
            </w14:solidFill>
          </w14:textFill>
        </w:rPr>
        <w:t>采取</w:t>
      </w:r>
      <w:r>
        <w:rPr>
          <w:rFonts w:hint="eastAsia"/>
          <w:color w:val="000000" w:themeColor="text1"/>
          <w:szCs w:val="21"/>
          <w:highlight w:val="none"/>
          <w14:textFill>
            <w14:solidFill>
              <w14:schemeClr w14:val="tx1"/>
            </w14:solidFill>
          </w14:textFill>
        </w:rPr>
        <w:t>公开</w:t>
      </w:r>
      <w:r>
        <w:rPr>
          <w:color w:val="000000" w:themeColor="text1"/>
          <w:szCs w:val="21"/>
          <w:highlight w:val="none"/>
          <w14:textFill>
            <w14:solidFill>
              <w14:schemeClr w14:val="tx1"/>
            </w14:solidFill>
          </w14:textFill>
        </w:rPr>
        <w:t>采购的方式，</w:t>
      </w:r>
      <w:r>
        <w:rPr>
          <w:rFonts w:hint="eastAsia"/>
          <w:color w:val="000000" w:themeColor="text1"/>
          <w:szCs w:val="21"/>
          <w:highlight w:val="none"/>
          <w14:textFill>
            <w14:solidFill>
              <w14:schemeClr w14:val="tx1"/>
            </w14:solidFill>
          </w14:textFill>
        </w:rPr>
        <w:t>遵循公平、公正、</w:t>
      </w:r>
      <w:r>
        <w:rPr>
          <w:color w:val="000000" w:themeColor="text1"/>
          <w:szCs w:val="21"/>
          <w:highlight w:val="none"/>
          <w14:textFill>
            <w14:solidFill>
              <w14:schemeClr w14:val="tx1"/>
            </w14:solidFill>
          </w14:textFill>
        </w:rPr>
        <w:t>科学、择优的原则，综合评选出</w:t>
      </w:r>
      <w:r>
        <w:rPr>
          <w:rFonts w:hint="eastAsia"/>
          <w:color w:val="000000" w:themeColor="text1"/>
          <w:szCs w:val="21"/>
          <w:highlight w:val="none"/>
          <w14:textFill>
            <w14:solidFill>
              <w14:schemeClr w14:val="tx1"/>
            </w14:solidFill>
          </w14:textFill>
        </w:rPr>
        <w:t>成交单位，不保证最低价成交，也不对成交结果作任何解释。</w:t>
      </w:r>
    </w:p>
    <w:p w14:paraId="5D7AC6CE">
      <w:pPr>
        <w:widowControl/>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7</w:t>
      </w:r>
      <w:r>
        <w:rPr>
          <w:color w:val="000000" w:themeColor="text1"/>
          <w:szCs w:val="21"/>
          <w:highlight w:val="none"/>
          <w14:textFill>
            <w14:solidFill>
              <w14:schemeClr w14:val="tx1"/>
            </w14:solidFill>
          </w14:textFill>
        </w:rPr>
        <w:t>.2本工程的采购范围见《</w:t>
      </w:r>
      <w:r>
        <w:rPr>
          <w:rFonts w:hint="eastAsia"/>
          <w:color w:val="000000" w:themeColor="text1"/>
          <w:szCs w:val="21"/>
          <w:highlight w:val="none"/>
          <w14:textFill>
            <w14:solidFill>
              <w14:schemeClr w14:val="tx1"/>
            </w14:solidFill>
          </w14:textFill>
        </w:rPr>
        <w:t>相应单位</w:t>
      </w:r>
      <w:r>
        <w:rPr>
          <w:color w:val="000000" w:themeColor="text1"/>
          <w:szCs w:val="21"/>
          <w:highlight w:val="none"/>
          <w14:textFill>
            <w14:solidFill>
              <w14:schemeClr w14:val="tx1"/>
            </w14:solidFill>
          </w14:textFill>
        </w:rPr>
        <w:t>须知前附表》第</w:t>
      </w: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项说明</w:t>
      </w:r>
      <w:r>
        <w:rPr>
          <w:rFonts w:hint="eastAsia"/>
          <w:color w:val="000000" w:themeColor="text1"/>
          <w:szCs w:val="21"/>
          <w:highlight w:val="none"/>
          <w14:textFill>
            <w14:solidFill>
              <w14:schemeClr w14:val="tx1"/>
            </w14:solidFill>
          </w14:textFill>
        </w:rPr>
        <w:t>。</w:t>
      </w:r>
      <w:bookmarkStart w:id="144" w:name="_Toc54280366"/>
      <w:bookmarkStart w:id="145" w:name="_Toc54280792"/>
      <w:bookmarkStart w:id="146" w:name="_Toc54279940"/>
      <w:bookmarkStart w:id="147" w:name="_Toc53918808"/>
      <w:bookmarkStart w:id="148" w:name="_Toc53945782"/>
      <w:bookmarkStart w:id="149" w:name="_Toc54281218"/>
      <w:bookmarkStart w:id="150" w:name="_Toc53939581"/>
      <w:bookmarkStart w:id="151" w:name="_Toc53948758"/>
      <w:bookmarkStart w:id="152" w:name="_Toc53936517"/>
      <w:bookmarkStart w:id="153" w:name="_Toc53949179"/>
      <w:bookmarkStart w:id="154" w:name="_Toc53948337"/>
      <w:bookmarkStart w:id="155" w:name="_Toc145499739"/>
    </w:p>
    <w:p w14:paraId="4A29BCDA">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8</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w:t>
      </w:r>
      <w:bookmarkEnd w:id="144"/>
      <w:bookmarkEnd w:id="145"/>
      <w:bookmarkEnd w:id="146"/>
      <w:bookmarkEnd w:id="147"/>
      <w:bookmarkEnd w:id="148"/>
      <w:bookmarkEnd w:id="149"/>
      <w:bookmarkEnd w:id="150"/>
      <w:bookmarkEnd w:id="151"/>
      <w:bookmarkEnd w:id="152"/>
      <w:bookmarkEnd w:id="153"/>
      <w:bookmarkEnd w:id="154"/>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合同</w:t>
      </w:r>
      <w:bookmarkEnd w:id="155"/>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文件及价款方式</w:t>
      </w:r>
    </w:p>
    <w:p w14:paraId="3E3EE63D">
      <w:pPr>
        <w:widowControl/>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8</w:t>
      </w:r>
      <w:r>
        <w:rPr>
          <w:color w:val="000000" w:themeColor="text1"/>
          <w:szCs w:val="21"/>
          <w:highlight w:val="none"/>
          <w14:textFill>
            <w14:solidFill>
              <w14:schemeClr w14:val="tx1"/>
            </w14:solidFill>
          </w14:textFill>
        </w:rPr>
        <w:t>.1本工程的合同价款确定方式采用</w:t>
      </w:r>
      <w:r>
        <w:rPr>
          <w:color w:val="000000" w:themeColor="text1"/>
          <w:szCs w:val="21"/>
          <w:highlight w:val="none"/>
          <w14:textFill>
            <w14:solidFill>
              <w14:schemeClr w14:val="tx1"/>
            </w14:solidFill>
          </w14:textFill>
        </w:rPr>
        <w:t>固定</w:t>
      </w:r>
      <w:r>
        <w:rPr>
          <w:rFonts w:hint="eastAsia"/>
          <w:color w:val="000000" w:themeColor="text1"/>
          <w:szCs w:val="21"/>
          <w:highlight w:val="none"/>
          <w14:textFill>
            <w14:solidFill>
              <w14:schemeClr w14:val="tx1"/>
            </w14:solidFill>
          </w14:textFill>
        </w:rPr>
        <w:t>综合</w:t>
      </w:r>
      <w:r>
        <w:rPr>
          <w:color w:val="000000" w:themeColor="text1"/>
          <w:szCs w:val="21"/>
          <w:highlight w:val="none"/>
          <w14:textFill>
            <w14:solidFill>
              <w14:schemeClr w14:val="tx1"/>
            </w14:solidFill>
          </w14:textFill>
        </w:rPr>
        <w:t>单价</w:t>
      </w:r>
      <w:r>
        <w:rPr>
          <w:color w:val="000000" w:themeColor="text1"/>
          <w:szCs w:val="21"/>
          <w:highlight w:val="none"/>
          <w14:textFill>
            <w14:solidFill>
              <w14:schemeClr w14:val="tx1"/>
            </w14:solidFill>
          </w14:textFill>
        </w:rPr>
        <w:t>合同方式。</w:t>
      </w:r>
    </w:p>
    <w:p w14:paraId="0E139358">
      <w:pPr>
        <w:widowControl/>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8</w:t>
      </w:r>
      <w:r>
        <w:rPr>
          <w:color w:val="000000" w:themeColor="text1"/>
          <w:szCs w:val="21"/>
          <w:highlight w:val="none"/>
          <w14:textFill>
            <w14:solidFill>
              <w14:schemeClr w14:val="tx1"/>
            </w14:solidFill>
          </w14:textFill>
        </w:rPr>
        <w:t>.2本工程的合同文件格式详见本采购文件第</w:t>
      </w:r>
      <w:r>
        <w:rPr>
          <w:rFonts w:hint="eastAsia"/>
          <w:color w:val="000000" w:themeColor="text1"/>
          <w:szCs w:val="21"/>
          <w:highlight w:val="none"/>
          <w14:textFill>
            <w14:solidFill>
              <w14:schemeClr w14:val="tx1"/>
            </w14:solidFill>
          </w14:textFill>
        </w:rPr>
        <w:t>三</w:t>
      </w:r>
      <w:r>
        <w:rPr>
          <w:color w:val="000000" w:themeColor="text1"/>
          <w:szCs w:val="21"/>
          <w:highlight w:val="none"/>
          <w14:textFill>
            <w14:solidFill>
              <w14:schemeClr w14:val="tx1"/>
            </w14:solidFill>
          </w14:textFill>
        </w:rPr>
        <w:t>篇《</w:t>
      </w:r>
      <w:r>
        <w:rPr>
          <w:rFonts w:hint="eastAsia"/>
          <w:color w:val="000000" w:themeColor="text1"/>
          <w:szCs w:val="21"/>
          <w:highlight w:val="none"/>
          <w14:textFill>
            <w14:solidFill>
              <w14:schemeClr w14:val="tx1"/>
            </w14:solidFill>
          </w14:textFill>
        </w:rPr>
        <w:t>分包合同条款</w:t>
      </w:r>
      <w:r>
        <w:rPr>
          <w:color w:val="000000" w:themeColor="text1"/>
          <w:szCs w:val="21"/>
          <w:highlight w:val="none"/>
          <w14:textFill>
            <w14:solidFill>
              <w14:schemeClr w14:val="tx1"/>
            </w14:solidFill>
          </w14:textFill>
        </w:rPr>
        <w:t>》的相应内容。</w:t>
      </w:r>
    </w:p>
    <w:p w14:paraId="20086100">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156" w:name="_Toc53939582"/>
      <w:bookmarkStart w:id="157" w:name="_Toc53948759"/>
      <w:bookmarkStart w:id="158" w:name="_Toc54281219"/>
      <w:bookmarkStart w:id="159" w:name="_Toc53945783"/>
      <w:bookmarkStart w:id="160" w:name="_Toc54280367"/>
      <w:bookmarkStart w:id="161" w:name="_Toc53936518"/>
      <w:bookmarkStart w:id="162" w:name="_Toc53918809"/>
      <w:bookmarkStart w:id="163" w:name="_Toc53949180"/>
      <w:bookmarkStart w:id="164" w:name="_Toc54279941"/>
      <w:bookmarkStart w:id="165" w:name="_Toc54280793"/>
      <w:bookmarkStart w:id="166" w:name="_Toc53948338"/>
      <w:bookmarkStart w:id="167" w:name="_Toc145499740"/>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9</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w:t>
      </w:r>
      <w:bookmarkEnd w:id="156"/>
      <w:bookmarkEnd w:id="157"/>
      <w:bookmarkEnd w:id="158"/>
      <w:bookmarkEnd w:id="159"/>
      <w:bookmarkEnd w:id="160"/>
      <w:bookmarkEnd w:id="161"/>
      <w:bookmarkEnd w:id="162"/>
      <w:bookmarkEnd w:id="163"/>
      <w:bookmarkEnd w:id="164"/>
      <w:bookmarkEnd w:id="165"/>
      <w:bookmarkEnd w:id="166"/>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响应文件</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语言及单位</w:t>
      </w:r>
      <w:bookmarkEnd w:id="167"/>
    </w:p>
    <w:p w14:paraId="7C7E0228">
      <w:pPr>
        <w:widowControl/>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9</w:t>
      </w:r>
      <w:r>
        <w:rPr>
          <w:color w:val="000000" w:themeColor="text1"/>
          <w:szCs w:val="21"/>
          <w:highlight w:val="none"/>
          <w14:textFill>
            <w14:solidFill>
              <w14:schemeClr w14:val="tx1"/>
            </w14:solidFill>
          </w14:textFill>
        </w:rPr>
        <w:t>.1响应单位应使用中文进行响应文件编制或与采购人沟通交流。</w:t>
      </w:r>
    </w:p>
    <w:p w14:paraId="0925AB7A">
      <w:pPr>
        <w:widowControl/>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9</w:t>
      </w:r>
      <w:r>
        <w:rPr>
          <w:color w:val="000000" w:themeColor="text1"/>
          <w:szCs w:val="21"/>
          <w:highlight w:val="none"/>
          <w14:textFill>
            <w14:solidFill>
              <w14:schemeClr w14:val="tx1"/>
            </w14:solidFill>
          </w14:textFill>
        </w:rPr>
        <w:t>.2除工程规范另有规定外，响应文件使用的度量衡单位，均采用中华人民共和国法定计量单位。</w:t>
      </w:r>
    </w:p>
    <w:p w14:paraId="05300D03">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168" w:name="_Toc145499741"/>
      <w:bookmarkStart w:id="169" w:name="_Toc54279943"/>
      <w:bookmarkStart w:id="170" w:name="_Toc53945785"/>
      <w:bookmarkStart w:id="171" w:name="_Toc53936520"/>
      <w:bookmarkStart w:id="172" w:name="_Toc54281221"/>
      <w:bookmarkStart w:id="173" w:name="_Toc54280795"/>
      <w:bookmarkStart w:id="174" w:name="_Toc54280369"/>
      <w:bookmarkStart w:id="175" w:name="_Toc53949182"/>
      <w:bookmarkStart w:id="176" w:name="_Toc53948761"/>
      <w:bookmarkStart w:id="177" w:name="_Toc53948340"/>
      <w:bookmarkStart w:id="178" w:name="_Toc53918811"/>
      <w:bookmarkStart w:id="179" w:name="_Toc53939584"/>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1</w:t>
      </w:r>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0</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.工程质量标准</w:t>
      </w:r>
      <w:bookmarkEnd w:id="168"/>
      <w:bookmarkEnd w:id="169"/>
      <w:bookmarkEnd w:id="170"/>
      <w:bookmarkEnd w:id="171"/>
      <w:bookmarkEnd w:id="172"/>
      <w:bookmarkEnd w:id="173"/>
      <w:bookmarkEnd w:id="174"/>
      <w:bookmarkEnd w:id="175"/>
      <w:bookmarkEnd w:id="176"/>
      <w:bookmarkEnd w:id="177"/>
      <w:bookmarkEnd w:id="178"/>
      <w:bookmarkEnd w:id="179"/>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及技术要求</w:t>
      </w:r>
    </w:p>
    <w:p w14:paraId="1F6FED94">
      <w:pPr>
        <w:widowControl/>
        <w:spacing w:line="360" w:lineRule="auto"/>
        <w:ind w:left="516" w:leftChars="33" w:hanging="447" w:hangingChars="213"/>
        <w:rPr>
          <w:color w:val="000000" w:themeColor="text1"/>
          <w:szCs w:val="21"/>
          <w:highlight w:val="none"/>
          <w14:textFill>
            <w14:solidFill>
              <w14:schemeClr w14:val="tx1"/>
            </w14:solidFill>
          </w14:textFill>
        </w:rPr>
      </w:pPr>
      <w:bookmarkStart w:id="180" w:name="_Toc54280370"/>
      <w:bookmarkStart w:id="181" w:name="_Toc53918812"/>
      <w:bookmarkStart w:id="182" w:name="_Toc53949183"/>
      <w:bookmarkStart w:id="183" w:name="_Toc53948762"/>
      <w:bookmarkStart w:id="184" w:name="_Toc53948341"/>
      <w:bookmarkStart w:id="185" w:name="_Toc54279944"/>
      <w:bookmarkStart w:id="186" w:name="_Toc53945786"/>
      <w:bookmarkStart w:id="187" w:name="_Toc54280796"/>
      <w:bookmarkStart w:id="188" w:name="_Toc53939585"/>
      <w:bookmarkStart w:id="189" w:name="_Toc54281222"/>
      <w:bookmarkStart w:id="190" w:name="_Toc53936521"/>
      <w:r>
        <w:rPr>
          <w:color w:val="000000" w:themeColor="text1"/>
          <w:szCs w:val="21"/>
          <w:highlight w:val="none"/>
          <w14:textFill>
            <w14:solidFill>
              <w14:schemeClr w14:val="tx1"/>
            </w14:solidFill>
          </w14:textFill>
        </w:rPr>
        <w:t>10.1工程质量标准约定如下：</w:t>
      </w:r>
    </w:p>
    <w:p w14:paraId="23FA172A">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10.1.1工程质量等级：</w:t>
      </w:r>
      <w:r>
        <w:rPr>
          <w:rFonts w:hint="eastAsia" w:ascii="宋体" w:hAnsi="宋体" w:cs="宋体"/>
          <w:bCs/>
          <w:color w:val="000000" w:themeColor="text1"/>
          <w:szCs w:val="21"/>
          <w:highlight w:val="none"/>
          <w14:textFill>
            <w14:solidFill>
              <w14:schemeClr w14:val="tx1"/>
            </w14:solidFill>
          </w14:textFill>
        </w:rPr>
        <w:t>与总包合同一致，均为合格</w:t>
      </w:r>
    </w:p>
    <w:p w14:paraId="4C577C46">
      <w:pPr>
        <w:widowControl/>
        <w:spacing w:line="360" w:lineRule="auto"/>
        <w:ind w:left="510" w:leftChars="233" w:hanging="21" w:hangingChars="1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10.1.2优质奖项要求：</w:t>
      </w:r>
      <w:r>
        <w:rPr>
          <w:rFonts w:hint="eastAsia"/>
          <w:color w:val="000000" w:themeColor="text1"/>
          <w:szCs w:val="21"/>
          <w:highlight w:val="none"/>
          <w:u w:val="single"/>
          <w14:textFill>
            <w14:solidFill>
              <w14:schemeClr w14:val="tx1"/>
            </w14:solidFill>
          </w14:textFill>
        </w:rPr>
        <w:t xml:space="preserve"> </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u w:val="single"/>
          <w:lang w:val="en-US" w:eastAsia="zh-CN"/>
          <w14:textFill>
            <w14:solidFill>
              <w14:schemeClr w14:val="tx1"/>
            </w14:solidFill>
          </w14:textFill>
        </w:rPr>
        <w:t>无</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w:t>
      </w:r>
    </w:p>
    <w:p w14:paraId="53477759">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10.1.</w:t>
      </w: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特别说明：本采购工程质量标准必须符合中华人民共和国国家标准，如果本采购文件中规定的执行标准高于国家标准，则按本采购文件中规定的标准执行，如果低于国家标准，则按国家标准执行</w:t>
      </w:r>
      <w:r>
        <w:rPr>
          <w:rFonts w:hint="eastAsia"/>
          <w:color w:val="000000" w:themeColor="text1"/>
          <w:szCs w:val="21"/>
          <w:highlight w:val="none"/>
          <w14:textFill>
            <w14:solidFill>
              <w14:schemeClr w14:val="tx1"/>
            </w14:solidFill>
          </w14:textFill>
        </w:rPr>
        <w:t>，如果期间相关标准国家、部委有更新的，则按照更新的标准执行</w:t>
      </w:r>
      <w:r>
        <w:rPr>
          <w:color w:val="000000" w:themeColor="text1"/>
          <w:szCs w:val="21"/>
          <w:highlight w:val="none"/>
          <w14:textFill>
            <w14:solidFill>
              <w14:schemeClr w14:val="tx1"/>
            </w14:solidFill>
          </w14:textFill>
        </w:rPr>
        <w:t>。</w:t>
      </w:r>
    </w:p>
    <w:p w14:paraId="77BA7D13">
      <w:pPr>
        <w:widowControl/>
        <w:spacing w:line="360" w:lineRule="auto"/>
        <w:ind w:left="514" w:leftChars="83" w:hanging="340" w:hangingChars="162"/>
        <w:rPr>
          <w:rFonts w:hint="eastAsia" w:ascii="宋体" w:hAnsi="宋体" w:cs="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10.2</w:t>
      </w:r>
      <w:r>
        <w:rPr>
          <w:rFonts w:hint="eastAsia"/>
          <w:color w:val="000000" w:themeColor="text1"/>
          <w:szCs w:val="21"/>
          <w:highlight w:val="none"/>
          <w14:textFill>
            <w14:solidFill>
              <w14:schemeClr w14:val="tx1"/>
            </w14:solidFill>
          </w14:textFill>
        </w:rPr>
        <w:t>工程技术要求：</w:t>
      </w:r>
      <w:r>
        <w:rPr>
          <w:rFonts w:hint="eastAsia" w:ascii="宋体" w:hAnsi="宋体" w:cs="宋体"/>
          <w:bCs/>
          <w:color w:val="000000" w:themeColor="text1"/>
          <w:szCs w:val="21"/>
          <w:highlight w:val="none"/>
          <w14:textFill>
            <w14:solidFill>
              <w14:schemeClr w14:val="tx1"/>
            </w14:solidFill>
          </w14:textFill>
        </w:rPr>
        <w:t>施工技术力量全面，专业能力较强；对施工工艺流程熟悉。</w:t>
      </w:r>
      <w:r>
        <w:rPr>
          <w:rFonts w:hint="eastAsia" w:ascii="宋体" w:hAnsi="宋体" w:cs="宋体"/>
          <w:color w:val="000000" w:themeColor="text1"/>
          <w:szCs w:val="21"/>
          <w:highlight w:val="none"/>
          <w14:textFill>
            <w14:solidFill>
              <w14:schemeClr w14:val="tx1"/>
            </w14:solidFill>
          </w14:textFill>
        </w:rPr>
        <w:t>符合规范及设计要求，能够按期完工，并通过验收。</w:t>
      </w:r>
    </w:p>
    <w:p w14:paraId="16369677">
      <w:pPr>
        <w:widowControl/>
        <w:spacing w:line="360" w:lineRule="auto"/>
        <w:ind w:left="514" w:leftChars="83" w:hanging="340" w:hangingChars="162"/>
        <w:rPr>
          <w:color w:val="000000" w:themeColor="text1"/>
          <w:szCs w:val="21"/>
          <w:highlight w:val="none"/>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10.3</w:t>
      </w:r>
      <w:r>
        <w:rPr>
          <w:rFonts w:hint="eastAsia"/>
          <w:color w:val="000000" w:themeColor="text1"/>
          <w:szCs w:val="21"/>
          <w:highlight w:val="none"/>
          <w14:textFill>
            <w14:solidFill>
              <w14:schemeClr w14:val="tx1"/>
            </w14:solidFill>
          </w14:textFill>
        </w:rPr>
        <w:t>质量问题整改率:100%，由于</w:t>
      </w:r>
      <w:r>
        <w:rPr>
          <w:rFonts w:hint="eastAsia"/>
          <w:color w:val="000000" w:themeColor="text1"/>
          <w:szCs w:val="21"/>
          <w:highlight w:val="none"/>
          <w:lang w:val="en-US" w:eastAsia="zh-CN"/>
          <w14:textFill>
            <w14:solidFill>
              <w14:schemeClr w14:val="tx1"/>
            </w14:solidFill>
          </w14:textFill>
        </w:rPr>
        <w:t>响应</w:t>
      </w:r>
      <w:r>
        <w:rPr>
          <w:rFonts w:hint="eastAsia"/>
          <w:color w:val="000000" w:themeColor="text1"/>
          <w:szCs w:val="21"/>
          <w:highlight w:val="none"/>
          <w14:textFill>
            <w14:solidFill>
              <w14:schemeClr w14:val="tx1"/>
            </w14:solidFill>
          </w14:textFill>
        </w:rPr>
        <w:t>发生质量问题对发包方的利益或声誉造成损害时或投标方对质量问题整改不彻底或整改不及时，发包单位有权视情节轻重对</w:t>
      </w:r>
      <w:r>
        <w:rPr>
          <w:rFonts w:hint="eastAsia"/>
          <w:color w:val="000000" w:themeColor="text1"/>
          <w:szCs w:val="21"/>
          <w:highlight w:val="none"/>
          <w:lang w:val="en-US" w:eastAsia="zh-CN"/>
          <w14:textFill>
            <w14:solidFill>
              <w14:schemeClr w14:val="tx1"/>
            </w14:solidFill>
          </w14:textFill>
        </w:rPr>
        <w:t>响应</w:t>
      </w:r>
      <w:r>
        <w:rPr>
          <w:rFonts w:hint="eastAsia"/>
          <w:color w:val="000000" w:themeColor="text1"/>
          <w:szCs w:val="21"/>
          <w:highlight w:val="none"/>
          <w14:textFill>
            <w14:solidFill>
              <w14:schemeClr w14:val="tx1"/>
            </w14:solidFill>
          </w14:textFill>
        </w:rPr>
        <w:t>处以适当的经济处罚。</w:t>
      </w:r>
    </w:p>
    <w:p w14:paraId="485D49BF">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191" w:name="_Toc145499742"/>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1</w:t>
      </w:r>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1</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.工期及安全要求</w:t>
      </w:r>
      <w:bookmarkEnd w:id="180"/>
      <w:bookmarkEnd w:id="181"/>
      <w:bookmarkEnd w:id="182"/>
      <w:bookmarkEnd w:id="183"/>
      <w:bookmarkEnd w:id="184"/>
      <w:bookmarkEnd w:id="185"/>
      <w:bookmarkEnd w:id="186"/>
      <w:bookmarkEnd w:id="187"/>
      <w:bookmarkEnd w:id="188"/>
      <w:bookmarkEnd w:id="189"/>
      <w:bookmarkEnd w:id="190"/>
      <w:bookmarkEnd w:id="191"/>
    </w:p>
    <w:p w14:paraId="3DE30A5D">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.1响应单位应按照《响应单位须知前附表》第</w:t>
      </w:r>
      <w:r>
        <w:rPr>
          <w:rFonts w:hint="eastAsia"/>
          <w:color w:val="000000" w:themeColor="text1"/>
          <w:szCs w:val="21"/>
          <w:highlight w:val="none"/>
          <w14:textFill>
            <w14:solidFill>
              <w14:schemeClr w14:val="tx1"/>
            </w14:solidFill>
          </w14:textFill>
        </w:rPr>
        <w:t>5</w:t>
      </w:r>
      <w:r>
        <w:rPr>
          <w:color w:val="000000" w:themeColor="text1"/>
          <w:szCs w:val="21"/>
          <w:highlight w:val="none"/>
          <w14:textFill>
            <w14:solidFill>
              <w14:schemeClr w14:val="tx1"/>
            </w14:solidFill>
          </w14:textFill>
        </w:rPr>
        <w:t>项要求的计划开工日期、计划竣工日期和计划合同工期编制响应文件。</w:t>
      </w:r>
    </w:p>
    <w:p w14:paraId="4A1173CB">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.2响应单位可以在坚持其报价的前提下，对前款规定的计划竣工日期予以提前，并据此编制响应文件。</w:t>
      </w:r>
    </w:p>
    <w:p w14:paraId="1A93FCB4">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.3</w:t>
      </w:r>
      <w:r>
        <w:rPr>
          <w:rFonts w:hint="eastAsia"/>
          <w:color w:val="000000" w:themeColor="text1"/>
          <w:szCs w:val="21"/>
          <w:highlight w:val="none"/>
          <w14:textFill>
            <w14:solidFill>
              <w14:schemeClr w14:val="tx1"/>
            </w14:solidFill>
          </w14:textFill>
        </w:rPr>
        <w:t>响应单位应按照有关安全生产法律法规和有关主管部门文件的要求</w:t>
      </w:r>
      <w:r>
        <w:rPr>
          <w:color w:val="000000" w:themeColor="text1"/>
          <w:szCs w:val="21"/>
          <w:highlight w:val="none"/>
          <w14:textFill>
            <w14:solidFill>
              <w14:schemeClr w14:val="tx1"/>
            </w14:solidFill>
          </w14:textFill>
        </w:rPr>
        <w:t>，在响应文件中</w:t>
      </w:r>
      <w:r>
        <w:rPr>
          <w:rFonts w:hint="eastAsia"/>
          <w:color w:val="000000" w:themeColor="text1"/>
          <w:szCs w:val="21"/>
          <w:highlight w:val="none"/>
          <w14:textFill>
            <w14:solidFill>
              <w14:schemeClr w14:val="tx1"/>
            </w14:solidFill>
          </w14:textFill>
        </w:rPr>
        <w:t>编制安全施工措施，计取安全防护、文明施工措施费用</w:t>
      </w:r>
      <w:r>
        <w:rPr>
          <w:color w:val="000000" w:themeColor="text1"/>
          <w:szCs w:val="21"/>
          <w:highlight w:val="none"/>
          <w14:textFill>
            <w14:solidFill>
              <w14:schemeClr w14:val="tx1"/>
            </w14:solidFill>
          </w14:textFill>
        </w:rPr>
        <w:t>，并承担安全施工责任。</w:t>
      </w:r>
    </w:p>
    <w:p w14:paraId="3A524395">
      <w:pPr>
        <w:pStyle w:val="3"/>
        <w:spacing w:before="240" w:beforeLines="100" w:after="120" w:afterLines="50" w:line="360" w:lineRule="auto"/>
        <w:jc w:val="center"/>
        <w:rPr>
          <w:rStyle w:val="46"/>
          <w:rFonts w:ascii="Times New Roman" w:hAnsi="Times New Roman" w:eastAsia="宋体"/>
          <w:b/>
          <w:bCs w:val="0"/>
          <w:color w:val="000000" w:themeColor="text1"/>
          <w:sz w:val="28"/>
          <w:szCs w:val="28"/>
          <w:highlight w:val="none"/>
          <w14:textFill>
            <w14:solidFill>
              <w14:schemeClr w14:val="tx1"/>
            </w14:solidFill>
          </w14:textFill>
        </w:rPr>
      </w:pPr>
      <w:bookmarkStart w:id="192" w:name="_Toc53945787"/>
      <w:bookmarkStart w:id="193" w:name="_Toc54280797"/>
      <w:bookmarkStart w:id="194" w:name="_Toc54281223"/>
      <w:bookmarkStart w:id="195" w:name="_Toc145499743"/>
      <w:bookmarkStart w:id="196" w:name="_Toc54280371"/>
      <w:bookmarkStart w:id="197" w:name="_Toc53948763"/>
      <w:bookmarkStart w:id="198" w:name="_Toc54279945"/>
      <w:bookmarkStart w:id="199" w:name="_Toc53939586"/>
      <w:bookmarkStart w:id="200" w:name="_Toc53948342"/>
      <w:bookmarkStart w:id="201" w:name="_Toc284135589"/>
      <w:bookmarkStart w:id="202" w:name="_Toc53936522"/>
      <w:bookmarkStart w:id="203" w:name="_Toc53918813"/>
      <w:bookmarkStart w:id="204" w:name="_Toc53949184"/>
      <w:r>
        <w:rPr>
          <w:rStyle w:val="46"/>
          <w:rFonts w:ascii="Times New Roman" w:hAnsi="宋体" w:eastAsia="宋体"/>
          <w:b/>
          <w:bCs w:val="0"/>
          <w:color w:val="000000" w:themeColor="text1"/>
          <w:sz w:val="28"/>
          <w:szCs w:val="28"/>
          <w:highlight w:val="none"/>
          <w14:textFill>
            <w14:solidFill>
              <w14:schemeClr w14:val="tx1"/>
            </w14:solidFill>
          </w14:textFill>
        </w:rPr>
        <w:t>第二章</w:t>
      </w:r>
      <w:r>
        <w:rPr>
          <w:rStyle w:val="46"/>
          <w:rFonts w:ascii="Times New Roman" w:hAnsi="Times New Roman" w:eastAsia="宋体"/>
          <w:b/>
          <w:bCs w:val="0"/>
          <w:color w:val="000000" w:themeColor="text1"/>
          <w:sz w:val="28"/>
          <w:szCs w:val="28"/>
          <w:highlight w:val="none"/>
          <w14:textFill>
            <w14:solidFill>
              <w14:schemeClr w14:val="tx1"/>
            </w14:solidFill>
          </w14:textFill>
        </w:rPr>
        <w:t xml:space="preserve">  </w:t>
      </w:r>
      <w:r>
        <w:rPr>
          <w:rStyle w:val="46"/>
          <w:rFonts w:ascii="Times New Roman" w:hAnsi="宋体" w:eastAsia="宋体"/>
          <w:b/>
          <w:bCs w:val="0"/>
          <w:color w:val="000000" w:themeColor="text1"/>
          <w:sz w:val="28"/>
          <w:szCs w:val="28"/>
          <w:highlight w:val="none"/>
          <w14:textFill>
            <w14:solidFill>
              <w14:schemeClr w14:val="tx1"/>
            </w14:solidFill>
          </w14:textFill>
        </w:rPr>
        <w:t>采购文件</w:t>
      </w:r>
      <w:bookmarkEnd w:id="192"/>
      <w:bookmarkEnd w:id="193"/>
      <w:bookmarkEnd w:id="194"/>
      <w:bookmarkEnd w:id="195"/>
      <w:bookmarkEnd w:id="196"/>
      <w:bookmarkEnd w:id="197"/>
      <w:bookmarkEnd w:id="198"/>
      <w:bookmarkEnd w:id="199"/>
      <w:bookmarkEnd w:id="200"/>
      <w:bookmarkEnd w:id="201"/>
      <w:bookmarkEnd w:id="202"/>
      <w:bookmarkEnd w:id="203"/>
      <w:bookmarkEnd w:id="204"/>
    </w:p>
    <w:p w14:paraId="00F77BD5">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205" w:name="_Toc145499744"/>
      <w:bookmarkStart w:id="206" w:name="_Toc53948343"/>
      <w:bookmarkStart w:id="207" w:name="_Toc54279946"/>
      <w:bookmarkStart w:id="208" w:name="_Toc53945788"/>
      <w:bookmarkStart w:id="209" w:name="_Toc53949185"/>
      <w:bookmarkStart w:id="210" w:name="_Toc54280372"/>
      <w:bookmarkStart w:id="211" w:name="_Toc54281224"/>
      <w:bookmarkStart w:id="212" w:name="_Toc53936523"/>
      <w:bookmarkStart w:id="213" w:name="_Toc53948764"/>
      <w:bookmarkStart w:id="214" w:name="_Toc53939587"/>
      <w:bookmarkStart w:id="215" w:name="_Toc53918814"/>
      <w:bookmarkStart w:id="216" w:name="_Toc54280798"/>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12.采购文件的内容</w:t>
      </w:r>
      <w:bookmarkEnd w:id="205"/>
      <w:bookmarkEnd w:id="206"/>
      <w:bookmarkEnd w:id="207"/>
      <w:bookmarkEnd w:id="208"/>
      <w:bookmarkEnd w:id="209"/>
      <w:bookmarkEnd w:id="210"/>
      <w:bookmarkEnd w:id="211"/>
      <w:bookmarkEnd w:id="212"/>
      <w:bookmarkEnd w:id="213"/>
      <w:bookmarkEnd w:id="214"/>
      <w:bookmarkEnd w:id="215"/>
      <w:bookmarkEnd w:id="216"/>
    </w:p>
    <w:p w14:paraId="31563F8B">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12.1采购文件包括下列文件及所有按本《响应单位须知前附表》第</w:t>
      </w:r>
      <w:r>
        <w:rPr>
          <w:rFonts w:hint="eastAsia"/>
          <w:color w:val="000000" w:themeColor="text1"/>
          <w:szCs w:val="21"/>
          <w:highlight w:val="none"/>
          <w14:textFill>
            <w14:solidFill>
              <w14:schemeClr w14:val="tx1"/>
            </w14:solidFill>
          </w14:textFill>
        </w:rPr>
        <w:t>6</w:t>
      </w:r>
      <w:r>
        <w:rPr>
          <w:color w:val="000000" w:themeColor="text1"/>
          <w:szCs w:val="21"/>
          <w:highlight w:val="none"/>
          <w14:textFill>
            <w14:solidFill>
              <w14:schemeClr w14:val="tx1"/>
            </w14:solidFill>
          </w14:textFill>
        </w:rPr>
        <w:t>条和第</w:t>
      </w:r>
      <w:r>
        <w:rPr>
          <w:rFonts w:hint="eastAsia"/>
          <w:color w:val="000000" w:themeColor="text1"/>
          <w:szCs w:val="21"/>
          <w:highlight w:val="none"/>
          <w14:textFill>
            <w14:solidFill>
              <w14:schemeClr w14:val="tx1"/>
            </w14:solidFill>
          </w14:textFill>
        </w:rPr>
        <w:t>7</w:t>
      </w:r>
      <w:r>
        <w:rPr>
          <w:color w:val="000000" w:themeColor="text1"/>
          <w:szCs w:val="21"/>
          <w:highlight w:val="none"/>
          <w14:textFill>
            <w14:solidFill>
              <w14:schemeClr w14:val="tx1"/>
            </w14:solidFill>
          </w14:textFill>
        </w:rPr>
        <w:t>条发出的补充采购文件和任何答疑会纪要：</w:t>
      </w:r>
    </w:p>
    <w:p w14:paraId="54D094EF">
      <w:pPr>
        <w:spacing w:line="360" w:lineRule="auto"/>
        <w:ind w:left="1035" w:leftChars="247" w:hanging="516" w:hangingChars="246"/>
        <w:rPr>
          <w:color w:val="000000" w:themeColor="text1"/>
          <w:szCs w:val="21"/>
          <w:highlight w:val="none"/>
          <w14:textFill>
            <w14:solidFill>
              <w14:schemeClr w14:val="tx1"/>
            </w14:solidFill>
          </w14:textFill>
        </w:rPr>
      </w:pPr>
      <w:bookmarkStart w:id="217" w:name="_13、招标文件的澄清"/>
      <w:bookmarkEnd w:id="217"/>
      <w:r>
        <w:rPr>
          <w:color w:val="000000" w:themeColor="text1"/>
          <w:szCs w:val="21"/>
          <w:highlight w:val="none"/>
          <w14:textFill>
            <w14:solidFill>
              <w14:schemeClr w14:val="tx1"/>
            </w14:solidFill>
          </w14:textFill>
        </w:rPr>
        <w:t>12.1.1</w:t>
      </w:r>
      <w:r>
        <w:rPr>
          <w:rFonts w:hAnsi="宋体"/>
          <w:color w:val="000000" w:themeColor="text1"/>
          <w:szCs w:val="21"/>
          <w:highlight w:val="none"/>
          <w14:textFill>
            <w14:solidFill>
              <w14:schemeClr w14:val="tx1"/>
            </w14:solidFill>
          </w14:textFill>
        </w:rPr>
        <w:t>第一篇</w:t>
      </w:r>
      <w:r>
        <w:rPr>
          <w:color w:val="000000" w:themeColor="text1"/>
          <w:szCs w:val="21"/>
          <w:highlight w:val="non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采购公告（邀请书）</w:t>
      </w:r>
    </w:p>
    <w:p w14:paraId="60EE6735">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12.1.</w:t>
      </w:r>
      <w:r>
        <w:rPr>
          <w:rFonts w:hint="eastAsia"/>
          <w:color w:val="000000" w:themeColor="text1"/>
          <w:szCs w:val="21"/>
          <w:highlight w:val="none"/>
          <w14:textFill>
            <w14:solidFill>
              <w14:schemeClr w14:val="tx1"/>
            </w14:solidFill>
          </w14:textFill>
        </w:rPr>
        <w:t>2第二篇  响应单位须知</w:t>
      </w:r>
    </w:p>
    <w:p w14:paraId="34FA3E43">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12.1.</w:t>
      </w:r>
      <w:r>
        <w:rPr>
          <w:rFonts w:hint="eastAsia"/>
          <w:color w:val="000000" w:themeColor="text1"/>
          <w:szCs w:val="21"/>
          <w:highlight w:val="none"/>
          <w14:textFill>
            <w14:solidFill>
              <w14:schemeClr w14:val="tx1"/>
            </w14:solidFill>
          </w14:textFill>
        </w:rPr>
        <w:t>3</w:t>
      </w:r>
      <w:r>
        <w:rPr>
          <w:rFonts w:hAnsi="宋体"/>
          <w:color w:val="000000" w:themeColor="text1"/>
          <w:szCs w:val="21"/>
          <w:highlight w:val="none"/>
          <w14:textFill>
            <w14:solidFill>
              <w14:schemeClr w14:val="tx1"/>
            </w14:solidFill>
          </w14:textFill>
        </w:rPr>
        <w:t>第</w:t>
      </w:r>
      <w:r>
        <w:rPr>
          <w:rFonts w:hint="eastAsia" w:hAnsi="宋体"/>
          <w:color w:val="000000" w:themeColor="text1"/>
          <w:szCs w:val="21"/>
          <w:highlight w:val="none"/>
          <w14:textFill>
            <w14:solidFill>
              <w14:schemeClr w14:val="tx1"/>
            </w14:solidFill>
          </w14:textFill>
        </w:rPr>
        <w:t>三</w:t>
      </w:r>
      <w:r>
        <w:rPr>
          <w:rFonts w:hAnsi="宋体"/>
          <w:color w:val="000000" w:themeColor="text1"/>
          <w:szCs w:val="21"/>
          <w:highlight w:val="none"/>
          <w14:textFill>
            <w14:solidFill>
              <w14:schemeClr w14:val="tx1"/>
            </w14:solidFill>
          </w14:textFill>
        </w:rPr>
        <w:t>篇</w:t>
      </w:r>
      <w:r>
        <w:rPr>
          <w:color w:val="000000" w:themeColor="text1"/>
          <w:szCs w:val="21"/>
          <w:highlight w:val="none"/>
          <w14:textFill>
            <w14:solidFill>
              <w14:schemeClr w14:val="tx1"/>
            </w14:solidFill>
          </w14:textFill>
        </w:rPr>
        <w:t xml:space="preserve">  </w:t>
      </w:r>
      <w:r>
        <w:rPr>
          <w:rFonts w:hint="eastAsia" w:hAnsi="宋体"/>
          <w:color w:val="000000" w:themeColor="text1"/>
          <w:szCs w:val="21"/>
          <w:highlight w:val="none"/>
          <w14:textFill>
            <w14:solidFill>
              <w14:schemeClr w14:val="tx1"/>
            </w14:solidFill>
          </w14:textFill>
        </w:rPr>
        <w:t>分包合同条款</w:t>
      </w:r>
    </w:p>
    <w:p w14:paraId="7F335A4A">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12.1.</w:t>
      </w:r>
      <w:r>
        <w:rPr>
          <w:rFonts w:hint="eastAsia"/>
          <w:color w:val="000000" w:themeColor="text1"/>
          <w:szCs w:val="21"/>
          <w:highlight w:val="none"/>
          <w14:textFill>
            <w14:solidFill>
              <w14:schemeClr w14:val="tx1"/>
            </w14:solidFill>
          </w14:textFill>
        </w:rPr>
        <w:t>3</w:t>
      </w:r>
      <w:r>
        <w:rPr>
          <w:rFonts w:hAnsi="宋体"/>
          <w:color w:val="000000" w:themeColor="text1"/>
          <w:szCs w:val="21"/>
          <w:highlight w:val="none"/>
          <w14:textFill>
            <w14:solidFill>
              <w14:schemeClr w14:val="tx1"/>
            </w14:solidFill>
          </w14:textFill>
        </w:rPr>
        <w:t>第</w:t>
      </w:r>
      <w:r>
        <w:rPr>
          <w:rFonts w:hint="eastAsia" w:hAnsi="宋体"/>
          <w:color w:val="000000" w:themeColor="text1"/>
          <w:szCs w:val="21"/>
          <w:highlight w:val="none"/>
          <w14:textFill>
            <w14:solidFill>
              <w14:schemeClr w14:val="tx1"/>
            </w14:solidFill>
          </w14:textFill>
        </w:rPr>
        <w:t>四</w:t>
      </w:r>
      <w:r>
        <w:rPr>
          <w:rFonts w:hAnsi="宋体"/>
          <w:color w:val="000000" w:themeColor="text1"/>
          <w:szCs w:val="21"/>
          <w:highlight w:val="none"/>
          <w14:textFill>
            <w14:solidFill>
              <w14:schemeClr w14:val="tx1"/>
            </w14:solidFill>
          </w14:textFill>
        </w:rPr>
        <w:t>篇</w:t>
      </w:r>
      <w:r>
        <w:rPr>
          <w:color w:val="000000" w:themeColor="text1"/>
          <w:szCs w:val="21"/>
          <w:highlight w:val="none"/>
          <w14:textFill>
            <w14:solidFill>
              <w14:schemeClr w14:val="tx1"/>
            </w14:solidFill>
          </w14:textFill>
        </w:rPr>
        <w:t xml:space="preserve">  </w:t>
      </w:r>
      <w:r>
        <w:rPr>
          <w:rFonts w:hAnsi="宋体"/>
          <w:color w:val="000000" w:themeColor="text1"/>
          <w:szCs w:val="21"/>
          <w:highlight w:val="none"/>
          <w14:textFill>
            <w14:solidFill>
              <w14:schemeClr w14:val="tx1"/>
            </w14:solidFill>
          </w14:textFill>
        </w:rPr>
        <w:t>图纸</w:t>
      </w:r>
      <w:r>
        <w:rPr>
          <w:rFonts w:hint="eastAsia" w:hAnsi="宋体"/>
          <w:color w:val="000000" w:themeColor="text1"/>
          <w:szCs w:val="21"/>
          <w:highlight w:val="none"/>
          <w14:textFill>
            <w14:solidFill>
              <w14:schemeClr w14:val="tx1"/>
            </w14:solidFill>
          </w14:textFill>
        </w:rPr>
        <w:t>（如有）</w:t>
      </w:r>
    </w:p>
    <w:p w14:paraId="701BD3CC">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12.1.</w:t>
      </w:r>
      <w:r>
        <w:rPr>
          <w:rFonts w:hint="eastAsia"/>
          <w:color w:val="000000" w:themeColor="text1"/>
          <w:szCs w:val="21"/>
          <w:highlight w:val="none"/>
          <w14:textFill>
            <w14:solidFill>
              <w14:schemeClr w14:val="tx1"/>
            </w14:solidFill>
          </w14:textFill>
        </w:rPr>
        <w:t>4</w:t>
      </w:r>
      <w:r>
        <w:rPr>
          <w:rFonts w:hAnsi="宋体"/>
          <w:color w:val="000000" w:themeColor="text1"/>
          <w:szCs w:val="21"/>
          <w:highlight w:val="none"/>
          <w14:textFill>
            <w14:solidFill>
              <w14:schemeClr w14:val="tx1"/>
            </w14:solidFill>
          </w14:textFill>
        </w:rPr>
        <w:t>第</w:t>
      </w:r>
      <w:r>
        <w:rPr>
          <w:rFonts w:hint="eastAsia" w:hAnsi="宋体"/>
          <w:color w:val="000000" w:themeColor="text1"/>
          <w:szCs w:val="21"/>
          <w:highlight w:val="none"/>
          <w14:textFill>
            <w14:solidFill>
              <w14:schemeClr w14:val="tx1"/>
            </w14:solidFill>
          </w14:textFill>
        </w:rPr>
        <w:t>五</w:t>
      </w:r>
      <w:r>
        <w:rPr>
          <w:rFonts w:hAnsi="宋体"/>
          <w:color w:val="000000" w:themeColor="text1"/>
          <w:szCs w:val="21"/>
          <w:highlight w:val="none"/>
          <w14:textFill>
            <w14:solidFill>
              <w14:schemeClr w14:val="tx1"/>
            </w14:solidFill>
          </w14:textFill>
        </w:rPr>
        <w:t>篇</w:t>
      </w:r>
      <w:r>
        <w:rPr>
          <w:color w:val="000000" w:themeColor="text1"/>
          <w:szCs w:val="21"/>
          <w:highlight w:val="none"/>
          <w14:textFill>
            <w14:solidFill>
              <w14:schemeClr w14:val="tx1"/>
            </w14:solidFill>
          </w14:textFill>
        </w:rPr>
        <w:t xml:space="preserve">  </w:t>
      </w:r>
      <w:r>
        <w:rPr>
          <w:rFonts w:hAnsi="宋体"/>
          <w:color w:val="000000" w:themeColor="text1"/>
          <w:szCs w:val="21"/>
          <w:highlight w:val="none"/>
          <w14:textFill>
            <w14:solidFill>
              <w14:schemeClr w14:val="tx1"/>
            </w14:solidFill>
          </w14:textFill>
        </w:rPr>
        <w:t>工程量清单</w:t>
      </w:r>
    </w:p>
    <w:p w14:paraId="76993051">
      <w:pPr>
        <w:spacing w:line="360" w:lineRule="auto"/>
        <w:ind w:left="1035" w:leftChars="247" w:hanging="516" w:hangingChars="246"/>
        <w:rPr>
          <w:rFonts w:hint="eastAsia"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12.1.</w:t>
      </w:r>
      <w:r>
        <w:rPr>
          <w:rFonts w:hint="eastAsia"/>
          <w:color w:val="000000" w:themeColor="text1"/>
          <w:szCs w:val="21"/>
          <w:highlight w:val="none"/>
          <w14:textFill>
            <w14:solidFill>
              <w14:schemeClr w14:val="tx1"/>
            </w14:solidFill>
          </w14:textFill>
        </w:rPr>
        <w:t>5</w:t>
      </w:r>
      <w:r>
        <w:rPr>
          <w:rFonts w:hAnsi="宋体"/>
          <w:color w:val="000000" w:themeColor="text1"/>
          <w:szCs w:val="21"/>
          <w:highlight w:val="none"/>
          <w14:textFill>
            <w14:solidFill>
              <w14:schemeClr w14:val="tx1"/>
            </w14:solidFill>
          </w14:textFill>
        </w:rPr>
        <w:t>第</w:t>
      </w:r>
      <w:r>
        <w:rPr>
          <w:rFonts w:hint="eastAsia" w:hAnsi="宋体"/>
          <w:color w:val="000000" w:themeColor="text1"/>
          <w:szCs w:val="21"/>
          <w:highlight w:val="none"/>
          <w14:textFill>
            <w14:solidFill>
              <w14:schemeClr w14:val="tx1"/>
            </w14:solidFill>
          </w14:textFill>
        </w:rPr>
        <w:t>六</w:t>
      </w:r>
      <w:r>
        <w:rPr>
          <w:rFonts w:hAnsi="宋体"/>
          <w:color w:val="000000" w:themeColor="text1"/>
          <w:szCs w:val="21"/>
          <w:highlight w:val="none"/>
          <w14:textFill>
            <w14:solidFill>
              <w14:schemeClr w14:val="tx1"/>
            </w14:solidFill>
          </w14:textFill>
        </w:rPr>
        <w:t>篇</w:t>
      </w:r>
      <w:r>
        <w:rPr>
          <w:color w:val="000000" w:themeColor="text1"/>
          <w:szCs w:val="21"/>
          <w:highlight w:val="none"/>
          <w14:textFill>
            <w14:solidFill>
              <w14:schemeClr w14:val="tx1"/>
            </w14:solidFill>
          </w14:textFill>
        </w:rPr>
        <w:t xml:space="preserve">  </w:t>
      </w:r>
      <w:r>
        <w:rPr>
          <w:rFonts w:hAnsi="宋体"/>
          <w:color w:val="000000" w:themeColor="text1"/>
          <w:szCs w:val="21"/>
          <w:highlight w:val="none"/>
          <w14:textFill>
            <w14:solidFill>
              <w14:schemeClr w14:val="tx1"/>
            </w14:solidFill>
          </w14:textFill>
        </w:rPr>
        <w:t>响应文件格式</w:t>
      </w:r>
    </w:p>
    <w:p w14:paraId="6DDF9353">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此外，采购人在采购期间发出的问题答复、补遗书和其</w:t>
      </w:r>
      <w:r>
        <w:rPr>
          <w:rFonts w:hint="eastAsia" w:ascii="宋体" w:hAnsi="宋体"/>
          <w:color w:val="000000" w:themeColor="text1"/>
          <w:szCs w:val="21"/>
          <w:highlight w:val="none"/>
          <w14:textFill>
            <w14:solidFill>
              <w14:schemeClr w14:val="tx1"/>
            </w14:solidFill>
          </w14:textFill>
        </w:rPr>
        <w:t>他</w:t>
      </w:r>
      <w:r>
        <w:rPr>
          <w:rFonts w:ascii="宋体" w:hAnsi="宋体"/>
          <w:color w:val="000000" w:themeColor="text1"/>
          <w:szCs w:val="21"/>
          <w:highlight w:val="none"/>
          <w14:textFill>
            <w14:solidFill>
              <w14:schemeClr w14:val="tx1"/>
            </w14:solidFill>
          </w14:textFill>
        </w:rPr>
        <w:t>正式函件，均作为采购文件的组成部分，响应单位应一并阅读。</w:t>
      </w:r>
    </w:p>
    <w:p w14:paraId="3523D9C1">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12.2响应单位应认真审阅采购文件中《响应单位须知前附表》、</w:t>
      </w:r>
      <w:r>
        <w:rPr>
          <w:rFonts w:hint="eastAsia" w:hAnsi="宋体"/>
          <w:color w:val="000000" w:themeColor="text1"/>
          <w:szCs w:val="21"/>
          <w:highlight w:val="none"/>
          <w14:textFill>
            <w14:solidFill>
              <w14:schemeClr w14:val="tx1"/>
            </w14:solidFill>
          </w14:textFill>
        </w:rPr>
        <w:t>分包合同条款</w:t>
      </w:r>
      <w:r>
        <w:rPr>
          <w:color w:val="000000" w:themeColor="text1"/>
          <w:szCs w:val="21"/>
          <w:highlight w:val="none"/>
          <w14:textFill>
            <w14:solidFill>
              <w14:schemeClr w14:val="tx1"/>
            </w14:solidFill>
          </w14:textFill>
        </w:rPr>
        <w:t>、响应文件格式、工程量清单、技术标准、规范、图纸等所有内容。如果响应单位的响应文件不能满足本《响应单位须知前附表》的各项要求，责任由响应单位自负。实质性不符合采购文件要求的响应文件将被拒绝。</w:t>
      </w:r>
    </w:p>
    <w:p w14:paraId="3B658BAB">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12.3响应单位应认真检查采购文件是否完整，若发现缺页或附件不全时，应及时向采购人提出，以便补齐。</w:t>
      </w:r>
    </w:p>
    <w:p w14:paraId="41ABEEB2">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218" w:name="_Toc53948765"/>
      <w:bookmarkStart w:id="219" w:name="_Toc53918815"/>
      <w:bookmarkStart w:id="220" w:name="_Toc53948344"/>
      <w:bookmarkStart w:id="221" w:name="_Toc54279947"/>
      <w:bookmarkStart w:id="222" w:name="_Toc54281225"/>
      <w:bookmarkStart w:id="223" w:name="_Toc53945789"/>
      <w:bookmarkStart w:id="224" w:name="_Toc53939588"/>
      <w:bookmarkStart w:id="225" w:name="_Toc53949186"/>
      <w:bookmarkStart w:id="226" w:name="_Toc53936524"/>
      <w:bookmarkStart w:id="227" w:name="_Toc54280373"/>
      <w:bookmarkStart w:id="228" w:name="_Toc145499745"/>
      <w:bookmarkStart w:id="229" w:name="_Toc54280799"/>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13.采购文件的澄清</w:t>
      </w:r>
      <w:bookmarkEnd w:id="218"/>
      <w:bookmarkEnd w:id="219"/>
      <w:bookmarkEnd w:id="220"/>
      <w:bookmarkEnd w:id="221"/>
      <w:bookmarkEnd w:id="222"/>
      <w:bookmarkEnd w:id="223"/>
      <w:bookmarkEnd w:id="224"/>
      <w:bookmarkEnd w:id="225"/>
      <w:bookmarkEnd w:id="226"/>
      <w:bookmarkEnd w:id="227"/>
      <w:bookmarkEnd w:id="228"/>
      <w:bookmarkEnd w:id="229"/>
    </w:p>
    <w:p w14:paraId="7BF0F8C1">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13.1要求对采购文件进行澄清和解答的响应单位，应在《响应单位须知前附表》第</w:t>
      </w:r>
      <w:r>
        <w:rPr>
          <w:rFonts w:hint="eastAsia"/>
          <w:color w:val="000000" w:themeColor="text1"/>
          <w:szCs w:val="21"/>
          <w:highlight w:val="none"/>
          <w14:textFill>
            <w14:solidFill>
              <w14:schemeClr w14:val="tx1"/>
            </w14:solidFill>
          </w14:textFill>
        </w:rPr>
        <w:t>6</w:t>
      </w:r>
      <w:r>
        <w:rPr>
          <w:color w:val="000000" w:themeColor="text1"/>
          <w:szCs w:val="21"/>
          <w:highlight w:val="none"/>
          <w14:textFill>
            <w14:solidFill>
              <w14:schemeClr w14:val="tx1"/>
            </w14:solidFill>
          </w14:textFill>
        </w:rPr>
        <w:t>项要求的截止时间之前，将要澄清和解答的问题以加盖公章的函件方式送达采购人</w:t>
      </w:r>
      <w:r>
        <w:rPr>
          <w:rFonts w:hint="eastAsia"/>
          <w:color w:val="000000" w:themeColor="text1"/>
          <w:szCs w:val="21"/>
          <w:highlight w:val="none"/>
          <w14:textFill>
            <w14:solidFill>
              <w14:schemeClr w14:val="tx1"/>
            </w14:solidFill>
          </w14:textFill>
        </w:rPr>
        <w:t>或电话联系</w:t>
      </w:r>
      <w:r>
        <w:rPr>
          <w:color w:val="000000" w:themeColor="text1"/>
          <w:szCs w:val="21"/>
          <w:highlight w:val="none"/>
          <w14:textFill>
            <w14:solidFill>
              <w14:schemeClr w14:val="tx1"/>
            </w14:solidFill>
          </w14:textFill>
        </w:rPr>
        <w:t>。</w:t>
      </w:r>
    </w:p>
    <w:p w14:paraId="6683F900">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230" w:name="_Toc53948345"/>
      <w:bookmarkStart w:id="231" w:name="_Toc53945790"/>
      <w:bookmarkStart w:id="232" w:name="_Toc53949187"/>
      <w:bookmarkStart w:id="233" w:name="_Toc53939589"/>
      <w:bookmarkStart w:id="234" w:name="_Toc54280374"/>
      <w:bookmarkStart w:id="235" w:name="_Toc54280800"/>
      <w:bookmarkStart w:id="236" w:name="_Toc53918816"/>
      <w:bookmarkStart w:id="237" w:name="_Toc53936525"/>
      <w:bookmarkStart w:id="238" w:name="_Toc53948766"/>
      <w:bookmarkStart w:id="239" w:name="_Toc54281226"/>
      <w:bookmarkStart w:id="240" w:name="_Toc54279948"/>
      <w:bookmarkStart w:id="241" w:name="_Toc145499746"/>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14.采购文件的修改</w:t>
      </w:r>
      <w:bookmarkEnd w:id="230"/>
      <w:bookmarkEnd w:id="231"/>
      <w:bookmarkEnd w:id="232"/>
      <w:bookmarkEnd w:id="233"/>
      <w:bookmarkEnd w:id="234"/>
      <w:bookmarkEnd w:id="235"/>
      <w:bookmarkEnd w:id="236"/>
      <w:bookmarkEnd w:id="237"/>
      <w:bookmarkEnd w:id="238"/>
      <w:bookmarkEnd w:id="239"/>
      <w:bookmarkEnd w:id="240"/>
      <w:bookmarkEnd w:id="241"/>
    </w:p>
    <w:p w14:paraId="6FF45CA0">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14.1采购人应在《响应单位须知前附表》第</w:t>
      </w:r>
      <w:r>
        <w:rPr>
          <w:rFonts w:hint="eastAsia"/>
          <w:color w:val="000000" w:themeColor="text1"/>
          <w:szCs w:val="21"/>
          <w:highlight w:val="none"/>
          <w14:textFill>
            <w14:solidFill>
              <w14:schemeClr w14:val="tx1"/>
            </w14:solidFill>
          </w14:textFill>
        </w:rPr>
        <w:t>7</w:t>
      </w:r>
      <w:r>
        <w:rPr>
          <w:color w:val="000000" w:themeColor="text1"/>
          <w:szCs w:val="21"/>
          <w:highlight w:val="none"/>
          <w14:textFill>
            <w14:solidFill>
              <w14:schemeClr w14:val="tx1"/>
            </w14:solidFill>
          </w14:textFill>
        </w:rPr>
        <w:t>项要求的截止时间之前，可因任何原因，对采购文件进行修改。这种修改可能是采购人主动做出的，也可能是为了解答响应单位要求澄清的问题而做出的。</w:t>
      </w:r>
    </w:p>
    <w:p w14:paraId="0C9247FC">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14.</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如果采购文件作了修改，采购人应在响应文件递交截止之日</w:t>
      </w: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天前，</w:t>
      </w:r>
      <w:r>
        <w:rPr>
          <w:rFonts w:hint="eastAsia"/>
          <w:color w:val="000000" w:themeColor="text1"/>
          <w:szCs w:val="21"/>
          <w:highlight w:val="none"/>
          <w14:textFill>
            <w14:solidFill>
              <w14:schemeClr w14:val="tx1"/>
            </w14:solidFill>
          </w14:textFill>
        </w:rPr>
        <w:t>以书面的</w:t>
      </w:r>
      <w:r>
        <w:rPr>
          <w:color w:val="000000" w:themeColor="text1"/>
          <w:szCs w:val="21"/>
          <w:highlight w:val="none"/>
          <w14:textFill>
            <w14:solidFill>
              <w14:schemeClr w14:val="tx1"/>
            </w14:solidFill>
          </w14:textFill>
        </w:rPr>
        <w:t>补充采购文件形式，送达所有已购买采购文件的响应单位。</w:t>
      </w:r>
    </w:p>
    <w:p w14:paraId="62E04AB6">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14.</w:t>
      </w: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响应单位有责任和义务对工程量清单进行校核，如发现错漏项或数量偏差应在</w:t>
      </w:r>
      <w:r>
        <w:rPr>
          <w:rFonts w:hint="eastAsia"/>
          <w:color w:val="000000" w:themeColor="text1"/>
          <w:szCs w:val="21"/>
          <w:highlight w:val="none"/>
          <w14:textFill>
            <w14:solidFill>
              <w14:schemeClr w14:val="tx1"/>
            </w14:solidFill>
          </w14:textFill>
        </w:rPr>
        <w:t>采购</w:t>
      </w:r>
      <w:r>
        <w:rPr>
          <w:color w:val="000000" w:themeColor="text1"/>
          <w:szCs w:val="21"/>
          <w:highlight w:val="none"/>
          <w14:textFill>
            <w14:solidFill>
              <w14:schemeClr w14:val="tx1"/>
            </w14:solidFill>
          </w14:textFill>
        </w:rPr>
        <w:t>阶段提出质疑，采购人确认后以补充采购文件的方式进行修正。</w:t>
      </w:r>
    </w:p>
    <w:p w14:paraId="519F22D9">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14.</w:t>
      </w: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如果采购人前后发放的补充采购文件内容不一致或相互抵触时，则以后发出的补充采购文件为准。</w:t>
      </w:r>
    </w:p>
    <w:p w14:paraId="6108CCE6">
      <w:pPr>
        <w:widowControl/>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14.5</w:t>
      </w:r>
      <w:r>
        <w:rPr>
          <w:color w:val="000000" w:themeColor="text1"/>
          <w:szCs w:val="21"/>
          <w:highlight w:val="none"/>
          <w14:textFill>
            <w14:solidFill>
              <w14:schemeClr w14:val="tx1"/>
            </w14:solidFill>
          </w14:textFill>
        </w:rPr>
        <w:t>响应单位在收到该补充采购文件后，应</w:t>
      </w:r>
      <w:r>
        <w:rPr>
          <w:rFonts w:hint="eastAsia"/>
          <w:color w:val="000000" w:themeColor="text1"/>
          <w:szCs w:val="21"/>
          <w:highlight w:val="none"/>
          <w14:textFill>
            <w14:solidFill>
              <w14:schemeClr w14:val="tx1"/>
            </w14:solidFill>
          </w14:textFill>
        </w:rPr>
        <w:t>当场签收或</w:t>
      </w:r>
      <w:r>
        <w:rPr>
          <w:color w:val="000000" w:themeColor="text1"/>
          <w:szCs w:val="21"/>
          <w:highlight w:val="none"/>
          <w14:textFill>
            <w14:solidFill>
              <w14:schemeClr w14:val="tx1"/>
            </w14:solidFill>
          </w14:textFill>
        </w:rPr>
        <w:t>立即以加盖公章的函件方式向采购人确认收悉。</w:t>
      </w:r>
    </w:p>
    <w:p w14:paraId="29A98D3D">
      <w:pPr>
        <w:pStyle w:val="3"/>
        <w:spacing w:before="240" w:beforeLines="100" w:after="120" w:afterLines="50" w:line="360" w:lineRule="auto"/>
        <w:jc w:val="center"/>
        <w:rPr>
          <w:rStyle w:val="46"/>
          <w:rFonts w:ascii="Times New Roman" w:hAnsi="Times New Roman" w:eastAsia="宋体"/>
          <w:b/>
          <w:bCs w:val="0"/>
          <w:color w:val="000000" w:themeColor="text1"/>
          <w:sz w:val="28"/>
          <w:szCs w:val="28"/>
          <w:highlight w:val="none"/>
          <w14:textFill>
            <w14:solidFill>
              <w14:schemeClr w14:val="tx1"/>
            </w14:solidFill>
          </w14:textFill>
        </w:rPr>
      </w:pPr>
      <w:bookmarkStart w:id="242" w:name="_Toc53948346"/>
      <w:bookmarkStart w:id="243" w:name="_Toc53939590"/>
      <w:bookmarkStart w:id="244" w:name="_Toc54280801"/>
      <w:bookmarkStart w:id="245" w:name="_Toc53948767"/>
      <w:bookmarkStart w:id="246" w:name="_Toc53949188"/>
      <w:bookmarkStart w:id="247" w:name="_Toc54281227"/>
      <w:bookmarkStart w:id="248" w:name="_Toc54280375"/>
      <w:bookmarkStart w:id="249" w:name="_Toc284135590"/>
      <w:bookmarkStart w:id="250" w:name="_Toc53945791"/>
      <w:bookmarkStart w:id="251" w:name="_Toc53936526"/>
      <w:bookmarkStart w:id="252" w:name="_Toc145499747"/>
      <w:bookmarkStart w:id="253" w:name="_Toc54279949"/>
      <w:bookmarkStart w:id="254" w:name="_Toc53918817"/>
      <w:r>
        <w:rPr>
          <w:rStyle w:val="46"/>
          <w:rFonts w:ascii="Times New Roman" w:hAnsi="宋体" w:eastAsia="宋体"/>
          <w:b/>
          <w:bCs w:val="0"/>
          <w:color w:val="000000" w:themeColor="text1"/>
          <w:sz w:val="28"/>
          <w:szCs w:val="28"/>
          <w:highlight w:val="none"/>
          <w14:textFill>
            <w14:solidFill>
              <w14:schemeClr w14:val="tx1"/>
            </w14:solidFill>
          </w14:textFill>
        </w:rPr>
        <w:t>第三章</w:t>
      </w:r>
      <w:r>
        <w:rPr>
          <w:rStyle w:val="46"/>
          <w:rFonts w:ascii="Times New Roman" w:hAnsi="Times New Roman" w:eastAsia="宋体"/>
          <w:b/>
          <w:bCs w:val="0"/>
          <w:color w:val="000000" w:themeColor="text1"/>
          <w:sz w:val="28"/>
          <w:szCs w:val="28"/>
          <w:highlight w:val="none"/>
          <w14:textFill>
            <w14:solidFill>
              <w14:schemeClr w14:val="tx1"/>
            </w14:solidFill>
          </w14:textFill>
        </w:rPr>
        <w:t xml:space="preserve">  </w:t>
      </w:r>
      <w:r>
        <w:rPr>
          <w:rStyle w:val="46"/>
          <w:rFonts w:ascii="Times New Roman" w:hAnsi="宋体" w:eastAsia="宋体"/>
          <w:b/>
          <w:bCs w:val="0"/>
          <w:color w:val="000000" w:themeColor="text1"/>
          <w:sz w:val="28"/>
          <w:szCs w:val="28"/>
          <w:highlight w:val="none"/>
          <w14:textFill>
            <w14:solidFill>
              <w14:schemeClr w14:val="tx1"/>
            </w14:solidFill>
          </w14:textFill>
        </w:rPr>
        <w:t>响应文件</w:t>
      </w:r>
      <w:bookmarkEnd w:id="242"/>
      <w:bookmarkEnd w:id="243"/>
      <w:bookmarkEnd w:id="244"/>
      <w:bookmarkEnd w:id="245"/>
      <w:bookmarkEnd w:id="246"/>
      <w:bookmarkEnd w:id="247"/>
      <w:bookmarkEnd w:id="248"/>
      <w:bookmarkEnd w:id="249"/>
      <w:bookmarkEnd w:id="250"/>
      <w:bookmarkEnd w:id="251"/>
      <w:bookmarkEnd w:id="252"/>
      <w:bookmarkEnd w:id="253"/>
      <w:bookmarkEnd w:id="254"/>
    </w:p>
    <w:p w14:paraId="689C3666">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255" w:name="_Toc54279950"/>
      <w:bookmarkStart w:id="256" w:name="_Toc54280376"/>
      <w:bookmarkStart w:id="257" w:name="_Toc53918818"/>
      <w:bookmarkStart w:id="258" w:name="_Toc53936527"/>
      <w:bookmarkStart w:id="259" w:name="_Toc54280802"/>
      <w:bookmarkStart w:id="260" w:name="_Toc53945792"/>
      <w:bookmarkStart w:id="261" w:name="_Toc54281228"/>
      <w:bookmarkStart w:id="262" w:name="_Toc53939591"/>
      <w:bookmarkStart w:id="263" w:name="_Toc53949189"/>
      <w:bookmarkStart w:id="264" w:name="_Toc53948347"/>
      <w:bookmarkStart w:id="265" w:name="_Toc53948768"/>
      <w:bookmarkStart w:id="266" w:name="_Toc145499748"/>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15.响应文件的组成</w:t>
      </w:r>
      <w:bookmarkEnd w:id="255"/>
      <w:bookmarkEnd w:id="256"/>
      <w:bookmarkEnd w:id="257"/>
      <w:bookmarkEnd w:id="258"/>
      <w:bookmarkEnd w:id="259"/>
      <w:bookmarkEnd w:id="260"/>
      <w:bookmarkEnd w:id="261"/>
      <w:bookmarkEnd w:id="262"/>
      <w:bookmarkEnd w:id="263"/>
      <w:bookmarkEnd w:id="264"/>
      <w:bookmarkEnd w:id="265"/>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及格式</w:t>
      </w:r>
      <w:bookmarkEnd w:id="266"/>
    </w:p>
    <w:p w14:paraId="4BDFCDB5">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15.1响应文件由第一</w:t>
      </w:r>
      <w:r>
        <w:rPr>
          <w:rFonts w:hint="eastAsia"/>
          <w:color w:val="000000" w:themeColor="text1"/>
          <w:szCs w:val="21"/>
          <w:highlight w:val="none"/>
          <w14:textFill>
            <w14:solidFill>
              <w14:schemeClr w14:val="tx1"/>
            </w14:solidFill>
          </w14:textFill>
        </w:rPr>
        <w:t>部分</w:t>
      </w:r>
      <w:r>
        <w:rPr>
          <w:color w:val="000000" w:themeColor="text1"/>
          <w:szCs w:val="21"/>
          <w:highlight w:val="none"/>
          <w14:textFill>
            <w14:solidFill>
              <w14:schemeClr w14:val="tx1"/>
            </w14:solidFill>
          </w14:textFill>
        </w:rPr>
        <w:t>《经济部分》、第二</w:t>
      </w:r>
      <w:r>
        <w:rPr>
          <w:rFonts w:hint="eastAsia"/>
          <w:color w:val="000000" w:themeColor="text1"/>
          <w:szCs w:val="21"/>
          <w:highlight w:val="none"/>
          <w14:textFill>
            <w14:solidFill>
              <w14:schemeClr w14:val="tx1"/>
            </w14:solidFill>
          </w14:textFill>
        </w:rPr>
        <w:t>部分</w:t>
      </w:r>
      <w:r>
        <w:rPr>
          <w:color w:val="000000" w:themeColor="text1"/>
          <w:szCs w:val="21"/>
          <w:highlight w:val="none"/>
          <w14:textFill>
            <w14:solidFill>
              <w14:schemeClr w14:val="tx1"/>
            </w14:solidFill>
          </w14:textFill>
        </w:rPr>
        <w:t>《技术部分》及第三</w:t>
      </w:r>
      <w:r>
        <w:rPr>
          <w:rFonts w:hint="eastAsia"/>
          <w:color w:val="000000" w:themeColor="text1"/>
          <w:szCs w:val="21"/>
          <w:highlight w:val="none"/>
          <w14:textFill>
            <w14:solidFill>
              <w14:schemeClr w14:val="tx1"/>
            </w14:solidFill>
          </w14:textFill>
        </w:rPr>
        <w:t>部</w:t>
      </w:r>
      <w:r>
        <w:rPr>
          <w:color w:val="000000" w:themeColor="text1"/>
          <w:szCs w:val="21"/>
          <w:highlight w:val="none"/>
          <w14:textFill>
            <w14:solidFill>
              <w14:schemeClr w14:val="tx1"/>
            </w14:solidFill>
          </w14:textFill>
        </w:rPr>
        <w:t>《商务部分》</w:t>
      </w:r>
      <w:r>
        <w:rPr>
          <w:rFonts w:hint="eastAsia"/>
          <w:color w:val="000000" w:themeColor="text1"/>
          <w:szCs w:val="21"/>
          <w:highlight w:val="none"/>
          <w14:textFill>
            <w14:solidFill>
              <w14:schemeClr w14:val="tx1"/>
            </w14:solidFill>
          </w14:textFill>
        </w:rPr>
        <w:t>分</w:t>
      </w:r>
      <w:r>
        <w:rPr>
          <w:color w:val="000000" w:themeColor="text1"/>
          <w:szCs w:val="21"/>
          <w:highlight w:val="none"/>
          <w14:textFill>
            <w14:solidFill>
              <w14:schemeClr w14:val="tx1"/>
            </w14:solidFill>
          </w14:textFill>
        </w:rPr>
        <w:t>三部分组成。</w:t>
      </w:r>
    </w:p>
    <w:p w14:paraId="63E36CBF">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15.2响应单位应毫无例外地使用采购文件中的规定格式编制响应文件</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表格可按同样格式扩展和复制</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；未有规定格式的，响应单位可自行编制。</w:t>
      </w:r>
    </w:p>
    <w:p w14:paraId="26CFCCFB">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5.</w:t>
      </w:r>
      <w:r>
        <w:rPr>
          <w:rFonts w:hint="eastAsia"/>
          <w:color w:val="000000" w:themeColor="text1"/>
          <w:szCs w:val="21"/>
          <w:highlight w:val="none"/>
          <w14:textFill>
            <w14:solidFill>
              <w14:schemeClr w14:val="tx1"/>
            </w14:solidFill>
          </w14:textFill>
        </w:rPr>
        <w:t>3</w:t>
      </w:r>
      <w:r>
        <w:rPr>
          <w:rFonts w:hAnsi="宋体"/>
          <w:color w:val="000000" w:themeColor="text1"/>
          <w:szCs w:val="21"/>
          <w:highlight w:val="none"/>
          <w14:textFill>
            <w14:solidFill>
              <w14:schemeClr w14:val="tx1"/>
            </w14:solidFill>
          </w14:textFill>
        </w:rPr>
        <w:t>第</w:t>
      </w:r>
      <w:r>
        <w:rPr>
          <w:rFonts w:hint="eastAsia" w:hAnsi="宋体"/>
          <w:color w:val="000000" w:themeColor="text1"/>
          <w:szCs w:val="21"/>
          <w:highlight w:val="none"/>
          <w14:textFill>
            <w14:solidFill>
              <w14:schemeClr w14:val="tx1"/>
            </w14:solidFill>
          </w14:textFill>
        </w:rPr>
        <w:t>一部分</w:t>
      </w:r>
      <w:r>
        <w:rPr>
          <w:rFonts w:hAnsi="宋体"/>
          <w:color w:val="000000" w:themeColor="text1"/>
          <w:szCs w:val="21"/>
          <w:highlight w:val="none"/>
          <w14:textFill>
            <w14:solidFill>
              <w14:schemeClr w14:val="tx1"/>
            </w14:solidFill>
          </w14:textFill>
        </w:rPr>
        <w:t>《经济部分》包括并不限于下列内容：</w:t>
      </w:r>
    </w:p>
    <w:p w14:paraId="0CF77AC0">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w:t>
      </w: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.1</w:t>
      </w:r>
      <w:r>
        <w:rPr>
          <w:rFonts w:hint="eastAsia" w:hAnsi="宋体"/>
          <w:color w:val="000000" w:themeColor="text1"/>
          <w:szCs w:val="21"/>
          <w:highlight w:val="none"/>
          <w14:textFill>
            <w14:solidFill>
              <w14:schemeClr w14:val="tx1"/>
            </w14:solidFill>
          </w14:textFill>
        </w:rPr>
        <w:t>响应</w:t>
      </w:r>
      <w:r>
        <w:rPr>
          <w:rFonts w:hAnsi="宋体"/>
          <w:color w:val="000000" w:themeColor="text1"/>
          <w:szCs w:val="21"/>
          <w:highlight w:val="none"/>
          <w14:textFill>
            <w14:solidFill>
              <w14:schemeClr w14:val="tx1"/>
            </w14:solidFill>
          </w14:textFill>
        </w:rPr>
        <w:t>函</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格式见第</w:t>
      </w:r>
      <w:r>
        <w:rPr>
          <w:rFonts w:hint="eastAsia" w:hAnsi="宋体"/>
          <w:color w:val="000000" w:themeColor="text1"/>
          <w:szCs w:val="21"/>
          <w:highlight w:val="none"/>
          <w14:textFill>
            <w14:solidFill>
              <w14:schemeClr w14:val="tx1"/>
            </w14:solidFill>
          </w14:textFill>
        </w:rPr>
        <w:t>六</w:t>
      </w:r>
      <w:r>
        <w:rPr>
          <w:rFonts w:hAnsi="宋体"/>
          <w:color w:val="000000" w:themeColor="text1"/>
          <w:szCs w:val="21"/>
          <w:highlight w:val="none"/>
          <w14:textFill>
            <w14:solidFill>
              <w14:schemeClr w14:val="tx1"/>
            </w14:solidFill>
          </w14:textFill>
        </w:rPr>
        <w:t>篇</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w:t>
      </w:r>
    </w:p>
    <w:p w14:paraId="0D2CC8C2">
      <w:pPr>
        <w:spacing w:line="360" w:lineRule="auto"/>
        <w:ind w:left="1035" w:leftChars="247" w:hanging="516" w:hangingChars="246"/>
        <w:rPr>
          <w:rFonts w:hint="eastAsia"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w:t>
      </w: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2</w:t>
      </w:r>
      <w:r>
        <w:rPr>
          <w:rFonts w:hAnsi="宋体"/>
          <w:color w:val="000000" w:themeColor="text1"/>
          <w:szCs w:val="21"/>
          <w:highlight w:val="none"/>
          <w14:textFill>
            <w14:solidFill>
              <w14:schemeClr w14:val="tx1"/>
            </w14:solidFill>
          </w14:textFill>
        </w:rPr>
        <w:t>法定代表人证明书或授权委托书</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格式见第</w:t>
      </w:r>
      <w:r>
        <w:rPr>
          <w:rFonts w:hint="eastAsia" w:hAnsi="宋体"/>
          <w:color w:val="000000" w:themeColor="text1"/>
          <w:szCs w:val="21"/>
          <w:highlight w:val="none"/>
          <w14:textFill>
            <w14:solidFill>
              <w14:schemeClr w14:val="tx1"/>
            </w14:solidFill>
          </w14:textFill>
        </w:rPr>
        <w:t>六</w:t>
      </w:r>
      <w:r>
        <w:rPr>
          <w:rFonts w:hAnsi="宋体"/>
          <w:color w:val="000000" w:themeColor="text1"/>
          <w:szCs w:val="21"/>
          <w:highlight w:val="none"/>
          <w14:textFill>
            <w14:solidFill>
              <w14:schemeClr w14:val="tx1"/>
            </w14:solidFill>
          </w14:textFill>
        </w:rPr>
        <w:t>篇</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w:t>
      </w:r>
    </w:p>
    <w:p w14:paraId="0A1E6603">
      <w:pPr>
        <w:spacing w:line="360" w:lineRule="auto"/>
        <w:ind w:left="1035" w:leftChars="247" w:hanging="516" w:hangingChars="246"/>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15.3.</w:t>
      </w:r>
      <w:r>
        <w:rPr>
          <w:color w:val="000000" w:themeColor="text1"/>
          <w:szCs w:val="21"/>
          <w:highlight w:val="none"/>
          <w14:textFill>
            <w14:solidFill>
              <w14:schemeClr w14:val="tx1"/>
            </w14:solidFill>
          </w14:textFill>
        </w:rPr>
        <w:t>3</w:t>
      </w:r>
      <w:r>
        <w:rPr>
          <w:rFonts w:hint="eastAsia"/>
          <w:color w:val="000000" w:themeColor="text1"/>
          <w:szCs w:val="21"/>
          <w:highlight w:val="none"/>
          <w14:textFill>
            <w14:solidFill>
              <w14:schemeClr w14:val="tx1"/>
            </w14:solidFill>
          </w14:textFill>
        </w:rPr>
        <w:t>响应担保；</w:t>
      </w:r>
    </w:p>
    <w:p w14:paraId="4B3C4905">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w:t>
      </w: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.4</w:t>
      </w:r>
      <w:r>
        <w:rPr>
          <w:rFonts w:hint="eastAsia"/>
          <w:color w:val="000000" w:themeColor="text1"/>
          <w:szCs w:val="21"/>
          <w:highlight w:val="none"/>
          <w14:textFill>
            <w14:solidFill>
              <w14:schemeClr w14:val="tx1"/>
            </w14:solidFill>
          </w14:textFill>
        </w:rPr>
        <w:t>总报价（</w:t>
      </w:r>
      <w:r>
        <w:rPr>
          <w:rFonts w:hAnsi="宋体"/>
          <w:color w:val="000000" w:themeColor="text1"/>
          <w:szCs w:val="21"/>
          <w:highlight w:val="none"/>
          <w14:textFill>
            <w14:solidFill>
              <w14:schemeClr w14:val="tx1"/>
            </w14:solidFill>
          </w14:textFill>
        </w:rPr>
        <w:t>格式见第</w:t>
      </w:r>
      <w:r>
        <w:rPr>
          <w:rFonts w:hint="eastAsia" w:hAnsi="宋体"/>
          <w:color w:val="000000" w:themeColor="text1"/>
          <w:szCs w:val="21"/>
          <w:highlight w:val="none"/>
          <w14:textFill>
            <w14:solidFill>
              <w14:schemeClr w14:val="tx1"/>
            </w14:solidFill>
          </w14:textFill>
        </w:rPr>
        <w:t>六</w:t>
      </w:r>
      <w:r>
        <w:rPr>
          <w:rFonts w:hAnsi="宋体"/>
          <w:color w:val="000000" w:themeColor="text1"/>
          <w:szCs w:val="21"/>
          <w:highlight w:val="none"/>
          <w14:textFill>
            <w14:solidFill>
              <w14:schemeClr w14:val="tx1"/>
            </w14:solidFill>
          </w14:textFill>
        </w:rPr>
        <w:t>篇</w:t>
      </w:r>
      <w:r>
        <w:rPr>
          <w:rFonts w:hint="eastAsia"/>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w:t>
      </w:r>
    </w:p>
    <w:p w14:paraId="62CA2D0A">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w:t>
      </w: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.5</w:t>
      </w:r>
      <w:r>
        <w:rPr>
          <w:rFonts w:hint="eastAsia"/>
          <w:color w:val="000000" w:themeColor="text1"/>
          <w:szCs w:val="21"/>
          <w:highlight w:val="none"/>
          <w14:textFill>
            <w14:solidFill>
              <w14:schemeClr w14:val="tx1"/>
            </w14:solidFill>
          </w14:textFill>
        </w:rPr>
        <w:t>工程量清单计价表（</w:t>
      </w:r>
      <w:r>
        <w:rPr>
          <w:rFonts w:hAnsi="宋体"/>
          <w:color w:val="000000" w:themeColor="text1"/>
          <w:szCs w:val="21"/>
          <w:highlight w:val="none"/>
          <w14:textFill>
            <w14:solidFill>
              <w14:schemeClr w14:val="tx1"/>
            </w14:solidFill>
          </w14:textFill>
        </w:rPr>
        <w:t>格式见第</w:t>
      </w:r>
      <w:r>
        <w:rPr>
          <w:rFonts w:hint="eastAsia" w:hAnsi="宋体"/>
          <w:color w:val="000000" w:themeColor="text1"/>
          <w:szCs w:val="21"/>
          <w:highlight w:val="none"/>
          <w14:textFill>
            <w14:solidFill>
              <w14:schemeClr w14:val="tx1"/>
            </w14:solidFill>
          </w14:textFill>
        </w:rPr>
        <w:t>六</w:t>
      </w:r>
      <w:r>
        <w:rPr>
          <w:rFonts w:hAnsi="宋体"/>
          <w:color w:val="000000" w:themeColor="text1"/>
          <w:szCs w:val="21"/>
          <w:highlight w:val="none"/>
          <w14:textFill>
            <w14:solidFill>
              <w14:schemeClr w14:val="tx1"/>
            </w14:solidFill>
          </w14:textFill>
        </w:rPr>
        <w:t>篇</w:t>
      </w:r>
      <w:r>
        <w:rPr>
          <w:rFonts w:hint="eastAsia"/>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w:t>
      </w:r>
    </w:p>
    <w:p w14:paraId="012ECBE0">
      <w:pPr>
        <w:spacing w:line="360" w:lineRule="auto"/>
        <w:ind w:left="1035" w:leftChars="247" w:hanging="516" w:hangingChars="246"/>
        <w:rPr>
          <w:rFonts w:hint="eastAsia"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w:t>
      </w: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.6</w:t>
      </w:r>
      <w:r>
        <w:rPr>
          <w:rFonts w:hint="eastAsia"/>
          <w:color w:val="000000" w:themeColor="text1"/>
          <w:szCs w:val="21"/>
          <w:highlight w:val="none"/>
          <w14:textFill>
            <w14:solidFill>
              <w14:schemeClr w14:val="tx1"/>
            </w14:solidFill>
          </w14:textFill>
        </w:rPr>
        <w:t>工程量清单综合单价分析表（</w:t>
      </w:r>
      <w:r>
        <w:rPr>
          <w:rFonts w:hAnsi="宋体"/>
          <w:color w:val="000000" w:themeColor="text1"/>
          <w:szCs w:val="21"/>
          <w:highlight w:val="none"/>
          <w14:textFill>
            <w14:solidFill>
              <w14:schemeClr w14:val="tx1"/>
            </w14:solidFill>
          </w14:textFill>
        </w:rPr>
        <w:t>格式见第</w:t>
      </w:r>
      <w:r>
        <w:rPr>
          <w:rFonts w:hint="eastAsia" w:hAnsi="宋体"/>
          <w:color w:val="000000" w:themeColor="text1"/>
          <w:szCs w:val="21"/>
          <w:highlight w:val="none"/>
          <w14:textFill>
            <w14:solidFill>
              <w14:schemeClr w14:val="tx1"/>
            </w14:solidFill>
          </w14:textFill>
        </w:rPr>
        <w:t>六</w:t>
      </w:r>
      <w:r>
        <w:rPr>
          <w:rFonts w:hAnsi="宋体"/>
          <w:color w:val="000000" w:themeColor="text1"/>
          <w:szCs w:val="21"/>
          <w:highlight w:val="none"/>
          <w14:textFill>
            <w14:solidFill>
              <w14:schemeClr w14:val="tx1"/>
            </w14:solidFill>
          </w14:textFill>
        </w:rPr>
        <w:t>篇</w:t>
      </w:r>
      <w:r>
        <w:rPr>
          <w:rFonts w:hint="eastAsia"/>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。（如需）</w:t>
      </w:r>
    </w:p>
    <w:p w14:paraId="7B5011C9">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w:t>
      </w: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第</w:t>
      </w:r>
      <w:r>
        <w:rPr>
          <w:rFonts w:hint="eastAsia"/>
          <w:color w:val="000000" w:themeColor="text1"/>
          <w:szCs w:val="21"/>
          <w:highlight w:val="none"/>
          <w14:textFill>
            <w14:solidFill>
              <w14:schemeClr w14:val="tx1"/>
            </w14:solidFill>
          </w14:textFill>
        </w:rPr>
        <w:t>二部分</w:t>
      </w:r>
      <w:r>
        <w:rPr>
          <w:color w:val="000000" w:themeColor="text1"/>
          <w:szCs w:val="21"/>
          <w:highlight w:val="none"/>
          <w14:textFill>
            <w14:solidFill>
              <w14:schemeClr w14:val="tx1"/>
            </w14:solidFill>
          </w14:textFill>
        </w:rPr>
        <w:t>《技术部分》即施工组织设计，包括并不限于下列内容：</w:t>
      </w:r>
    </w:p>
    <w:p w14:paraId="49C73BD0">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15.4.1</w:t>
      </w:r>
      <w:r>
        <w:rPr>
          <w:rFonts w:hAnsi="宋体"/>
          <w:color w:val="000000" w:themeColor="text1"/>
          <w:szCs w:val="21"/>
          <w:highlight w:val="none"/>
          <w14:textFill>
            <w14:solidFill>
              <w14:schemeClr w14:val="tx1"/>
            </w14:solidFill>
          </w14:textFill>
        </w:rPr>
        <w:t>主要施工方案；</w:t>
      </w:r>
    </w:p>
    <w:p w14:paraId="7B4E803D">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15.4.2</w:t>
      </w:r>
      <w:r>
        <w:rPr>
          <w:rFonts w:hAnsi="宋体"/>
          <w:color w:val="000000" w:themeColor="text1"/>
          <w:szCs w:val="21"/>
          <w:highlight w:val="none"/>
          <w14:textFill>
            <w14:solidFill>
              <w14:schemeClr w14:val="tx1"/>
            </w14:solidFill>
          </w14:textFill>
        </w:rPr>
        <w:t>进度计划及措施；</w:t>
      </w:r>
    </w:p>
    <w:p w14:paraId="0D9A90A9">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15.4.3</w:t>
      </w:r>
      <w:r>
        <w:rPr>
          <w:rFonts w:hAnsi="宋体"/>
          <w:color w:val="000000" w:themeColor="text1"/>
          <w:szCs w:val="21"/>
          <w:highlight w:val="none"/>
          <w14:textFill>
            <w14:solidFill>
              <w14:schemeClr w14:val="tx1"/>
            </w14:solidFill>
          </w14:textFill>
        </w:rPr>
        <w:t>质量保证及措施；</w:t>
      </w:r>
    </w:p>
    <w:p w14:paraId="7DAC5777">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15.4.4</w:t>
      </w:r>
      <w:r>
        <w:rPr>
          <w:rFonts w:hAnsi="宋体"/>
          <w:color w:val="000000" w:themeColor="text1"/>
          <w:szCs w:val="21"/>
          <w:highlight w:val="none"/>
          <w14:textFill>
            <w14:solidFill>
              <w14:schemeClr w14:val="tx1"/>
            </w14:solidFill>
          </w14:textFill>
        </w:rPr>
        <w:t>安全管理及措施；</w:t>
      </w:r>
    </w:p>
    <w:p w14:paraId="57A479A6">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15.4.5</w:t>
      </w:r>
      <w:r>
        <w:rPr>
          <w:rFonts w:hAnsi="宋体"/>
          <w:color w:val="000000" w:themeColor="text1"/>
          <w:szCs w:val="21"/>
          <w:highlight w:val="none"/>
          <w14:textFill>
            <w14:solidFill>
              <w14:schemeClr w14:val="tx1"/>
            </w14:solidFill>
          </w14:textFill>
        </w:rPr>
        <w:t>文明施工、环境保护及措施；</w:t>
      </w:r>
    </w:p>
    <w:p w14:paraId="5BDBB43D">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15.4.6</w:t>
      </w:r>
      <w:r>
        <w:rPr>
          <w:rFonts w:hAnsi="宋体"/>
          <w:color w:val="000000" w:themeColor="text1"/>
          <w:szCs w:val="21"/>
          <w:highlight w:val="none"/>
          <w14:textFill>
            <w14:solidFill>
              <w14:schemeClr w14:val="tx1"/>
            </w14:solidFill>
          </w14:textFill>
        </w:rPr>
        <w:t>消防、保卫、健康及措施；</w:t>
      </w:r>
    </w:p>
    <w:p w14:paraId="169E6752">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15.4.7</w:t>
      </w:r>
      <w:r>
        <w:rPr>
          <w:rFonts w:hAnsi="宋体"/>
          <w:color w:val="000000" w:themeColor="text1"/>
          <w:szCs w:val="21"/>
          <w:highlight w:val="none"/>
          <w14:textFill>
            <w14:solidFill>
              <w14:schemeClr w14:val="tx1"/>
            </w14:solidFill>
          </w14:textFill>
        </w:rPr>
        <w:t>机械设备配置及保障；</w:t>
      </w:r>
    </w:p>
    <w:p w14:paraId="55EE827D">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15.4.8</w:t>
      </w:r>
      <w:r>
        <w:rPr>
          <w:rFonts w:hAnsi="宋体"/>
          <w:color w:val="000000" w:themeColor="text1"/>
          <w:szCs w:val="21"/>
          <w:highlight w:val="none"/>
          <w14:textFill>
            <w14:solidFill>
              <w14:schemeClr w14:val="tx1"/>
            </w14:solidFill>
          </w14:textFill>
        </w:rPr>
        <w:t>劳动力、材料配置计划及保障；</w:t>
      </w:r>
    </w:p>
    <w:p w14:paraId="3A10DD1D">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w:t>
      </w:r>
      <w:r>
        <w:rPr>
          <w:rFonts w:hint="eastAsia"/>
          <w:color w:val="000000" w:themeColor="text1"/>
          <w:szCs w:val="21"/>
          <w:highlight w:val="none"/>
          <w14:textFill>
            <w14:solidFill>
              <w14:schemeClr w14:val="tx1"/>
            </w14:solidFill>
          </w14:textFill>
        </w:rPr>
        <w:t>9</w:t>
      </w:r>
      <w:r>
        <w:rPr>
          <w:rFonts w:hAnsi="宋体"/>
          <w:color w:val="000000" w:themeColor="text1"/>
          <w:szCs w:val="21"/>
          <w:highlight w:val="none"/>
          <w14:textFill>
            <w14:solidFill>
              <w14:schemeClr w14:val="tx1"/>
            </w14:solidFill>
          </w14:textFill>
        </w:rPr>
        <w:t>协调配合措施；</w:t>
      </w:r>
    </w:p>
    <w:p w14:paraId="33FF63FF">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15.4.1</w:t>
      </w:r>
      <w:r>
        <w:rPr>
          <w:rFonts w:hint="eastAsia"/>
          <w:color w:val="000000" w:themeColor="text1"/>
          <w:szCs w:val="21"/>
          <w:highlight w:val="none"/>
          <w14:textFill>
            <w14:solidFill>
              <w14:schemeClr w14:val="tx1"/>
            </w14:solidFill>
          </w14:textFill>
        </w:rPr>
        <w:t>0</w:t>
      </w:r>
      <w:r>
        <w:rPr>
          <w:rFonts w:hAnsi="宋体"/>
          <w:color w:val="000000" w:themeColor="text1"/>
          <w:szCs w:val="21"/>
          <w:highlight w:val="none"/>
          <w14:textFill>
            <w14:solidFill>
              <w14:schemeClr w14:val="tx1"/>
            </w14:solidFill>
          </w14:textFill>
        </w:rPr>
        <w:t>施工现场平面图；</w:t>
      </w:r>
      <w:r>
        <w:rPr>
          <w:rFonts w:hint="eastAsia" w:hAnsi="宋体"/>
          <w:color w:val="000000" w:themeColor="text1"/>
          <w:szCs w:val="21"/>
          <w:highlight w:val="none"/>
          <w14:textFill>
            <w14:solidFill>
              <w14:schemeClr w14:val="tx1"/>
            </w14:solidFill>
          </w14:textFill>
        </w:rPr>
        <w:t>（如需）</w:t>
      </w:r>
    </w:p>
    <w:p w14:paraId="67AC0BE5">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15.4.1</w:t>
      </w:r>
      <w:r>
        <w:rPr>
          <w:rFonts w:hint="eastAsia"/>
          <w:color w:val="000000" w:themeColor="text1"/>
          <w:szCs w:val="21"/>
          <w:highlight w:val="none"/>
          <w14:textFill>
            <w14:solidFill>
              <w14:schemeClr w14:val="tx1"/>
            </w14:solidFill>
          </w14:textFill>
        </w:rPr>
        <w:t>1</w:t>
      </w:r>
      <w:r>
        <w:rPr>
          <w:rFonts w:hAnsi="宋体"/>
          <w:color w:val="000000" w:themeColor="text1"/>
          <w:szCs w:val="21"/>
          <w:highlight w:val="none"/>
          <w14:textFill>
            <w14:solidFill>
              <w14:schemeClr w14:val="tx1"/>
            </w14:solidFill>
          </w14:textFill>
        </w:rPr>
        <w:t>现场组织机构框图及职责；</w:t>
      </w:r>
    </w:p>
    <w:p w14:paraId="4E513D5D">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15.4.1</w:t>
      </w:r>
      <w:r>
        <w:rPr>
          <w:rFonts w:hint="eastAsia"/>
          <w:color w:val="000000" w:themeColor="text1"/>
          <w:szCs w:val="21"/>
          <w:highlight w:val="none"/>
          <w14:textFill>
            <w14:solidFill>
              <w14:schemeClr w14:val="tx1"/>
            </w14:solidFill>
          </w14:textFill>
        </w:rPr>
        <w:t>2</w:t>
      </w:r>
      <w:r>
        <w:rPr>
          <w:rFonts w:ascii="Arial" w:hAnsi="Arial" w:cs="Arial"/>
          <w:color w:val="000000" w:themeColor="text1"/>
          <w:highlight w:val="none"/>
          <w14:textFill>
            <w14:solidFill>
              <w14:schemeClr w14:val="tx1"/>
            </w14:solidFill>
          </w14:textFill>
        </w:rPr>
        <w:t>冬季和雨季施工方案</w:t>
      </w:r>
      <w:r>
        <w:rPr>
          <w:rFonts w:hint="eastAsia" w:ascii="Arial" w:hAnsi="Arial" w:cs="Arial"/>
          <w:color w:val="000000" w:themeColor="text1"/>
          <w:highlight w:val="none"/>
          <w14:textFill>
            <w14:solidFill>
              <w14:schemeClr w14:val="tx1"/>
            </w14:solidFill>
          </w14:textFill>
        </w:rPr>
        <w:t>；</w:t>
      </w:r>
    </w:p>
    <w:p w14:paraId="1DABE537">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15.4.1</w:t>
      </w:r>
      <w:r>
        <w:rPr>
          <w:rFonts w:hint="eastAsia"/>
          <w:color w:val="000000" w:themeColor="text1"/>
          <w:szCs w:val="21"/>
          <w:highlight w:val="none"/>
          <w14:textFill>
            <w14:solidFill>
              <w14:schemeClr w14:val="tx1"/>
            </w14:solidFill>
          </w14:textFill>
        </w:rPr>
        <w:t>3</w:t>
      </w:r>
      <w:r>
        <w:rPr>
          <w:rFonts w:hint="eastAsia"/>
          <w:color w:val="000000" w:themeColor="text1"/>
          <w:kern w:val="0"/>
          <w:highlight w:val="none"/>
          <w14:textFill>
            <w14:solidFill>
              <w14:schemeClr w14:val="tx1"/>
            </w14:solidFill>
          </w14:textFill>
        </w:rPr>
        <w:t>方案或设计优化的合理化建议；</w:t>
      </w:r>
    </w:p>
    <w:p w14:paraId="66852CF2">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w:t>
      </w:r>
      <w:r>
        <w:rPr>
          <w:rFonts w:hint="eastAsia"/>
          <w:color w:val="000000" w:themeColor="text1"/>
          <w:szCs w:val="21"/>
          <w:highlight w:val="none"/>
          <w14:textFill>
            <w14:solidFill>
              <w14:schemeClr w14:val="tx1"/>
            </w14:solidFill>
          </w14:textFill>
        </w:rPr>
        <w:t>5</w:t>
      </w:r>
      <w:r>
        <w:rPr>
          <w:rFonts w:hAnsi="宋体"/>
          <w:color w:val="000000" w:themeColor="text1"/>
          <w:szCs w:val="21"/>
          <w:highlight w:val="none"/>
          <w14:textFill>
            <w14:solidFill>
              <w14:schemeClr w14:val="tx1"/>
            </w14:solidFill>
          </w14:textFill>
        </w:rPr>
        <w:t>第</w:t>
      </w:r>
      <w:r>
        <w:rPr>
          <w:rFonts w:hint="eastAsia" w:hAnsi="宋体"/>
          <w:color w:val="000000" w:themeColor="text1"/>
          <w:szCs w:val="21"/>
          <w:highlight w:val="none"/>
          <w14:textFill>
            <w14:solidFill>
              <w14:schemeClr w14:val="tx1"/>
            </w14:solidFill>
          </w14:textFill>
        </w:rPr>
        <w:t>三部分</w:t>
      </w:r>
      <w:r>
        <w:rPr>
          <w:rFonts w:hAnsi="宋体"/>
          <w:color w:val="000000" w:themeColor="text1"/>
          <w:szCs w:val="21"/>
          <w:highlight w:val="none"/>
          <w14:textFill>
            <w14:solidFill>
              <w14:schemeClr w14:val="tx1"/>
            </w14:solidFill>
          </w14:textFill>
        </w:rPr>
        <w:t>《商务部分》包括并不限于下列内容：</w:t>
      </w:r>
    </w:p>
    <w:p w14:paraId="1E1A2213">
      <w:pPr>
        <w:spacing w:line="360" w:lineRule="auto"/>
        <w:ind w:firstLine="525" w:firstLineChars="250"/>
        <w:rPr>
          <w:rFonts w:ascii="Arial" w:hAnsi="Arial"/>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15.5.1</w:t>
      </w:r>
      <w:r>
        <w:rPr>
          <w:rFonts w:hint="eastAsia" w:ascii="Arial" w:hAnsi="Arial"/>
          <w:color w:val="000000" w:themeColor="text1"/>
          <w:highlight w:val="none"/>
          <w14:textFill>
            <w14:solidFill>
              <w14:schemeClr w14:val="tx1"/>
            </w14:solidFill>
          </w14:textFill>
        </w:rPr>
        <w:t>企业营业执照复印件（加盖公章）；</w:t>
      </w:r>
    </w:p>
    <w:p w14:paraId="6B99E46D">
      <w:pPr>
        <w:spacing w:line="360" w:lineRule="auto"/>
        <w:ind w:firstLine="525" w:firstLineChars="250"/>
        <w:rPr>
          <w:rFonts w:ascii="Arial" w:hAnsi="Arial"/>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15.5.2</w:t>
      </w:r>
      <w:r>
        <w:rPr>
          <w:rFonts w:hint="eastAsia" w:ascii="Arial" w:hAnsi="Arial"/>
          <w:color w:val="000000" w:themeColor="text1"/>
          <w:highlight w:val="none"/>
          <w14:textFill>
            <w14:solidFill>
              <w14:schemeClr w14:val="tx1"/>
            </w14:solidFill>
          </w14:textFill>
        </w:rPr>
        <w:t>企业资质证书复印件（加盖公章）；</w:t>
      </w:r>
    </w:p>
    <w:p w14:paraId="09DD2C47">
      <w:pPr>
        <w:spacing w:line="360" w:lineRule="auto"/>
        <w:ind w:firstLine="525" w:firstLineChars="250"/>
        <w:rPr>
          <w:rFonts w:ascii="Arial" w:hAnsi="Arial"/>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15.5.3</w:t>
      </w:r>
      <w:r>
        <w:rPr>
          <w:rFonts w:hint="eastAsia" w:ascii="Arial" w:hAnsi="Arial"/>
          <w:color w:val="000000" w:themeColor="text1"/>
          <w:highlight w:val="none"/>
          <w14:textFill>
            <w14:solidFill>
              <w14:schemeClr w14:val="tx1"/>
            </w14:solidFill>
          </w14:textFill>
        </w:rPr>
        <w:t>安全生产许可证证书复印件（加盖公章）；</w:t>
      </w:r>
    </w:p>
    <w:p w14:paraId="04F84AE1">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w:t>
      </w:r>
      <w:r>
        <w:rPr>
          <w:rFonts w:hint="eastAsia"/>
          <w:color w:val="000000" w:themeColor="text1"/>
          <w:szCs w:val="21"/>
          <w:highlight w:val="none"/>
          <w14:textFill>
            <w14:solidFill>
              <w14:schemeClr w14:val="tx1"/>
            </w14:solidFill>
          </w14:textFill>
        </w:rPr>
        <w:t>5</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4</w:t>
      </w:r>
      <w:r>
        <w:rPr>
          <w:rFonts w:hAnsi="宋体"/>
          <w:color w:val="000000" w:themeColor="text1"/>
          <w:szCs w:val="21"/>
          <w:highlight w:val="none"/>
          <w14:textFill>
            <w14:solidFill>
              <w14:schemeClr w14:val="tx1"/>
            </w14:solidFill>
          </w14:textFill>
        </w:rPr>
        <w:t>拟投入本合同工程主要人员汇总表</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格式见第</w:t>
      </w:r>
      <w:r>
        <w:rPr>
          <w:rFonts w:hint="eastAsia" w:hAnsi="宋体"/>
          <w:color w:val="000000" w:themeColor="text1"/>
          <w:szCs w:val="21"/>
          <w:highlight w:val="none"/>
          <w14:textFill>
            <w14:solidFill>
              <w14:schemeClr w14:val="tx1"/>
            </w14:solidFill>
          </w14:textFill>
        </w:rPr>
        <w:t>六</w:t>
      </w:r>
      <w:r>
        <w:rPr>
          <w:rFonts w:hAnsi="宋体"/>
          <w:color w:val="000000" w:themeColor="text1"/>
          <w:szCs w:val="21"/>
          <w:highlight w:val="none"/>
          <w14:textFill>
            <w14:solidFill>
              <w14:schemeClr w14:val="tx1"/>
            </w14:solidFill>
          </w14:textFill>
        </w:rPr>
        <w:t>篇</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w:t>
      </w:r>
    </w:p>
    <w:p w14:paraId="445D5E39">
      <w:pPr>
        <w:spacing w:line="360" w:lineRule="auto"/>
        <w:ind w:left="1035" w:leftChars="247" w:hanging="516" w:hangingChars="246"/>
        <w:rPr>
          <w:rFonts w:hint="eastAsia"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w:t>
      </w:r>
      <w:r>
        <w:rPr>
          <w:rFonts w:hint="eastAsia"/>
          <w:color w:val="000000" w:themeColor="text1"/>
          <w:szCs w:val="21"/>
          <w:highlight w:val="none"/>
          <w14:textFill>
            <w14:solidFill>
              <w14:schemeClr w14:val="tx1"/>
            </w14:solidFill>
          </w14:textFill>
        </w:rPr>
        <w:t>5</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5</w:t>
      </w:r>
      <w:r>
        <w:rPr>
          <w:rFonts w:hAnsi="宋体"/>
          <w:color w:val="000000" w:themeColor="text1"/>
          <w:szCs w:val="21"/>
          <w:highlight w:val="none"/>
          <w14:textFill>
            <w14:solidFill>
              <w14:schemeClr w14:val="tx1"/>
            </w14:solidFill>
          </w14:textFill>
        </w:rPr>
        <w:t>拟投入本合同工程主要人员简历表</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格式见第</w:t>
      </w:r>
      <w:r>
        <w:rPr>
          <w:rFonts w:hint="eastAsia" w:hAnsi="宋体"/>
          <w:color w:val="000000" w:themeColor="text1"/>
          <w:szCs w:val="21"/>
          <w:highlight w:val="none"/>
          <w14:textFill>
            <w14:solidFill>
              <w14:schemeClr w14:val="tx1"/>
            </w14:solidFill>
          </w14:textFill>
        </w:rPr>
        <w:t>六</w:t>
      </w:r>
      <w:r>
        <w:rPr>
          <w:rFonts w:hAnsi="宋体"/>
          <w:color w:val="000000" w:themeColor="text1"/>
          <w:szCs w:val="21"/>
          <w:highlight w:val="none"/>
          <w14:textFill>
            <w14:solidFill>
              <w14:schemeClr w14:val="tx1"/>
            </w14:solidFill>
          </w14:textFill>
        </w:rPr>
        <w:t>篇</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w:t>
      </w:r>
    </w:p>
    <w:p w14:paraId="4CF48B4B">
      <w:pPr>
        <w:spacing w:line="360" w:lineRule="auto"/>
        <w:ind w:left="1035" w:leftChars="247" w:hanging="516" w:hangingChars="246"/>
        <w:rPr>
          <w:rFonts w:ascii="Arial" w:hAnsi="Arial"/>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15.5.6</w:t>
      </w:r>
      <w:r>
        <w:rPr>
          <w:rFonts w:hint="eastAsia" w:ascii="Arial" w:hAnsi="Arial"/>
          <w:color w:val="000000" w:themeColor="text1"/>
          <w:highlight w:val="none"/>
          <w14:textFill>
            <w14:solidFill>
              <w14:schemeClr w14:val="tx1"/>
            </w14:solidFill>
          </w14:textFill>
        </w:rPr>
        <w:t>拟派项目负责人相关证件复印件（加盖公章）；</w:t>
      </w:r>
    </w:p>
    <w:p w14:paraId="5C90AD3D">
      <w:pPr>
        <w:spacing w:line="360" w:lineRule="auto"/>
        <w:ind w:left="1035" w:leftChars="247" w:hanging="516" w:hangingChars="246"/>
        <w:rPr>
          <w:rFonts w:ascii="Arial" w:hAnsi="Arial"/>
          <w:color w:val="000000" w:themeColor="text1"/>
          <w:highlight w:val="none"/>
          <w14:textFill>
            <w14:solidFill>
              <w14:schemeClr w14:val="tx1"/>
            </w14:solidFill>
          </w14:textFill>
        </w:rPr>
      </w:pPr>
      <w:r>
        <w:rPr>
          <w:color w:val="000000" w:themeColor="text1"/>
          <w:szCs w:val="21"/>
          <w:highlight w:val="none"/>
          <w14:textFill>
            <w14:solidFill>
              <w14:schemeClr w14:val="tx1"/>
            </w14:solidFill>
          </w14:textFill>
        </w:rPr>
        <w:t>15.</w:t>
      </w:r>
      <w:r>
        <w:rPr>
          <w:rFonts w:hint="eastAsia"/>
          <w:color w:val="000000" w:themeColor="text1"/>
          <w:szCs w:val="21"/>
          <w:highlight w:val="none"/>
          <w14:textFill>
            <w14:solidFill>
              <w14:schemeClr w14:val="tx1"/>
            </w14:solidFill>
          </w14:textFill>
        </w:rPr>
        <w:t>5</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7</w:t>
      </w:r>
      <w:r>
        <w:rPr>
          <w:rFonts w:hAnsi="宋体"/>
          <w:color w:val="000000" w:themeColor="text1"/>
          <w:szCs w:val="21"/>
          <w:highlight w:val="none"/>
          <w14:textFill>
            <w14:solidFill>
              <w14:schemeClr w14:val="tx1"/>
            </w14:solidFill>
          </w14:textFill>
        </w:rPr>
        <w:t>拟投入本合同工程主要施工机械表</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格式见第</w:t>
      </w:r>
      <w:r>
        <w:rPr>
          <w:rFonts w:hint="eastAsia" w:hAnsi="宋体"/>
          <w:color w:val="000000" w:themeColor="text1"/>
          <w:szCs w:val="21"/>
          <w:highlight w:val="none"/>
          <w14:textFill>
            <w14:solidFill>
              <w14:schemeClr w14:val="tx1"/>
            </w14:solidFill>
          </w14:textFill>
        </w:rPr>
        <w:t>六</w:t>
      </w:r>
      <w:r>
        <w:rPr>
          <w:rFonts w:hAnsi="宋体"/>
          <w:color w:val="000000" w:themeColor="text1"/>
          <w:szCs w:val="21"/>
          <w:highlight w:val="none"/>
          <w14:textFill>
            <w14:solidFill>
              <w14:schemeClr w14:val="tx1"/>
            </w14:solidFill>
          </w14:textFill>
        </w:rPr>
        <w:t>篇</w:t>
      </w:r>
      <w:r>
        <w:rPr>
          <w:rFonts w:hint="eastAsia"/>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w:t>
      </w:r>
    </w:p>
    <w:p w14:paraId="3552D3B4">
      <w:pPr>
        <w:spacing w:line="360" w:lineRule="auto"/>
        <w:ind w:left="1035" w:leftChars="247" w:hanging="516" w:hangingChars="246"/>
        <w:rPr>
          <w:rFonts w:ascii="Arial" w:hAnsi="Arial"/>
          <w:color w:val="000000" w:themeColor="text1"/>
          <w:highlight w:val="none"/>
          <w14:textFill>
            <w14:solidFill>
              <w14:schemeClr w14:val="tx1"/>
            </w14:solidFill>
          </w14:textFill>
        </w:rPr>
      </w:pPr>
      <w:r>
        <w:rPr>
          <w:color w:val="000000" w:themeColor="text1"/>
          <w:szCs w:val="21"/>
          <w:highlight w:val="none"/>
          <w14:textFill>
            <w14:solidFill>
              <w14:schemeClr w14:val="tx1"/>
            </w14:solidFill>
          </w14:textFill>
        </w:rPr>
        <w:t>15.</w:t>
      </w:r>
      <w:r>
        <w:rPr>
          <w:rFonts w:hint="eastAsia"/>
          <w:color w:val="000000" w:themeColor="text1"/>
          <w:szCs w:val="21"/>
          <w:highlight w:val="none"/>
          <w14:textFill>
            <w14:solidFill>
              <w14:schemeClr w14:val="tx1"/>
            </w14:solidFill>
          </w14:textFill>
        </w:rPr>
        <w:t>5</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8</w:t>
      </w:r>
      <w:r>
        <w:rPr>
          <w:rFonts w:hAnsi="宋体"/>
          <w:color w:val="000000" w:themeColor="text1"/>
          <w:szCs w:val="21"/>
          <w:highlight w:val="none"/>
          <w14:textFill>
            <w14:solidFill>
              <w14:schemeClr w14:val="tx1"/>
            </w14:solidFill>
          </w14:textFill>
        </w:rPr>
        <w:t>近</w:t>
      </w:r>
      <w:r>
        <w:rPr>
          <w:color w:val="000000" w:themeColor="text1"/>
          <w:szCs w:val="21"/>
          <w:highlight w:val="none"/>
          <w14:textFill>
            <w14:solidFill>
              <w14:schemeClr w14:val="tx1"/>
            </w14:solidFill>
          </w14:textFill>
        </w:rPr>
        <w:t>5</w:t>
      </w:r>
      <w:r>
        <w:rPr>
          <w:rFonts w:hAnsi="宋体"/>
          <w:color w:val="000000" w:themeColor="text1"/>
          <w:szCs w:val="21"/>
          <w:highlight w:val="none"/>
          <w14:textFill>
            <w14:solidFill>
              <w14:schemeClr w14:val="tx1"/>
            </w14:solidFill>
          </w14:textFill>
        </w:rPr>
        <w:t>年</w:t>
      </w:r>
      <w:r>
        <w:rPr>
          <w:rFonts w:hint="eastAsia" w:hAnsi="宋体"/>
          <w:color w:val="000000" w:themeColor="text1"/>
          <w:szCs w:val="21"/>
          <w:highlight w:val="none"/>
          <w14:textFill>
            <w14:solidFill>
              <w14:schemeClr w14:val="tx1"/>
            </w14:solidFill>
          </w14:textFill>
        </w:rPr>
        <w:t>内</w:t>
      </w:r>
      <w:r>
        <w:rPr>
          <w:rFonts w:hAnsi="宋体"/>
          <w:color w:val="000000" w:themeColor="text1"/>
          <w:szCs w:val="21"/>
          <w:highlight w:val="none"/>
          <w14:textFill>
            <w14:solidFill>
              <w14:schemeClr w14:val="tx1"/>
            </w14:solidFill>
          </w14:textFill>
        </w:rPr>
        <w:t>类似工程情况一览表</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格式见第</w:t>
      </w:r>
      <w:r>
        <w:rPr>
          <w:rFonts w:hint="eastAsia" w:hAnsi="宋体"/>
          <w:color w:val="000000" w:themeColor="text1"/>
          <w:szCs w:val="21"/>
          <w:highlight w:val="none"/>
          <w14:textFill>
            <w14:solidFill>
              <w14:schemeClr w14:val="tx1"/>
            </w14:solidFill>
          </w14:textFill>
        </w:rPr>
        <w:t>六</w:t>
      </w:r>
      <w:r>
        <w:rPr>
          <w:rFonts w:hAnsi="宋体"/>
          <w:color w:val="000000" w:themeColor="text1"/>
          <w:szCs w:val="21"/>
          <w:highlight w:val="none"/>
          <w14:textFill>
            <w14:solidFill>
              <w14:schemeClr w14:val="tx1"/>
            </w14:solidFill>
          </w14:textFill>
        </w:rPr>
        <w:t>篇</w:t>
      </w:r>
      <w:r>
        <w:rPr>
          <w:rFonts w:hint="eastAsia"/>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w:t>
      </w:r>
      <w:r>
        <w:rPr>
          <w:rFonts w:hint="eastAsia" w:ascii="Arial" w:hAnsi="Arial"/>
          <w:color w:val="000000" w:themeColor="text1"/>
          <w:highlight w:val="none"/>
          <w14:textFill>
            <w14:solidFill>
              <w14:schemeClr w14:val="tx1"/>
            </w14:solidFill>
          </w14:textFill>
        </w:rPr>
        <w:t>上述业绩必须提供相应的证明文件，如合同主要章节等相关证明材料的复印件；</w:t>
      </w:r>
    </w:p>
    <w:p w14:paraId="4590725D">
      <w:pPr>
        <w:spacing w:line="360" w:lineRule="auto"/>
        <w:ind w:left="1035" w:leftChars="247" w:hanging="516" w:hangingChars="246"/>
        <w:rPr>
          <w:rFonts w:ascii="Arial" w:hAnsi="Arial"/>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15.5.9</w:t>
      </w:r>
      <w:r>
        <w:rPr>
          <w:rFonts w:hint="eastAsia" w:ascii="Arial" w:hAnsi="Arial"/>
          <w:bCs/>
          <w:color w:val="000000" w:themeColor="text1"/>
          <w:highlight w:val="none"/>
          <w14:textFill>
            <w14:solidFill>
              <w14:schemeClr w14:val="tx1"/>
            </w14:solidFill>
          </w14:textFill>
        </w:rPr>
        <w:t>响应单位的纳税资格的确认。</w:t>
      </w:r>
    </w:p>
    <w:p w14:paraId="518028AF">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267" w:name="_Toc145499749"/>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16.响应文件的形式和签署</w:t>
      </w:r>
      <w:bookmarkEnd w:id="267"/>
    </w:p>
    <w:p w14:paraId="3CA5A5AE">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16.1响应单位应按《响应单位须知前附表》第</w:t>
      </w:r>
      <w:r>
        <w:rPr>
          <w:rFonts w:hint="eastAsia"/>
          <w:color w:val="000000" w:themeColor="text1"/>
          <w:szCs w:val="21"/>
          <w:highlight w:val="none"/>
          <w14:textFill>
            <w14:solidFill>
              <w14:schemeClr w14:val="tx1"/>
            </w14:solidFill>
          </w14:textFill>
        </w:rPr>
        <w:t>8</w:t>
      </w:r>
      <w:r>
        <w:rPr>
          <w:color w:val="000000" w:themeColor="text1"/>
          <w:szCs w:val="21"/>
          <w:highlight w:val="none"/>
          <w14:textFill>
            <w14:solidFill>
              <w14:schemeClr w14:val="tx1"/>
            </w14:solidFill>
          </w14:textFill>
        </w:rPr>
        <w:t>项要求的形式和份数，编制和签署响应文件。</w:t>
      </w:r>
    </w:p>
    <w:p w14:paraId="39D1D176">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16.2</w:t>
      </w:r>
      <w:r>
        <w:rPr>
          <w:rFonts w:hAnsi="宋体"/>
          <w:color w:val="000000" w:themeColor="text1"/>
          <w:szCs w:val="21"/>
          <w:highlight w:val="none"/>
          <w14:textFill>
            <w14:solidFill>
              <w14:schemeClr w14:val="tx1"/>
            </w14:solidFill>
          </w14:textFill>
        </w:rPr>
        <w:t>响应文件封面的大小和形式见《响应单位须知前附表》第</w:t>
      </w:r>
      <w:r>
        <w:rPr>
          <w:rFonts w:hint="eastAsia"/>
          <w:color w:val="000000" w:themeColor="text1"/>
          <w:szCs w:val="21"/>
          <w:highlight w:val="none"/>
          <w14:textFill>
            <w14:solidFill>
              <w14:schemeClr w14:val="tx1"/>
            </w14:solidFill>
          </w14:textFill>
        </w:rPr>
        <w:t>9</w:t>
      </w:r>
      <w:r>
        <w:rPr>
          <w:rFonts w:hAnsi="宋体"/>
          <w:color w:val="000000" w:themeColor="text1"/>
          <w:szCs w:val="21"/>
          <w:highlight w:val="none"/>
          <w14:textFill>
            <w14:solidFill>
              <w14:schemeClr w14:val="tx1"/>
            </w14:solidFill>
          </w14:textFill>
        </w:rPr>
        <w:t>项的相应规定。</w:t>
      </w:r>
      <w:r>
        <w:rPr>
          <w:rFonts w:hint="eastAsia" w:hAnsi="宋体"/>
          <w:color w:val="000000" w:themeColor="text1"/>
          <w:szCs w:val="21"/>
          <w:highlight w:val="none"/>
          <w14:textFill>
            <w14:solidFill>
              <w14:schemeClr w14:val="tx1"/>
            </w14:solidFill>
          </w14:textFill>
        </w:rPr>
        <w:t>以最终提交采购响应流程所附响应文件扫描件版本为准</w:t>
      </w:r>
      <w:r>
        <w:rPr>
          <w:rFonts w:hAnsi="宋体"/>
          <w:color w:val="000000" w:themeColor="text1"/>
          <w:szCs w:val="21"/>
          <w:highlight w:val="none"/>
          <w14:textFill>
            <w14:solidFill>
              <w14:schemeClr w14:val="tx1"/>
            </w14:solidFill>
          </w14:textFill>
        </w:rPr>
        <w:t>。</w:t>
      </w:r>
    </w:p>
    <w:p w14:paraId="415D801F">
      <w:pPr>
        <w:spacing w:line="360" w:lineRule="auto"/>
        <w:ind w:left="516" w:leftChars="33" w:hanging="447" w:hangingChars="213"/>
        <w:rPr>
          <w:rFonts w:hint="eastAsia"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16.3</w:t>
      </w:r>
      <w:r>
        <w:rPr>
          <w:rFonts w:hAnsi="宋体"/>
          <w:color w:val="000000" w:themeColor="text1"/>
          <w:szCs w:val="21"/>
          <w:highlight w:val="none"/>
          <w14:textFill>
            <w14:solidFill>
              <w14:schemeClr w14:val="tx1"/>
            </w14:solidFill>
          </w14:textFill>
        </w:rPr>
        <w:t>由响应单位按相应规定在封面和文本中加盖公章和进行签字</w:t>
      </w:r>
      <w:r>
        <w:rPr>
          <w:rFonts w:hint="eastAsia" w:hAnsi="宋体"/>
          <w:color w:val="000000" w:themeColor="text1"/>
          <w:szCs w:val="21"/>
          <w:highlight w:val="none"/>
          <w14:textFill>
            <w14:solidFill>
              <w14:schemeClr w14:val="tx1"/>
            </w14:solidFill>
          </w14:textFill>
        </w:rPr>
        <w:t>。</w:t>
      </w:r>
    </w:p>
    <w:p w14:paraId="3B090073">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16.</w:t>
      </w:r>
      <w:r>
        <w:rPr>
          <w:rFonts w:hint="eastAsia"/>
          <w:color w:val="000000" w:themeColor="text1"/>
          <w:szCs w:val="21"/>
          <w:highlight w:val="none"/>
          <w14:textFill>
            <w14:solidFill>
              <w14:schemeClr w14:val="tx1"/>
            </w14:solidFill>
          </w14:textFill>
        </w:rPr>
        <w:t>4</w:t>
      </w:r>
      <w:r>
        <w:rPr>
          <w:rFonts w:hAnsi="宋体"/>
          <w:color w:val="000000" w:themeColor="text1"/>
          <w:szCs w:val="21"/>
          <w:highlight w:val="none"/>
          <w14:textFill>
            <w14:solidFill>
              <w14:schemeClr w14:val="tx1"/>
            </w14:solidFill>
          </w14:textFill>
        </w:rPr>
        <w:t>响应文件的文本内容均应打印或用不褪色的墨水填写，全套文件应无涂改、行间插字或删除等修改。除非修改是根据已发出的采购文件的指示进行的，或者是响应单位造成必须修改的错误；修改处应由法定代表人或授权代理人进行签字并加盖单位公章。</w:t>
      </w:r>
    </w:p>
    <w:p w14:paraId="636317CA">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268" w:name="_Toc99075232"/>
      <w:bookmarkStart w:id="269" w:name="_Toc54279951"/>
      <w:bookmarkStart w:id="270" w:name="_Toc53949190"/>
      <w:bookmarkStart w:id="271" w:name="_Toc53945793"/>
      <w:bookmarkStart w:id="272" w:name="_Toc53939592"/>
      <w:bookmarkStart w:id="273" w:name="_Toc99075811"/>
      <w:bookmarkStart w:id="274" w:name="_Toc99076132"/>
      <w:bookmarkStart w:id="275" w:name="_Toc53918819"/>
      <w:bookmarkStart w:id="276" w:name="_Toc99114418"/>
      <w:bookmarkStart w:id="277" w:name="_Toc99076421"/>
      <w:bookmarkStart w:id="278" w:name="_Toc53948769"/>
      <w:bookmarkStart w:id="279" w:name="_Toc53936528"/>
      <w:bookmarkStart w:id="280" w:name="_Toc53948348"/>
      <w:bookmarkStart w:id="281" w:name="_Toc54280377"/>
      <w:bookmarkStart w:id="282" w:name="_Toc99114783"/>
      <w:bookmarkStart w:id="283" w:name="_Toc98988350"/>
      <w:bookmarkStart w:id="284" w:name="_Toc54281229"/>
      <w:bookmarkStart w:id="285" w:name="_Toc54280803"/>
      <w:bookmarkStart w:id="286" w:name="_Toc101598024"/>
      <w:bookmarkStart w:id="287" w:name="_Toc100928643"/>
      <w:bookmarkStart w:id="288" w:name="_Toc145499750"/>
      <w:bookmarkStart w:id="289" w:name="_Toc100511812"/>
      <w:bookmarkStart w:id="290" w:name="_Toc101986479"/>
      <w:bookmarkStart w:id="291" w:name="_Toc101074626"/>
      <w:bookmarkStart w:id="292" w:name="_Toc100928421"/>
      <w:bookmarkStart w:id="293" w:name="_Toc101076023"/>
      <w:bookmarkStart w:id="294" w:name="_Toc101074408"/>
      <w:bookmarkStart w:id="295" w:name="_Toc100508605"/>
      <w:bookmarkStart w:id="296" w:name="_Toc101064260"/>
      <w:bookmarkStart w:id="297" w:name="_Toc100928199"/>
      <w:bookmarkStart w:id="298" w:name="_Toc101075778"/>
      <w:bookmarkStart w:id="299" w:name="_Toc53936530"/>
      <w:bookmarkStart w:id="300" w:name="_Toc53948771"/>
      <w:bookmarkStart w:id="301" w:name="_Toc54280805"/>
      <w:bookmarkStart w:id="302" w:name="_Toc54280379"/>
      <w:bookmarkStart w:id="303" w:name="_Toc54279953"/>
      <w:bookmarkStart w:id="304" w:name="_Toc54281231"/>
      <w:bookmarkStart w:id="305" w:name="_Toc53939594"/>
      <w:bookmarkStart w:id="306" w:name="_Toc53945795"/>
      <w:bookmarkStart w:id="307" w:name="_Toc53918821"/>
      <w:bookmarkStart w:id="308" w:name="_Toc53949192"/>
      <w:bookmarkStart w:id="309" w:name="_Toc53948350"/>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17.</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报价</w:t>
      </w:r>
      <w:bookmarkEnd w:id="286"/>
      <w:bookmarkEnd w:id="287"/>
      <w:bookmarkEnd w:id="288"/>
      <w:bookmarkEnd w:id="289"/>
      <w:bookmarkEnd w:id="290"/>
      <w:bookmarkEnd w:id="291"/>
      <w:bookmarkEnd w:id="292"/>
      <w:bookmarkEnd w:id="293"/>
      <w:bookmarkEnd w:id="294"/>
      <w:bookmarkEnd w:id="295"/>
      <w:bookmarkEnd w:id="296"/>
      <w:bookmarkEnd w:id="297"/>
      <w:bookmarkEnd w:id="298"/>
    </w:p>
    <w:p w14:paraId="6B947C51">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17.1</w:t>
      </w:r>
      <w:r>
        <w:rPr>
          <w:rFonts w:hint="eastAsia"/>
          <w:color w:val="000000" w:themeColor="text1"/>
          <w:szCs w:val="21"/>
          <w:highlight w:val="none"/>
          <w14:textFill>
            <w14:solidFill>
              <w14:schemeClr w14:val="tx1"/>
            </w14:solidFill>
          </w14:textFill>
        </w:rPr>
        <w:t>报价说明</w:t>
      </w:r>
    </w:p>
    <w:p w14:paraId="3A722AC2">
      <w:pPr>
        <w:spacing w:line="360" w:lineRule="auto"/>
        <w:ind w:left="1153" w:leftChars="247" w:hanging="634" w:hangingChars="302"/>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w:t>
      </w: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报价</w:t>
      </w:r>
      <w:r>
        <w:rPr>
          <w:color w:val="000000" w:themeColor="text1"/>
          <w:szCs w:val="21"/>
          <w:highlight w:val="none"/>
          <w14:textFill>
            <w14:solidFill>
              <w14:schemeClr w14:val="tx1"/>
            </w14:solidFill>
          </w14:textFill>
        </w:rPr>
        <w:t>为响应单位在其响应文件提出的各项支付金额的总和，应包括完成本采购工程的全部工作</w:t>
      </w:r>
      <w:r>
        <w:rPr>
          <w:rFonts w:hint="eastAsia"/>
          <w:color w:val="000000" w:themeColor="text1"/>
          <w:szCs w:val="21"/>
          <w:highlight w:val="none"/>
          <w14:textFill>
            <w14:solidFill>
              <w14:schemeClr w14:val="tx1"/>
            </w14:solidFill>
          </w14:textFill>
        </w:rPr>
        <w:t>并满足工期、质量要求的全部</w:t>
      </w:r>
      <w:r>
        <w:rPr>
          <w:color w:val="000000" w:themeColor="text1"/>
          <w:szCs w:val="21"/>
          <w:highlight w:val="none"/>
          <w14:textFill>
            <w14:solidFill>
              <w14:schemeClr w14:val="tx1"/>
            </w14:solidFill>
          </w14:textFill>
        </w:rPr>
        <w:t>费用和采购文件规定的全部暂估价。</w:t>
      </w:r>
    </w:p>
    <w:p w14:paraId="48DF2DB7">
      <w:pPr>
        <w:spacing w:line="360" w:lineRule="auto"/>
        <w:ind w:left="1153" w:leftChars="247" w:hanging="634" w:hangingChars="302"/>
        <w:rPr>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17.1.2</w:t>
      </w:r>
      <w:r>
        <w:rPr>
          <w:rFonts w:hAnsi="宋体"/>
          <w:color w:val="000000" w:themeColor="text1"/>
          <w:szCs w:val="21"/>
          <w:highlight w:val="none"/>
          <w14:textFill>
            <w14:solidFill>
              <w14:schemeClr w14:val="tx1"/>
            </w14:solidFill>
          </w14:textFill>
        </w:rPr>
        <w:t>本采购文件中工程量清单</w:t>
      </w:r>
      <w:r>
        <w:rPr>
          <w:rFonts w:hint="eastAsia" w:hAnsi="宋体"/>
          <w:color w:val="000000" w:themeColor="text1"/>
          <w:szCs w:val="21"/>
          <w:highlight w:val="none"/>
          <w14:textFill>
            <w14:solidFill>
              <w14:schemeClr w14:val="tx1"/>
            </w14:solidFill>
          </w14:textFill>
        </w:rPr>
        <w:t>依据现行国家、行业规范标准，按照图纸和工程情况</w:t>
      </w:r>
      <w:r>
        <w:rPr>
          <w:rFonts w:hAnsi="宋体"/>
          <w:color w:val="000000" w:themeColor="text1"/>
          <w:szCs w:val="21"/>
          <w:highlight w:val="none"/>
          <w14:textFill>
            <w14:solidFill>
              <w14:schemeClr w14:val="tx1"/>
            </w14:solidFill>
          </w14:textFill>
        </w:rPr>
        <w:t>进行编制。响应单位可参照企业定额或《</w:t>
      </w:r>
      <w:r>
        <w:rPr>
          <w:rFonts w:hint="eastAsia" w:hAnsi="宋体"/>
          <w:color w:val="000000" w:themeColor="text1"/>
          <w:szCs w:val="21"/>
          <w:highlight w:val="none"/>
          <w:lang w:val="en-US" w:eastAsia="zh-CN"/>
          <w14:textFill>
            <w14:solidFill>
              <w14:schemeClr w14:val="tx1"/>
            </w14:solidFill>
          </w14:textFill>
        </w:rPr>
        <w:t>2018工程预算</w:t>
      </w:r>
      <w:r>
        <w:rPr>
          <w:rFonts w:hAnsi="宋体"/>
          <w:color w:val="000000" w:themeColor="text1"/>
          <w:szCs w:val="21"/>
          <w:highlight w:val="none"/>
          <w14:textFill>
            <w14:solidFill>
              <w14:schemeClr w14:val="tx1"/>
            </w14:solidFill>
          </w14:textFill>
        </w:rPr>
        <w:t>定额》</w:t>
      </w:r>
      <w:r>
        <w:rPr>
          <w:rFonts w:hint="eastAsia" w:hAnsi="宋体"/>
          <w:color w:val="000000" w:themeColor="text1"/>
          <w:szCs w:val="21"/>
          <w:highlight w:val="none"/>
          <w:lang w:val="en-US" w:eastAsia="zh-CN"/>
          <w14:textFill>
            <w14:solidFill>
              <w14:schemeClr w14:val="tx1"/>
            </w14:solidFill>
          </w14:textFill>
        </w:rPr>
        <w:t>及广西相关规定</w:t>
      </w:r>
      <w:r>
        <w:rPr>
          <w:rFonts w:hAnsi="宋体"/>
          <w:color w:val="000000" w:themeColor="text1"/>
          <w:szCs w:val="21"/>
          <w:highlight w:val="none"/>
          <w14:textFill>
            <w14:solidFill>
              <w14:schemeClr w14:val="tx1"/>
            </w14:solidFill>
          </w14:textFill>
        </w:rPr>
        <w:t>，在充分考虑市场竞争因素的前提下进行</w:t>
      </w:r>
      <w:r>
        <w:rPr>
          <w:rFonts w:hint="eastAsia" w:hAnsi="宋体"/>
          <w:color w:val="000000" w:themeColor="text1"/>
          <w:szCs w:val="21"/>
          <w:highlight w:val="none"/>
          <w14:textFill>
            <w14:solidFill>
              <w14:schemeClr w14:val="tx1"/>
            </w14:solidFill>
          </w14:textFill>
        </w:rPr>
        <w:t>报</w:t>
      </w:r>
      <w:r>
        <w:rPr>
          <w:rFonts w:hAnsi="宋体"/>
          <w:color w:val="000000" w:themeColor="text1"/>
          <w:szCs w:val="21"/>
          <w:highlight w:val="none"/>
          <w14:textFill>
            <w14:solidFill>
              <w14:schemeClr w14:val="tx1"/>
            </w14:solidFill>
          </w14:textFill>
        </w:rPr>
        <w:t>价。</w:t>
      </w:r>
    </w:p>
    <w:p w14:paraId="34E9AC22">
      <w:pPr>
        <w:spacing w:line="360" w:lineRule="auto"/>
        <w:ind w:left="1153" w:leftChars="247" w:hanging="634" w:hangingChars="302"/>
        <w:rPr>
          <w:rFonts w:hint="eastAsia"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w:t>
      </w: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3</w:t>
      </w:r>
      <w:r>
        <w:rPr>
          <w:rFonts w:hAnsi="宋体"/>
          <w:color w:val="000000" w:themeColor="text1"/>
          <w:szCs w:val="21"/>
          <w:highlight w:val="none"/>
          <w14:textFill>
            <w14:solidFill>
              <w14:schemeClr w14:val="tx1"/>
            </w14:solidFill>
          </w14:textFill>
        </w:rPr>
        <w:t>采购人鼓励响应单位在保证不低于成本的基础上，就本工程各项工作的消耗量水平、工料机价格水平、各类费用标准、有关费率和响应单位应承担的风险做切合自身实力的竞争性考虑。响应单位可以根据各自对本工程的综合预测、自身实力及市场风险因素填报各个项目的单价，并按清单数量计算合价，列入报价之中。</w:t>
      </w:r>
    </w:p>
    <w:p w14:paraId="037D685A">
      <w:pPr>
        <w:spacing w:line="360" w:lineRule="auto"/>
        <w:ind w:left="1153" w:leftChars="247" w:hanging="634" w:hangingChars="302"/>
        <w:rPr>
          <w:rFonts w:hint="eastAsia"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w:t>
      </w: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 xml:space="preserve"> </w:t>
      </w:r>
      <w:r>
        <w:rPr>
          <w:rFonts w:hint="eastAsia" w:hAnsi="宋体"/>
          <w:color w:val="000000" w:themeColor="text1"/>
          <w:szCs w:val="21"/>
          <w:highlight w:val="none"/>
          <w14:textFill>
            <w14:solidFill>
              <w14:schemeClr w14:val="tx1"/>
            </w14:solidFill>
          </w14:textFill>
        </w:rPr>
        <w:t>响应单位应按照工程量清单所列项目及工程数量填报单价和合价，每一个项目应当只有唯一报价，任何有选择的报价将不予以接受。响应单位对列有数量的项目，如没有填报单价或合价，则其费用视为已经含在其他列有单价或合价的项目之中，在工程实施期间不再另行支付。</w:t>
      </w:r>
    </w:p>
    <w:p w14:paraId="7D18E98E">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报价</w:t>
      </w:r>
    </w:p>
    <w:p w14:paraId="3FC4FAE0">
      <w:pPr>
        <w:spacing w:line="360" w:lineRule="auto"/>
        <w:ind w:left="1153" w:leftChars="247" w:hanging="634" w:hangingChars="302"/>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报价按固定综合单价报价。</w:t>
      </w:r>
    </w:p>
    <w:p w14:paraId="02D93AD2">
      <w:pPr>
        <w:spacing w:line="360" w:lineRule="auto"/>
        <w:ind w:left="1153" w:leftChars="247" w:hanging="634" w:hangingChars="302"/>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.2工程量清单部分，响应单位不能增加、更改、拆分、合并或重组工程量清单中的项目及内容，应按照采购文件提供的工程数量进行报价。采购人提供的分部分项工程量清单如有漏项或错项，可</w:t>
      </w:r>
      <w:r>
        <w:rPr>
          <w:rFonts w:hint="eastAsia"/>
          <w:color w:val="000000" w:themeColor="text1"/>
          <w:szCs w:val="21"/>
          <w:highlight w:val="none"/>
          <w14:textFill>
            <w14:solidFill>
              <w14:schemeClr w14:val="tx1"/>
            </w14:solidFill>
          </w14:textFill>
        </w:rPr>
        <w:t>以书面形式或电话联系告知采购人，</w:t>
      </w:r>
      <w:r>
        <w:rPr>
          <w:color w:val="000000" w:themeColor="text1"/>
          <w:szCs w:val="21"/>
          <w:highlight w:val="none"/>
          <w14:textFill>
            <w14:solidFill>
              <w14:schemeClr w14:val="tx1"/>
            </w14:solidFill>
          </w14:textFill>
        </w:rPr>
        <w:t>经</w:t>
      </w:r>
      <w:r>
        <w:rPr>
          <w:rFonts w:hint="eastAsia"/>
          <w:color w:val="000000" w:themeColor="text1"/>
          <w:szCs w:val="21"/>
          <w:highlight w:val="none"/>
          <w14:textFill>
            <w14:solidFill>
              <w14:schemeClr w14:val="tx1"/>
            </w14:solidFill>
          </w14:textFill>
        </w:rPr>
        <w:t>采购人</w:t>
      </w:r>
      <w:r>
        <w:rPr>
          <w:color w:val="000000" w:themeColor="text1"/>
          <w:szCs w:val="21"/>
          <w:highlight w:val="none"/>
          <w14:textFill>
            <w14:solidFill>
              <w14:schemeClr w14:val="tx1"/>
            </w14:solidFill>
          </w14:textFill>
        </w:rPr>
        <w:t>确认后进行</w:t>
      </w:r>
      <w:r>
        <w:rPr>
          <w:rFonts w:hint="eastAsia"/>
          <w:color w:val="000000" w:themeColor="text1"/>
          <w:szCs w:val="21"/>
          <w:highlight w:val="none"/>
          <w14:textFill>
            <w14:solidFill>
              <w14:schemeClr w14:val="tx1"/>
            </w14:solidFill>
          </w14:textFill>
        </w:rPr>
        <w:t>调整</w:t>
      </w:r>
      <w:r>
        <w:rPr>
          <w:color w:val="000000" w:themeColor="text1"/>
          <w:szCs w:val="21"/>
          <w:highlight w:val="none"/>
          <w14:textFill>
            <w14:solidFill>
              <w14:schemeClr w14:val="tx1"/>
            </w14:solidFill>
          </w14:textFill>
        </w:rPr>
        <w:t>。响应单位对工程量清单中有数量而没有填入单价或合价的项目，其费用应视为已包括在工程量清单的其它单价或合价中，将不再予以调整。</w:t>
      </w:r>
      <w:r>
        <w:rPr>
          <w:rFonts w:hint="eastAsia"/>
          <w:color w:val="000000" w:themeColor="text1"/>
          <w:szCs w:val="21"/>
          <w:highlight w:val="none"/>
          <w14:textFill>
            <w14:solidFill>
              <w14:schemeClr w14:val="tx1"/>
            </w14:solidFill>
          </w14:textFill>
        </w:rPr>
        <w:t>工程量清单项目中所报单价除合同另有规定外，应包括了为实施和完成合同工程所需的劳务、材料、机械、措施、检测、质检、安装、缺陷修复、资料、保险、管理费、利润、规费、税金等费用、以及采购文件明示或暗示的所有责任、义务和合同约定的风险。</w:t>
      </w:r>
    </w:p>
    <w:p w14:paraId="62B23CCA">
      <w:pPr>
        <w:spacing w:line="360" w:lineRule="auto"/>
        <w:ind w:left="1153" w:leftChars="247" w:hanging="634" w:hangingChars="302"/>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响应单位</w:t>
      </w:r>
      <w:r>
        <w:rPr>
          <w:rFonts w:hint="eastAsia"/>
          <w:color w:val="000000" w:themeColor="text1"/>
          <w:szCs w:val="21"/>
          <w:highlight w:val="none"/>
          <w14:textFill>
            <w14:solidFill>
              <w14:schemeClr w14:val="tx1"/>
            </w14:solidFill>
          </w14:textFill>
        </w:rPr>
        <w:t>应充分考虑本工程特点及拟定的施工组织设计，计取相关</w:t>
      </w:r>
      <w:r>
        <w:rPr>
          <w:color w:val="000000" w:themeColor="text1"/>
          <w:szCs w:val="21"/>
          <w:highlight w:val="none"/>
          <w14:textFill>
            <w14:solidFill>
              <w14:schemeClr w14:val="tx1"/>
            </w14:solidFill>
          </w14:textFill>
        </w:rPr>
        <w:t>措施</w:t>
      </w:r>
      <w:r>
        <w:rPr>
          <w:rFonts w:hint="eastAsia"/>
          <w:color w:val="000000" w:themeColor="text1"/>
          <w:szCs w:val="21"/>
          <w:highlight w:val="none"/>
          <w14:textFill>
            <w14:solidFill>
              <w14:schemeClr w14:val="tx1"/>
            </w14:solidFill>
          </w14:textFill>
        </w:rPr>
        <w:t>费用（不含安全</w:t>
      </w:r>
      <w:r>
        <w:rPr>
          <w:color w:val="000000" w:themeColor="text1"/>
          <w:szCs w:val="21"/>
          <w:highlight w:val="none"/>
          <w14:textFill>
            <w14:solidFill>
              <w14:schemeClr w14:val="tx1"/>
            </w14:solidFill>
          </w14:textFill>
        </w:rPr>
        <w:t>防护、文明施工措施费</w:t>
      </w:r>
      <w:r>
        <w:rPr>
          <w:rFonts w:hint="eastAsia"/>
          <w:color w:val="000000" w:themeColor="text1"/>
          <w:szCs w:val="21"/>
          <w:highlight w:val="none"/>
          <w14:textFill>
            <w14:solidFill>
              <w14:schemeClr w14:val="tx1"/>
            </w14:solidFill>
          </w14:textFill>
        </w:rPr>
        <w:t>），并将该部分费用综合考虑到报价单价中，采购人对该部分费用不作单独列项，也不做任何调整。</w:t>
      </w:r>
    </w:p>
    <w:p w14:paraId="6AD2FB8E">
      <w:pPr>
        <w:spacing w:line="360" w:lineRule="auto"/>
        <w:ind w:left="1153" w:leftChars="247" w:hanging="634" w:hangingChars="302"/>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4采购文件如列有暂估价、计日工项目的，按采购清单要求计入总报价。</w:t>
      </w:r>
    </w:p>
    <w:p w14:paraId="3B097630">
      <w:pPr>
        <w:numPr>
          <w:ilvl w:val="0"/>
          <w:numId w:val="1"/>
        </w:numPr>
        <w:tabs>
          <w:tab w:val="left" w:pos="1890"/>
          <w:tab w:val="clear" w:pos="720"/>
        </w:tabs>
        <w:spacing w:line="360" w:lineRule="auto"/>
        <w:ind w:left="1890" w:hanging="840"/>
        <w:jc w:val="left"/>
        <w:rPr>
          <w:rFonts w:hint="eastAsia"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暂估价的材料和工程设备的暂估单价中不包括与之对应的规费和税金。响应单位在报价时应按照</w:t>
      </w:r>
      <w:r>
        <w:rPr>
          <w:rFonts w:hint="eastAsia" w:hAnsi="宋体"/>
          <w:color w:val="000000" w:themeColor="text1"/>
          <w:szCs w:val="21"/>
          <w:highlight w:val="none"/>
          <w14:textFill>
            <w14:solidFill>
              <w14:schemeClr w14:val="tx1"/>
            </w14:solidFill>
          </w14:textFill>
        </w:rPr>
        <w:t>采购文件清单</w:t>
      </w:r>
      <w:r>
        <w:rPr>
          <w:rFonts w:hAnsi="宋体"/>
          <w:color w:val="000000" w:themeColor="text1"/>
          <w:szCs w:val="21"/>
          <w:highlight w:val="none"/>
          <w14:textFill>
            <w14:solidFill>
              <w14:schemeClr w14:val="tx1"/>
            </w14:solidFill>
          </w14:textFill>
        </w:rPr>
        <w:t>中给定的暂估单价计入分部分项工程量清单综合单价中。</w:t>
      </w:r>
    </w:p>
    <w:p w14:paraId="7507F629">
      <w:pPr>
        <w:numPr>
          <w:ilvl w:val="0"/>
          <w:numId w:val="1"/>
        </w:numPr>
        <w:tabs>
          <w:tab w:val="left" w:pos="1890"/>
          <w:tab w:val="clear" w:pos="720"/>
        </w:tabs>
        <w:spacing w:line="360" w:lineRule="auto"/>
        <w:ind w:left="1890" w:hanging="840"/>
        <w:jc w:val="left"/>
        <w:rPr>
          <w:rFonts w:hint="eastAsia"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响应单位应按照</w:t>
      </w:r>
      <w:r>
        <w:rPr>
          <w:rFonts w:hint="eastAsia" w:hAnsi="宋体"/>
          <w:color w:val="000000" w:themeColor="text1"/>
          <w:szCs w:val="21"/>
          <w:highlight w:val="none"/>
          <w14:textFill>
            <w14:solidFill>
              <w14:schemeClr w14:val="tx1"/>
            </w14:solidFill>
          </w14:textFill>
        </w:rPr>
        <w:t>工程量清单</w:t>
      </w:r>
      <w:r>
        <w:rPr>
          <w:rFonts w:hAnsi="宋体"/>
          <w:color w:val="000000" w:themeColor="text1"/>
          <w:szCs w:val="21"/>
          <w:highlight w:val="none"/>
          <w14:textFill>
            <w14:solidFill>
              <w14:schemeClr w14:val="tx1"/>
            </w14:solidFill>
          </w14:textFill>
        </w:rPr>
        <w:t>中计日工的列项报出相应的综合单价，所报的计日工综合单价用于本合同下计日工项目的计价。</w:t>
      </w:r>
    </w:p>
    <w:p w14:paraId="4D7B8438">
      <w:pPr>
        <w:spacing w:line="360" w:lineRule="auto"/>
        <w:ind w:left="1140" w:leftChars="247" w:hanging="621" w:hangingChars="29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5如发生</w:t>
      </w:r>
      <w:r>
        <w:rPr>
          <w:color w:val="000000" w:themeColor="text1"/>
          <w:szCs w:val="21"/>
          <w:highlight w:val="none"/>
          <w14:textFill>
            <w14:solidFill>
              <w14:schemeClr w14:val="tx1"/>
            </w14:solidFill>
          </w14:textFill>
        </w:rPr>
        <w:t>甲供材料、</w:t>
      </w:r>
      <w:r>
        <w:rPr>
          <w:rFonts w:hint="eastAsia"/>
          <w:color w:val="000000" w:themeColor="text1"/>
          <w:szCs w:val="21"/>
          <w:highlight w:val="none"/>
          <w14:textFill>
            <w14:solidFill>
              <w14:schemeClr w14:val="tx1"/>
            </w14:solidFill>
          </w14:textFill>
        </w:rPr>
        <w:t>构件</w:t>
      </w:r>
      <w:r>
        <w:rPr>
          <w:color w:val="000000" w:themeColor="text1"/>
          <w:szCs w:val="21"/>
          <w:highlight w:val="none"/>
          <w14:textFill>
            <w14:solidFill>
              <w14:schemeClr w14:val="tx1"/>
            </w14:solidFill>
          </w14:textFill>
        </w:rPr>
        <w:t>的</w:t>
      </w:r>
      <w:r>
        <w:rPr>
          <w:rFonts w:hint="eastAsia"/>
          <w:color w:val="000000" w:themeColor="text1"/>
          <w:szCs w:val="21"/>
          <w:highlight w:val="none"/>
          <w14:textFill>
            <w14:solidFill>
              <w14:schemeClr w14:val="tx1"/>
            </w14:solidFill>
          </w14:textFill>
        </w:rPr>
        <w:t>情况，</w:t>
      </w:r>
      <w:r>
        <w:rPr>
          <w:color w:val="000000" w:themeColor="text1"/>
          <w:szCs w:val="21"/>
          <w:highlight w:val="none"/>
          <w14:textFill>
            <w14:solidFill>
              <w14:schemeClr w14:val="tx1"/>
            </w14:solidFill>
          </w14:textFill>
        </w:rPr>
        <w:t>甲供材料、</w:t>
      </w:r>
      <w:r>
        <w:rPr>
          <w:rFonts w:hint="eastAsia"/>
          <w:color w:val="000000" w:themeColor="text1"/>
          <w:szCs w:val="21"/>
          <w:highlight w:val="none"/>
          <w14:textFill>
            <w14:solidFill>
              <w14:schemeClr w14:val="tx1"/>
            </w14:solidFill>
          </w14:textFill>
        </w:rPr>
        <w:t>构件一般</w:t>
      </w:r>
      <w:r>
        <w:rPr>
          <w:color w:val="000000" w:themeColor="text1"/>
          <w:szCs w:val="21"/>
          <w:highlight w:val="none"/>
          <w14:textFill>
            <w14:solidFill>
              <w14:schemeClr w14:val="tx1"/>
            </w14:solidFill>
          </w14:textFill>
        </w:rPr>
        <w:t>为运抵施工现场落地，</w:t>
      </w:r>
      <w:r>
        <w:rPr>
          <w:rFonts w:hint="eastAsia"/>
          <w:color w:val="000000" w:themeColor="text1"/>
          <w:szCs w:val="21"/>
          <w:highlight w:val="none"/>
          <w14:textFill>
            <w14:solidFill>
              <w14:schemeClr w14:val="tx1"/>
            </w14:solidFill>
          </w14:textFill>
        </w:rPr>
        <w:t>响应单位应计取施工、安装、倒运、保管等所需的费用。使用时超出采购人本合同规定损耗量的，按合同相关规定承担相应费用。</w:t>
      </w:r>
    </w:p>
    <w:p w14:paraId="168C45F7">
      <w:pPr>
        <w:spacing w:line="360" w:lineRule="auto"/>
        <w:ind w:left="1153" w:leftChars="247" w:hanging="634" w:hangingChars="302"/>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6</w:t>
      </w:r>
      <w:r>
        <w:rPr>
          <w:color w:val="000000" w:themeColor="text1"/>
          <w:szCs w:val="21"/>
          <w:highlight w:val="none"/>
          <w14:textFill>
            <w14:solidFill>
              <w14:schemeClr w14:val="tx1"/>
            </w14:solidFill>
          </w14:textFill>
        </w:rPr>
        <w:t>响应单位应根据第</w:t>
      </w:r>
      <w:r>
        <w:rPr>
          <w:rFonts w:hint="eastAsia"/>
          <w:color w:val="000000" w:themeColor="text1"/>
          <w:szCs w:val="21"/>
          <w:highlight w:val="none"/>
          <w14:textFill>
            <w14:solidFill>
              <w14:schemeClr w14:val="tx1"/>
            </w14:solidFill>
          </w14:textFill>
        </w:rPr>
        <w:t>三</w:t>
      </w:r>
      <w:r>
        <w:rPr>
          <w:color w:val="000000" w:themeColor="text1"/>
          <w:szCs w:val="21"/>
          <w:highlight w:val="none"/>
          <w14:textFill>
            <w14:solidFill>
              <w14:schemeClr w14:val="tx1"/>
            </w14:solidFill>
          </w14:textFill>
        </w:rPr>
        <w:t>篇</w:t>
      </w:r>
      <w:r>
        <w:rPr>
          <w:rFonts w:hint="eastAsia"/>
          <w:color w:val="000000" w:themeColor="text1"/>
          <w:szCs w:val="21"/>
          <w:highlight w:val="none"/>
          <w14:textFill>
            <w14:solidFill>
              <w14:schemeClr w14:val="tx1"/>
            </w14:solidFill>
          </w14:textFill>
        </w:rPr>
        <w:t>分包合同条款</w:t>
      </w:r>
      <w:r>
        <w:rPr>
          <w:color w:val="000000" w:themeColor="text1"/>
          <w:szCs w:val="21"/>
          <w:highlight w:val="none"/>
          <w14:textFill>
            <w14:solidFill>
              <w14:schemeClr w14:val="tx1"/>
            </w14:solidFill>
          </w14:textFill>
        </w:rPr>
        <w:t>中关于安全防护、文明施工措施</w:t>
      </w:r>
      <w:r>
        <w:rPr>
          <w:rFonts w:hint="eastAsia"/>
          <w:color w:val="000000" w:themeColor="text1"/>
          <w:szCs w:val="21"/>
          <w:highlight w:val="none"/>
          <w14:textFill>
            <w14:solidFill>
              <w14:schemeClr w14:val="tx1"/>
            </w14:solidFill>
          </w14:textFill>
        </w:rPr>
        <w:t>的要求</w:t>
      </w:r>
      <w:r>
        <w:rPr>
          <w:color w:val="000000" w:themeColor="text1"/>
          <w:szCs w:val="21"/>
          <w:highlight w:val="none"/>
          <w14:textFill>
            <w14:solidFill>
              <w14:schemeClr w14:val="tx1"/>
            </w14:solidFill>
          </w14:textFill>
        </w:rPr>
        <w:t>，结合自身的技术装备、管理水平计取安全防护、文明施工措施费</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包括环境保护、文明施工、安全施工、临时设施</w:t>
      </w:r>
      <w:r>
        <w:rPr>
          <w:rFonts w:hint="eastAsia"/>
          <w:color w:val="000000" w:themeColor="text1"/>
          <w:szCs w:val="21"/>
          <w:highlight w:val="none"/>
          <w14:textFill>
            <w14:solidFill>
              <w14:schemeClr w14:val="tx1"/>
            </w14:solidFill>
          </w14:textFill>
        </w:rPr>
        <w:t>和施工围挡共五项</w:t>
      </w:r>
      <w:r>
        <w:rPr>
          <w:color w:val="000000" w:themeColor="text1"/>
          <w:szCs w:val="21"/>
          <w:highlight w:val="none"/>
          <w14:textFill>
            <w14:solidFill>
              <w14:schemeClr w14:val="tx1"/>
            </w14:solidFill>
          </w14:textFill>
        </w:rPr>
        <w:t>措施</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，并</w:t>
      </w:r>
      <w:r>
        <w:rPr>
          <w:rFonts w:hint="eastAsia"/>
          <w:color w:val="000000" w:themeColor="text1"/>
          <w:szCs w:val="21"/>
          <w:highlight w:val="none"/>
          <w14:textFill>
            <w14:solidFill>
              <w14:schemeClr w14:val="tx1"/>
            </w14:solidFill>
          </w14:textFill>
        </w:rPr>
        <w:t>将该部分费用采用固定合价形式单独列项，具体计量以安全部与合约部共同确定的方法为准。</w:t>
      </w:r>
    </w:p>
    <w:p w14:paraId="1E64E49B">
      <w:pPr>
        <w:spacing w:line="360" w:lineRule="auto"/>
        <w:ind w:left="1153" w:leftChars="247" w:hanging="634" w:hangingChars="302"/>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7安装工程中由采购人直接采购（供应）设备的，成交单位应当承担相应的配合、协调、管理、服务的责任和义务，并将与之对应的所有费用综合考虑在报价单价中，如负责安装时，按清单要求在相应报价单价中计取相应的安装、辅材等费用。</w:t>
      </w:r>
    </w:p>
    <w:p w14:paraId="1FA2D9EA">
      <w:pPr>
        <w:spacing w:line="360" w:lineRule="auto"/>
        <w:ind w:left="1153" w:leftChars="247" w:hanging="634" w:hangingChars="30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17.2.8</w:t>
      </w:r>
      <w:r>
        <w:rPr>
          <w:rFonts w:hAnsi="宋体"/>
          <w:bCs/>
          <w:color w:val="000000" w:themeColor="text1"/>
          <w:szCs w:val="21"/>
          <w:highlight w:val="none"/>
          <w14:textFill>
            <w14:solidFill>
              <w14:schemeClr w14:val="tx1"/>
            </w14:solidFill>
          </w14:textFill>
        </w:rPr>
        <w:t>规费应按国家的</w:t>
      </w:r>
      <w:r>
        <w:rPr>
          <w:rFonts w:hint="eastAsia" w:hAnsi="宋体"/>
          <w:bCs/>
          <w:color w:val="000000" w:themeColor="text1"/>
          <w:szCs w:val="21"/>
          <w:highlight w:val="none"/>
          <w14:textFill>
            <w14:solidFill>
              <w14:schemeClr w14:val="tx1"/>
            </w14:solidFill>
          </w14:textFill>
        </w:rPr>
        <w:t>相关</w:t>
      </w:r>
      <w:r>
        <w:rPr>
          <w:rFonts w:hAnsi="宋体"/>
          <w:bCs/>
          <w:color w:val="000000" w:themeColor="text1"/>
          <w:szCs w:val="21"/>
          <w:highlight w:val="none"/>
          <w14:textFill>
            <w14:solidFill>
              <w14:schemeClr w14:val="tx1"/>
            </w14:solidFill>
          </w14:textFill>
        </w:rPr>
        <w:t>规定计</w:t>
      </w:r>
      <w:r>
        <w:rPr>
          <w:rFonts w:hint="eastAsia" w:hAnsi="宋体"/>
          <w:bCs/>
          <w:color w:val="000000" w:themeColor="text1"/>
          <w:szCs w:val="21"/>
          <w:highlight w:val="none"/>
          <w14:textFill>
            <w14:solidFill>
              <w14:schemeClr w14:val="tx1"/>
            </w14:solidFill>
          </w14:textFill>
        </w:rPr>
        <w:t>取，</w:t>
      </w:r>
      <w:r>
        <w:rPr>
          <w:rFonts w:hint="eastAsia" w:hAnsi="宋体"/>
          <w:color w:val="000000" w:themeColor="text1"/>
          <w:szCs w:val="21"/>
          <w:highlight w:val="none"/>
          <w14:textFill>
            <w14:solidFill>
              <w14:schemeClr w14:val="tx1"/>
            </w14:solidFill>
          </w14:textFill>
        </w:rPr>
        <w:t>不</w:t>
      </w:r>
      <w:r>
        <w:rPr>
          <w:rFonts w:hAnsi="宋体"/>
          <w:color w:val="000000" w:themeColor="text1"/>
          <w:szCs w:val="21"/>
          <w:highlight w:val="none"/>
          <w14:textFill>
            <w14:solidFill>
              <w14:schemeClr w14:val="tx1"/>
            </w14:solidFill>
          </w14:textFill>
        </w:rPr>
        <w:t>单独列项</w:t>
      </w:r>
      <w:r>
        <w:rPr>
          <w:rFonts w:hint="eastAsia" w:hAnsi="宋体"/>
          <w:color w:val="000000" w:themeColor="text1"/>
          <w:szCs w:val="21"/>
          <w:highlight w:val="none"/>
          <w14:textFill>
            <w14:solidFill>
              <w14:schemeClr w14:val="tx1"/>
            </w14:solidFill>
          </w14:textFill>
        </w:rPr>
        <w:t>，综合考虑到报价单价中</w:t>
      </w:r>
      <w:r>
        <w:rPr>
          <w:rFonts w:hAnsi="宋体"/>
          <w:bCs/>
          <w:color w:val="000000" w:themeColor="text1"/>
          <w:szCs w:val="21"/>
          <w:highlight w:val="none"/>
          <w14:textFill>
            <w14:solidFill>
              <w14:schemeClr w14:val="tx1"/>
            </w14:solidFill>
          </w14:textFill>
        </w:rPr>
        <w:t>。</w:t>
      </w:r>
    </w:p>
    <w:p w14:paraId="458EA40C">
      <w:pPr>
        <w:spacing w:line="360" w:lineRule="auto"/>
        <w:ind w:left="1153" w:leftChars="247" w:hanging="634" w:hangingChars="302"/>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17.2.</w:t>
      </w:r>
      <w:r>
        <w:rPr>
          <w:rFonts w:hint="eastAsia"/>
          <w:color w:val="000000" w:themeColor="text1"/>
          <w:szCs w:val="21"/>
          <w:highlight w:val="none"/>
          <w14:textFill>
            <w14:solidFill>
              <w14:schemeClr w14:val="tx1"/>
            </w14:solidFill>
          </w14:textFill>
        </w:rPr>
        <w:t>9响应单位应根据项目所在地  相关文件规定、现行标准和合同文件关于农民工工伤保险的约定，计取农民工工伤保险费用。农民工工伤保险费用不单独列项，</w:t>
      </w:r>
      <w:r>
        <w:rPr>
          <w:rFonts w:hint="eastAsia" w:hAnsi="宋体"/>
          <w:color w:val="000000" w:themeColor="text1"/>
          <w:szCs w:val="21"/>
          <w:highlight w:val="none"/>
          <w14:textFill>
            <w14:solidFill>
              <w14:schemeClr w14:val="tx1"/>
            </w14:solidFill>
          </w14:textFill>
        </w:rPr>
        <w:t>综合考虑到报价单价中</w:t>
      </w:r>
      <w:r>
        <w:rPr>
          <w:rFonts w:hint="eastAsia"/>
          <w:color w:val="000000" w:themeColor="text1"/>
          <w:szCs w:val="21"/>
          <w:highlight w:val="none"/>
          <w14:textFill>
            <w14:solidFill>
              <w14:schemeClr w14:val="tx1"/>
            </w14:solidFill>
          </w14:textFill>
        </w:rPr>
        <w:t>。</w:t>
      </w:r>
    </w:p>
    <w:p w14:paraId="0C38497D">
      <w:pPr>
        <w:spacing w:line="360" w:lineRule="auto"/>
        <w:ind w:left="1153" w:leftChars="247" w:hanging="634" w:hangingChars="30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17.2.10</w:t>
      </w:r>
      <w:r>
        <w:rPr>
          <w:rFonts w:hAnsi="宋体"/>
          <w:bCs/>
          <w:color w:val="000000" w:themeColor="text1"/>
          <w:szCs w:val="21"/>
          <w:highlight w:val="none"/>
          <w14:textFill>
            <w14:solidFill>
              <w14:schemeClr w14:val="tx1"/>
            </w14:solidFill>
          </w14:textFill>
        </w:rPr>
        <w:t>税金应按国家的</w:t>
      </w:r>
      <w:r>
        <w:rPr>
          <w:rFonts w:hint="eastAsia" w:hAnsi="宋体"/>
          <w:bCs/>
          <w:color w:val="000000" w:themeColor="text1"/>
          <w:szCs w:val="21"/>
          <w:highlight w:val="none"/>
          <w14:textFill>
            <w14:solidFill>
              <w14:schemeClr w14:val="tx1"/>
            </w14:solidFill>
          </w14:textFill>
        </w:rPr>
        <w:t>相关</w:t>
      </w:r>
      <w:r>
        <w:rPr>
          <w:rFonts w:hAnsi="宋体"/>
          <w:bCs/>
          <w:color w:val="000000" w:themeColor="text1"/>
          <w:szCs w:val="21"/>
          <w:highlight w:val="none"/>
          <w14:textFill>
            <w14:solidFill>
              <w14:schemeClr w14:val="tx1"/>
            </w14:solidFill>
          </w14:textFill>
        </w:rPr>
        <w:t>规定计</w:t>
      </w:r>
      <w:r>
        <w:rPr>
          <w:rFonts w:hint="eastAsia" w:hAnsi="宋体"/>
          <w:bCs/>
          <w:color w:val="000000" w:themeColor="text1"/>
          <w:szCs w:val="21"/>
          <w:highlight w:val="none"/>
          <w14:textFill>
            <w14:solidFill>
              <w14:schemeClr w14:val="tx1"/>
            </w14:solidFill>
          </w14:textFill>
        </w:rPr>
        <w:t>取，按照价税分离的形式</w:t>
      </w:r>
      <w:r>
        <w:rPr>
          <w:rFonts w:hAnsi="宋体"/>
          <w:color w:val="000000" w:themeColor="text1"/>
          <w:szCs w:val="21"/>
          <w:highlight w:val="none"/>
          <w14:textFill>
            <w14:solidFill>
              <w14:schemeClr w14:val="tx1"/>
            </w14:solidFill>
          </w14:textFill>
        </w:rPr>
        <w:t>单独列项</w:t>
      </w:r>
      <w:r>
        <w:rPr>
          <w:rFonts w:hint="eastAsia" w:hAnsi="宋体"/>
          <w:color w:val="000000" w:themeColor="text1"/>
          <w:szCs w:val="21"/>
          <w:highlight w:val="none"/>
          <w14:textFill>
            <w14:solidFill>
              <w14:schemeClr w14:val="tx1"/>
            </w14:solidFill>
          </w14:textFill>
        </w:rPr>
        <w:t>。</w:t>
      </w:r>
    </w:p>
    <w:p w14:paraId="6667EDD1">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310" w:name="_Toc145499751"/>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18</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w:t>
      </w:r>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响应</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有效期</w:t>
      </w:r>
      <w:bookmarkEnd w:id="299"/>
      <w:bookmarkEnd w:id="300"/>
      <w:bookmarkEnd w:id="301"/>
      <w:bookmarkEnd w:id="302"/>
      <w:bookmarkEnd w:id="303"/>
      <w:bookmarkEnd w:id="304"/>
      <w:bookmarkEnd w:id="305"/>
      <w:bookmarkEnd w:id="306"/>
      <w:bookmarkEnd w:id="307"/>
      <w:bookmarkEnd w:id="308"/>
      <w:bookmarkEnd w:id="309"/>
      <w:bookmarkEnd w:id="310"/>
    </w:p>
    <w:p w14:paraId="3C1B479D">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18</w:t>
      </w:r>
      <w:r>
        <w:rPr>
          <w:color w:val="000000" w:themeColor="text1"/>
          <w:szCs w:val="21"/>
          <w:highlight w:val="none"/>
          <w14:textFill>
            <w14:solidFill>
              <w14:schemeClr w14:val="tx1"/>
            </w14:solidFill>
          </w14:textFill>
        </w:rPr>
        <w:t>.1响应有效期见《响应单位须知前附表》中第1</w:t>
      </w:r>
      <w:r>
        <w:rPr>
          <w:rFonts w:hint="eastAsia"/>
          <w:color w:val="000000" w:themeColor="text1"/>
          <w:szCs w:val="21"/>
          <w:highlight w:val="none"/>
          <w14:textFill>
            <w14:solidFill>
              <w14:schemeClr w14:val="tx1"/>
            </w14:solidFill>
          </w14:textFill>
        </w:rPr>
        <w:t>0</w:t>
      </w:r>
      <w:r>
        <w:rPr>
          <w:color w:val="000000" w:themeColor="text1"/>
          <w:szCs w:val="21"/>
          <w:highlight w:val="none"/>
          <w14:textFill>
            <w14:solidFill>
              <w14:schemeClr w14:val="tx1"/>
            </w14:solidFill>
          </w14:textFill>
        </w:rPr>
        <w:t>项的要求。</w:t>
      </w:r>
    </w:p>
    <w:p w14:paraId="7D971FF5">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18</w:t>
      </w:r>
      <w:r>
        <w:rPr>
          <w:color w:val="000000" w:themeColor="text1"/>
          <w:szCs w:val="21"/>
          <w:highlight w:val="none"/>
          <w14:textFill>
            <w14:solidFill>
              <w14:schemeClr w14:val="tx1"/>
            </w14:solidFill>
          </w14:textFill>
        </w:rPr>
        <w:t>.2在原定响应有效期期满之前，如果出现特殊情况，采购人可以向响应单位提出延长其响应有效期的要求，这种要求和答复应以书面形式并加盖公章后进行。</w:t>
      </w:r>
    </w:p>
    <w:p w14:paraId="29B1F69D">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18</w:t>
      </w:r>
      <w:r>
        <w:rPr>
          <w:color w:val="000000" w:themeColor="text1"/>
          <w:szCs w:val="21"/>
          <w:highlight w:val="none"/>
          <w14:textFill>
            <w14:solidFill>
              <w14:schemeClr w14:val="tx1"/>
            </w14:solidFill>
          </w14:textFill>
        </w:rPr>
        <w:t>.3响应单位可以拒绝这种要求，放弃其</w:t>
      </w:r>
      <w:r>
        <w:rPr>
          <w:rFonts w:hint="eastAsia"/>
          <w:color w:val="000000" w:themeColor="text1"/>
          <w:szCs w:val="21"/>
          <w:highlight w:val="none"/>
          <w14:textFill>
            <w14:solidFill>
              <w14:schemeClr w14:val="tx1"/>
            </w14:solidFill>
          </w14:textFill>
        </w:rPr>
        <w:t>采购响应</w:t>
      </w:r>
      <w:r>
        <w:rPr>
          <w:color w:val="000000" w:themeColor="text1"/>
          <w:szCs w:val="21"/>
          <w:highlight w:val="none"/>
          <w14:textFill>
            <w14:solidFill>
              <w14:schemeClr w14:val="tx1"/>
            </w14:solidFill>
          </w14:textFill>
        </w:rPr>
        <w:t>权利，但不会因此被没收响应担保。同意延期的响应单位，不需要也不允许修改其响应文件。</w:t>
      </w:r>
    </w:p>
    <w:p w14:paraId="2B4E9B36">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311" w:name="_Toc54281232"/>
      <w:bookmarkStart w:id="312" w:name="_Toc53939595"/>
      <w:bookmarkStart w:id="313" w:name="_Toc53918822"/>
      <w:bookmarkStart w:id="314" w:name="_Toc53948351"/>
      <w:bookmarkStart w:id="315" w:name="_Toc54280380"/>
      <w:bookmarkStart w:id="316" w:name="_Toc54280806"/>
      <w:bookmarkStart w:id="317" w:name="_Toc53949193"/>
      <w:bookmarkStart w:id="318" w:name="_Toc54279954"/>
      <w:bookmarkStart w:id="319" w:name="_Toc145499752"/>
      <w:bookmarkStart w:id="320" w:name="_Toc53936531"/>
      <w:bookmarkStart w:id="321" w:name="_Toc53945796"/>
      <w:bookmarkStart w:id="322" w:name="_Toc53948772"/>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19.响应担保</w:t>
      </w:r>
      <w:bookmarkEnd w:id="311"/>
      <w:bookmarkEnd w:id="312"/>
      <w:bookmarkEnd w:id="313"/>
      <w:bookmarkEnd w:id="314"/>
      <w:bookmarkEnd w:id="315"/>
      <w:bookmarkEnd w:id="316"/>
      <w:bookmarkEnd w:id="317"/>
      <w:bookmarkEnd w:id="318"/>
      <w:bookmarkEnd w:id="319"/>
      <w:bookmarkEnd w:id="320"/>
      <w:bookmarkEnd w:id="321"/>
      <w:bookmarkEnd w:id="322"/>
    </w:p>
    <w:p w14:paraId="01A5269C">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19.1响应单位在送交响应文件时，应按《响应单位须知前附表》中第1</w:t>
      </w: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项</w:t>
      </w:r>
      <w:r>
        <w:rPr>
          <w:rFonts w:hint="eastAsia"/>
          <w:color w:val="000000" w:themeColor="text1"/>
          <w:szCs w:val="21"/>
          <w:highlight w:val="none"/>
          <w14:textFill>
            <w14:solidFill>
              <w14:schemeClr w14:val="tx1"/>
            </w14:solidFill>
          </w14:textFill>
        </w:rPr>
        <w:t>要求</w:t>
      </w:r>
      <w:r>
        <w:rPr>
          <w:color w:val="000000" w:themeColor="text1"/>
          <w:szCs w:val="21"/>
          <w:highlight w:val="none"/>
          <w14:textFill>
            <w14:solidFill>
              <w14:schemeClr w14:val="tx1"/>
            </w14:solidFill>
          </w14:textFill>
        </w:rPr>
        <w:t>提交响应担保，用于保护采购人免受因响应单位行为而蒙受的损失。</w:t>
      </w:r>
    </w:p>
    <w:p w14:paraId="37C6E6CB">
      <w:pPr>
        <w:spacing w:line="360" w:lineRule="auto"/>
        <w:ind w:firstLine="105" w:firstLineChars="50"/>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19.2</w:t>
      </w:r>
      <w:r>
        <w:rPr>
          <w:rFonts w:hint="eastAsia"/>
          <w:b/>
          <w:bCs/>
          <w:color w:val="000000" w:themeColor="text1"/>
          <w:szCs w:val="21"/>
          <w:highlight w:val="none"/>
          <w:u w:val="single"/>
          <w14:textFill>
            <w14:solidFill>
              <w14:schemeClr w14:val="tx1"/>
            </w14:solidFill>
          </w14:textFill>
        </w:rPr>
        <w:t>响应单位未按采购文件要求提交足额有效的响应担保，其响应文件将被拒绝，作废标处理。</w:t>
      </w:r>
    </w:p>
    <w:p w14:paraId="6490D575">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19.</w:t>
      </w: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响应担保在响应有效期满后</w:t>
      </w:r>
      <w:r>
        <w:rPr>
          <w:rFonts w:hint="eastAsia"/>
          <w:color w:val="000000" w:themeColor="text1"/>
          <w:szCs w:val="21"/>
          <w:highlight w:val="none"/>
          <w14:textFill>
            <w14:solidFill>
              <w14:schemeClr w14:val="tx1"/>
            </w14:solidFill>
          </w14:textFill>
        </w:rPr>
        <w:t>30</w:t>
      </w:r>
      <w:r>
        <w:rPr>
          <w:color w:val="000000" w:themeColor="text1"/>
          <w:szCs w:val="21"/>
          <w:highlight w:val="none"/>
          <w14:textFill>
            <w14:solidFill>
              <w14:schemeClr w14:val="tx1"/>
            </w14:solidFill>
          </w14:textFill>
        </w:rPr>
        <w:t xml:space="preserve">天内保持有效，采购人如果按规定延长了响应有效期，则响应担保的有效期也相应延长。 </w:t>
      </w:r>
    </w:p>
    <w:p w14:paraId="2359DB66">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19.</w:t>
      </w: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未成交单位的响应保证金将在采购人</w:t>
      </w:r>
      <w:r>
        <w:rPr>
          <w:rFonts w:hint="eastAsia"/>
          <w:color w:val="000000" w:themeColor="text1"/>
          <w:szCs w:val="21"/>
          <w:highlight w:val="none"/>
          <w14:textFill>
            <w14:solidFill>
              <w14:schemeClr w14:val="tx1"/>
            </w14:solidFill>
          </w14:textFill>
        </w:rPr>
        <w:t>下发了成交单位的成交通知书</w:t>
      </w:r>
      <w:r>
        <w:rPr>
          <w:color w:val="000000" w:themeColor="text1"/>
          <w:szCs w:val="21"/>
          <w:highlight w:val="none"/>
          <w14:textFill>
            <w14:solidFill>
              <w14:schemeClr w14:val="tx1"/>
            </w14:solidFill>
          </w14:textFill>
        </w:rPr>
        <w:t>后</w:t>
      </w:r>
      <w:r>
        <w:rPr>
          <w:rFonts w:hint="eastAsia"/>
          <w:color w:val="000000" w:themeColor="text1"/>
          <w:szCs w:val="21"/>
          <w:highlight w:val="none"/>
          <w14:textFill>
            <w14:solidFill>
              <w14:schemeClr w14:val="tx1"/>
            </w14:solidFill>
          </w14:textFill>
        </w:rPr>
        <w:t>7个工作日</w:t>
      </w:r>
      <w:r>
        <w:rPr>
          <w:color w:val="000000" w:themeColor="text1"/>
          <w:szCs w:val="21"/>
          <w:highlight w:val="none"/>
          <w14:textFill>
            <w14:solidFill>
              <w14:schemeClr w14:val="tx1"/>
            </w14:solidFill>
          </w14:textFill>
        </w:rPr>
        <w:t xml:space="preserve">内予以退还，其期限不超过响应有效期满后30天。 </w:t>
      </w:r>
    </w:p>
    <w:p w14:paraId="49428F20">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19.</w:t>
      </w:r>
      <w:r>
        <w:rPr>
          <w:rFonts w:hint="eastAsia"/>
          <w:color w:val="000000" w:themeColor="text1"/>
          <w:szCs w:val="21"/>
          <w:highlight w:val="none"/>
          <w14:textFill>
            <w14:solidFill>
              <w14:schemeClr w14:val="tx1"/>
            </w14:solidFill>
          </w14:textFill>
        </w:rPr>
        <w:t>5</w:t>
      </w:r>
      <w:r>
        <w:rPr>
          <w:color w:val="000000" w:themeColor="text1"/>
          <w:szCs w:val="21"/>
          <w:highlight w:val="none"/>
          <w14:textFill>
            <w14:solidFill>
              <w14:schemeClr w14:val="tx1"/>
            </w14:solidFill>
          </w14:textFill>
        </w:rPr>
        <w:t>成交单位的响应保证金，在与发包人签订合同协议书</w:t>
      </w:r>
      <w:r>
        <w:rPr>
          <w:rFonts w:hint="eastAsia"/>
          <w:color w:val="000000" w:themeColor="text1"/>
          <w:szCs w:val="21"/>
          <w:highlight w:val="none"/>
          <w14:textFill>
            <w14:solidFill>
              <w14:schemeClr w14:val="tx1"/>
            </w14:solidFill>
          </w14:textFill>
        </w:rPr>
        <w:t>后直接转为履约保证金</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采用银行保函时，须在签订合同协议书前办理完成。</w:t>
      </w:r>
    </w:p>
    <w:p w14:paraId="1979ABE0">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19.</w:t>
      </w:r>
      <w:r>
        <w:rPr>
          <w:rFonts w:hint="eastAsia"/>
          <w:color w:val="000000" w:themeColor="text1"/>
          <w:szCs w:val="21"/>
          <w:highlight w:val="none"/>
          <w14:textFill>
            <w14:solidFill>
              <w14:schemeClr w14:val="tx1"/>
            </w14:solidFill>
          </w14:textFill>
        </w:rPr>
        <w:t>6</w:t>
      </w:r>
      <w:r>
        <w:rPr>
          <w:color w:val="000000" w:themeColor="text1"/>
          <w:szCs w:val="21"/>
          <w:highlight w:val="none"/>
          <w14:textFill>
            <w14:solidFill>
              <w14:schemeClr w14:val="tx1"/>
            </w14:solidFill>
          </w14:textFill>
        </w:rPr>
        <w:t>响应单位有如下情况之一，将被没收其响应担保</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 xml:space="preserve"> </w:t>
      </w:r>
    </w:p>
    <w:p w14:paraId="6BC35D68">
      <w:pPr>
        <w:spacing w:line="360" w:lineRule="auto"/>
        <w:rPr>
          <w:rStyle w:val="34"/>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19.</w:t>
      </w:r>
      <w:r>
        <w:rPr>
          <w:rFonts w:hint="eastAsia"/>
          <w:color w:val="000000" w:themeColor="text1"/>
          <w:highlight w:val="none"/>
          <w14:textFill>
            <w14:solidFill>
              <w14:schemeClr w14:val="tx1"/>
            </w14:solidFill>
          </w14:textFill>
        </w:rPr>
        <w:t>6</w:t>
      </w:r>
      <w:r>
        <w:rPr>
          <w:color w:val="000000" w:themeColor="text1"/>
          <w:highlight w:val="none"/>
          <w14:textFill>
            <w14:solidFill>
              <w14:schemeClr w14:val="tx1"/>
            </w14:solidFill>
          </w14:textFill>
        </w:rPr>
        <w:t>.1在响应有效期内撤回响应文件；</w:t>
      </w:r>
    </w:p>
    <w:p w14:paraId="40E33EFD">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19.</w:t>
      </w:r>
      <w:r>
        <w:rPr>
          <w:rFonts w:hint="eastAsia"/>
          <w:color w:val="000000" w:themeColor="text1"/>
          <w:szCs w:val="21"/>
          <w:highlight w:val="none"/>
          <w14:textFill>
            <w14:solidFill>
              <w14:schemeClr w14:val="tx1"/>
            </w14:solidFill>
          </w14:textFill>
        </w:rPr>
        <w:t>6</w:t>
      </w:r>
      <w:r>
        <w:rPr>
          <w:color w:val="000000" w:themeColor="text1"/>
          <w:szCs w:val="21"/>
          <w:highlight w:val="none"/>
          <w14:textFill>
            <w14:solidFill>
              <w14:schemeClr w14:val="tx1"/>
            </w14:solidFill>
          </w14:textFill>
        </w:rPr>
        <w:t>.2成交单位未能按《响应单位须知前附表》第</w:t>
      </w:r>
      <w:r>
        <w:rPr>
          <w:rFonts w:hint="eastAsia"/>
          <w:color w:val="000000" w:themeColor="text1"/>
          <w:szCs w:val="21"/>
          <w:highlight w:val="none"/>
          <w14:textFill>
            <w14:solidFill>
              <w14:schemeClr w14:val="tx1"/>
            </w14:solidFill>
          </w14:textFill>
        </w:rPr>
        <w:t>17项</w:t>
      </w:r>
      <w:r>
        <w:rPr>
          <w:color w:val="000000" w:themeColor="text1"/>
          <w:szCs w:val="21"/>
          <w:highlight w:val="none"/>
          <w14:textFill>
            <w14:solidFill>
              <w14:schemeClr w14:val="tx1"/>
            </w14:solidFill>
          </w14:textFill>
        </w:rPr>
        <w:t>的规定签订合同协议书。</w:t>
      </w:r>
    </w:p>
    <w:p w14:paraId="68F45270">
      <w:pPr>
        <w:pStyle w:val="53"/>
        <w:numPr>
          <w:ilvl w:val="0"/>
          <w:numId w:val="2"/>
        </w:numPr>
        <w:spacing w:before="120"/>
        <w:jc w:val="center"/>
        <w:rPr>
          <w:rStyle w:val="46"/>
          <w:rFonts w:hint="eastAsia" w:ascii="Times New Roman" w:hAnsi="宋体" w:eastAsia="宋体"/>
          <w:b/>
          <w:bCs w:val="0"/>
          <w:color w:val="000000" w:themeColor="text1"/>
          <w:sz w:val="28"/>
          <w:szCs w:val="28"/>
          <w:highlight w:val="none"/>
          <w14:textFill>
            <w14:solidFill>
              <w14:schemeClr w14:val="tx1"/>
            </w14:solidFill>
          </w14:textFill>
        </w:rPr>
      </w:pPr>
      <w:bookmarkStart w:id="323" w:name="_Toc53948774"/>
      <w:bookmarkStart w:id="324" w:name="_Toc53948353"/>
      <w:bookmarkStart w:id="325" w:name="_Toc54281234"/>
      <w:bookmarkStart w:id="326" w:name="_Toc145499753"/>
      <w:bookmarkStart w:id="327" w:name="_Toc53939597"/>
      <w:bookmarkStart w:id="328" w:name="_Toc54280808"/>
      <w:bookmarkStart w:id="329" w:name="_Toc284135591"/>
      <w:bookmarkStart w:id="330" w:name="_Toc54280382"/>
      <w:bookmarkStart w:id="331" w:name="_Toc53936533"/>
      <w:bookmarkStart w:id="332" w:name="_Toc53949195"/>
      <w:bookmarkStart w:id="333" w:name="_Toc53918824"/>
      <w:bookmarkStart w:id="334" w:name="_Toc53945798"/>
      <w:bookmarkStart w:id="335" w:name="_Toc54279956"/>
      <w:r>
        <w:rPr>
          <w:rStyle w:val="46"/>
          <w:rFonts w:ascii="Times New Roman" w:hAnsi="Times New Roman" w:eastAsia="宋体"/>
          <w:b/>
          <w:bCs w:val="0"/>
          <w:color w:val="000000" w:themeColor="text1"/>
          <w:sz w:val="28"/>
          <w:szCs w:val="28"/>
          <w:highlight w:val="none"/>
          <w14:textFill>
            <w14:solidFill>
              <w14:schemeClr w14:val="tx1"/>
            </w14:solidFill>
          </w14:textFill>
        </w:rPr>
        <w:t xml:space="preserve"> </w:t>
      </w:r>
      <w:r>
        <w:rPr>
          <w:rStyle w:val="46"/>
          <w:rFonts w:ascii="Times New Roman" w:hAnsi="宋体" w:eastAsia="宋体"/>
          <w:b/>
          <w:bCs w:val="0"/>
          <w:color w:val="000000" w:themeColor="text1"/>
          <w:sz w:val="28"/>
          <w:szCs w:val="28"/>
          <w:highlight w:val="none"/>
          <w14:textFill>
            <w14:solidFill>
              <w14:schemeClr w14:val="tx1"/>
            </w14:solidFill>
          </w14:textFill>
        </w:rPr>
        <w:t>响应文件的递交</w:t>
      </w:r>
      <w:bookmarkEnd w:id="323"/>
      <w:bookmarkEnd w:id="324"/>
      <w:bookmarkEnd w:id="325"/>
      <w:bookmarkEnd w:id="326"/>
      <w:bookmarkEnd w:id="327"/>
      <w:bookmarkEnd w:id="328"/>
      <w:bookmarkEnd w:id="329"/>
      <w:bookmarkEnd w:id="330"/>
      <w:bookmarkEnd w:id="331"/>
      <w:bookmarkEnd w:id="332"/>
      <w:bookmarkEnd w:id="333"/>
      <w:bookmarkEnd w:id="334"/>
      <w:bookmarkEnd w:id="335"/>
    </w:p>
    <w:p w14:paraId="000B8D6D">
      <w:pPr>
        <w:pStyle w:val="53"/>
        <w:spacing w:before="0" w:beforeLines="0" w:line="240" w:lineRule="auto"/>
        <w:jc w:val="center"/>
        <w:rPr>
          <w:rStyle w:val="46"/>
          <w:rFonts w:ascii="Times New Roman" w:hAnsi="Times New Roman" w:eastAsia="宋体"/>
          <w:b/>
          <w:bCs w:val="0"/>
          <w:color w:val="000000" w:themeColor="text1"/>
          <w:sz w:val="28"/>
          <w:szCs w:val="28"/>
          <w:highlight w:val="none"/>
          <w14:textFill>
            <w14:solidFill>
              <w14:schemeClr w14:val="tx1"/>
            </w14:solidFill>
          </w14:textFill>
        </w:rPr>
      </w:pPr>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（成交后，采购人有权要求成交单位提供纸质版响应文件，成交单位应按要求制作提供）</w:t>
      </w:r>
    </w:p>
    <w:p w14:paraId="563D2FF1">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336" w:name="_Toc54280809"/>
      <w:bookmarkStart w:id="337" w:name="_Toc53936534"/>
      <w:bookmarkStart w:id="338" w:name="_Toc54281235"/>
      <w:bookmarkStart w:id="339" w:name="_Toc54280383"/>
      <w:bookmarkStart w:id="340" w:name="_Toc53918825"/>
      <w:bookmarkStart w:id="341" w:name="_Toc53949196"/>
      <w:bookmarkStart w:id="342" w:name="_Toc53939598"/>
      <w:bookmarkStart w:id="343" w:name="_Toc53945799"/>
      <w:bookmarkStart w:id="344" w:name="_Toc53948354"/>
      <w:bookmarkStart w:id="345" w:name="_Toc54279957"/>
      <w:bookmarkStart w:id="346" w:name="_Toc53948775"/>
      <w:bookmarkStart w:id="347" w:name="_Toc145499754"/>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20.响应文件的密封与标记</w:t>
      </w:r>
      <w:bookmarkEnd w:id="336"/>
      <w:bookmarkEnd w:id="337"/>
      <w:bookmarkEnd w:id="338"/>
      <w:bookmarkEnd w:id="339"/>
      <w:bookmarkEnd w:id="340"/>
      <w:bookmarkEnd w:id="341"/>
      <w:bookmarkEnd w:id="342"/>
      <w:bookmarkEnd w:id="343"/>
      <w:bookmarkEnd w:id="344"/>
      <w:bookmarkEnd w:id="345"/>
      <w:bookmarkEnd w:id="346"/>
      <w:bookmarkEnd w:id="347"/>
    </w:p>
    <w:p w14:paraId="046503E0">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20.1响应文件均须左侧装订，装订须牢固不易拆散或换页，不得采用活页方式装订。</w:t>
      </w:r>
    </w:p>
    <w:p w14:paraId="325268E4">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20.2响应文件</w:t>
      </w:r>
      <w:r>
        <w:rPr>
          <w:rFonts w:hint="eastAsia"/>
          <w:color w:val="000000" w:themeColor="text1"/>
          <w:szCs w:val="21"/>
          <w:highlight w:val="none"/>
          <w14:textFill>
            <w14:solidFill>
              <w14:schemeClr w14:val="tx1"/>
            </w14:solidFill>
          </w14:textFill>
        </w:rPr>
        <w:t>应用密封袋（箱）进行包装，袋（箱）开口处应用密封条进行密封并在骑缝处加盖响应单位公章，密封条由响应单位自行制作。</w:t>
      </w:r>
      <w:r>
        <w:rPr>
          <w:color w:val="000000" w:themeColor="text1"/>
          <w:szCs w:val="21"/>
          <w:highlight w:val="none"/>
          <w14:textFill>
            <w14:solidFill>
              <w14:schemeClr w14:val="tx1"/>
            </w14:solidFill>
          </w14:textFill>
        </w:rPr>
        <w:t>未密封或密封不符合采购文件规定的响应文件将不予以签收。</w:t>
      </w:r>
    </w:p>
    <w:p w14:paraId="1E8EB55E">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20.3响应文件</w:t>
      </w:r>
      <w:r>
        <w:rPr>
          <w:rFonts w:hint="eastAsia"/>
          <w:color w:val="000000" w:themeColor="text1"/>
          <w:szCs w:val="21"/>
          <w:highlight w:val="none"/>
          <w14:textFill>
            <w14:solidFill>
              <w14:schemeClr w14:val="tx1"/>
            </w14:solidFill>
          </w14:textFill>
        </w:rPr>
        <w:t>正副本</w:t>
      </w:r>
      <w:r>
        <w:rPr>
          <w:color w:val="000000" w:themeColor="text1"/>
          <w:szCs w:val="21"/>
          <w:highlight w:val="none"/>
          <w14:textFill>
            <w14:solidFill>
              <w14:schemeClr w14:val="tx1"/>
            </w14:solidFill>
          </w14:textFill>
        </w:rPr>
        <w:t>和</w:t>
      </w:r>
      <w:r>
        <w:rPr>
          <w:rFonts w:hint="eastAsia"/>
          <w:color w:val="000000" w:themeColor="text1"/>
          <w:szCs w:val="21"/>
          <w:highlight w:val="none"/>
          <w14:textFill>
            <w14:solidFill>
              <w14:schemeClr w14:val="tx1"/>
            </w14:solidFill>
          </w14:textFill>
        </w:rPr>
        <w:t>U盘（</w:t>
      </w:r>
      <w:r>
        <w:rPr>
          <w:color w:val="000000" w:themeColor="text1"/>
          <w:szCs w:val="21"/>
          <w:highlight w:val="none"/>
          <w14:textFill>
            <w14:solidFill>
              <w14:schemeClr w14:val="tx1"/>
            </w14:solidFill>
          </w14:textFill>
        </w:rPr>
        <w:t>光盘</w:t>
      </w:r>
      <w:r>
        <w:rPr>
          <w:rFonts w:hint="eastAsia"/>
          <w:color w:val="000000" w:themeColor="text1"/>
          <w:szCs w:val="21"/>
          <w:highlight w:val="none"/>
          <w14:textFill>
            <w14:solidFill>
              <w14:schemeClr w14:val="tx1"/>
            </w14:solidFill>
          </w14:textFill>
        </w:rPr>
        <w:t>）可</w:t>
      </w:r>
      <w:r>
        <w:rPr>
          <w:color w:val="000000" w:themeColor="text1"/>
          <w:szCs w:val="21"/>
          <w:highlight w:val="none"/>
          <w14:textFill>
            <w14:solidFill>
              <w14:schemeClr w14:val="tx1"/>
            </w14:solidFill>
          </w14:textFill>
        </w:rPr>
        <w:t>一起</w:t>
      </w:r>
      <w:r>
        <w:rPr>
          <w:rFonts w:hint="eastAsia"/>
          <w:color w:val="000000" w:themeColor="text1"/>
          <w:szCs w:val="21"/>
          <w:highlight w:val="none"/>
          <w14:textFill>
            <w14:solidFill>
              <w14:schemeClr w14:val="tx1"/>
            </w14:solidFill>
          </w14:textFill>
        </w:rPr>
        <w:t>包装密封</w:t>
      </w:r>
      <w:r>
        <w:rPr>
          <w:color w:val="000000" w:themeColor="text1"/>
          <w:szCs w:val="21"/>
          <w:highlight w:val="none"/>
          <w14:textFill>
            <w14:solidFill>
              <w14:schemeClr w14:val="tx1"/>
            </w14:solidFill>
          </w14:textFill>
        </w:rPr>
        <w:t>。</w:t>
      </w:r>
    </w:p>
    <w:p w14:paraId="63D09603">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348" w:name="_Toc53949197"/>
      <w:bookmarkStart w:id="349" w:name="_Toc53948776"/>
      <w:bookmarkStart w:id="350" w:name="_Toc54280810"/>
      <w:bookmarkStart w:id="351" w:name="_Toc54279958"/>
      <w:bookmarkStart w:id="352" w:name="_Toc54281236"/>
      <w:bookmarkStart w:id="353" w:name="_Toc53939599"/>
      <w:bookmarkStart w:id="354" w:name="_Toc53948355"/>
      <w:bookmarkStart w:id="355" w:name="_Toc145499755"/>
      <w:bookmarkStart w:id="356" w:name="_Toc54280384"/>
      <w:bookmarkStart w:id="357" w:name="_Toc53918826"/>
      <w:bookmarkStart w:id="358" w:name="_Toc53936535"/>
      <w:bookmarkStart w:id="359" w:name="_Toc53945800"/>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2</w:t>
      </w:r>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1</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.响应截止时间</w:t>
      </w:r>
      <w:bookmarkEnd w:id="348"/>
      <w:bookmarkEnd w:id="349"/>
      <w:bookmarkEnd w:id="350"/>
      <w:bookmarkEnd w:id="351"/>
      <w:bookmarkEnd w:id="352"/>
      <w:bookmarkEnd w:id="353"/>
      <w:bookmarkEnd w:id="354"/>
      <w:bookmarkEnd w:id="355"/>
      <w:bookmarkEnd w:id="356"/>
      <w:bookmarkEnd w:id="357"/>
      <w:bookmarkEnd w:id="358"/>
      <w:bookmarkEnd w:id="359"/>
    </w:p>
    <w:p w14:paraId="5417DA23">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w:t>
      </w: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.1响应单位应按《响应单位须知前附表》第1</w:t>
      </w: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项说明的时间和地址，或根据</w:t>
      </w:r>
      <w:r>
        <w:rPr>
          <w:rFonts w:hint="eastAsia"/>
          <w:color w:val="000000" w:themeColor="text1"/>
          <w:szCs w:val="21"/>
          <w:highlight w:val="none"/>
          <w14:textFill>
            <w14:solidFill>
              <w14:schemeClr w14:val="tx1"/>
            </w14:solidFill>
          </w14:textFill>
        </w:rPr>
        <w:t>本第</w:t>
      </w: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9</w:t>
      </w:r>
      <w:r>
        <w:rPr>
          <w:color w:val="000000" w:themeColor="text1"/>
          <w:szCs w:val="21"/>
          <w:highlight w:val="none"/>
          <w14:textFill>
            <w14:solidFill>
              <w14:schemeClr w14:val="tx1"/>
            </w14:solidFill>
          </w14:textFill>
        </w:rPr>
        <w:t>条规定所推迟的截止时间递交响应文件。</w:t>
      </w:r>
    </w:p>
    <w:p w14:paraId="321863E1">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21.2</w:t>
      </w:r>
      <w:r>
        <w:rPr>
          <w:color w:val="000000" w:themeColor="text1"/>
          <w:highlight w:val="none"/>
          <w14:textFill>
            <w14:solidFill>
              <w14:schemeClr w14:val="tx1"/>
            </w14:solidFill>
          </w14:textFill>
        </w:rPr>
        <w:t>采购人在本《响应单位须知前附表》第</w:t>
      </w:r>
      <w:r>
        <w:rPr>
          <w:rFonts w:hint="eastAsia"/>
          <w:color w:val="000000" w:themeColor="text1"/>
          <w:highlight w:val="none"/>
          <w14:textFill>
            <w14:solidFill>
              <w14:schemeClr w14:val="tx1"/>
            </w14:solidFill>
          </w14:textFill>
        </w:rPr>
        <w:t>14项</w:t>
      </w:r>
      <w:r>
        <w:rPr>
          <w:color w:val="000000" w:themeColor="text1"/>
          <w:highlight w:val="none"/>
          <w14:textFill>
            <w14:solidFill>
              <w14:schemeClr w14:val="tx1"/>
            </w14:solidFill>
          </w14:textFill>
        </w:rPr>
        <w:t>规定的响应截止时间</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或根据</w:t>
      </w:r>
      <w:r>
        <w:rPr>
          <w:rFonts w:hint="eastAsia"/>
          <w:color w:val="000000" w:themeColor="text1"/>
          <w:highlight w:val="none"/>
          <w14:textFill>
            <w14:solidFill>
              <w14:schemeClr w14:val="tx1"/>
            </w14:solidFill>
          </w14:textFill>
        </w:rPr>
        <w:t>本第19</w:t>
      </w:r>
      <w:r>
        <w:rPr>
          <w:color w:val="000000" w:themeColor="text1"/>
          <w:highlight w:val="none"/>
          <w14:textFill>
            <w14:solidFill>
              <w14:schemeClr w14:val="tx1"/>
            </w14:solidFill>
          </w14:textFill>
        </w:rPr>
        <w:t>条规定所推迟的截止时间以后收到的任何响应文件，将予以拒收并原封退还响应单位。</w:t>
      </w:r>
    </w:p>
    <w:p w14:paraId="6CBC8F8B">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360" w:name="_Toc53939601"/>
      <w:bookmarkStart w:id="361" w:name="_Toc145499757"/>
      <w:bookmarkStart w:id="362" w:name="_Toc53936537"/>
      <w:bookmarkStart w:id="363" w:name="_Toc53948357"/>
      <w:bookmarkStart w:id="364" w:name="_Toc54280812"/>
      <w:bookmarkStart w:id="365" w:name="_Toc53948778"/>
      <w:bookmarkStart w:id="366" w:name="_Toc53949199"/>
      <w:bookmarkStart w:id="367" w:name="_Toc54279960"/>
      <w:bookmarkStart w:id="368" w:name="_Toc54280386"/>
      <w:bookmarkStart w:id="369" w:name="_Toc53945802"/>
      <w:bookmarkStart w:id="370" w:name="_Toc54281238"/>
      <w:bookmarkStart w:id="371" w:name="_Toc53918828"/>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22.响应文件的更改与撤回</w:t>
      </w:r>
      <w:bookmarkEnd w:id="360"/>
      <w:bookmarkEnd w:id="361"/>
      <w:bookmarkEnd w:id="362"/>
      <w:bookmarkEnd w:id="363"/>
      <w:bookmarkEnd w:id="364"/>
      <w:bookmarkEnd w:id="365"/>
      <w:bookmarkEnd w:id="366"/>
      <w:bookmarkEnd w:id="367"/>
      <w:bookmarkEnd w:id="368"/>
      <w:bookmarkEnd w:id="369"/>
      <w:bookmarkEnd w:id="370"/>
      <w:bookmarkEnd w:id="371"/>
    </w:p>
    <w:p w14:paraId="18DBBB6A">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22.1在响应文件递交截止时间之前，响应单位可以对已递交的响应文件进行修改或撤回。</w:t>
      </w:r>
      <w:r>
        <w:rPr>
          <w:rFonts w:hint="eastAsia"/>
          <w:color w:val="000000" w:themeColor="text1"/>
          <w:szCs w:val="21"/>
          <w:highlight w:val="none"/>
          <w14:textFill>
            <w14:solidFill>
              <w14:schemeClr w14:val="tx1"/>
            </w14:solidFill>
          </w14:textFill>
        </w:rPr>
        <w:t>线上完成递交文件的，不允许更改或撤回</w:t>
      </w:r>
      <w:r>
        <w:rPr>
          <w:color w:val="000000" w:themeColor="text1"/>
          <w:szCs w:val="21"/>
          <w:highlight w:val="none"/>
          <w14:textFill>
            <w14:solidFill>
              <w14:schemeClr w14:val="tx1"/>
            </w14:solidFill>
          </w14:textFill>
        </w:rPr>
        <w:t>。</w:t>
      </w:r>
    </w:p>
    <w:p w14:paraId="40B184FC">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22.2在响应文件递交截止时间后，响应单位不得要求更改或撤回其响应文件。响应单位若撤回响应文件，其响应担保将不予以退还。</w:t>
      </w:r>
    </w:p>
    <w:p w14:paraId="75478937">
      <w:pPr>
        <w:pStyle w:val="3"/>
        <w:spacing w:before="240" w:beforeLines="100" w:after="120" w:afterLines="50" w:line="360" w:lineRule="auto"/>
        <w:jc w:val="center"/>
        <w:rPr>
          <w:rStyle w:val="46"/>
          <w:rFonts w:ascii="Times New Roman" w:hAnsi="Times New Roman" w:eastAsia="宋体"/>
          <w:b/>
          <w:bCs w:val="0"/>
          <w:color w:val="000000" w:themeColor="text1"/>
          <w:sz w:val="28"/>
          <w:szCs w:val="28"/>
          <w:highlight w:val="none"/>
          <w14:textFill>
            <w14:solidFill>
              <w14:schemeClr w14:val="tx1"/>
            </w14:solidFill>
          </w14:textFill>
        </w:rPr>
      </w:pPr>
      <w:bookmarkStart w:id="372" w:name="_Toc53939602"/>
      <w:bookmarkStart w:id="373" w:name="_Toc53948779"/>
      <w:bookmarkStart w:id="374" w:name="_Toc54280813"/>
      <w:bookmarkStart w:id="375" w:name="_Toc53918829"/>
      <w:bookmarkStart w:id="376" w:name="_Toc53948358"/>
      <w:bookmarkStart w:id="377" w:name="_Toc284135592"/>
      <w:bookmarkStart w:id="378" w:name="_Toc54280387"/>
      <w:bookmarkStart w:id="379" w:name="_Toc53945803"/>
      <w:bookmarkStart w:id="380" w:name="_Toc54281239"/>
      <w:bookmarkStart w:id="381" w:name="_Toc145499758"/>
      <w:bookmarkStart w:id="382" w:name="_Toc53936538"/>
      <w:bookmarkStart w:id="383" w:name="_Toc53949200"/>
      <w:bookmarkStart w:id="384" w:name="_Toc54279961"/>
      <w:r>
        <w:rPr>
          <w:rStyle w:val="46"/>
          <w:rFonts w:ascii="Times New Roman" w:hAnsi="宋体" w:eastAsia="宋体"/>
          <w:b/>
          <w:bCs w:val="0"/>
          <w:color w:val="000000" w:themeColor="text1"/>
          <w:sz w:val="28"/>
          <w:szCs w:val="28"/>
          <w:highlight w:val="none"/>
          <w14:textFill>
            <w14:solidFill>
              <w14:schemeClr w14:val="tx1"/>
            </w14:solidFill>
          </w14:textFill>
        </w:rPr>
        <w:t>第五章</w:t>
      </w:r>
      <w:r>
        <w:rPr>
          <w:rStyle w:val="46"/>
          <w:rFonts w:ascii="Times New Roman" w:hAnsi="Times New Roman" w:eastAsia="宋体"/>
          <w:b/>
          <w:bCs w:val="0"/>
          <w:color w:val="000000" w:themeColor="text1"/>
          <w:sz w:val="28"/>
          <w:szCs w:val="28"/>
          <w:highlight w:val="none"/>
          <w14:textFill>
            <w14:solidFill>
              <w14:schemeClr w14:val="tx1"/>
            </w14:solidFill>
          </w14:textFill>
        </w:rPr>
        <w:t xml:space="preserve">  </w:t>
      </w:r>
      <w:r>
        <w:rPr>
          <w:rStyle w:val="46"/>
          <w:rFonts w:ascii="Times New Roman" w:hAnsi="宋体" w:eastAsia="宋体"/>
          <w:b/>
          <w:bCs w:val="0"/>
          <w:color w:val="000000" w:themeColor="text1"/>
          <w:sz w:val="28"/>
          <w:szCs w:val="28"/>
          <w:highlight w:val="none"/>
          <w14:textFill>
            <w14:solidFill>
              <w14:schemeClr w14:val="tx1"/>
            </w14:solidFill>
          </w14:textFill>
        </w:rPr>
        <w:t>响应文件开启与</w:t>
      </w:r>
      <w:bookmarkEnd w:id="372"/>
      <w:bookmarkEnd w:id="373"/>
      <w:bookmarkEnd w:id="374"/>
      <w:bookmarkEnd w:id="375"/>
      <w:bookmarkEnd w:id="376"/>
      <w:bookmarkEnd w:id="377"/>
      <w:bookmarkEnd w:id="378"/>
      <w:bookmarkEnd w:id="379"/>
      <w:bookmarkEnd w:id="380"/>
      <w:bookmarkEnd w:id="381"/>
      <w:bookmarkEnd w:id="382"/>
      <w:bookmarkEnd w:id="383"/>
      <w:bookmarkEnd w:id="384"/>
      <w:r>
        <w:rPr>
          <w:rStyle w:val="46"/>
          <w:rFonts w:hint="eastAsia" w:ascii="Times New Roman" w:hAnsi="宋体" w:eastAsia="宋体"/>
          <w:b/>
          <w:bCs w:val="0"/>
          <w:color w:val="000000" w:themeColor="text1"/>
          <w:sz w:val="28"/>
          <w:szCs w:val="28"/>
          <w:highlight w:val="none"/>
          <w14:textFill>
            <w14:solidFill>
              <w14:schemeClr w14:val="tx1"/>
            </w14:solidFill>
          </w14:textFill>
        </w:rPr>
        <w:t>评审</w:t>
      </w:r>
    </w:p>
    <w:p w14:paraId="546802BB">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385" w:name="_Toc53918830"/>
      <w:bookmarkStart w:id="386" w:name="_Toc54281240"/>
      <w:bookmarkStart w:id="387" w:name="_Toc53936539"/>
      <w:bookmarkStart w:id="388" w:name="_Toc54280814"/>
      <w:bookmarkStart w:id="389" w:name="_Toc145499759"/>
      <w:bookmarkStart w:id="390" w:name="_Toc53945804"/>
      <w:bookmarkStart w:id="391" w:name="_Toc54280388"/>
      <w:bookmarkStart w:id="392" w:name="_Toc53949201"/>
      <w:bookmarkStart w:id="393" w:name="_Toc54279962"/>
      <w:bookmarkStart w:id="394" w:name="_Toc53939603"/>
      <w:bookmarkStart w:id="395" w:name="_Toc53948359"/>
      <w:bookmarkStart w:id="396" w:name="_Toc53948780"/>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23.开启响应文件</w:t>
      </w:r>
      <w:bookmarkEnd w:id="385"/>
      <w:bookmarkEnd w:id="386"/>
      <w:bookmarkEnd w:id="387"/>
      <w:bookmarkEnd w:id="388"/>
      <w:bookmarkEnd w:id="389"/>
      <w:bookmarkEnd w:id="390"/>
      <w:bookmarkEnd w:id="391"/>
      <w:bookmarkEnd w:id="392"/>
      <w:bookmarkEnd w:id="393"/>
      <w:bookmarkEnd w:id="394"/>
      <w:bookmarkEnd w:id="395"/>
      <w:bookmarkEnd w:id="396"/>
    </w:p>
    <w:p w14:paraId="353DB499">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23.1采购人将按《响应单位须知前附表》第1</w:t>
      </w:r>
      <w:r>
        <w:rPr>
          <w:rFonts w:hint="eastAsia"/>
          <w:color w:val="000000" w:themeColor="text1"/>
          <w:szCs w:val="21"/>
          <w:highlight w:val="none"/>
          <w14:textFill>
            <w14:solidFill>
              <w14:schemeClr w14:val="tx1"/>
            </w14:solidFill>
          </w14:textFill>
        </w:rPr>
        <w:t>5</w:t>
      </w:r>
      <w:r>
        <w:rPr>
          <w:color w:val="000000" w:themeColor="text1"/>
          <w:szCs w:val="21"/>
          <w:highlight w:val="none"/>
          <w14:textFill>
            <w14:solidFill>
              <w14:schemeClr w14:val="tx1"/>
            </w14:solidFill>
          </w14:textFill>
        </w:rPr>
        <w:t>项规定的时间和</w:t>
      </w:r>
      <w:r>
        <w:rPr>
          <w:rFonts w:hint="eastAsia"/>
          <w:color w:val="000000" w:themeColor="text1"/>
          <w:szCs w:val="21"/>
          <w:highlight w:val="none"/>
          <w14:textFill>
            <w14:solidFill>
              <w14:schemeClr w14:val="tx1"/>
            </w14:solidFill>
          </w14:textFill>
        </w:rPr>
        <w:t>方式</w:t>
      </w:r>
      <w:r>
        <w:rPr>
          <w:color w:val="000000" w:themeColor="text1"/>
          <w:szCs w:val="21"/>
          <w:highlight w:val="none"/>
          <w14:textFill>
            <w14:solidFill>
              <w14:schemeClr w14:val="tx1"/>
            </w14:solidFill>
          </w14:textFill>
        </w:rPr>
        <w:t>，对所有按时递交并已签收的响应文件进行开启响应文件。响应文件有下列情形之一的，采购人不予受理：</w:t>
      </w:r>
    </w:p>
    <w:p w14:paraId="1B46244E">
      <w:pPr>
        <w:spacing w:line="360" w:lineRule="auto"/>
        <w:ind w:left="1044" w:leftChars="247" w:hanging="525" w:hangingChars="250"/>
        <w:rPr>
          <w:color w:val="000000" w:themeColor="text1"/>
          <w:szCs w:val="21"/>
          <w:highlight w:val="none"/>
          <w:u w:val="single"/>
          <w14:textFill>
            <w14:solidFill>
              <w14:schemeClr w14:val="tx1"/>
            </w14:solidFill>
          </w14:textFill>
        </w:rPr>
      </w:pPr>
      <w:r>
        <w:rPr>
          <w:color w:val="000000" w:themeColor="text1"/>
          <w:szCs w:val="21"/>
          <w:highlight w:val="none"/>
          <w:u w:val="single"/>
          <w14:textFill>
            <w14:solidFill>
              <w14:schemeClr w14:val="tx1"/>
            </w14:solidFill>
          </w14:textFill>
        </w:rPr>
        <w:t>23.1.1</w:t>
      </w:r>
      <w:r>
        <w:rPr>
          <w:rFonts w:hAnsi="宋体"/>
          <w:color w:val="000000" w:themeColor="text1"/>
          <w:szCs w:val="21"/>
          <w:highlight w:val="none"/>
          <w:u w:val="single"/>
          <w14:textFill>
            <w14:solidFill>
              <w14:schemeClr w14:val="tx1"/>
            </w14:solidFill>
          </w14:textFill>
        </w:rPr>
        <w:t>逾期</w:t>
      </w:r>
      <w:r>
        <w:rPr>
          <w:rFonts w:hint="eastAsia" w:hAnsi="宋体"/>
          <w:color w:val="000000" w:themeColor="text1"/>
          <w:szCs w:val="21"/>
          <w:highlight w:val="none"/>
          <w:u w:val="single"/>
          <w14:textFill>
            <w14:solidFill>
              <w14:schemeClr w14:val="tx1"/>
            </w14:solidFill>
          </w14:textFill>
        </w:rPr>
        <w:t>未完成响应</w:t>
      </w:r>
      <w:r>
        <w:rPr>
          <w:rFonts w:hAnsi="宋体"/>
          <w:color w:val="000000" w:themeColor="text1"/>
          <w:szCs w:val="21"/>
          <w:highlight w:val="none"/>
          <w:u w:val="single"/>
          <w14:textFill>
            <w14:solidFill>
              <w14:schemeClr w14:val="tx1"/>
            </w14:solidFill>
          </w14:textFill>
        </w:rPr>
        <w:t>的或者未</w:t>
      </w:r>
      <w:r>
        <w:rPr>
          <w:rFonts w:hint="eastAsia" w:hAnsi="宋体"/>
          <w:color w:val="000000" w:themeColor="text1"/>
          <w:szCs w:val="21"/>
          <w:highlight w:val="none"/>
          <w:u w:val="single"/>
          <w14:textFill>
            <w14:solidFill>
              <w14:schemeClr w14:val="tx1"/>
            </w14:solidFill>
          </w14:textFill>
        </w:rPr>
        <w:t>按要求递交</w:t>
      </w:r>
      <w:r>
        <w:rPr>
          <w:rFonts w:hAnsi="宋体"/>
          <w:color w:val="000000" w:themeColor="text1"/>
          <w:szCs w:val="21"/>
          <w:highlight w:val="none"/>
          <w:u w:val="single"/>
          <w14:textFill>
            <w14:solidFill>
              <w14:schemeClr w14:val="tx1"/>
            </w14:solidFill>
          </w14:textFill>
        </w:rPr>
        <w:t>的；</w:t>
      </w:r>
    </w:p>
    <w:p w14:paraId="6CEB8C31">
      <w:pPr>
        <w:spacing w:line="360" w:lineRule="auto"/>
        <w:ind w:left="1044" w:leftChars="247" w:hanging="525" w:hangingChars="250"/>
        <w:rPr>
          <w:color w:val="000000" w:themeColor="text1"/>
          <w:szCs w:val="21"/>
          <w:highlight w:val="none"/>
          <w:u w:val="single"/>
          <w14:textFill>
            <w14:solidFill>
              <w14:schemeClr w14:val="tx1"/>
            </w14:solidFill>
          </w14:textFill>
        </w:rPr>
      </w:pPr>
      <w:r>
        <w:rPr>
          <w:color w:val="000000" w:themeColor="text1"/>
          <w:szCs w:val="21"/>
          <w:highlight w:val="none"/>
          <w:u w:val="single"/>
          <w14:textFill>
            <w14:solidFill>
              <w14:schemeClr w14:val="tx1"/>
            </w14:solidFill>
          </w14:textFill>
        </w:rPr>
        <w:t>23.1.2</w:t>
      </w:r>
      <w:r>
        <w:rPr>
          <w:rFonts w:hAnsi="宋体"/>
          <w:color w:val="000000" w:themeColor="text1"/>
          <w:szCs w:val="21"/>
          <w:highlight w:val="none"/>
          <w:u w:val="single"/>
          <w14:textFill>
            <w14:solidFill>
              <w14:schemeClr w14:val="tx1"/>
            </w14:solidFill>
          </w14:textFill>
        </w:rPr>
        <w:t>未按采购文件要求</w:t>
      </w:r>
      <w:r>
        <w:rPr>
          <w:rFonts w:hint="eastAsia" w:hAnsi="宋体"/>
          <w:color w:val="000000" w:themeColor="text1"/>
          <w:szCs w:val="21"/>
          <w:highlight w:val="none"/>
          <w:u w:val="single"/>
          <w14:textFill>
            <w14:solidFill>
              <w14:schemeClr w14:val="tx1"/>
            </w14:solidFill>
          </w14:textFill>
        </w:rPr>
        <w:t>编制</w:t>
      </w:r>
      <w:r>
        <w:rPr>
          <w:rFonts w:hAnsi="宋体"/>
          <w:color w:val="000000" w:themeColor="text1"/>
          <w:szCs w:val="21"/>
          <w:highlight w:val="none"/>
          <w:u w:val="single"/>
          <w14:textFill>
            <w14:solidFill>
              <w14:schemeClr w14:val="tx1"/>
            </w14:solidFill>
          </w14:textFill>
        </w:rPr>
        <w:t>的。</w:t>
      </w:r>
    </w:p>
    <w:p w14:paraId="236E150F">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23.2</w:t>
      </w:r>
      <w:r>
        <w:rPr>
          <w:rFonts w:hint="eastAsia"/>
          <w:color w:val="000000" w:themeColor="text1"/>
          <w:szCs w:val="21"/>
          <w:highlight w:val="none"/>
          <w14:textFill>
            <w14:solidFill>
              <w14:schemeClr w14:val="tx1"/>
            </w14:solidFill>
          </w14:textFill>
        </w:rPr>
        <w:t>开启响应文件形式为非公开式开启响应文件，</w:t>
      </w:r>
      <w:r>
        <w:rPr>
          <w:color w:val="000000" w:themeColor="text1"/>
          <w:szCs w:val="21"/>
          <w:highlight w:val="none"/>
          <w14:textFill>
            <w14:solidFill>
              <w14:schemeClr w14:val="tx1"/>
            </w14:solidFill>
          </w14:textFill>
        </w:rPr>
        <w:t>由采购人</w:t>
      </w:r>
      <w:r>
        <w:rPr>
          <w:rFonts w:hint="eastAsia"/>
          <w:color w:val="000000" w:themeColor="text1"/>
          <w:szCs w:val="21"/>
          <w:highlight w:val="none"/>
          <w14:textFill>
            <w14:solidFill>
              <w14:schemeClr w14:val="tx1"/>
            </w14:solidFill>
          </w14:textFill>
        </w:rPr>
        <w:t>自行主持并</w:t>
      </w:r>
      <w:r>
        <w:rPr>
          <w:color w:val="000000" w:themeColor="text1"/>
          <w:szCs w:val="21"/>
          <w:highlight w:val="none"/>
          <w14:textFill>
            <w14:solidFill>
              <w14:schemeClr w14:val="tx1"/>
            </w14:solidFill>
          </w14:textFill>
        </w:rPr>
        <w:t>邀请有关部门参加</w:t>
      </w:r>
      <w:r>
        <w:rPr>
          <w:rFonts w:hint="eastAsia"/>
          <w:color w:val="000000" w:themeColor="text1"/>
          <w:szCs w:val="21"/>
          <w:highlight w:val="none"/>
          <w14:textFill>
            <w14:solidFill>
              <w14:schemeClr w14:val="tx1"/>
            </w14:solidFill>
          </w14:textFill>
        </w:rPr>
        <w:t>，响应单位不参加开启响应文件会</w:t>
      </w:r>
      <w:r>
        <w:rPr>
          <w:color w:val="000000" w:themeColor="text1"/>
          <w:szCs w:val="21"/>
          <w:highlight w:val="none"/>
          <w14:textFill>
            <w14:solidFill>
              <w14:schemeClr w14:val="tx1"/>
            </w14:solidFill>
          </w14:textFill>
        </w:rPr>
        <w:t>。</w:t>
      </w:r>
    </w:p>
    <w:p w14:paraId="6DEC098E">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23.</w:t>
      </w:r>
      <w:r>
        <w:rPr>
          <w:rFonts w:hint="eastAsia"/>
          <w:color w:val="000000" w:themeColor="text1"/>
          <w:szCs w:val="21"/>
          <w:highlight w:val="none"/>
          <w:lang w:val="en-US" w:eastAsia="zh-CN"/>
          <w14:textFill>
            <w14:solidFill>
              <w14:schemeClr w14:val="tx1"/>
            </w14:solidFill>
          </w14:textFill>
        </w:rPr>
        <w:t>3</w:t>
      </w:r>
      <w:r>
        <w:rPr>
          <w:color w:val="000000" w:themeColor="text1"/>
          <w:szCs w:val="21"/>
          <w:highlight w:val="none"/>
          <w14:textFill>
            <w14:solidFill>
              <w14:schemeClr w14:val="tx1"/>
            </w14:solidFill>
          </w14:textFill>
        </w:rPr>
        <w:t>采购人应做好开启响应文件会议的记录并经</w:t>
      </w:r>
      <w:r>
        <w:rPr>
          <w:rFonts w:hint="eastAsia"/>
          <w:color w:val="000000" w:themeColor="text1"/>
          <w:szCs w:val="21"/>
          <w:highlight w:val="none"/>
          <w14:textFill>
            <w14:solidFill>
              <w14:schemeClr w14:val="tx1"/>
            </w14:solidFill>
          </w14:textFill>
        </w:rPr>
        <w:t>参会的</w:t>
      </w:r>
      <w:r>
        <w:rPr>
          <w:color w:val="000000" w:themeColor="text1"/>
          <w:szCs w:val="21"/>
          <w:highlight w:val="none"/>
          <w14:textFill>
            <w14:solidFill>
              <w14:schemeClr w14:val="tx1"/>
            </w14:solidFill>
          </w14:textFill>
        </w:rPr>
        <w:t>有关部门核查人签字后存档备查。</w:t>
      </w:r>
    </w:p>
    <w:p w14:paraId="133777A9">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397" w:name="_Toc101986492"/>
      <w:bookmarkStart w:id="398" w:name="_Toc101064273"/>
      <w:bookmarkStart w:id="399" w:name="_Toc100928434"/>
      <w:bookmarkStart w:id="400" w:name="_Toc101075791"/>
      <w:bookmarkStart w:id="401" w:name="_Toc101074421"/>
      <w:bookmarkStart w:id="402" w:name="_Toc145499762"/>
      <w:bookmarkStart w:id="403" w:name="_Toc101076036"/>
      <w:bookmarkStart w:id="404" w:name="_Toc100928656"/>
      <w:bookmarkStart w:id="405" w:name="_Toc100508619"/>
      <w:bookmarkStart w:id="406" w:name="_Toc100511826"/>
      <w:bookmarkStart w:id="407" w:name="_Toc101074639"/>
      <w:bookmarkStart w:id="408" w:name="_Toc100928212"/>
      <w:bookmarkStart w:id="409" w:name="_Toc101598037"/>
      <w:bookmarkStart w:id="410" w:name="_Toc99114431"/>
      <w:bookmarkStart w:id="411" w:name="_Toc99114796"/>
      <w:bookmarkStart w:id="412" w:name="_Toc99076434"/>
      <w:bookmarkStart w:id="413" w:name="_Toc99075824"/>
      <w:bookmarkStart w:id="414" w:name="_Toc99076145"/>
      <w:bookmarkStart w:id="415" w:name="_Toc99075245"/>
      <w:bookmarkStart w:id="416" w:name="_Toc98988363"/>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24.</w:t>
      </w:r>
      <w:bookmarkEnd w:id="397"/>
      <w:bookmarkEnd w:id="398"/>
      <w:bookmarkEnd w:id="399"/>
      <w:bookmarkEnd w:id="400"/>
      <w:bookmarkEnd w:id="401"/>
      <w:bookmarkEnd w:id="402"/>
      <w:bookmarkEnd w:id="403"/>
      <w:bookmarkEnd w:id="404"/>
      <w:bookmarkEnd w:id="405"/>
      <w:bookmarkEnd w:id="406"/>
      <w:bookmarkEnd w:id="407"/>
      <w:bookmarkEnd w:id="408"/>
      <w:bookmarkEnd w:id="409"/>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评审、谈判、确定成交</w:t>
      </w:r>
    </w:p>
    <w:bookmarkEnd w:id="410"/>
    <w:bookmarkEnd w:id="411"/>
    <w:bookmarkEnd w:id="412"/>
    <w:bookmarkEnd w:id="413"/>
    <w:bookmarkEnd w:id="414"/>
    <w:bookmarkEnd w:id="415"/>
    <w:bookmarkEnd w:id="416"/>
    <w:p w14:paraId="51F65799">
      <w:pPr>
        <w:spacing w:line="360" w:lineRule="auto"/>
        <w:ind w:left="516" w:leftChars="33" w:hanging="447" w:hangingChars="213"/>
        <w:rPr>
          <w:color w:val="000000" w:themeColor="text1"/>
          <w:szCs w:val="21"/>
          <w:highlight w:val="none"/>
          <w14:textFill>
            <w14:solidFill>
              <w14:schemeClr w14:val="tx1"/>
            </w14:solidFill>
          </w14:textFill>
        </w:rPr>
      </w:pPr>
      <w:bookmarkStart w:id="417" w:name="_Toc99114797"/>
      <w:bookmarkStart w:id="418" w:name="_Toc99114432"/>
      <w:bookmarkStart w:id="419" w:name="_Toc99076146"/>
      <w:bookmarkStart w:id="420" w:name="_Toc54280391"/>
      <w:bookmarkStart w:id="421" w:name="_Toc99075246"/>
      <w:bookmarkStart w:id="422" w:name="_Toc99076435"/>
      <w:bookmarkStart w:id="423" w:name="_Toc53918833"/>
      <w:bookmarkStart w:id="424" w:name="_Toc98988364"/>
      <w:bookmarkStart w:id="425" w:name="_Toc99075825"/>
      <w:bookmarkStart w:id="426" w:name="_Toc53948362"/>
      <w:bookmarkStart w:id="427" w:name="_Toc53936542"/>
      <w:bookmarkStart w:id="428" w:name="_Toc54280817"/>
      <w:bookmarkStart w:id="429" w:name="_Toc53945807"/>
      <w:bookmarkStart w:id="430" w:name="_Toc53948783"/>
      <w:bookmarkStart w:id="431" w:name="_Toc54279965"/>
      <w:bookmarkStart w:id="432" w:name="_Toc54281243"/>
      <w:bookmarkStart w:id="433" w:name="_Toc53939606"/>
      <w:bookmarkStart w:id="434" w:name="_Toc53949204"/>
      <w:r>
        <w:rPr>
          <w:color w:val="000000" w:themeColor="text1"/>
          <w:szCs w:val="21"/>
          <w:highlight w:val="none"/>
          <w14:textFill>
            <w14:solidFill>
              <w14:schemeClr w14:val="tx1"/>
            </w14:solidFill>
          </w14:textFill>
        </w:rPr>
        <w:t>24.1评审方法采用综合</w:t>
      </w:r>
      <w:r>
        <w:rPr>
          <w:rFonts w:hint="eastAsia"/>
          <w:color w:val="000000" w:themeColor="text1"/>
          <w:szCs w:val="21"/>
          <w:highlight w:val="none"/>
          <w14:textFill>
            <w14:solidFill>
              <w14:schemeClr w14:val="tx1"/>
            </w14:solidFill>
          </w14:textFill>
        </w:rPr>
        <w:t>评分</w:t>
      </w:r>
      <w:r>
        <w:rPr>
          <w:color w:val="000000" w:themeColor="text1"/>
          <w:szCs w:val="21"/>
          <w:highlight w:val="none"/>
          <w14:textFill>
            <w14:solidFill>
              <w14:schemeClr w14:val="tx1"/>
            </w14:solidFill>
          </w14:textFill>
        </w:rPr>
        <w:t>法。评审程序和评审方法详见附件</w:t>
      </w:r>
      <w:r>
        <w:rPr>
          <w:rFonts w:hint="eastAsia"/>
          <w:color w:val="000000" w:themeColor="text1"/>
          <w:szCs w:val="21"/>
          <w:highlight w:val="none"/>
          <w14:textFill>
            <w14:solidFill>
              <w14:schemeClr w14:val="tx1"/>
            </w14:solidFill>
          </w14:textFill>
        </w:rPr>
        <w:t>一</w:t>
      </w:r>
      <w:r>
        <w:rPr>
          <w:color w:val="000000" w:themeColor="text1"/>
          <w:szCs w:val="21"/>
          <w:highlight w:val="none"/>
          <w14:textFill>
            <w14:solidFill>
              <w14:schemeClr w14:val="tx1"/>
            </w14:solidFill>
          </w14:textFill>
        </w:rPr>
        <w:t>。</w:t>
      </w:r>
    </w:p>
    <w:p w14:paraId="728B742D">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24.</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依据上评述</w:t>
      </w:r>
      <w:r>
        <w:rPr>
          <w:rFonts w:hint="eastAsia"/>
          <w:color w:val="000000" w:themeColor="text1"/>
          <w:szCs w:val="21"/>
          <w:highlight w:val="none"/>
          <w14:textFill>
            <w14:solidFill>
              <w14:schemeClr w14:val="tx1"/>
            </w14:solidFill>
          </w14:textFill>
        </w:rPr>
        <w:t>评审</w:t>
      </w:r>
      <w:r>
        <w:rPr>
          <w:color w:val="000000" w:themeColor="text1"/>
          <w:szCs w:val="21"/>
          <w:highlight w:val="none"/>
          <w14:textFill>
            <w14:solidFill>
              <w14:schemeClr w14:val="tx1"/>
            </w14:solidFill>
          </w14:textFill>
        </w:rPr>
        <w:t>方法，</w:t>
      </w:r>
      <w:r>
        <w:rPr>
          <w:rFonts w:hint="eastAsia"/>
          <w:color w:val="000000" w:themeColor="text1"/>
          <w:szCs w:val="21"/>
          <w:highlight w:val="none"/>
          <w14:textFill>
            <w14:solidFill>
              <w14:schemeClr w14:val="tx1"/>
            </w14:solidFill>
          </w14:textFill>
        </w:rPr>
        <w:t>采购人</w:t>
      </w:r>
      <w:r>
        <w:rPr>
          <w:color w:val="000000" w:themeColor="text1"/>
          <w:szCs w:val="21"/>
          <w:highlight w:val="none"/>
          <w14:textFill>
            <w14:solidFill>
              <w14:schemeClr w14:val="tx1"/>
            </w14:solidFill>
          </w14:textFill>
        </w:rPr>
        <w:t>评审</w:t>
      </w:r>
      <w:r>
        <w:rPr>
          <w:rFonts w:hint="eastAsia"/>
          <w:color w:val="000000" w:themeColor="text1"/>
          <w:szCs w:val="21"/>
          <w:highlight w:val="none"/>
          <w14:textFill>
            <w14:solidFill>
              <w14:schemeClr w14:val="tx1"/>
            </w14:solidFill>
          </w14:textFill>
        </w:rPr>
        <w:t>小组</w:t>
      </w:r>
      <w:r>
        <w:rPr>
          <w:color w:val="000000" w:themeColor="text1"/>
          <w:szCs w:val="21"/>
          <w:highlight w:val="none"/>
          <w14:textFill>
            <w14:solidFill>
              <w14:schemeClr w14:val="tx1"/>
            </w14:solidFill>
          </w14:textFill>
        </w:rPr>
        <w:t>将对响应文件进行初步评审</w:t>
      </w:r>
      <w:r>
        <w:rPr>
          <w:rFonts w:hint="eastAsia"/>
          <w:color w:val="000000" w:themeColor="text1"/>
          <w:szCs w:val="21"/>
          <w:highlight w:val="none"/>
          <w14:textFill>
            <w14:solidFill>
              <w14:schemeClr w14:val="tx1"/>
            </w14:solidFill>
          </w14:textFill>
        </w:rPr>
        <w:t>，并要求响应单位对报价进行</w:t>
      </w:r>
      <w:r>
        <w:rPr>
          <w:color w:val="000000" w:themeColor="text1"/>
          <w:szCs w:val="21"/>
          <w:highlight w:val="none"/>
          <w14:textFill>
            <w14:solidFill>
              <w14:schemeClr w14:val="tx1"/>
            </w14:solidFill>
          </w14:textFill>
        </w:rPr>
        <w:t>澄清或补正</w:t>
      </w:r>
      <w:r>
        <w:rPr>
          <w:rFonts w:hint="eastAsia"/>
          <w:color w:val="000000" w:themeColor="text1"/>
          <w:szCs w:val="21"/>
          <w:highlight w:val="none"/>
          <w14:textFill>
            <w14:solidFill>
              <w14:schemeClr w14:val="tx1"/>
            </w14:solidFill>
          </w14:textFill>
        </w:rPr>
        <w:t>，经过采购人</w:t>
      </w:r>
      <w:r>
        <w:rPr>
          <w:color w:val="000000" w:themeColor="text1"/>
          <w:szCs w:val="21"/>
          <w:highlight w:val="none"/>
          <w14:textFill>
            <w14:solidFill>
              <w14:schemeClr w14:val="tx1"/>
            </w14:solidFill>
          </w14:textFill>
        </w:rPr>
        <w:t>评审</w:t>
      </w:r>
      <w:r>
        <w:rPr>
          <w:rFonts w:hint="eastAsia"/>
          <w:color w:val="000000" w:themeColor="text1"/>
          <w:szCs w:val="21"/>
          <w:highlight w:val="none"/>
          <w14:textFill>
            <w14:solidFill>
              <w14:schemeClr w14:val="tx1"/>
            </w14:solidFill>
          </w14:textFill>
        </w:rPr>
        <w:t>小组</w:t>
      </w:r>
      <w:r>
        <w:rPr>
          <w:color w:val="000000" w:themeColor="text1"/>
          <w:szCs w:val="21"/>
          <w:highlight w:val="none"/>
          <w14:textFill>
            <w14:solidFill>
              <w14:schemeClr w14:val="tx1"/>
            </w14:solidFill>
          </w14:textFill>
        </w:rPr>
        <w:t>比较</w:t>
      </w:r>
      <w:r>
        <w:rPr>
          <w:rFonts w:hint="eastAsia"/>
          <w:color w:val="000000" w:themeColor="text1"/>
          <w:szCs w:val="21"/>
          <w:highlight w:val="none"/>
          <w14:textFill>
            <w14:solidFill>
              <w14:schemeClr w14:val="tx1"/>
            </w14:solidFill>
          </w14:textFill>
        </w:rPr>
        <w:t>分析</w:t>
      </w:r>
      <w:r>
        <w:rPr>
          <w:color w:val="000000" w:themeColor="text1"/>
          <w:szCs w:val="21"/>
          <w:highlight w:val="none"/>
          <w14:textFill>
            <w14:solidFill>
              <w14:schemeClr w14:val="tx1"/>
            </w14:solidFill>
          </w14:textFill>
        </w:rPr>
        <w:t>，进行综合评分，</w:t>
      </w:r>
      <w:r>
        <w:rPr>
          <w:rFonts w:hint="eastAsia"/>
          <w:color w:val="000000" w:themeColor="text1"/>
          <w:szCs w:val="21"/>
          <w:highlight w:val="none"/>
          <w14:textFill>
            <w14:solidFill>
              <w14:schemeClr w14:val="tx1"/>
            </w14:solidFill>
          </w14:textFill>
        </w:rPr>
        <w:t>并</w:t>
      </w:r>
      <w:r>
        <w:rPr>
          <w:color w:val="000000" w:themeColor="text1"/>
          <w:szCs w:val="21"/>
          <w:highlight w:val="none"/>
          <w14:textFill>
            <w14:solidFill>
              <w14:schemeClr w14:val="tx1"/>
            </w14:solidFill>
          </w14:textFill>
        </w:rPr>
        <w:t>推荐</w:t>
      </w:r>
      <w:r>
        <w:rPr>
          <w:rFonts w:hint="eastAsia"/>
          <w:color w:val="000000" w:themeColor="text1"/>
          <w:szCs w:val="21"/>
          <w:highlight w:val="none"/>
          <w14:textFill>
            <w14:solidFill>
              <w14:schemeClr w14:val="tx1"/>
            </w14:solidFill>
          </w14:textFill>
        </w:rPr>
        <w:t>出谈判</w:t>
      </w:r>
      <w:r>
        <w:rPr>
          <w:color w:val="000000" w:themeColor="text1"/>
          <w:szCs w:val="21"/>
          <w:highlight w:val="none"/>
          <w14:textFill>
            <w14:solidFill>
              <w14:schemeClr w14:val="tx1"/>
            </w14:solidFill>
          </w14:textFill>
        </w:rPr>
        <w:t>候选人</w:t>
      </w:r>
      <w:r>
        <w:rPr>
          <w:rFonts w:hint="eastAsia"/>
          <w:color w:val="000000" w:themeColor="text1"/>
          <w:szCs w:val="21"/>
          <w:highlight w:val="none"/>
          <w14:textFill>
            <w14:solidFill>
              <w14:schemeClr w14:val="tx1"/>
            </w14:solidFill>
          </w14:textFill>
        </w:rPr>
        <w:t>。</w:t>
      </w:r>
    </w:p>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14:paraId="6AF4DC41">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24.</w:t>
      </w:r>
      <w:r>
        <w:rPr>
          <w:rFonts w:hint="eastAsia"/>
          <w:color w:val="000000" w:themeColor="text1"/>
          <w:szCs w:val="21"/>
          <w:highlight w:val="none"/>
          <w14:textFill>
            <w14:solidFill>
              <w14:schemeClr w14:val="tx1"/>
            </w14:solidFill>
          </w14:textFill>
        </w:rPr>
        <w:t>3谈判采取现场或视频会议方式进行，</w:t>
      </w:r>
      <w:r>
        <w:rPr>
          <w:color w:val="000000" w:themeColor="text1"/>
          <w:szCs w:val="21"/>
          <w:highlight w:val="none"/>
          <w14:textFill>
            <w14:solidFill>
              <w14:schemeClr w14:val="tx1"/>
            </w14:solidFill>
          </w14:textFill>
        </w:rPr>
        <w:t>响应单位的法定代表人或其授权代理人应携带法定代表人证明</w:t>
      </w:r>
      <w:r>
        <w:rPr>
          <w:rFonts w:hint="eastAsia"/>
          <w:color w:val="000000" w:themeColor="text1"/>
          <w:szCs w:val="21"/>
          <w:highlight w:val="none"/>
          <w14:textFill>
            <w14:solidFill>
              <w14:schemeClr w14:val="tx1"/>
            </w14:solidFill>
          </w14:textFill>
        </w:rPr>
        <w:t>文件</w:t>
      </w:r>
      <w:r>
        <w:rPr>
          <w:color w:val="000000" w:themeColor="text1"/>
          <w:szCs w:val="21"/>
          <w:highlight w:val="none"/>
          <w14:textFill>
            <w14:solidFill>
              <w14:schemeClr w14:val="tx1"/>
            </w14:solidFill>
          </w14:textFill>
        </w:rPr>
        <w:t>或授权委托书和本人的身份证的原件与复印件各1份</w:t>
      </w:r>
      <w:r>
        <w:rPr>
          <w:rFonts w:hint="eastAsia"/>
          <w:color w:val="000000" w:themeColor="text1"/>
          <w:szCs w:val="21"/>
          <w:highlight w:val="none"/>
          <w14:textFill>
            <w14:solidFill>
              <w14:schemeClr w14:val="tx1"/>
            </w14:solidFill>
          </w14:textFill>
        </w:rPr>
        <w:t>准时参会</w:t>
      </w:r>
      <w:r>
        <w:rPr>
          <w:color w:val="000000" w:themeColor="text1"/>
          <w:szCs w:val="21"/>
          <w:highlight w:val="none"/>
          <w14:textFill>
            <w14:solidFill>
              <w14:schemeClr w14:val="tx1"/>
            </w14:solidFill>
          </w14:textFill>
        </w:rPr>
        <w:t>，并在</w:t>
      </w:r>
      <w:r>
        <w:rPr>
          <w:rFonts w:hint="eastAsia"/>
          <w:color w:val="000000" w:themeColor="text1"/>
          <w:szCs w:val="21"/>
          <w:highlight w:val="none"/>
          <w14:textFill>
            <w14:solidFill>
              <w14:schemeClr w14:val="tx1"/>
            </w14:solidFill>
          </w14:textFill>
        </w:rPr>
        <w:t>需确认的资料上签字；采取视频会议方式的，签字、盖章原件须邮寄到采购人指定地址</w:t>
      </w:r>
      <w:r>
        <w:rPr>
          <w:color w:val="000000" w:themeColor="text1"/>
          <w:szCs w:val="21"/>
          <w:highlight w:val="none"/>
          <w14:textFill>
            <w14:solidFill>
              <w14:schemeClr w14:val="tx1"/>
            </w14:solidFill>
          </w14:textFill>
        </w:rPr>
        <w:t>。</w:t>
      </w:r>
    </w:p>
    <w:p w14:paraId="3477A7B6">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24.</w:t>
      </w:r>
      <w:r>
        <w:rPr>
          <w:rFonts w:hint="eastAsia"/>
          <w:color w:val="000000" w:themeColor="text1"/>
          <w:szCs w:val="21"/>
          <w:highlight w:val="none"/>
          <w:lang w:val="en-US" w:eastAsia="zh-CN"/>
          <w14:textFill>
            <w14:solidFill>
              <w14:schemeClr w14:val="tx1"/>
            </w14:solidFill>
          </w14:textFill>
        </w:rPr>
        <w:t>4</w:t>
      </w:r>
      <w:r>
        <w:rPr>
          <w:color w:val="000000" w:themeColor="text1"/>
          <w:szCs w:val="21"/>
          <w:highlight w:val="none"/>
          <w14:textFill>
            <w14:solidFill>
              <w14:schemeClr w14:val="tx1"/>
            </w14:solidFill>
          </w14:textFill>
        </w:rPr>
        <w:t>采购人</w:t>
      </w:r>
      <w:r>
        <w:rPr>
          <w:rFonts w:hint="eastAsia"/>
          <w:color w:val="000000" w:themeColor="text1"/>
          <w:szCs w:val="21"/>
          <w:highlight w:val="none"/>
          <w14:textFill>
            <w14:solidFill>
              <w14:schemeClr w14:val="tx1"/>
            </w14:solidFill>
          </w14:textFill>
        </w:rPr>
        <w:t>评审小组</w:t>
      </w:r>
      <w:r>
        <w:rPr>
          <w:color w:val="000000" w:themeColor="text1"/>
          <w:szCs w:val="21"/>
          <w:highlight w:val="none"/>
          <w14:textFill>
            <w14:solidFill>
              <w14:schemeClr w14:val="tx1"/>
            </w14:solidFill>
          </w14:textFill>
        </w:rPr>
        <w:t>编制和提交评审报告，并将评审报告和</w:t>
      </w:r>
      <w:r>
        <w:rPr>
          <w:rFonts w:hint="eastAsia"/>
          <w:color w:val="000000" w:themeColor="text1"/>
          <w:szCs w:val="21"/>
          <w:highlight w:val="none"/>
          <w14:textFill>
            <w14:solidFill>
              <w14:schemeClr w14:val="tx1"/>
            </w14:solidFill>
          </w14:textFill>
        </w:rPr>
        <w:t>拟定成交</w:t>
      </w:r>
      <w:r>
        <w:rPr>
          <w:color w:val="000000" w:themeColor="text1"/>
          <w:szCs w:val="21"/>
          <w:highlight w:val="none"/>
          <w14:textFill>
            <w14:solidFill>
              <w14:schemeClr w14:val="tx1"/>
            </w14:solidFill>
          </w14:textFill>
        </w:rPr>
        <w:t>结果</w:t>
      </w:r>
      <w:r>
        <w:rPr>
          <w:rFonts w:hint="eastAsia"/>
          <w:color w:val="000000" w:themeColor="text1"/>
          <w:szCs w:val="21"/>
          <w:highlight w:val="none"/>
          <w14:textFill>
            <w14:solidFill>
              <w14:schemeClr w14:val="tx1"/>
            </w14:solidFill>
          </w14:textFill>
        </w:rPr>
        <w:t>上</w:t>
      </w:r>
      <w:r>
        <w:rPr>
          <w:color w:val="000000" w:themeColor="text1"/>
          <w:szCs w:val="21"/>
          <w:highlight w:val="none"/>
          <w14:textFill>
            <w14:solidFill>
              <w14:schemeClr w14:val="tx1"/>
            </w14:solidFill>
          </w14:textFill>
        </w:rPr>
        <w:t>报</w:t>
      </w:r>
      <w:r>
        <w:rPr>
          <w:rFonts w:hint="eastAsia"/>
          <w:color w:val="000000" w:themeColor="text1"/>
          <w:szCs w:val="21"/>
          <w:highlight w:val="none"/>
          <w14:textFill>
            <w14:solidFill>
              <w14:schemeClr w14:val="tx1"/>
            </w14:solidFill>
          </w14:textFill>
        </w:rPr>
        <w:t>主管领导审批确定成交结果</w:t>
      </w:r>
      <w:r>
        <w:rPr>
          <w:color w:val="000000" w:themeColor="text1"/>
          <w:szCs w:val="21"/>
          <w:highlight w:val="none"/>
          <w14:textFill>
            <w14:solidFill>
              <w14:schemeClr w14:val="tx1"/>
            </w14:solidFill>
          </w14:textFill>
        </w:rPr>
        <w:t>。</w:t>
      </w:r>
    </w:p>
    <w:p w14:paraId="6D69C915">
      <w:pPr>
        <w:pStyle w:val="3"/>
        <w:spacing w:before="240" w:beforeLines="100" w:after="120" w:afterLines="50" w:line="360" w:lineRule="auto"/>
        <w:jc w:val="center"/>
        <w:rPr>
          <w:rStyle w:val="46"/>
          <w:rFonts w:ascii="Times New Roman" w:hAnsi="Times New Roman" w:eastAsia="宋体"/>
          <w:b/>
          <w:bCs w:val="0"/>
          <w:color w:val="000000" w:themeColor="text1"/>
          <w:sz w:val="28"/>
          <w:szCs w:val="28"/>
          <w:highlight w:val="none"/>
          <w14:textFill>
            <w14:solidFill>
              <w14:schemeClr w14:val="tx1"/>
            </w14:solidFill>
          </w14:textFill>
        </w:rPr>
      </w:pPr>
      <w:bookmarkStart w:id="435" w:name="_Toc54280820"/>
      <w:bookmarkStart w:id="436" w:name="_Toc53939609"/>
      <w:bookmarkStart w:id="437" w:name="_Toc53945810"/>
      <w:bookmarkStart w:id="438" w:name="_Toc53949207"/>
      <w:bookmarkStart w:id="439" w:name="_Toc284135593"/>
      <w:bookmarkStart w:id="440" w:name="_Toc54279968"/>
      <w:bookmarkStart w:id="441" w:name="_Toc53948786"/>
      <w:bookmarkStart w:id="442" w:name="_Toc53936545"/>
      <w:bookmarkStart w:id="443" w:name="_Toc54281246"/>
      <w:bookmarkStart w:id="444" w:name="_Toc53948365"/>
      <w:bookmarkStart w:id="445" w:name="_Toc53918836"/>
      <w:bookmarkStart w:id="446" w:name="_Toc145499763"/>
      <w:bookmarkStart w:id="447" w:name="_Toc54280394"/>
      <w:r>
        <w:rPr>
          <w:rStyle w:val="46"/>
          <w:rFonts w:ascii="Times New Roman" w:hAnsi="宋体" w:eastAsia="宋体"/>
          <w:b/>
          <w:bCs w:val="0"/>
          <w:color w:val="000000" w:themeColor="text1"/>
          <w:sz w:val="28"/>
          <w:szCs w:val="28"/>
          <w:highlight w:val="none"/>
          <w14:textFill>
            <w14:solidFill>
              <w14:schemeClr w14:val="tx1"/>
            </w14:solidFill>
          </w14:textFill>
        </w:rPr>
        <w:t>第六章</w:t>
      </w:r>
      <w:r>
        <w:rPr>
          <w:rStyle w:val="46"/>
          <w:rFonts w:ascii="Times New Roman" w:hAnsi="Times New Roman" w:eastAsia="宋体"/>
          <w:b/>
          <w:bCs w:val="0"/>
          <w:color w:val="000000" w:themeColor="text1"/>
          <w:sz w:val="28"/>
          <w:szCs w:val="28"/>
          <w:highlight w:val="none"/>
          <w14:textFill>
            <w14:solidFill>
              <w14:schemeClr w14:val="tx1"/>
            </w14:solidFill>
          </w14:textFill>
        </w:rPr>
        <w:t xml:space="preserve">  </w:t>
      </w:r>
      <w:r>
        <w:rPr>
          <w:rStyle w:val="46"/>
          <w:rFonts w:ascii="Times New Roman" w:hAnsi="宋体" w:eastAsia="宋体"/>
          <w:b/>
          <w:bCs w:val="0"/>
          <w:color w:val="000000" w:themeColor="text1"/>
          <w:sz w:val="28"/>
          <w:szCs w:val="28"/>
          <w:highlight w:val="none"/>
          <w14:textFill>
            <w14:solidFill>
              <w14:schemeClr w14:val="tx1"/>
            </w14:solidFill>
          </w14:textFill>
        </w:rPr>
        <w:t>合同的授予</w:t>
      </w:r>
      <w:bookmarkEnd w:id="435"/>
      <w:bookmarkEnd w:id="436"/>
      <w:bookmarkEnd w:id="437"/>
      <w:bookmarkEnd w:id="438"/>
      <w:bookmarkEnd w:id="439"/>
      <w:bookmarkEnd w:id="440"/>
      <w:bookmarkEnd w:id="441"/>
      <w:bookmarkEnd w:id="442"/>
      <w:bookmarkEnd w:id="443"/>
      <w:bookmarkEnd w:id="444"/>
      <w:bookmarkEnd w:id="445"/>
      <w:bookmarkEnd w:id="446"/>
      <w:bookmarkEnd w:id="447"/>
    </w:p>
    <w:p w14:paraId="0E540DEA">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448" w:name="_Toc145499764"/>
      <w:bookmarkStart w:id="449" w:name="_Toc101064275"/>
      <w:bookmarkStart w:id="450" w:name="_Toc101075793"/>
      <w:bookmarkStart w:id="451" w:name="_Toc99075829"/>
      <w:bookmarkStart w:id="452" w:name="_Toc100508622"/>
      <w:bookmarkStart w:id="453" w:name="_Toc99076439"/>
      <w:bookmarkStart w:id="454" w:name="_Toc98988368"/>
      <w:bookmarkStart w:id="455" w:name="_Toc53945811"/>
      <w:bookmarkStart w:id="456" w:name="_Toc99076150"/>
      <w:bookmarkStart w:id="457" w:name="_Toc54280821"/>
      <w:bookmarkStart w:id="458" w:name="_Toc101598039"/>
      <w:bookmarkStart w:id="459" w:name="_Toc101074423"/>
      <w:bookmarkStart w:id="460" w:name="_Toc53949208"/>
      <w:bookmarkStart w:id="461" w:name="_Toc99075250"/>
      <w:bookmarkStart w:id="462" w:name="_Toc100928436"/>
      <w:bookmarkStart w:id="463" w:name="_Toc53936546"/>
      <w:bookmarkStart w:id="464" w:name="_Toc100511829"/>
      <w:bookmarkStart w:id="465" w:name="_Toc101986494"/>
      <w:bookmarkStart w:id="466" w:name="_Toc53939610"/>
      <w:bookmarkStart w:id="467" w:name="_Toc54279969"/>
      <w:bookmarkStart w:id="468" w:name="_Toc54280395"/>
      <w:bookmarkStart w:id="469" w:name="_Toc99114436"/>
      <w:bookmarkStart w:id="470" w:name="_Toc54281247"/>
      <w:bookmarkStart w:id="471" w:name="_Toc99114801"/>
      <w:bookmarkStart w:id="472" w:name="_Toc101076038"/>
      <w:bookmarkStart w:id="473" w:name="_Toc53918837"/>
      <w:bookmarkStart w:id="474" w:name="_Toc100928658"/>
      <w:bookmarkStart w:id="475" w:name="_Toc100928214"/>
      <w:bookmarkStart w:id="476" w:name="_Toc53948366"/>
      <w:bookmarkStart w:id="477" w:name="_Toc53948787"/>
      <w:bookmarkStart w:id="478" w:name="_Toc101074641"/>
      <w:bookmarkStart w:id="479" w:name="_Toc53949210"/>
      <w:bookmarkStart w:id="480" w:name="_Toc53939612"/>
      <w:bookmarkStart w:id="481" w:name="_Toc54280397"/>
      <w:bookmarkStart w:id="482" w:name="_Toc54279971"/>
      <w:bookmarkStart w:id="483" w:name="_Toc54281249"/>
      <w:bookmarkStart w:id="484" w:name="_Toc53945813"/>
      <w:bookmarkStart w:id="485" w:name="_Toc53936548"/>
      <w:bookmarkStart w:id="486" w:name="_Toc53948368"/>
      <w:bookmarkStart w:id="487" w:name="_Toc53948789"/>
      <w:bookmarkStart w:id="488" w:name="_Toc54280823"/>
      <w:bookmarkStart w:id="489" w:name="_Toc53918839"/>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25.成交通知书</w:t>
      </w:r>
    </w:p>
    <w:p w14:paraId="49A6710C">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25</w:t>
      </w: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成交结果确定</w:t>
      </w:r>
      <w:r>
        <w:rPr>
          <w:color w:val="000000" w:themeColor="text1"/>
          <w:szCs w:val="21"/>
          <w:highlight w:val="none"/>
          <w14:textFill>
            <w14:solidFill>
              <w14:schemeClr w14:val="tx1"/>
            </w14:solidFill>
          </w14:textFill>
        </w:rPr>
        <w:t>后，采购人即向成交单位发出“成交通知书”，确认其</w:t>
      </w:r>
      <w:r>
        <w:rPr>
          <w:rFonts w:hint="eastAsia"/>
          <w:color w:val="000000" w:themeColor="text1"/>
          <w:szCs w:val="21"/>
          <w:highlight w:val="none"/>
          <w14:textFill>
            <w14:solidFill>
              <w14:schemeClr w14:val="tx1"/>
            </w14:solidFill>
          </w14:textFill>
        </w:rPr>
        <w:t>响应文件</w:t>
      </w:r>
      <w:r>
        <w:rPr>
          <w:color w:val="000000" w:themeColor="text1"/>
          <w:szCs w:val="21"/>
          <w:highlight w:val="none"/>
          <w14:textFill>
            <w14:solidFill>
              <w14:schemeClr w14:val="tx1"/>
            </w14:solidFill>
          </w14:textFill>
        </w:rPr>
        <w:t>已被接受，发出时间不超过响应有效期。</w:t>
      </w:r>
    </w:p>
    <w:p w14:paraId="114BA531">
      <w:pPr>
        <w:spacing w:line="360" w:lineRule="auto"/>
        <w:ind w:left="516" w:leftChars="33" w:hanging="447" w:hangingChars="213"/>
        <w:rPr>
          <w:bCs/>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25.2</w:t>
      </w:r>
      <w:r>
        <w:rPr>
          <w:color w:val="000000" w:themeColor="text1"/>
          <w:szCs w:val="21"/>
          <w:highlight w:val="none"/>
          <w14:textFill>
            <w14:solidFill>
              <w14:schemeClr w14:val="tx1"/>
            </w14:solidFill>
          </w14:textFill>
        </w:rPr>
        <w:t>采购人在发出成交通知书的同时</w:t>
      </w:r>
      <w:r>
        <w:rPr>
          <w:rFonts w:hint="eastAsia"/>
          <w:color w:val="000000" w:themeColor="text1"/>
          <w:szCs w:val="21"/>
          <w:highlight w:val="none"/>
          <w14:textFill>
            <w14:solidFill>
              <w14:schemeClr w14:val="tx1"/>
            </w14:solidFill>
          </w14:textFill>
        </w:rPr>
        <w:t>通知</w:t>
      </w:r>
      <w:r>
        <w:rPr>
          <w:color w:val="000000" w:themeColor="text1"/>
          <w:szCs w:val="21"/>
          <w:highlight w:val="none"/>
          <w14:textFill>
            <w14:solidFill>
              <w14:schemeClr w14:val="tx1"/>
            </w14:solidFill>
          </w14:textFill>
        </w:rPr>
        <w:t>所有未</w:t>
      </w:r>
      <w:r>
        <w:rPr>
          <w:rFonts w:hint="eastAsia"/>
          <w:color w:val="000000" w:themeColor="text1"/>
          <w:szCs w:val="21"/>
          <w:highlight w:val="none"/>
          <w14:textFill>
            <w14:solidFill>
              <w14:schemeClr w14:val="tx1"/>
            </w14:solidFill>
          </w14:textFill>
        </w:rPr>
        <w:t>成交</w:t>
      </w:r>
      <w:r>
        <w:rPr>
          <w:color w:val="000000" w:themeColor="text1"/>
          <w:szCs w:val="21"/>
          <w:highlight w:val="none"/>
          <w14:textFill>
            <w14:solidFill>
              <w14:schemeClr w14:val="tx1"/>
            </w14:solidFill>
          </w14:textFill>
        </w:rPr>
        <w:t>的响应单位</w:t>
      </w:r>
      <w:r>
        <w:rPr>
          <w:rFonts w:hint="eastAsia"/>
          <w:color w:val="000000" w:themeColor="text1"/>
          <w:szCs w:val="21"/>
          <w:highlight w:val="none"/>
          <w14:textFill>
            <w14:solidFill>
              <w14:schemeClr w14:val="tx1"/>
            </w14:solidFill>
          </w14:textFill>
        </w:rPr>
        <w:t>领回相应响应保证金或响应保函</w:t>
      </w:r>
      <w:r>
        <w:rPr>
          <w:color w:val="000000" w:themeColor="text1"/>
          <w:szCs w:val="21"/>
          <w:highlight w:val="none"/>
          <w14:textFill>
            <w14:solidFill>
              <w14:schemeClr w14:val="tx1"/>
            </w14:solidFill>
          </w14:textFill>
        </w:rPr>
        <w:t>。</w:t>
      </w:r>
    </w:p>
    <w:p w14:paraId="1E0CF563">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26.</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合同授予的条件</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14:paraId="722E8D5C">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w:t>
      </w:r>
      <w:r>
        <w:rPr>
          <w:rFonts w:hint="eastAsia"/>
          <w:color w:val="000000" w:themeColor="text1"/>
          <w:szCs w:val="21"/>
          <w:highlight w:val="none"/>
          <w14:textFill>
            <w14:solidFill>
              <w14:schemeClr w14:val="tx1"/>
            </w14:solidFill>
          </w14:textFill>
        </w:rPr>
        <w:t>6</w:t>
      </w:r>
      <w:r>
        <w:rPr>
          <w:color w:val="000000" w:themeColor="text1"/>
          <w:szCs w:val="21"/>
          <w:highlight w:val="none"/>
          <w14:textFill>
            <w14:solidFill>
              <w14:schemeClr w14:val="tx1"/>
            </w14:solidFill>
          </w14:textFill>
        </w:rPr>
        <w:t>.1本合同将授予资格复审合格、响应文件合规、综合评分第一的响应单位。采购人不承诺将本合同授予给最低报价的响应单位。</w:t>
      </w:r>
    </w:p>
    <w:p w14:paraId="7EF1FDAD">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w:t>
      </w:r>
      <w:r>
        <w:rPr>
          <w:rFonts w:hint="eastAsia"/>
          <w:color w:val="000000" w:themeColor="text1"/>
          <w:szCs w:val="21"/>
          <w:highlight w:val="none"/>
          <w14:textFill>
            <w14:solidFill>
              <w14:schemeClr w14:val="tx1"/>
            </w14:solidFill>
          </w14:textFill>
        </w:rPr>
        <w:t>6</w:t>
      </w:r>
      <w:r>
        <w:rPr>
          <w:color w:val="000000" w:themeColor="text1"/>
          <w:szCs w:val="21"/>
          <w:highlight w:val="none"/>
          <w14:textFill>
            <w14:solidFill>
              <w14:schemeClr w14:val="tx1"/>
            </w14:solidFill>
          </w14:textFill>
        </w:rPr>
        <w:t>.2如果排名第一的响应单位主动放弃其合同授予资格或因未遵循采购文件的要求被采购人取消其合同授予资格，则由排名第二的响应单位获得合同授予资格，以此类推，直至排名第三的响应单位获得合同授予资格。如果前三名均放弃合同授予资格或被采购人取消合同授予资格，采购人则</w:t>
      </w:r>
      <w:r>
        <w:rPr>
          <w:rFonts w:hint="eastAsia"/>
          <w:color w:val="000000" w:themeColor="text1"/>
          <w:szCs w:val="21"/>
          <w:highlight w:val="none"/>
          <w14:textFill>
            <w14:solidFill>
              <w14:schemeClr w14:val="tx1"/>
            </w14:solidFill>
          </w14:textFill>
        </w:rPr>
        <w:t>应</w:t>
      </w:r>
      <w:r>
        <w:rPr>
          <w:color w:val="000000" w:themeColor="text1"/>
          <w:szCs w:val="21"/>
          <w:highlight w:val="none"/>
          <w14:textFill>
            <w14:solidFill>
              <w14:schemeClr w14:val="tx1"/>
            </w14:solidFill>
          </w14:textFill>
        </w:rPr>
        <w:t>重新</w:t>
      </w:r>
      <w:r>
        <w:rPr>
          <w:rFonts w:hint="eastAsia"/>
          <w:color w:val="000000" w:themeColor="text1"/>
          <w:szCs w:val="21"/>
          <w:highlight w:val="none"/>
          <w14:textFill>
            <w14:solidFill>
              <w14:schemeClr w14:val="tx1"/>
            </w14:solidFill>
          </w14:textFill>
        </w:rPr>
        <w:t>组织</w:t>
      </w:r>
      <w:r>
        <w:rPr>
          <w:color w:val="000000" w:themeColor="text1"/>
          <w:szCs w:val="21"/>
          <w:highlight w:val="none"/>
          <w14:textFill>
            <w14:solidFill>
              <w14:schemeClr w14:val="tx1"/>
            </w14:solidFill>
          </w14:textFill>
        </w:rPr>
        <w:t>采购。</w:t>
      </w:r>
    </w:p>
    <w:p w14:paraId="249DCE69">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26.3如拟成交单位存在不平衡报价，在合同签订前采购人可要求拟成交单位把单价调整至合理水平。</w:t>
      </w:r>
    </w:p>
    <w:bookmarkEnd w:id="479"/>
    <w:bookmarkEnd w:id="480"/>
    <w:bookmarkEnd w:id="481"/>
    <w:bookmarkEnd w:id="482"/>
    <w:bookmarkEnd w:id="483"/>
    <w:bookmarkEnd w:id="484"/>
    <w:bookmarkEnd w:id="485"/>
    <w:bookmarkEnd w:id="486"/>
    <w:bookmarkEnd w:id="487"/>
    <w:bookmarkEnd w:id="488"/>
    <w:bookmarkEnd w:id="489"/>
    <w:p w14:paraId="55044FA9">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490" w:name="_Toc53948369"/>
      <w:bookmarkStart w:id="491" w:name="_Toc53945814"/>
      <w:bookmarkStart w:id="492" w:name="_Toc54279972"/>
      <w:bookmarkStart w:id="493" w:name="_Toc53918840"/>
      <w:bookmarkStart w:id="494" w:name="_Toc54281250"/>
      <w:bookmarkStart w:id="495" w:name="_Toc53949211"/>
      <w:bookmarkStart w:id="496" w:name="_Toc53936549"/>
      <w:bookmarkStart w:id="497" w:name="_Toc54280398"/>
      <w:bookmarkStart w:id="498" w:name="_Toc54280824"/>
      <w:bookmarkStart w:id="499" w:name="_Toc53939613"/>
      <w:bookmarkStart w:id="500" w:name="_Toc53948790"/>
      <w:bookmarkStart w:id="501" w:name="_Toc145499766"/>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27</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w:t>
      </w:r>
      <w:bookmarkEnd w:id="490"/>
      <w:bookmarkEnd w:id="491"/>
      <w:bookmarkEnd w:id="492"/>
      <w:bookmarkEnd w:id="493"/>
      <w:bookmarkEnd w:id="494"/>
      <w:bookmarkEnd w:id="495"/>
      <w:bookmarkEnd w:id="496"/>
      <w:bookmarkEnd w:id="497"/>
      <w:bookmarkEnd w:id="498"/>
      <w:bookmarkEnd w:id="499"/>
      <w:bookmarkEnd w:id="500"/>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履约担保</w:t>
      </w:r>
      <w:bookmarkEnd w:id="501"/>
    </w:p>
    <w:p w14:paraId="2170E51B">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27</w:t>
      </w:r>
      <w:r>
        <w:rPr>
          <w:color w:val="000000" w:themeColor="text1"/>
          <w:szCs w:val="21"/>
          <w:highlight w:val="none"/>
          <w14:textFill>
            <w14:solidFill>
              <w14:schemeClr w14:val="tx1"/>
            </w14:solidFill>
          </w14:textFill>
        </w:rPr>
        <w:t>.1</w:t>
      </w:r>
      <w:r>
        <w:rPr>
          <w:rFonts w:hAnsi="宋体"/>
          <w:color w:val="000000" w:themeColor="text1"/>
          <w:szCs w:val="21"/>
          <w:highlight w:val="none"/>
          <w14:textFill>
            <w14:solidFill>
              <w14:schemeClr w14:val="tx1"/>
            </w14:solidFill>
          </w14:textFill>
        </w:rPr>
        <w:t>成交单位在签订合同协议书时，应按《响应单位须知前附表》第</w:t>
      </w:r>
      <w:r>
        <w:rPr>
          <w:rFonts w:hint="eastAsia"/>
          <w:color w:val="000000" w:themeColor="text1"/>
          <w:szCs w:val="21"/>
          <w:highlight w:val="none"/>
          <w14:textFill>
            <w14:solidFill>
              <w14:schemeClr w14:val="tx1"/>
            </w14:solidFill>
          </w14:textFill>
        </w:rPr>
        <w:t>17</w:t>
      </w:r>
      <w:r>
        <w:rPr>
          <w:rFonts w:hAnsi="宋体"/>
          <w:color w:val="000000" w:themeColor="text1"/>
          <w:szCs w:val="21"/>
          <w:highlight w:val="none"/>
          <w14:textFill>
            <w14:solidFill>
              <w14:schemeClr w14:val="tx1"/>
            </w14:solidFill>
          </w14:textFill>
        </w:rPr>
        <w:t>项规定，向采购人提交履约</w:t>
      </w:r>
      <w:r>
        <w:rPr>
          <w:rFonts w:hint="eastAsia" w:hAnsi="宋体"/>
          <w:color w:val="000000" w:themeColor="text1"/>
          <w:szCs w:val="21"/>
          <w:highlight w:val="none"/>
          <w14:textFill>
            <w14:solidFill>
              <w14:schemeClr w14:val="tx1"/>
            </w14:solidFill>
          </w14:textFill>
        </w:rPr>
        <w:t>担保</w:t>
      </w:r>
      <w:r>
        <w:rPr>
          <w:rFonts w:hAnsi="宋体"/>
          <w:color w:val="000000" w:themeColor="text1"/>
          <w:szCs w:val="21"/>
          <w:highlight w:val="none"/>
          <w14:textFill>
            <w14:solidFill>
              <w14:schemeClr w14:val="tx1"/>
            </w14:solidFill>
          </w14:textFill>
        </w:rPr>
        <w:t>。</w:t>
      </w:r>
    </w:p>
    <w:p w14:paraId="03120711">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502" w:name="_Toc54280825"/>
      <w:bookmarkStart w:id="503" w:name="_Toc54280399"/>
      <w:bookmarkStart w:id="504" w:name="_Toc53948791"/>
      <w:bookmarkStart w:id="505" w:name="_Toc53945815"/>
      <w:bookmarkStart w:id="506" w:name="_Toc54279973"/>
      <w:bookmarkStart w:id="507" w:name="_Toc53948370"/>
      <w:bookmarkStart w:id="508" w:name="_Toc53918841"/>
      <w:bookmarkStart w:id="509" w:name="_Toc54281251"/>
      <w:bookmarkStart w:id="510" w:name="_Toc53939614"/>
      <w:bookmarkStart w:id="511" w:name="_Toc53936550"/>
      <w:bookmarkStart w:id="512" w:name="_Toc145499767"/>
      <w:bookmarkStart w:id="513" w:name="_Toc53949212"/>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28</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.合同协议书的签署</w:t>
      </w:r>
      <w:bookmarkEnd w:id="502"/>
      <w:bookmarkEnd w:id="503"/>
      <w:bookmarkEnd w:id="504"/>
      <w:bookmarkEnd w:id="505"/>
      <w:bookmarkEnd w:id="506"/>
      <w:bookmarkEnd w:id="507"/>
      <w:bookmarkEnd w:id="508"/>
      <w:bookmarkEnd w:id="509"/>
      <w:bookmarkEnd w:id="510"/>
      <w:bookmarkEnd w:id="511"/>
      <w:bookmarkEnd w:id="512"/>
      <w:bookmarkEnd w:id="513"/>
    </w:p>
    <w:p w14:paraId="65A5CAE0">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28</w:t>
      </w:r>
      <w:r>
        <w:rPr>
          <w:color w:val="000000" w:themeColor="text1"/>
          <w:szCs w:val="21"/>
          <w:highlight w:val="none"/>
          <w14:textFill>
            <w14:solidFill>
              <w14:schemeClr w14:val="tx1"/>
            </w14:solidFill>
          </w14:textFill>
        </w:rPr>
        <w:t>.1</w:t>
      </w:r>
      <w:r>
        <w:rPr>
          <w:rFonts w:hAnsi="宋体"/>
          <w:color w:val="000000" w:themeColor="text1"/>
          <w:szCs w:val="21"/>
          <w:highlight w:val="none"/>
          <w14:textFill>
            <w14:solidFill>
              <w14:schemeClr w14:val="tx1"/>
            </w14:solidFill>
          </w14:textFill>
        </w:rPr>
        <w:t>成交单位应在《响应单位须知前附表》第</w:t>
      </w:r>
      <w:r>
        <w:rPr>
          <w:rFonts w:hint="eastAsia"/>
          <w:color w:val="000000" w:themeColor="text1"/>
          <w:szCs w:val="21"/>
          <w:highlight w:val="none"/>
          <w14:textFill>
            <w14:solidFill>
              <w14:schemeClr w14:val="tx1"/>
            </w14:solidFill>
          </w14:textFill>
        </w:rPr>
        <w:t>18</w:t>
      </w:r>
      <w:r>
        <w:rPr>
          <w:rFonts w:hAnsi="宋体"/>
          <w:color w:val="000000" w:themeColor="text1"/>
          <w:szCs w:val="21"/>
          <w:highlight w:val="none"/>
          <w14:textFill>
            <w14:solidFill>
              <w14:schemeClr w14:val="tx1"/>
            </w14:solidFill>
          </w14:textFill>
        </w:rPr>
        <w:t>项规定的时间内，与采购人签订合同协议书。</w:t>
      </w:r>
    </w:p>
    <w:p w14:paraId="2464D9F5">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28</w:t>
      </w:r>
      <w:r>
        <w:rPr>
          <w:color w:val="000000" w:themeColor="text1"/>
          <w:szCs w:val="21"/>
          <w:highlight w:val="none"/>
          <w14:textFill>
            <w14:solidFill>
              <w14:schemeClr w14:val="tx1"/>
            </w14:solidFill>
          </w14:textFill>
        </w:rPr>
        <w:t>.2</w:t>
      </w:r>
      <w:r>
        <w:rPr>
          <w:rFonts w:hAnsi="宋体"/>
          <w:color w:val="000000" w:themeColor="text1"/>
          <w:szCs w:val="21"/>
          <w:highlight w:val="none"/>
          <w14:textFill>
            <w14:solidFill>
              <w14:schemeClr w14:val="tx1"/>
            </w14:solidFill>
          </w14:textFill>
        </w:rPr>
        <w:t>合同协议书经签约双方法定代表人或其授权代理人签字并加盖公章后生效，但在合同协议书中约定合同生效</w:t>
      </w:r>
      <w:r>
        <w:rPr>
          <w:rFonts w:hint="eastAsia" w:hAnsi="宋体"/>
          <w:color w:val="000000" w:themeColor="text1"/>
          <w:szCs w:val="21"/>
          <w:highlight w:val="none"/>
          <w14:textFill>
            <w14:solidFill>
              <w14:schemeClr w14:val="tx1"/>
            </w14:solidFill>
          </w14:textFill>
        </w:rPr>
        <w:t>期限</w:t>
      </w:r>
      <w:r>
        <w:rPr>
          <w:rFonts w:hAnsi="宋体"/>
          <w:color w:val="000000" w:themeColor="text1"/>
          <w:szCs w:val="21"/>
          <w:highlight w:val="none"/>
          <w14:textFill>
            <w14:solidFill>
              <w14:schemeClr w14:val="tx1"/>
            </w14:solidFill>
          </w14:textFill>
        </w:rPr>
        <w:t>或条件的除外。</w:t>
      </w:r>
    </w:p>
    <w:p w14:paraId="4C0A49AB">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28</w:t>
      </w:r>
      <w:r>
        <w:rPr>
          <w:color w:val="000000" w:themeColor="text1"/>
          <w:szCs w:val="21"/>
          <w:highlight w:val="none"/>
          <w14:textFill>
            <w14:solidFill>
              <w14:schemeClr w14:val="tx1"/>
            </w14:solidFill>
          </w14:textFill>
        </w:rPr>
        <w:t>.3</w:t>
      </w:r>
      <w:r>
        <w:rPr>
          <w:rFonts w:hAnsi="宋体"/>
          <w:color w:val="000000" w:themeColor="text1"/>
          <w:szCs w:val="21"/>
          <w:highlight w:val="none"/>
          <w14:textFill>
            <w14:solidFill>
              <w14:schemeClr w14:val="tx1"/>
            </w14:solidFill>
          </w14:textFill>
        </w:rPr>
        <w:t>如果成交单位未能遵守本《响应单位须知前附表》</w:t>
      </w:r>
      <w:r>
        <w:rPr>
          <w:rFonts w:hint="eastAsia"/>
          <w:color w:val="000000" w:themeColor="text1"/>
          <w:szCs w:val="21"/>
          <w:highlight w:val="none"/>
          <w14:textFill>
            <w14:solidFill>
              <w14:schemeClr w14:val="tx1"/>
            </w14:solidFill>
          </w14:textFill>
        </w:rPr>
        <w:t>18项</w:t>
      </w:r>
      <w:r>
        <w:rPr>
          <w:rFonts w:hAnsi="宋体"/>
          <w:color w:val="000000" w:themeColor="text1"/>
          <w:szCs w:val="21"/>
          <w:highlight w:val="none"/>
          <w14:textFill>
            <w14:solidFill>
              <w14:schemeClr w14:val="tx1"/>
            </w14:solidFill>
          </w14:textFill>
        </w:rPr>
        <w:t>或</w:t>
      </w:r>
      <w:r>
        <w:rPr>
          <w:rFonts w:hint="eastAsia"/>
          <w:color w:val="000000" w:themeColor="text1"/>
          <w:szCs w:val="21"/>
          <w:highlight w:val="none"/>
          <w14:textFill>
            <w14:solidFill>
              <w14:schemeClr w14:val="tx1"/>
            </w14:solidFill>
          </w14:textFill>
        </w:rPr>
        <w:t>本章第27</w:t>
      </w:r>
      <w:r>
        <w:rPr>
          <w:rFonts w:hAnsi="宋体"/>
          <w:color w:val="000000" w:themeColor="text1"/>
          <w:szCs w:val="21"/>
          <w:highlight w:val="none"/>
          <w14:textFill>
            <w14:solidFill>
              <w14:schemeClr w14:val="tx1"/>
            </w14:solidFill>
          </w14:textFill>
        </w:rPr>
        <w:t>条的规定，采购人则可宣布其</w:t>
      </w:r>
      <w:r>
        <w:rPr>
          <w:rFonts w:hint="eastAsia" w:hAnsi="宋体"/>
          <w:color w:val="000000" w:themeColor="text1"/>
          <w:szCs w:val="21"/>
          <w:highlight w:val="none"/>
          <w14:textFill>
            <w14:solidFill>
              <w14:schemeClr w14:val="tx1"/>
            </w14:solidFill>
          </w14:textFill>
        </w:rPr>
        <w:t>成交结果</w:t>
      </w:r>
      <w:r>
        <w:rPr>
          <w:rFonts w:hAnsi="宋体"/>
          <w:color w:val="000000" w:themeColor="text1"/>
          <w:szCs w:val="21"/>
          <w:highlight w:val="none"/>
          <w14:textFill>
            <w14:solidFill>
              <w14:schemeClr w14:val="tx1"/>
            </w14:solidFill>
          </w14:textFill>
        </w:rPr>
        <w:t>无效，并没收其响应担保</w:t>
      </w:r>
      <w:r>
        <w:rPr>
          <w:rFonts w:hint="eastAsia" w:hAnsi="宋体"/>
          <w:color w:val="000000" w:themeColor="text1"/>
          <w:szCs w:val="21"/>
          <w:highlight w:val="none"/>
          <w14:textFill>
            <w14:solidFill>
              <w14:schemeClr w14:val="tx1"/>
            </w14:solidFill>
          </w14:textFill>
        </w:rPr>
        <w:t>金</w:t>
      </w:r>
      <w:r>
        <w:rPr>
          <w:rFonts w:hAnsi="宋体"/>
          <w:color w:val="000000" w:themeColor="text1"/>
          <w:szCs w:val="21"/>
          <w:highlight w:val="none"/>
          <w14:textFill>
            <w14:solidFill>
              <w14:schemeClr w14:val="tx1"/>
            </w14:solidFill>
          </w14:textFill>
        </w:rPr>
        <w:t>。在此情况下，可将合同授予下一个预期的成交单位或者按照有关规定重新组织采购。</w:t>
      </w:r>
    </w:p>
    <w:p w14:paraId="41B911C4">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514" w:name="_Toc53948371"/>
      <w:bookmarkStart w:id="515" w:name="_Toc54279975"/>
      <w:bookmarkStart w:id="516" w:name="_Toc53945816"/>
      <w:bookmarkStart w:id="517" w:name="_Toc53936551"/>
      <w:bookmarkStart w:id="518" w:name="_Toc53939615"/>
      <w:bookmarkStart w:id="519" w:name="_Toc53948792"/>
      <w:bookmarkStart w:id="520" w:name="_Toc145499768"/>
      <w:bookmarkStart w:id="521" w:name="_Toc54280827"/>
      <w:bookmarkStart w:id="522" w:name="_Toc54280401"/>
      <w:bookmarkStart w:id="523" w:name="_Toc53949213"/>
      <w:bookmarkStart w:id="524" w:name="_Toc53918842"/>
      <w:bookmarkStart w:id="525" w:name="_Toc54281253"/>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29</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.不正当竞争与纪律监督</w:t>
      </w:r>
      <w:bookmarkEnd w:id="514"/>
      <w:bookmarkEnd w:id="515"/>
      <w:bookmarkEnd w:id="516"/>
      <w:bookmarkEnd w:id="517"/>
      <w:bookmarkEnd w:id="518"/>
      <w:bookmarkEnd w:id="519"/>
      <w:bookmarkEnd w:id="520"/>
      <w:bookmarkEnd w:id="521"/>
      <w:bookmarkEnd w:id="522"/>
      <w:bookmarkEnd w:id="523"/>
      <w:bookmarkEnd w:id="524"/>
      <w:bookmarkEnd w:id="525"/>
    </w:p>
    <w:p w14:paraId="73EB7493">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29.1</w:t>
      </w:r>
      <w:r>
        <w:rPr>
          <w:rFonts w:hint="eastAsia"/>
          <w:color w:val="000000" w:themeColor="text1"/>
          <w:szCs w:val="21"/>
          <w:highlight w:val="none"/>
          <w14:textFill>
            <w14:solidFill>
              <w14:schemeClr w14:val="tx1"/>
            </w14:solidFill>
          </w14:textFill>
        </w:rPr>
        <w:t>响应单位在采购过程中严禁互相串通、结盟，损害采购的公正性和竞争性，或以任何方式影响其他响应单位参与正当采购活动。</w:t>
      </w:r>
    </w:p>
    <w:p w14:paraId="2AE42C95">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29.2</w:t>
      </w:r>
      <w:r>
        <w:rPr>
          <w:rFonts w:hint="eastAsia"/>
          <w:color w:val="000000" w:themeColor="text1"/>
          <w:szCs w:val="21"/>
          <w:highlight w:val="none"/>
          <w14:textFill>
            <w14:solidFill>
              <w14:schemeClr w14:val="tx1"/>
            </w14:solidFill>
          </w14:textFill>
        </w:rPr>
        <w:t>响应单位严禁使用非法手段查询采购底价或其他响应单位文件，泄漏响应文件、哄抬价格损害采购人利益。</w:t>
      </w:r>
    </w:p>
    <w:p w14:paraId="0E8F094D">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29.3</w:t>
      </w:r>
      <w:r>
        <w:rPr>
          <w:rFonts w:hint="eastAsia"/>
          <w:color w:val="000000" w:themeColor="text1"/>
          <w:szCs w:val="21"/>
          <w:highlight w:val="none"/>
          <w14:textFill>
            <w14:solidFill>
              <w14:schemeClr w14:val="tx1"/>
            </w14:solidFill>
          </w14:textFill>
        </w:rPr>
        <w:t>响应单位严禁利用非法手段骗取成交，伪造借用营业执照、企业资质证书、安全许可证等非法行为。</w:t>
      </w:r>
    </w:p>
    <w:p w14:paraId="20649927">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29</w:t>
      </w:r>
      <w:r>
        <w:rPr>
          <w:color w:val="000000" w:themeColor="text1"/>
          <w:szCs w:val="21"/>
          <w:highlight w:val="none"/>
          <w14:textFill>
            <w14:solidFill>
              <w14:schemeClr w14:val="tx1"/>
            </w14:solidFill>
          </w14:textFill>
        </w:rPr>
        <w:t>.4如发现响应单位有上述不正当竞争行为，将取消其</w:t>
      </w:r>
      <w:r>
        <w:rPr>
          <w:rFonts w:hint="eastAsia"/>
          <w:color w:val="000000" w:themeColor="text1"/>
          <w:szCs w:val="21"/>
          <w:highlight w:val="none"/>
          <w14:textFill>
            <w14:solidFill>
              <w14:schemeClr w14:val="tx1"/>
            </w14:solidFill>
          </w14:textFill>
        </w:rPr>
        <w:t>响应</w:t>
      </w:r>
      <w:r>
        <w:rPr>
          <w:color w:val="000000" w:themeColor="text1"/>
          <w:szCs w:val="21"/>
          <w:highlight w:val="none"/>
          <w14:textFill>
            <w14:solidFill>
              <w14:schemeClr w14:val="tx1"/>
            </w14:solidFill>
          </w14:textFill>
        </w:rPr>
        <w:t>资格或</w:t>
      </w:r>
      <w:r>
        <w:rPr>
          <w:rFonts w:hint="eastAsia"/>
          <w:color w:val="000000" w:themeColor="text1"/>
          <w:szCs w:val="21"/>
          <w:highlight w:val="none"/>
          <w14:textFill>
            <w14:solidFill>
              <w14:schemeClr w14:val="tx1"/>
            </w14:solidFill>
          </w14:textFill>
        </w:rPr>
        <w:t>成交</w:t>
      </w:r>
      <w:r>
        <w:rPr>
          <w:color w:val="000000" w:themeColor="text1"/>
          <w:szCs w:val="21"/>
          <w:highlight w:val="none"/>
          <w14:textFill>
            <w14:solidFill>
              <w14:schemeClr w14:val="tx1"/>
            </w14:solidFill>
          </w14:textFill>
        </w:rPr>
        <w:t>资格</w:t>
      </w:r>
      <w:r>
        <w:rPr>
          <w:rFonts w:hint="eastAsia"/>
          <w:color w:val="000000" w:themeColor="text1"/>
          <w:szCs w:val="21"/>
          <w:highlight w:val="none"/>
          <w14:textFill>
            <w14:solidFill>
              <w14:schemeClr w14:val="tx1"/>
            </w14:solidFill>
          </w14:textFill>
        </w:rPr>
        <w:t>，已进场开工的责令停工退场，赔偿公司的经济损失，列入中建路桥不合格协力队伍名录</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同时，该响应单位及其法定代表人（负责人）无论用何种名义、重新注册公司或挂靠的任何单位永久不得参与中建路桥集团范围内组织的采购。</w:t>
      </w:r>
    </w:p>
    <w:p w14:paraId="4E544043">
      <w:pPr>
        <w:pStyle w:val="3"/>
        <w:spacing w:before="240" w:beforeLines="100" w:after="120" w:afterLines="50" w:line="360" w:lineRule="auto"/>
        <w:jc w:val="center"/>
        <w:rPr>
          <w:rStyle w:val="46"/>
          <w:rFonts w:hint="eastAsia" w:ascii="Times New Roman" w:hAnsi="宋体" w:eastAsia="宋体"/>
          <w:b/>
          <w:bCs w:val="0"/>
          <w:color w:val="000000" w:themeColor="text1"/>
          <w:sz w:val="28"/>
          <w:szCs w:val="28"/>
          <w:highlight w:val="none"/>
          <w14:textFill>
            <w14:solidFill>
              <w14:schemeClr w14:val="tx1"/>
            </w14:solidFill>
          </w14:textFill>
        </w:rPr>
      </w:pPr>
      <w:r>
        <w:rPr>
          <w:rStyle w:val="46"/>
          <w:rFonts w:ascii="Times New Roman" w:hAnsi="宋体" w:eastAsia="宋体"/>
          <w:b/>
          <w:bCs w:val="0"/>
          <w:color w:val="000000" w:themeColor="text1"/>
          <w:sz w:val="28"/>
          <w:szCs w:val="28"/>
          <w:highlight w:val="none"/>
          <w14:textFill>
            <w14:solidFill>
              <w14:schemeClr w14:val="tx1"/>
            </w14:solidFill>
          </w14:textFill>
        </w:rPr>
        <w:t>第</w:t>
      </w:r>
      <w:r>
        <w:rPr>
          <w:rStyle w:val="46"/>
          <w:rFonts w:hint="eastAsia" w:ascii="Times New Roman" w:hAnsi="宋体" w:eastAsia="宋体"/>
          <w:b/>
          <w:bCs w:val="0"/>
          <w:color w:val="000000" w:themeColor="text1"/>
          <w:sz w:val="28"/>
          <w:szCs w:val="28"/>
          <w:highlight w:val="none"/>
          <w14:textFill>
            <w14:solidFill>
              <w14:schemeClr w14:val="tx1"/>
            </w14:solidFill>
          </w14:textFill>
        </w:rPr>
        <w:t>七</w:t>
      </w:r>
      <w:r>
        <w:rPr>
          <w:rStyle w:val="46"/>
          <w:rFonts w:ascii="Times New Roman" w:hAnsi="宋体" w:eastAsia="宋体"/>
          <w:b/>
          <w:bCs w:val="0"/>
          <w:color w:val="000000" w:themeColor="text1"/>
          <w:sz w:val="28"/>
          <w:szCs w:val="28"/>
          <w:highlight w:val="none"/>
          <w14:textFill>
            <w14:solidFill>
              <w14:schemeClr w14:val="tx1"/>
            </w14:solidFill>
          </w14:textFill>
        </w:rPr>
        <w:t>章</w:t>
      </w:r>
      <w:r>
        <w:rPr>
          <w:rStyle w:val="46"/>
          <w:rFonts w:ascii="Times New Roman" w:hAnsi="Times New Roman" w:eastAsia="宋体"/>
          <w:b/>
          <w:bCs w:val="0"/>
          <w:color w:val="000000" w:themeColor="text1"/>
          <w:sz w:val="28"/>
          <w:szCs w:val="28"/>
          <w:highlight w:val="none"/>
          <w14:textFill>
            <w14:solidFill>
              <w14:schemeClr w14:val="tx1"/>
            </w14:solidFill>
          </w14:textFill>
        </w:rPr>
        <w:t xml:space="preserve">  </w:t>
      </w:r>
      <w:r>
        <w:rPr>
          <w:rStyle w:val="46"/>
          <w:rFonts w:hint="eastAsia" w:ascii="Times New Roman" w:hAnsi="宋体" w:eastAsia="宋体"/>
          <w:b/>
          <w:bCs w:val="0"/>
          <w:color w:val="000000" w:themeColor="text1"/>
          <w:sz w:val="28"/>
          <w:szCs w:val="28"/>
          <w:highlight w:val="none"/>
          <w14:textFill>
            <w14:solidFill>
              <w14:schemeClr w14:val="tx1"/>
            </w14:solidFill>
          </w14:textFill>
        </w:rPr>
        <w:t>重新采购和不再采购</w:t>
      </w:r>
    </w:p>
    <w:p w14:paraId="1132350A">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30</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w:t>
      </w:r>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出现下列特殊情况之一，采购人可重新采购：</w:t>
      </w:r>
    </w:p>
    <w:p w14:paraId="4E298D49">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（1）响应截止时间止，递交响应文件的响应单位少于三个的；</w:t>
      </w:r>
    </w:p>
    <w:p w14:paraId="2B1DFC64">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（2）经评审</w:t>
      </w:r>
      <w:r>
        <w:rPr>
          <w:rFonts w:hint="eastAsia"/>
          <w:color w:val="000000" w:themeColor="text1"/>
          <w:szCs w:val="21"/>
          <w:highlight w:val="none"/>
          <w14:textFill>
            <w14:solidFill>
              <w14:schemeClr w14:val="tx1"/>
            </w14:solidFill>
          </w14:textFill>
        </w:rPr>
        <w:t>小组</w:t>
      </w:r>
      <w:r>
        <w:rPr>
          <w:color w:val="000000" w:themeColor="text1"/>
          <w:szCs w:val="21"/>
          <w:highlight w:val="none"/>
          <w14:textFill>
            <w14:solidFill>
              <w14:schemeClr w14:val="tx1"/>
            </w14:solidFill>
          </w14:textFill>
        </w:rPr>
        <w:t>否决全部</w:t>
      </w:r>
      <w:r>
        <w:rPr>
          <w:rFonts w:hint="eastAsia"/>
          <w:color w:val="000000" w:themeColor="text1"/>
          <w:szCs w:val="21"/>
          <w:highlight w:val="none"/>
          <w14:textFill>
            <w14:solidFill>
              <w14:schemeClr w14:val="tx1"/>
            </w14:solidFill>
          </w14:textFill>
        </w:rPr>
        <w:t>响应单位</w:t>
      </w:r>
      <w:r>
        <w:rPr>
          <w:color w:val="000000" w:themeColor="text1"/>
          <w:szCs w:val="21"/>
          <w:highlight w:val="none"/>
          <w14:textFill>
            <w14:solidFill>
              <w14:schemeClr w14:val="tx1"/>
            </w14:solidFill>
          </w14:textFill>
        </w:rPr>
        <w:t>的；</w:t>
      </w:r>
    </w:p>
    <w:p w14:paraId="38685E1F">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（3）评审</w:t>
      </w:r>
      <w:r>
        <w:rPr>
          <w:rFonts w:hint="eastAsia"/>
          <w:color w:val="000000" w:themeColor="text1"/>
          <w:szCs w:val="21"/>
          <w:highlight w:val="none"/>
          <w14:textFill>
            <w14:solidFill>
              <w14:schemeClr w14:val="tx1"/>
            </w14:solidFill>
          </w14:textFill>
        </w:rPr>
        <w:t>小组</w:t>
      </w:r>
      <w:r>
        <w:rPr>
          <w:color w:val="000000" w:themeColor="text1"/>
          <w:szCs w:val="21"/>
          <w:highlight w:val="none"/>
          <w14:textFill>
            <w14:solidFill>
              <w14:schemeClr w14:val="tx1"/>
            </w14:solidFill>
          </w14:textFill>
        </w:rPr>
        <w:t>推荐的</w:t>
      </w:r>
      <w:r>
        <w:rPr>
          <w:rFonts w:hint="eastAsia"/>
          <w:color w:val="000000" w:themeColor="text1"/>
          <w:szCs w:val="21"/>
          <w:highlight w:val="none"/>
          <w14:textFill>
            <w14:solidFill>
              <w14:schemeClr w14:val="tx1"/>
            </w14:solidFill>
          </w14:textFill>
        </w:rPr>
        <w:t>成交</w:t>
      </w:r>
      <w:r>
        <w:rPr>
          <w:color w:val="000000" w:themeColor="text1"/>
          <w:szCs w:val="21"/>
          <w:highlight w:val="none"/>
          <w14:textFill>
            <w14:solidFill>
              <w14:schemeClr w14:val="tx1"/>
            </w14:solidFill>
          </w14:textFill>
        </w:rPr>
        <w:t>候选人均</w:t>
      </w:r>
      <w:r>
        <w:rPr>
          <w:rFonts w:hint="eastAsia"/>
          <w:color w:val="000000" w:themeColor="text1"/>
          <w:szCs w:val="21"/>
          <w:highlight w:val="none"/>
          <w14:textFill>
            <w14:solidFill>
              <w14:schemeClr w14:val="tx1"/>
            </w14:solidFill>
          </w14:textFill>
        </w:rPr>
        <w:t>未能与采购人签订合同协议书的；</w:t>
      </w:r>
    </w:p>
    <w:p w14:paraId="16EFA448">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（4）超过半数的响应单位报价严重偏离成本价。</w:t>
      </w:r>
    </w:p>
    <w:p w14:paraId="027E098B">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31.不再采购</w:t>
      </w:r>
    </w:p>
    <w:p w14:paraId="3840D37E">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重新采购后响应单位仍出现30条中的情况，采购人可选择不再进行采购。</w:t>
      </w:r>
    </w:p>
    <w:p w14:paraId="29FE52E2">
      <w:pPr>
        <w:spacing w:line="360" w:lineRule="auto"/>
        <w:ind w:left="516" w:leftChars="33" w:hanging="447" w:hangingChars="213"/>
        <w:rPr>
          <w:color w:val="000000" w:themeColor="text1"/>
          <w:szCs w:val="21"/>
          <w:highlight w:val="none"/>
          <w14:textFill>
            <w14:solidFill>
              <w14:schemeClr w14:val="tx1"/>
            </w14:solidFill>
          </w14:textFill>
        </w:rPr>
      </w:pPr>
    </w:p>
    <w:p w14:paraId="1CBE64DF">
      <w:pPr>
        <w:spacing w:line="360" w:lineRule="auto"/>
        <w:ind w:left="516" w:leftChars="33" w:hanging="447" w:hangingChars="213"/>
        <w:rPr>
          <w:color w:val="000000" w:themeColor="text1"/>
          <w:szCs w:val="21"/>
          <w:highlight w:val="none"/>
          <w14:textFill>
            <w14:solidFill>
              <w14:schemeClr w14:val="tx1"/>
            </w14:solidFill>
          </w14:textFill>
        </w:rPr>
      </w:pPr>
    </w:p>
    <w:p w14:paraId="703DE020">
      <w:pPr>
        <w:spacing w:line="360" w:lineRule="auto"/>
        <w:ind w:left="516" w:leftChars="33" w:hanging="447" w:hangingChars="213"/>
        <w:rPr>
          <w:color w:val="000000" w:themeColor="text1"/>
          <w:szCs w:val="21"/>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126E0286">
      <w:pPr>
        <w:pStyle w:val="2"/>
        <w:rPr>
          <w:color w:val="000000" w:themeColor="text1"/>
          <w:highlight w:val="none"/>
          <w14:textFill>
            <w14:solidFill>
              <w14:schemeClr w14:val="tx1"/>
            </w14:solidFill>
          </w14:textFill>
        </w:rPr>
      </w:pPr>
      <w:bookmarkStart w:id="526" w:name="_Toc18407865"/>
      <w:bookmarkStart w:id="527" w:name="_Toc53949105"/>
      <w:bookmarkStart w:id="528" w:name="_Toc53948684"/>
      <w:bookmarkStart w:id="529" w:name="_Toc54278905"/>
      <w:bookmarkStart w:id="530" w:name="_Toc144872124"/>
      <w:bookmarkStart w:id="531" w:name="_Toc53949526"/>
      <w:bookmarkStart w:id="532" w:name="_Toc54291470"/>
      <w:bookmarkStart w:id="533" w:name="_Toc54280288"/>
      <w:bookmarkStart w:id="534" w:name="_Toc54281140"/>
      <w:bookmarkStart w:id="535" w:name="_Toc145499778"/>
      <w:bookmarkStart w:id="536" w:name="_Toc54281566"/>
      <w:bookmarkStart w:id="537" w:name="_Toc54280714"/>
      <w:bookmarkStart w:id="538" w:name="_Toc53946129"/>
      <w:r>
        <w:rPr>
          <w:rFonts w:hint="eastAsia"/>
          <w:color w:val="000000" w:themeColor="text1"/>
          <w:highlight w:val="none"/>
          <w14:textFill>
            <w14:solidFill>
              <w14:schemeClr w14:val="tx1"/>
            </w14:solidFill>
          </w14:textFill>
        </w:rPr>
        <w:t>第三篇  分包合同条款</w:t>
      </w:r>
    </w:p>
    <w:p w14:paraId="21637EA3">
      <w:pPr>
        <w:widowControl/>
        <w:jc w:val="center"/>
        <w:rPr>
          <w:color w:val="000000" w:themeColor="text1"/>
          <w:highlight w:val="none"/>
          <w14:textFill>
            <w14:solidFill>
              <w14:schemeClr w14:val="tx1"/>
            </w14:solidFill>
          </w14:textFill>
        </w:rPr>
      </w:pPr>
    </w:p>
    <w:p w14:paraId="0F74526B">
      <w:pPr>
        <w:kinsoku w:val="0"/>
        <w:ind w:left="158" w:leftChars="75"/>
        <w:jc w:val="center"/>
        <w:outlineLvl w:val="0"/>
        <w:rPr>
          <w:rFonts w:hint="eastAsia" w:ascii="宋体" w:hAnsi="宋体"/>
          <w:b/>
          <w:color w:val="000000" w:themeColor="text1"/>
          <w:sz w:val="32"/>
          <w:szCs w:val="32"/>
          <w:highlight w:val="none"/>
          <w:lang w:eastAsia="zh-CN"/>
          <w14:textFill>
            <w14:solidFill>
              <w14:schemeClr w14:val="tx1"/>
            </w14:solidFill>
          </w14:textFill>
        </w:rPr>
      </w:pPr>
      <w:bookmarkStart w:id="539" w:name="_Toc175764418"/>
      <w:bookmarkStart w:id="540" w:name="_Toc145426864"/>
      <w:bookmarkStart w:id="541" w:name="_Toc144872120"/>
      <w:bookmarkStart w:id="542" w:name="_Toc53946125"/>
      <w:bookmarkStart w:id="543" w:name="_Toc54291466"/>
      <w:bookmarkStart w:id="544" w:name="_Toc53949522"/>
      <w:bookmarkStart w:id="545" w:name="_Toc53949101"/>
      <w:bookmarkStart w:id="546" w:name="_Toc54280710"/>
      <w:bookmarkStart w:id="547" w:name="_Toc145499774"/>
      <w:bookmarkStart w:id="548" w:name="_Toc54278901"/>
      <w:bookmarkStart w:id="549" w:name="_Toc53948680"/>
      <w:bookmarkStart w:id="550" w:name="_Toc54280284"/>
      <w:bookmarkStart w:id="551" w:name="_Toc54281136"/>
      <w:bookmarkStart w:id="552" w:name="_Toc53939924"/>
      <w:bookmarkStart w:id="553" w:name="_Toc54281562"/>
      <w:r>
        <w:rPr>
          <w:rFonts w:hint="eastAsia" w:ascii="宋体" w:hAnsi="宋体"/>
          <w:b/>
          <w:color w:val="000000" w:themeColor="text1"/>
          <w:sz w:val="32"/>
          <w:szCs w:val="32"/>
          <w:highlight w:val="none"/>
          <w:lang w:eastAsia="zh-CN"/>
          <w14:textFill>
            <w14:solidFill>
              <w14:schemeClr w14:val="tx1"/>
            </w14:solidFill>
          </w14:textFill>
        </w:rPr>
        <w:t>第二部分 通用合同条款</w:t>
      </w:r>
      <w:bookmarkEnd w:id="539"/>
    </w:p>
    <w:p w14:paraId="0F74526C">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554" w:name="_Toc303538973"/>
      <w:bookmarkEnd w:id="554"/>
      <w:bookmarkStart w:id="555" w:name="_Toc303538974"/>
      <w:bookmarkEnd w:id="555"/>
      <w:bookmarkStart w:id="556" w:name="_Toc303538972"/>
      <w:bookmarkEnd w:id="556"/>
      <w:bookmarkStart w:id="557" w:name="_Toc303538975"/>
      <w:bookmarkEnd w:id="557"/>
      <w:bookmarkStart w:id="558" w:name="_Toc303538976"/>
      <w:bookmarkEnd w:id="558"/>
      <w:bookmarkStart w:id="559" w:name="_Toc23392"/>
      <w:bookmarkStart w:id="560" w:name="_Toc11140"/>
      <w:bookmarkStart w:id="561" w:name="_Toc29619"/>
      <w:bookmarkStart w:id="562" w:name="_Toc17620"/>
      <w:bookmarkStart w:id="563" w:name="_Toc175764419"/>
      <w:bookmarkStart w:id="564" w:name="_Toc101357415"/>
      <w:bookmarkStart w:id="565" w:name="_Toc17580"/>
      <w:bookmarkStart w:id="566" w:name="_Toc32658"/>
      <w:bookmarkStart w:id="567" w:name="_Toc2869"/>
      <w:bookmarkStart w:id="568" w:name="_Toc3750"/>
      <w:bookmarkStart w:id="569" w:name="_Toc26284"/>
      <w:bookmarkStart w:id="570" w:name="_Toc14272"/>
      <w:bookmarkStart w:id="571" w:name="_Toc101963482"/>
      <w:bookmarkStart w:id="572" w:name="_Toc7886"/>
      <w:bookmarkStart w:id="573" w:name="_Toc10833"/>
      <w:bookmarkStart w:id="574" w:name="_Toc15310"/>
      <w:bookmarkStart w:id="575" w:name="_Toc13130"/>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词语解释</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p w14:paraId="0F74526D">
      <w:pPr>
        <w:kinsoku w:val="0"/>
        <w:spacing w:after="0" w:line="360" w:lineRule="auto"/>
        <w:ind w:left="158" w:leftChars="75"/>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合同协议书、通用合同条款、专用合同条款中的下列词语应具有本款所赋予的含义：</w:t>
      </w:r>
    </w:p>
    <w:p w14:paraId="0F74526E">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总承包合同：指建设单位和甲方双方共同签署的施工总承包合同。</w:t>
      </w:r>
    </w:p>
    <w:p w14:paraId="0F74526F">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本分包合同：指甲方和乙方双方共同签署本分包工程的施工合同。</w:t>
      </w:r>
    </w:p>
    <w:p w14:paraId="0F745270">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建设单位：是指在总承包合同中与甲方订立合同协议书的当事人及取得该当事人资格的合法继受人。</w:t>
      </w:r>
    </w:p>
    <w:p w14:paraId="0F745271">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甲方：是指在总承包合同中与建设单位订立合同协议书的当事人及取得该当事人资格的合法继受人。</w:t>
      </w:r>
    </w:p>
    <w:p w14:paraId="0F745272">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乙方：是指在本分包合同中与甲方订立合同协议书的当事人及取得该当事人资格的合法继受人。</w:t>
      </w:r>
    </w:p>
    <w:p w14:paraId="0F745273">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监理单位：指建设单位聘请的整体工程的监理单位。</w:t>
      </w:r>
    </w:p>
    <w:p w14:paraId="0F745274">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甲方项目经理：指甲方在本分包合同中指定的负责施工管理、履行总承包合同及本分包合同的代表。</w:t>
      </w:r>
    </w:p>
    <w:p w14:paraId="0F745275">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乙方项目经理：指由乙方在本分包合同中指定的负责施工管理和履行合同的代表。</w:t>
      </w:r>
    </w:p>
    <w:p w14:paraId="0F745276">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整体工程：指甲方与建设单位签订的总承包合同中约定由甲方负责实施、竣工和修补质量缺陷的有关工程。</w:t>
      </w:r>
    </w:p>
    <w:p w14:paraId="0F745277">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本分包工程：指乙方按本分包合同约定负责实施、完工和修补质量缺陷的整体工程内的有关工程。</w:t>
      </w:r>
    </w:p>
    <w:p w14:paraId="0F745278">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图纸：指包含在本分包合同中的工程图纸，以及由甲方按本分包合同约定提供的任何补充和修改的图纸，包括配套的说明。</w:t>
      </w:r>
    </w:p>
    <w:p w14:paraId="0F745279">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日、天：除特别指明外，指日历天。合同中按天计算时间的，开始当天不计入，从次日开始计算。期限最后一天的截止时间为当天24:00。</w:t>
      </w:r>
    </w:p>
    <w:p w14:paraId="0F74527A">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缺陷责任期：是指甲方预留工程质量保证金以保证乙方履行第20.1条约定的缺陷责任的期限。</w:t>
      </w:r>
    </w:p>
    <w:p w14:paraId="0F74527B">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质量保修期：是指乙方按照合同第20.2条约定和法律规定对工程质量承担保修责任的期限。</w:t>
      </w:r>
    </w:p>
    <w:p w14:paraId="0F74527C">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实名制管理：指利用实名制信息管理系统，采集建设工程项目人员身份信息、居住信息、劳动关系、工资发放、考勤信息、工作经历、良好行为及不良行为、执业证书、安全培训证书等基本信息，建立现场人员的信息档案，对建设工程项目人员进行组织化、信息化管理的制度。</w:t>
      </w:r>
    </w:p>
    <w:p w14:paraId="0F74527D">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576" w:name="_Toc25260"/>
      <w:bookmarkStart w:id="577" w:name="_Toc27924"/>
      <w:bookmarkStart w:id="578" w:name="_Toc25557"/>
      <w:bookmarkStart w:id="579" w:name="_Toc23135"/>
      <w:bookmarkStart w:id="580" w:name="_Toc9151"/>
      <w:bookmarkStart w:id="581" w:name="_Toc14170"/>
      <w:bookmarkStart w:id="582" w:name="_Toc13230"/>
      <w:bookmarkStart w:id="583" w:name="_Toc2269"/>
      <w:bookmarkStart w:id="584" w:name="_Toc101963483"/>
      <w:bookmarkStart w:id="585" w:name="_Toc11909"/>
      <w:bookmarkStart w:id="586" w:name="_Toc175764420"/>
      <w:bookmarkStart w:id="587" w:name="_Toc15530"/>
      <w:bookmarkStart w:id="588" w:name="_Toc1668"/>
      <w:bookmarkStart w:id="589" w:name="_Toc31420"/>
      <w:bookmarkStart w:id="590" w:name="_Toc101357416"/>
      <w:bookmarkStart w:id="591" w:name="_Toc29050"/>
      <w:bookmarkStart w:id="592" w:name="_Toc4355"/>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适用法律法规</w:t>
      </w:r>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14:paraId="0F74527E">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593" w:name="A2"/>
      <w:bookmarkEnd w:id="593"/>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适用于合同的法律包括中华人民共和国正式颁布实施的法律、行政法规、部门规章，以及工程所在地的地方法规、自治条例、单行条例和地方政府规章。</w:t>
      </w:r>
      <w:bookmarkStart w:id="1692" w:name="_GoBack"/>
      <w:bookmarkEnd w:id="1692"/>
    </w:p>
    <w:p w14:paraId="0F74527F">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如在合同有效期内，颁布新的法律法规或修订了原有法律法规，则此后继的法律法规将自动适用于本合同。</w:t>
      </w:r>
    </w:p>
    <w:p w14:paraId="0F745280">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594" w:name="_Toc101357417"/>
      <w:bookmarkStart w:id="595" w:name="_Toc175764421"/>
      <w:bookmarkStart w:id="596" w:name="_Toc101963484"/>
      <w:bookmarkStart w:id="597" w:name="_Toc9473"/>
      <w:bookmarkStart w:id="598" w:name="_Toc13199"/>
      <w:bookmarkStart w:id="599" w:name="_Toc19987"/>
      <w:bookmarkStart w:id="600" w:name="_Toc31847"/>
      <w:bookmarkStart w:id="601" w:name="_Toc7548"/>
      <w:bookmarkStart w:id="602" w:name="_Toc8612"/>
      <w:bookmarkStart w:id="603" w:name="_Toc15005"/>
      <w:bookmarkStart w:id="604" w:name="_Toc9548"/>
      <w:bookmarkStart w:id="605" w:name="_Toc22228"/>
      <w:bookmarkStart w:id="606" w:name="_Toc24914"/>
      <w:bookmarkStart w:id="607" w:name="_Toc18612"/>
      <w:bookmarkStart w:id="608" w:name="_Toc26613"/>
      <w:bookmarkStart w:id="609" w:name="_Toc1257"/>
      <w:bookmarkStart w:id="610" w:name="_Toc6632"/>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标准和规范</w:t>
      </w:r>
      <w:bookmarkEnd w:id="594"/>
      <w:bookmarkEnd w:id="595"/>
      <w:bookmarkEnd w:id="596"/>
    </w:p>
    <w:p w14:paraId="0F745281">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分包工程适用现行国家、行业和工程所在地市规范、标准和规程。所采用的标准与规范应满足施工图纸、设计单位的要求；满足国家、地方、行业颁布以及后续颁布的规范、标准、规程；满足国家、地方颁布实施的有关法律、法规、文件等。上述图纸、标准、规范、规程若有不一致或矛盾之处，按较为严格标准执行。</w:t>
      </w:r>
    </w:p>
    <w:p w14:paraId="0F745282">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构成合同文件的任何内容与国家、行业和工程所在地市现行规范、规程和标准出现矛盾时，乙方应书面要求甲方予以澄清，除非甲方有特别指令，乙方应按其中要求最严格的标准执行。</w:t>
      </w:r>
    </w:p>
    <w:p w14:paraId="0F745283">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除合同另有约定外，材料、施工工艺和本分包工程应按技术标准和要求以及国家、行业和工程所在地市现行规范、标准和规程最新版本执行。</w:t>
      </w:r>
    </w:p>
    <w:p w14:paraId="0F745284">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bookmarkStart w:id="611" w:name="_Toc101357418"/>
      <w:bookmarkStart w:id="612" w:name="_Toc101963485"/>
      <w:bookmarkStart w:id="613" w:name="_Toc175764422"/>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合同文件组成及解释顺序</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14:paraId="0F745285">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除专用合同条款另有约定外，组成本合同的文件及优先解释顺序如下：</w:t>
      </w:r>
    </w:p>
    <w:p w14:paraId="0F745286">
      <w:pPr>
        <w:pStyle w:val="87"/>
        <w:numPr>
          <w:ilvl w:val="0"/>
          <w:numId w:val="4"/>
        </w:numPr>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合同协议书；</w:t>
      </w:r>
    </w:p>
    <w:p w14:paraId="0F745287">
      <w:pPr>
        <w:pStyle w:val="87"/>
        <w:numPr>
          <w:ilvl w:val="0"/>
          <w:numId w:val="4"/>
        </w:numPr>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中标通知书（如有）；</w:t>
      </w:r>
    </w:p>
    <w:p w14:paraId="0F745288">
      <w:pPr>
        <w:pStyle w:val="87"/>
        <w:numPr>
          <w:ilvl w:val="0"/>
          <w:numId w:val="4"/>
        </w:numPr>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专用合同条款及承诺书等合同附件；</w:t>
      </w:r>
    </w:p>
    <w:p w14:paraId="0F745289">
      <w:pPr>
        <w:pStyle w:val="87"/>
        <w:numPr>
          <w:ilvl w:val="0"/>
          <w:numId w:val="4"/>
        </w:numPr>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通用合同条款；</w:t>
      </w:r>
    </w:p>
    <w:p w14:paraId="0F74528A">
      <w:pPr>
        <w:pStyle w:val="87"/>
        <w:numPr>
          <w:ilvl w:val="0"/>
          <w:numId w:val="4"/>
        </w:numPr>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标准、规范及有关技术标准和要求；</w:t>
      </w:r>
    </w:p>
    <w:p w14:paraId="0F74528B">
      <w:pPr>
        <w:pStyle w:val="87"/>
        <w:numPr>
          <w:ilvl w:val="0"/>
          <w:numId w:val="4"/>
        </w:numPr>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施工图纸、施工组织设计或施工方案；</w:t>
      </w:r>
    </w:p>
    <w:p w14:paraId="0F74528C">
      <w:pPr>
        <w:pStyle w:val="87"/>
        <w:numPr>
          <w:ilvl w:val="0"/>
          <w:numId w:val="4"/>
        </w:numPr>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已标价的工程量清单；</w:t>
      </w:r>
    </w:p>
    <w:p w14:paraId="0F74528D">
      <w:pPr>
        <w:pStyle w:val="87"/>
        <w:numPr>
          <w:ilvl w:val="0"/>
          <w:numId w:val="4"/>
        </w:numPr>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往来资料及函件；</w:t>
      </w:r>
    </w:p>
    <w:p w14:paraId="0F74528E">
      <w:pPr>
        <w:pStyle w:val="87"/>
        <w:numPr>
          <w:ilvl w:val="0"/>
          <w:numId w:val="4"/>
        </w:numPr>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招标文件及补遗文件（如有）；</w:t>
      </w:r>
    </w:p>
    <w:p w14:paraId="0F74528F">
      <w:pPr>
        <w:pStyle w:val="87"/>
        <w:numPr>
          <w:ilvl w:val="0"/>
          <w:numId w:val="4"/>
        </w:numPr>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甲方现场管理制度及要求；</w:t>
      </w:r>
    </w:p>
    <w:p w14:paraId="0F745290">
      <w:pPr>
        <w:pStyle w:val="87"/>
        <w:numPr>
          <w:ilvl w:val="0"/>
          <w:numId w:val="4"/>
        </w:numPr>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投标文件及附件；</w:t>
      </w:r>
    </w:p>
    <w:p w14:paraId="0F745291">
      <w:pPr>
        <w:pStyle w:val="87"/>
        <w:numPr>
          <w:ilvl w:val="0"/>
          <w:numId w:val="4"/>
        </w:numPr>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与本合同有关的其他文件。</w:t>
      </w:r>
    </w:p>
    <w:p w14:paraId="0F745292">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在合同订立及履行过程中形成的与合同有关的文件均为合同文件的组成部分。</w:t>
      </w:r>
    </w:p>
    <w:p w14:paraId="0F745293">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上述各项合同文件中包括合同当事人就该项合同文件所做出的补充和修改，属于同一类型内容的文件应以最新签署的为准。</w:t>
      </w:r>
    </w:p>
    <w:p w14:paraId="0F745294">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组成合同的各项文件应互相解释，互为说明。本合同约定解释合同文件的优先顺序同上述排列次序，在合同订立及履行过程中形成的与合同有关的文件根据其性质确定优先解释顺序。当合同文件与工程规范、技术要求不一致时，应以要求较高的标准执行。</w:t>
      </w:r>
    </w:p>
    <w:p w14:paraId="0F745295">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614" w:name="_Toc32415"/>
      <w:bookmarkStart w:id="615" w:name="_Toc28671"/>
      <w:bookmarkStart w:id="616" w:name="_Toc10762"/>
      <w:bookmarkStart w:id="617" w:name="_Toc101963486"/>
      <w:bookmarkStart w:id="618" w:name="_Toc24763"/>
      <w:bookmarkStart w:id="619" w:name="_Toc175764423"/>
      <w:bookmarkStart w:id="620" w:name="_Toc10197"/>
      <w:bookmarkStart w:id="621" w:name="_Toc12825"/>
      <w:bookmarkStart w:id="622" w:name="_Toc26319"/>
      <w:bookmarkStart w:id="623" w:name="_Toc5199"/>
      <w:bookmarkStart w:id="624" w:name="_Toc2101"/>
      <w:bookmarkStart w:id="625" w:name="_Toc494"/>
      <w:bookmarkStart w:id="626" w:name="_Toc101357419"/>
      <w:bookmarkStart w:id="627" w:name="_Toc23198"/>
      <w:bookmarkStart w:id="628" w:name="_Toc3330"/>
      <w:bookmarkStart w:id="629" w:name="_Toc24518"/>
      <w:bookmarkStart w:id="630" w:name="_Toc8737"/>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甲方工作</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14:paraId="0F745296">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负责将电源配送至一、二级电箱及线路装配。</w:t>
      </w:r>
    </w:p>
    <w:p w14:paraId="0F745297">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代表甲方行使本合同权利、履行本合同义务的机构是其成立的项目部，负责人为项目经理，代表甲方行使本合同的约定责任。对乙方不服从现场管理或有其他违约行为，项目经理可下达整改、处罚通知、追究违约责任。</w:t>
      </w: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甲方可以变更或撤销关于项目经理的委派，对于变更或撤销后原项目经理发出的指令或签字等往来文件，不作为甲方对乙方的确认或承诺。</w:t>
      </w: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涉及项目部及其管理人员无权办理的相关事项，任何形式的签字、盖章均无效，甲方不承担相应责任。项目部公章为公司授权在施工管理过程中使用的印章，该枚印章授权使用范围仅为项目往来函件、洽谈变更（同业主方）等履约过程中的文件，不包括签署任何合同及补充协议、任何经济性协议、任何经济性承诺、开具收款收据、办理结算等事项。</w:t>
      </w:r>
    </w:p>
    <w:p w14:paraId="0F745298">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负责编制施工组织设计，统一制定各项管理目标，组织编制年、季、月施工计划、物资需用量计划表，实施对工程质量、工期、安全生产、文明施工、计量、试验等工作的控制、监督、检查和验收。</w:t>
      </w:r>
    </w:p>
    <w:p w14:paraId="0F745299">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应按专用合同条款的约定向乙方提供图纸，并根据本分包工程进度计划组织图纸会审和技术交底。甲方可以随时根据现场实际情况对施工图纸进行补充和变更、对工艺工序和施工方案以及进度计划进行调整、对乙方施工条件作出改变等，乙方应执行以上指示，并受其约束。</w:t>
      </w:r>
    </w:p>
    <w:p w14:paraId="0F74529A">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负责整个施工现场的管理工作，负责定期组织召开生产例会，协调乙方与现场其它分包商、施工工序之间的关系。</w:t>
      </w:r>
    </w:p>
    <w:p w14:paraId="0F74529B">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甲方认为乙方管理人员（包括乙方项目经理、现场负责人及其他管理人员）不能按照合同约定履行职责或义务的，可以要求乙方无条件进行撤换，并委派新的管理人员接替。</w:t>
      </w:r>
    </w:p>
    <w:p w14:paraId="0F74529C">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如果乙方在本工程质量、进度、安全、现场管理等方面满足不了建设单位、甲方的要求时，甲方可将分包合同范围内的工作承包给其它分包单位，其所需费用应由乙方承担，并从其应结款项扣除；如其应结款项不足以承担所需费用，则超出部分可由其履约担保金中扣回，如履约担保金仍不能满足所需费用超出部分，甲方保留其他追索权</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p w14:paraId="0F74529D">
      <w:pPr>
        <w:numPr>
          <w:ilvl w:val="1"/>
          <w:numId w:val="3"/>
        </w:numPr>
        <w:kinsoku w:val="0"/>
        <w:spacing w:after="0" w:line="360" w:lineRule="auto"/>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如果乙方不服从甲方现场管理人员指挥、不按操作规程作业、有明显拖延工期倾向且无有效的安全、质量、进度保证措施及整改措施时，甲方可单方面解除合同，并保留对乙方追索的权利，乙方不得因解除合同向甲方提出任何索赔。由此对甲方造成其他损失的，甲方保留追索权。</w:t>
      </w:r>
    </w:p>
    <w:p w14:paraId="0F74529E">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甲方负责整体工程安全文明施工和环境保护工作，对乙方的绿色施工管理工作进行指导和监督，督促乙方遵守关于大气污染和绿色施工的相关管理规定，对施工现场范围内各乙方的绿色施工进行统筹管理。</w:t>
      </w:r>
    </w:p>
    <w:p w14:paraId="0F74529F">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负责组织分部工程、本分包工程的交（竣）工验收工作。</w:t>
      </w:r>
    </w:p>
    <w:p w14:paraId="0F7452A0">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负责统一安排工程档案资料的收集、整理及交工验收。</w:t>
      </w:r>
    </w:p>
    <w:p w14:paraId="0F7452A1">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负责健全农民工管理体系，甲方监督乙方依法与招用的农民工签订劳动合同并严格履行合同内容，建立职工花名册并办理劳动备案；全面实行农民工实名制管理制度，建立劳动计酬手册，记录施工现场作业农民工的身份信息、劳动考勤、工资结算等信息，实现信息化实名制管理；加强对乙方劳动用工和工资发放的监督管理，在工程项目部配备劳资专管员，建立施工人员进出场登记制度和考勤计量、工资支付等管理台账，实时掌握施工现场用工及其工资支付情况，不得以包代管。</w:t>
      </w:r>
    </w:p>
    <w:p w14:paraId="0F7452A2">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负责对农民工的进场安全教育，并积极组织相关考试，按照管理要求将教育情况、考试情况录入劳务实名制管理平台。</w:t>
      </w:r>
    </w:p>
    <w:p w14:paraId="0F7452A3">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负责建立健全项目后勤管理相关制度，做好包括乙方办公区、工人生活区的物业化管理制度、流程及标准。甲方可进行过程中的检查、督办整改，并根据具体情况予以处罚。乙方未遵守相关制度规定或不满足属地政府、办事处等有关部门的要求，引发的不良后果及给甲方造成的损失由乙方承担。</w:t>
      </w:r>
    </w:p>
    <w:p w14:paraId="0F7452A4">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负责核实乙方现场实际投入本工程项目（工序）的主要管理人员、技术人员的配备是否与合同约定相符，并对主要管理人员、技术人员的出勤状况进行考核。</w:t>
      </w:r>
    </w:p>
    <w:p w14:paraId="0F7452A5">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负责做好材料消耗数量管理，对乙方使用的材料消耗进行对比分析，按合同规定对乙方进行扣款。</w:t>
      </w:r>
    </w:p>
    <w:p w14:paraId="0F7452A6">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负责核实乙方现场实际投入本工程项目（工序）的主要机械设备的规格、数量、进退场时间是否与合同约定相符。</w:t>
      </w:r>
    </w:p>
    <w:p w14:paraId="0F7452A7">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做好机械设备管理工作，对乙方进场的机械设备进行验收并登记造册，监督乙方对租赁机械设备费用的及时支付。</w:t>
      </w:r>
    </w:p>
    <w:p w14:paraId="0F7452A8">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631" w:name="_Toc101357420"/>
      <w:bookmarkStart w:id="632" w:name="_Toc17585"/>
      <w:bookmarkStart w:id="633" w:name="_Toc15331"/>
      <w:bookmarkStart w:id="634" w:name="_Toc28386"/>
      <w:bookmarkStart w:id="635" w:name="_Toc22501"/>
      <w:bookmarkStart w:id="636" w:name="_Toc101963487"/>
      <w:bookmarkStart w:id="637" w:name="_Toc26413"/>
      <w:bookmarkStart w:id="638" w:name="_Toc7322"/>
      <w:bookmarkStart w:id="639" w:name="_Toc15315"/>
      <w:bookmarkStart w:id="640" w:name="_Toc15691"/>
      <w:bookmarkStart w:id="641" w:name="_Toc24013"/>
      <w:bookmarkStart w:id="642" w:name="_Toc8122"/>
      <w:bookmarkStart w:id="643" w:name="_Toc17055"/>
      <w:bookmarkStart w:id="644" w:name="_Toc13995"/>
      <w:bookmarkStart w:id="645" w:name="_Toc4268"/>
      <w:bookmarkStart w:id="646" w:name="_Toc175764424"/>
      <w:bookmarkStart w:id="647" w:name="_Toc18862"/>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乙方工作</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14:paraId="0F7452A9">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为完成本分包工程而设置合理可行的现场组织机构，并委派具备相应岗位资格的管理人员，进场前应将管理人员的资料报甲方备案。除非获得甲方书面同意，乙方不得更换或撤回主要管理人员（现场负责人、技术负责人、安全负责人等）。在合同签订时，乙方应提供项目现场代表、技术负责人、质量负责人、安全负责人的劳动合同、养老保险及工资发放凭证，同时提供身份证复印件（双面复印）及岗位证书复印件，其中养老保险及工资发放凭证在合同履行期间每季度提供一次且确保真实、有效，直至合同履行完成，否则，甲方可以单方解除合同。</w:t>
      </w:r>
    </w:p>
    <w:p w14:paraId="0F7452AA">
      <w:pPr>
        <w:numPr>
          <w:ilvl w:val="1"/>
          <w:numId w:val="3"/>
        </w:numPr>
        <w:kinsoku w:val="0"/>
        <w:spacing w:after="0" w:line="360" w:lineRule="auto"/>
        <w:jc w:val="both"/>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乙方使用专用合同条款中约定的电子邮箱或联系地址收发与本分包工程有关的电子文件和书面文件，电子文件与书面文件具有相同的法律效力，电子文件投递至甲方服务器系统时生效，书面文件寄出后的第三个工作日或收件人实际签收日（以先到的时间为准）视为送达，选择直接送达的，则递交时视为送达。乙方电子邮箱或联系地址发生变更的，应在变更发生后5日内以书面形式加盖与本分包合同一致的印章通知甲方，未书面通知甲方的，视为原电子邮箱和联系地址继续有效，由此造成的任何损失由乙方承担。</w:t>
      </w:r>
    </w:p>
    <w:p w14:paraId="0F7452AB">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在甲方的总体部署下，负责编制本分包工程的施工组织设计，包括各项保证工期、质量、安全的措施以及冬雨季施工措施，按照经甲方批准的本分包工程施工组织设计及甲方根据本合同发出的指令要求组织施工，未经甲方同意不得擅自更改施工方案及工艺。乙方施工组织应该符合项目整体施工组织计划的要求，涉及与其他分包工程交叉作业的工作，应采用甲方认可的合理工序进行搭接。</w:t>
      </w:r>
    </w:p>
    <w:p w14:paraId="0F7452AC">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有义务审查并识别分包工程的设计图纸或工程建设标准、技术要求中存在的错误、遗漏、矛盾或其他缺陷，并及时通知甲方，根据甲方指令决定下一步施工安排。因乙方未能识别或识别后未及时通知导致返工或导致安全、质量等问题造成其他经济损失的，由乙方负责无偿整改恢复并承担其他经济损失，工期不予顺延。</w:t>
      </w:r>
    </w:p>
    <w:p w14:paraId="0F7452AD">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在本合同签订后3天内向甲方项目经理部提交分包工程总体进度计划，并按甲方的具体要求提交年度、季度、月度、周工程进度计划。如乙方不能按甲方批准的进度计划施工时，应根据甲方的要求提交一份修订的进度计划，以保证分包工程如期竣工。</w:t>
      </w:r>
    </w:p>
    <w:p w14:paraId="0F7452AE">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编制与施工组织设计相适应的劳动力安排计划，劳动力安排计划应当包括分包作业人员数量、工种、进场时间、退场时间以及劳务费支付计划等，劳动力安排计划应当经甲方批准后实施。乙方应当组织具有相应资格证书和符合本合同分包作业要求的分包作业人员投入工作。未经甲方书面准许，乙方不得擅自调整和撤走进驻工地人员。私自调整进驻工地人员，所导致的经济损失由乙方负责。</w:t>
      </w:r>
    </w:p>
    <w:p w14:paraId="0F7452AF">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提供的图纸和文件，未经甲方同意，乙方不得为本合同履约以外的目的，泄露给他人或公开发表与引用，乙方施工完毕需将纸质图纸完整交回甲方。未经甲方书面同意，乙方不得为了本合同履约以外的目的而复制、使用上述文件或将之转让、泄露给任何第三方。乙方应负责分包工程范围内图纸的保密工作，乙方的保密义务在分包合同终止后，应当继续履行。</w:t>
      </w:r>
    </w:p>
    <w:p w14:paraId="0F7452B0">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对甲方的技术交底（含技术交底图纸）进行认真审核与校对，当发生下列各项情况之一时，乙方应立即以书面形式报告甲方工程部门进行确认，待甲方确认可后，方可进行施工。由于乙方未对所承担工程项目（工序）的技术交底（含技术交底图纸）进行认真的审核和校对，造成甲方损失的，由乙方承担全部责任并承担返工费用。</w:t>
      </w:r>
    </w:p>
    <w:p w14:paraId="0F7452B1">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技术交底（含技术交底图纸）与工程实际不符，如施工位置、地质、设计高程及技术交底图纸、技术交底所标明的设计数据、施工要求与实际不符；</w:t>
      </w:r>
    </w:p>
    <w:p w14:paraId="0F7452B2">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技术交底（含技术交底图纸）表示不明确或有遗漏、错误、图纸与文字说明不符，工程数量有误等；</w:t>
      </w:r>
    </w:p>
    <w:p w14:paraId="0F7452B3">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技术交底（含技术交底图纸）中的常识性错误。</w:t>
      </w:r>
    </w:p>
    <w:p w14:paraId="0F7452B4">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乙方承担复制、重新绘制、翻译、购买标准图纸的责任和费用，乙方负责按甲方要求，收集、整理、编制本分包工程的中间交工资料、竣工资料及竣工图,并在甲方规定的时间内提交。</w:t>
      </w:r>
    </w:p>
    <w:p w14:paraId="0F7452B5">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负责本工程除甲方以外的测量、放线、监测工作，负责对本工程的基准坐标点、高程点、沉降及位移观测点的保护工作，确保不被破坏，并且确保所施工工程结构定位、标高、几何尺寸等的准确性，因施工偏差而造成的其他分包工程的返工、返修，其费用由乙方承担，甲方可以在未得到乙方书面确认的前提下从乙方结算价款中直接扣除。并为自带的全站仪、经纬仪、水准仪、激光铅垂仪、尺等测量仪器向甲方提供检测合格的报告加盖乙方公章的复印件一份，并在检测有效期内使用，费用自理，同时乙方必须配备必要的测量人员。施工控制网点丢失或损坏的，乙方应及时修复并承担费用。</w:t>
      </w:r>
    </w:p>
    <w:p w14:paraId="0F7452B6">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负责提供除本合同约定甲方提供资源和服务以外的所有实施本工程所必须的资源。负责随时接受建设单位、监理及甲方的监督检查和指导，并为其日常检查查验提供便利和安全条件。</w:t>
      </w:r>
    </w:p>
    <w:p w14:paraId="0F7452B7">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必须在进行中间验收前24小时以书面形式通知甲方进行验收，未经甲方同意不得进入下道工序施工，由于未报验导致的一切损失和责任由乙方承担。乙方按本合同规定完成合同内全部工作后，向甲方提出竣工验收要求，竣工验收按国家规定程序及甲方的要求办理。</w:t>
      </w:r>
    </w:p>
    <w:p w14:paraId="0F7452B8">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乙方应严格执行样板（首件制）制度，样板（首件制）验收合格后方可进行大面积施工。</w:t>
      </w:r>
    </w:p>
    <w:p w14:paraId="0F7452B9">
      <w:pPr>
        <w:numPr>
          <w:ilvl w:val="1"/>
          <w:numId w:val="3"/>
        </w:numPr>
        <w:kinsoku w:val="0"/>
        <w:spacing w:after="0" w:line="360" w:lineRule="auto"/>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负责现场数据资料的编写。必须指定专人配合甲方进行本工程所须的一切试验检测工作（含第三方见证试验），配合甲方进行和完成承包工程所需的所有甲方、建设单位、有关政府部门/单位要求的各种试验工作。</w:t>
      </w:r>
    </w:p>
    <w:p w14:paraId="0F7452BA">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①如由甲方提供宿舍的，乙方负责甲方提供宿舍内设施的维护和维修，费用包含在综合单价内。水费、电费、水电表安装费用由乙方承担。工人退场后，应及时向甲方退宿舍；并确保宿舍内电器、空调、插座、电线线路、遥控、开关、床、吊顶等完好可用，宿舍卫生需打扫干净。若上述设备设施损坏，维修费用由乙方承担，在付款时直接自乙方的应得款项中扣除；宿舍卫生打扫不干净，按照每间宿舍100元扣款。并保证办公生活区满足消防要求。②乙方自身办公、住宿、饮食由乙方自行负责，包括但不限于房屋、办公及生活设施、卫生设施、水电费、第二场地租赁费、其它临时设施费、灭火器和生活垃圾清运费等。但必须服从甲方管理，达到甲方的安全文明施工要求。</w:t>
      </w:r>
    </w:p>
    <w:p w14:paraId="0F7452BB">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施工过程中乙方应按甲方要求对施工现场临时设施、工作面、工人生活区、现场内外临时道路等进行清理，保证施工场地每日场容整洁，对模板（清理干净，长期不用的涂刷隔离剂）、周转料具等分类整理、码放，建筑垃圾和材料运至甲方指定堆放地点，并承担相关费用。若乙方未做到或无故拖延，甲方将委托他人代为清理，清理产生的费用由乙方承担，在付款时直接自乙方的应得款项中扣除。无条件配合甲方现场施工观摩、上级检查、质量验收工作，若因乙方劳动力不足，甲方另行委派其他队伍清理乙方场地，相关费用由乙方承担，从结算价款中扣除。</w:t>
      </w:r>
    </w:p>
    <w:p w14:paraId="0F7452BC">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合理组织现场施工生产，充分利用已有机械设备、脚手架、临时道路、水电设施、消防设施及其他生产及安全设施，确保在甲方要求的时间内完成分包工作。若因乙方自身原因，造成已有设备和设施拆除后仍有剩余工作内容未完的，乙方必须另行配备足够的设备和搭建设施，并承担相关费用，保证如期履约。</w:t>
      </w:r>
    </w:p>
    <w:p w14:paraId="0F7452BD">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在接收工作面时，应组织三方交接，做好交接记录。需要上一道工序的分包单位进行质量整改的，应及时提出，未及时提出的，视为移交的上一道工序合格，施工过程中乙方不得向甲方提出质量修复或因此增加费用。</w:t>
      </w:r>
    </w:p>
    <w:p w14:paraId="0F7452BE">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若分包施工涉及工程防渗漏问题，乙方必须采取防渗漏措施，并在施工方案中体现，经甲方审核后实施。若由于乙方分包施工过程管控不严而产生渗漏，由此产生的直接及间接损失均由乙方承担。</w:t>
      </w:r>
    </w:p>
    <w:p w14:paraId="0F7452BF">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乙方应在分包工程完工后 7 日内将所有剩余物料清退出场，移交施工场地，并负责清理本工程项目的标志、污斑、指印、油污和脏污等，达到交工前的清理标准。若因乙方的延误，后续分包单位不能顺利进场施工，甲方将按照实际损失从乙方结算价款中进行追偿。</w:t>
      </w:r>
    </w:p>
    <w:p w14:paraId="0F7452C0">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负责承包范围内工程的成品保护工作直至本工程移交验收，并不得损坏他方的材料、成品及半成品，违反上述工作要求的一切责任和费用均由乙方承担。本分包工程交叉作业区域的成品保护工作由乙方自行协商解决，自行协商无果的，由甲方裁定当事方负责交叉区域的成品保护，当事方应无条件执行。</w:t>
      </w:r>
    </w:p>
    <w:p w14:paraId="0F7452C1">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甲方在最终施工时可能对图纸、技术方案、施工范围和内容，以及进度节点和施工顺序、其他施工条件进行调整，乙方应按甲方要求实施并如期交付，合同价款已考虑所有费用的差异。</w:t>
      </w:r>
    </w:p>
    <w:p w14:paraId="0F7452C2">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负责本分包工程档案资料的编制、整理、组卷并按照专用合同条款中的约定移交甲方。</w:t>
      </w:r>
    </w:p>
    <w:p w14:paraId="0F7452C3">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乙方有义务保管、维护施工范围现场临水、临电、临时消防设施，负责二级以下至施工工作面的配电，同时必须达到甲方的安全文明施工要求，其费用包含在合同单价之内。</w:t>
      </w:r>
    </w:p>
    <w:p w14:paraId="0F7452C4">
      <w:pPr>
        <w:numPr>
          <w:ilvl w:val="1"/>
          <w:numId w:val="3"/>
        </w:numPr>
        <w:kinsoku w:val="0"/>
        <w:spacing w:after="0" w:line="360" w:lineRule="auto"/>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如果同一现场内有甲方分包的其它分包商，乙方应无条件为甲方的其它分包商提供合同中所约定的施工资源，其费用已包含在合同价款中，任何情况下均不得调整。</w:t>
      </w:r>
    </w:p>
    <w:p w14:paraId="0F7452C5">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乙方项目经理应按甲方要求准时参加由建设单位、监理单位、甲方（三方中任一方）主持的现场办公例会，并服从于会议决议以及甲方的协调管理。若乙方项目经理无法正常参加会议，需书面委托有相应决策权的代表参加。</w:t>
      </w:r>
    </w:p>
    <w:p w14:paraId="0F7452C6">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负责承包范围内施工场地周围建筑物、构筑物、地下管线、光缆、文物的保护工作，凡因乙方原因导致施工场地周围建筑物、构筑物和现场内外的各种管线、文物的破坏，乙方应承担相应责任及损失，延误的工期不予顺延。在施工中发现古墓、古建筑遗址等文物及其他有考古、地质研究等价值的物品时，乙方应保护好现场并于4小时内以书面形式通知甲方，并按文物管理要求采取妥善保护措施及协调有关事项，有关费用及工期影响按本合同规定执行。如发现后隐瞒不报，致使文物遭受破坏，责任者依法承担相应责任。</w:t>
      </w:r>
    </w:p>
    <w:p w14:paraId="0F7452C7">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遵守当地各级管理机构关于扰民的规定，负责因自身施工不当或违反操作规程等原因引起的扰民和民扰事宜的处理。乙方应当清楚地预计到施工期间对外界可能产生的必需的不可能避免的干扰，并为此保证主动努力减少这些干扰对外界的影响，且应当积极主动与外界进行协调，将本施工对扰民的影响降到最低限，不能对甲方产生任何负面影响；凡因乙方原因造成的扰民和民扰，其责任和经济损失由乙方承担，乙方并确保甲方免于承担该等责任。必须严格遵守国家及当地省市的法律、法规，服从并执行甲方对现场质量、安全、文明施工、环境保护、施工场地交通、施工噪音、劳动保障等各项制度、规定，并按要求办理有关手续，遵守甲方关于现场管理的相关规定和要求。乙方承担任何因执行上述制度、规定不力或违反上述制度、规定造成的一切损失及责任，并保证甲方免于因乙方过失造成的损失及承担的责任。</w:t>
      </w:r>
    </w:p>
    <w:p w14:paraId="0F7452C8">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合同签订后乙方须向甲方提交企业营业执照、施工资质证书、施工安全生产许可证等加盖公章的复印件供甲方存档，如在合同期内各项证书发生变更、年审更新等情况，乙方应主动提供更新资料给甲方。乙方须遵守国家及当地省市关于承包工程所需资质和技术能力的有关规定，并已获得政府认定的在本地从事承包工作的资格，有关资料虽经甲方审查，亦不能减免乙方应负的责任。</w:t>
      </w:r>
    </w:p>
    <w:p w14:paraId="0F7452C9">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乙方向甲方提供施工人员名单（外来人员需经当地项目建设行政主管部门外管处备案）及上岗证、操作人员100%持证上岗，特殊工种要100%持证上岗。</w:t>
      </w:r>
    </w:p>
    <w:p w14:paraId="0F7452CA">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乙方未经甲方的书面批准不得做出任何关于本工程宣传报道、竖立标牌、广告及单方面发表技术成果、专利等有关CI及知识产权方面的事宜。</w:t>
      </w:r>
    </w:p>
    <w:p w14:paraId="0F7452CB">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在使用任何材料、甲方设备、工程设备或采用施工工艺时，因侵犯专利权或其他知识产权所引起的责任，由乙方承担，但由于遵照甲方提供的设计或技术标准和要求引起的除外（乙方应在投标阶段充分考虑施工过程存在的专利使用费用,并包含在报价中）。</w:t>
      </w:r>
    </w:p>
    <w:p w14:paraId="0F7452CC">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须承担甲方按照总承包合同需向建设单位承担的有关本工程的责任和义务，乙方应在上述责任和义务涉及的范围内保障和保证甲方免于遭受任何与本合同的履行有关的或因其引起的一切索赔、诉讼、违约金、损失赔偿或其他任何费用。</w:t>
      </w:r>
    </w:p>
    <w:p w14:paraId="0F7452CD">
      <w:pPr>
        <w:numPr>
          <w:ilvl w:val="1"/>
          <w:numId w:val="3"/>
        </w:numPr>
        <w:kinsoku w:val="0"/>
        <w:spacing w:after="0" w:line="360" w:lineRule="auto"/>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应保障和保证甲方免于承担由乙方、乙方工人或其雇佣的任何其他人员的任何疏忽造成的损失，及其所属上述人员对于甲方提供的临时工程的任何误用造成的损失，保障和保证甲方免于遭受与上述事宜相关的一切损失、索赔或诉讼。</w:t>
      </w:r>
    </w:p>
    <w:p w14:paraId="0F7452CE">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必须与所招用的农民工依法签订书面劳动合同，确立劳动关系。劳动合同必须明确规定工资支付标准（不低于当地最低工资标准）、支付形式、支付日期和项目名称等条款，工人工资约定内容要便于计量和支付。劳动合同应不少于一式三份，乙方与施工人员各持一份，剩余一份在乙方进场前提交甲方进行备案。乙方必须每月足额按照应付实际施工人员工资向甲方上报施工人员考勤及其工资表，并对考勤及其工资表真实性负责。因乙方上报资料不齐、虚假等造成不良后果的，乙方除承担费用损失外，对甲方造成信誉、社会、履约等影响的，甲方可随时中止本合同，并保留对乙方的追索权。</w:t>
      </w:r>
    </w:p>
    <w:p w14:paraId="0F7452CF">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乙方必须执行国家和地方关于农民工工资管理的规定，保证农民工工资按月足额发放，不得随意挪用；若乙方擅自挪用农民工工资而引起农民工群体上访等事件，均由乙方负责承担相关法律责任及经济赔偿责任。</w:t>
      </w:r>
    </w:p>
    <w:p w14:paraId="0F7452D0">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乙方进场后立即办理相关手续，如：暂住证、健康证等证件，乙方施工人员应持证上岗；劳动力进场后立即组织其进行入场的“三级教育”和法制教育，使职工做到安全生产，不违章、违纪、违法。</w:t>
      </w:r>
    </w:p>
    <w:p w14:paraId="0F7452D1">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按照专用合同条款的要求配备劳资专管员，为每位进场人员在甲方备案，配合甲方进行农民工实名制的信息化管理；配合甲方完成当地政府相关的各种检查，并提供相应的手续和证件；每月向甲方报送一次加盖乙方公章的施工人员花名册。</w:t>
      </w:r>
    </w:p>
    <w:p w14:paraId="0F7452D2">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对所招用农民工的实名制管理负直接责任。乙方要做到八统一标准：身份证、暂住证、岗位证书、劳动合同书、人员备案证明、花名册、考勤表、工资表统一。签订合同7日内，乙方将实名制资料提交甲方劳务管理人员审核备案，无实名制资料人员严禁进入施工现场。施工过程中乙方应按甲方要求做好实名制资料管理并随时配合甲方检查。</w:t>
      </w:r>
    </w:p>
    <w:p w14:paraId="0F7452D3">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对所招用农民工实名制管理的工资支付负直接责任。不得以工程款未到位等为由克扣或拖欠农民工工资，不得将合同应收工程款等经营风险转嫁给农民工。乙方应当按照工资支付周期编制书面工资支付台账，并至少保存3年。书面工资支付台账应当包括乙方名称，支付周期，支付日期，支付对象姓名、身份证号码、联系方式，工作时间，应发工资项目及数额，代扣、代缴、扣除项目和数额，实发工资数额，银行代发工资凭证或者农民工签字等内容。乙方在甲方支付每笔工程款后</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7</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天内，需将上述资料复印件加盖乙方公章后提交至甲方存档。乙方人员进退场费用、驻地只施工场地的通行费用由乙方承担，甲方不再另行支付费用。</w:t>
      </w:r>
    </w:p>
    <w:p w14:paraId="0F7452D4">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农民工考勤采用手机端云筑劳务APP、刷脸、闸机等多种方式，每日在全国建筑工人实名制管理平台对劳务人员进行考勤，甲方劳务管理员负责监督管理，乙方擅自使用未在全国建筑工人实名制管理平台进行考勤的人员，甲方不予认可，相应后果由乙方承担。</w:t>
      </w:r>
    </w:p>
    <w:p w14:paraId="0F7452D5">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配备生活区管理员并派专人负责工人生活区保洁工作，费用由乙方承担，按照甲方各项制度要求，对所属员工进行交底培训，对违反制度的人员及现场及时教育改正，如经检查不符合现场管理规定，乙方应限期整改。</w:t>
      </w:r>
    </w:p>
    <w:p w14:paraId="0F7452D6">
      <w:pPr>
        <w:numPr>
          <w:ilvl w:val="1"/>
          <w:numId w:val="3"/>
        </w:numPr>
        <w:kinsoku w:val="0"/>
        <w:spacing w:after="0" w:line="360" w:lineRule="auto"/>
        <w:jc w:val="both"/>
        <w:rPr>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要严格执行甲方与国家、地方政府常态化疫情防控要求，制定疫情常态化防控工作方案，建立疫情常态化防控工作体系，配备疫情防控人员，完善疫情防控管理制度。因疫情防控管理产生的相关费用包含在合同单价之内。</w:t>
      </w:r>
    </w:p>
    <w:p w14:paraId="0F7452D7">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乙方应严格遵守环保和文明施工的法律、法规和行业标准规定以及甲方的有关规定，积极开展环保、节能减排、水土保持等相关工作。</w:t>
      </w:r>
    </w:p>
    <w:p w14:paraId="0F7452D8">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负责办理本合同备案事宜，并支付相应费用。如因乙方合同备案不及时导致乙方无法提供发票或提供的发票无法抵扣甲方已经缴纳的税金、施工手续无法正常办理等问题，造成甲方损失的，乙方应承担给甲方造成的损失。</w:t>
      </w:r>
    </w:p>
    <w:p w14:paraId="0F7452D9">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实际施工过程中甲方可以根据实际施工情况增加或减少乙方的施工内容，乙方必须按照甲方的指令进行施工，确保现场施工进度，并且不得进行任何工期及费用的索赔。</w:t>
      </w:r>
    </w:p>
    <w:p w14:paraId="0F7452DA">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当积极维护甲方名誉，不得以中建集团、中建xxx局及其下属公司、甲方及甲方关联公司、项目部等名义发布自媒体作品，接受媒体、建设单位、行政机关、司法机关等第三方的采访、调查、问询等，或通过其他形式发表言论。</w:t>
      </w:r>
    </w:p>
    <w:p w14:paraId="0F7452DB">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乙方不得书面、口头使用甲方企业及其项目部名称，对外进行经济活动。乙方在分包作业工地发生劳动、租赁、买卖等合同纠纷、债务、债权责任，一律由乙方履行和承担责任。</w:t>
      </w:r>
    </w:p>
    <w:p w14:paraId="0F7452DC">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648" w:name="_Toc8398"/>
      <w:bookmarkStart w:id="649" w:name="_Toc21935"/>
      <w:bookmarkStart w:id="650" w:name="_Toc7712"/>
      <w:bookmarkStart w:id="651" w:name="_Toc19801"/>
      <w:bookmarkStart w:id="652" w:name="_Toc13570"/>
      <w:bookmarkStart w:id="653" w:name="_Toc175764425"/>
      <w:bookmarkStart w:id="654" w:name="_Toc11195"/>
      <w:bookmarkStart w:id="655" w:name="_Toc10226"/>
      <w:bookmarkStart w:id="656" w:name="_Toc4863"/>
      <w:bookmarkStart w:id="657" w:name="_Toc31633"/>
      <w:bookmarkStart w:id="658" w:name="_Toc11492"/>
      <w:bookmarkStart w:id="659" w:name="_Toc30226"/>
      <w:bookmarkStart w:id="660" w:name="_Toc17634"/>
      <w:bookmarkStart w:id="661" w:name="_Toc19137"/>
      <w:bookmarkStart w:id="662" w:name="_Toc9009"/>
      <w:bookmarkStart w:id="663" w:name="_Toc101963488"/>
      <w:bookmarkStart w:id="664" w:name="_Toc101357421"/>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技术质量要求</w: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p>
    <w:p w14:paraId="0F7452DD">
      <w:pPr>
        <w:numPr>
          <w:ilvl w:val="1"/>
          <w:numId w:val="3"/>
        </w:numPr>
        <w:kinsoku w:val="0"/>
        <w:spacing w:after="0" w:line="360" w:lineRule="auto"/>
        <w:jc w:val="both"/>
        <w:rPr>
          <w:rFonts w:hint="eastAsia" w:asciiTheme="minorEastAsia" w:hAnsiTheme="minorEastAsia" w:eastAsiaTheme="minorEastAsia" w:cstheme="minorEastAsia"/>
          <w:color w:val="000000" w:themeColor="text1"/>
          <w:kern w:val="16"/>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必须配备满足甲方要求数量的质量检查人员（不少于两人），建立质量管理体系，坚持自检、互检、交接检制度，并为检验提供便利条件，随时接受甲方现场代表和委派人员以及各级质检部门的检查、检验，并按要求返工、修改，承担由自身原因导致的返工、修改费用。为达到上述标准或为达到上述质量标准乙方按照甲方要求施工，所采取的各种措施之费用已包含在合同价款中。</w:t>
      </w:r>
    </w:p>
    <w:p w14:paraId="0F7452DE">
      <w:pPr>
        <w:numPr>
          <w:ilvl w:val="1"/>
          <w:numId w:val="3"/>
        </w:numPr>
        <w:kinsoku w:val="0"/>
        <w:spacing w:after="0" w:line="360" w:lineRule="auto"/>
        <w:jc w:val="both"/>
        <w:rPr>
          <w:rFonts w:hint="eastAsia" w:asciiTheme="minorEastAsia" w:hAnsiTheme="minorEastAsia" w:eastAsiaTheme="minorEastAsia" w:cstheme="minorEastAsia"/>
          <w:color w:val="000000" w:themeColor="text1"/>
          <w:kern w:val="16"/>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6"/>
          <w:sz w:val="21"/>
          <w:szCs w:val="21"/>
          <w:highlight w:val="none"/>
          <w:lang w:eastAsia="zh-CN"/>
          <w14:textFill>
            <w14:solidFill>
              <w14:schemeClr w14:val="tx1"/>
            </w14:solidFill>
          </w14:textFill>
        </w:rPr>
        <w:t>质量标准的评定参考国家、地方或行业的质量检验评定标准，以总包方对业主的最终承诺为准。因乙方原因致使本工程质量达不到本合同约定的质量标准和创优目标，乙方须承担违约责任，甲方将按专用合同条款中约定的比例从分包结算总价中扣除相应金额作为质量违约金，并由乙方承担建设单位因此对甲方的任何罚款或索赔。</w:t>
      </w:r>
    </w:p>
    <w:p w14:paraId="0F7452DF">
      <w:pPr>
        <w:numPr>
          <w:ilvl w:val="1"/>
          <w:numId w:val="3"/>
        </w:numPr>
        <w:kinsoku w:val="0"/>
        <w:spacing w:after="0" w:line="360" w:lineRule="auto"/>
        <w:jc w:val="both"/>
        <w:rPr>
          <w:rFonts w:hint="eastAsia" w:asciiTheme="minorEastAsia" w:hAnsiTheme="minorEastAsia" w:eastAsiaTheme="minorEastAsia" w:cstheme="minorEastAsia"/>
          <w:color w:val="000000" w:themeColor="text1"/>
          <w:kern w:val="16"/>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6"/>
          <w:sz w:val="21"/>
          <w:szCs w:val="21"/>
          <w:highlight w:val="none"/>
          <w:lang w:eastAsia="zh-CN"/>
          <w14:textFill>
            <w14:solidFill>
              <w14:schemeClr w14:val="tx1"/>
            </w14:solidFill>
          </w14:textFill>
        </w:rPr>
        <w:t>质量问题整改率：100%。由于乙方发生质量问题对甲方的利益或声誉造成损害时或乙方对质量问题整改不彻底或整改不及时，甲方按照专用条款23.7条约定扣除相应的违约金，工期不予顺延。</w:t>
      </w:r>
    </w:p>
    <w:p w14:paraId="0F7452E0">
      <w:pPr>
        <w:numPr>
          <w:ilvl w:val="1"/>
          <w:numId w:val="3"/>
        </w:numPr>
        <w:kinsoku w:val="0"/>
        <w:spacing w:after="0" w:line="360" w:lineRule="auto"/>
        <w:jc w:val="both"/>
        <w:rPr>
          <w:rFonts w:hint="eastAsia" w:asciiTheme="minorEastAsia" w:hAnsiTheme="minorEastAsia" w:eastAsiaTheme="minorEastAsia" w:cstheme="minorEastAsia"/>
          <w:color w:val="000000" w:themeColor="text1"/>
          <w:kern w:val="16"/>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6"/>
          <w:sz w:val="21"/>
          <w:szCs w:val="21"/>
          <w:highlight w:val="none"/>
          <w:lang w:eastAsia="zh-CN"/>
          <w14:textFill>
            <w14:solidFill>
              <w14:schemeClr w14:val="tx1"/>
            </w14:solidFill>
          </w14:textFill>
        </w:rPr>
        <w:t>甲方的过程质量监督检查和工程质量检验不应影响施工正常进行。如影响施工正常进行，且检查检验不合格时，影响正常施工造成的费用增加和（或）工期延误由乙方承担。</w:t>
      </w:r>
    </w:p>
    <w:p w14:paraId="0F7452E1">
      <w:pPr>
        <w:numPr>
          <w:ilvl w:val="1"/>
          <w:numId w:val="3"/>
        </w:numPr>
        <w:kinsoku w:val="0"/>
        <w:spacing w:after="0" w:line="360" w:lineRule="auto"/>
        <w:jc w:val="both"/>
        <w:rPr>
          <w:rFonts w:hint="eastAsia" w:asciiTheme="minorEastAsia" w:hAnsiTheme="minorEastAsia" w:eastAsiaTheme="minorEastAsia" w:cstheme="minorEastAsia"/>
          <w:color w:val="000000" w:themeColor="text1"/>
          <w:kern w:val="16"/>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6"/>
          <w:sz w:val="21"/>
          <w:szCs w:val="21"/>
          <w:highlight w:val="none"/>
          <w:lang w:eastAsia="zh-CN"/>
          <w14:textFill>
            <w14:solidFill>
              <w14:schemeClr w14:val="tx1"/>
            </w14:solidFill>
          </w14:textFill>
        </w:rPr>
        <w:t>工程具备隐蔽条件时先由乙方进行自检，并在隐蔽验收前以书面形式通知甲方验收。通知包括隐蔽的内容、验收时间和地点。甲方组织</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建设单位</w:t>
      </w:r>
      <w:r>
        <w:rPr>
          <w:rFonts w:hint="eastAsia" w:asciiTheme="minorEastAsia" w:hAnsiTheme="minorEastAsia" w:eastAsiaTheme="minorEastAsia" w:cstheme="minorEastAsia"/>
          <w:color w:val="000000" w:themeColor="text1"/>
          <w:kern w:val="16"/>
          <w:sz w:val="21"/>
          <w:szCs w:val="21"/>
          <w:highlight w:val="none"/>
          <w:lang w:eastAsia="zh-CN"/>
          <w14:textFill>
            <w14:solidFill>
              <w14:schemeClr w14:val="tx1"/>
            </w14:solidFill>
          </w14:textFill>
        </w:rPr>
        <w:t>、监理单位进行验收。乙方准备验收记录，验收合格，甲方、监理单位在验收记录上签字后，乙方可进行隐蔽或继续施工。验收不合格，乙方在甲方限定的时间内修改后重新验收，因此造成的费用增加和（或）工期延误由乙方承担。</w:t>
      </w:r>
    </w:p>
    <w:p w14:paraId="0F7452E2">
      <w:pPr>
        <w:numPr>
          <w:ilvl w:val="1"/>
          <w:numId w:val="3"/>
        </w:numPr>
        <w:kinsoku w:val="0"/>
        <w:spacing w:after="0" w:line="360" w:lineRule="auto"/>
        <w:jc w:val="both"/>
        <w:rPr>
          <w:rFonts w:hint="eastAsia" w:asciiTheme="minorEastAsia" w:hAnsiTheme="minorEastAsia" w:eastAsiaTheme="minorEastAsia" w:cstheme="minorEastAsia"/>
          <w:color w:val="000000" w:themeColor="text1"/>
          <w:kern w:val="16"/>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6"/>
          <w:sz w:val="21"/>
          <w:szCs w:val="21"/>
          <w:highlight w:val="none"/>
          <w:lang w:eastAsia="zh-CN"/>
          <w14:textFill>
            <w14:solidFill>
              <w14:schemeClr w14:val="tx1"/>
            </w14:solidFill>
          </w14:textFill>
        </w:rPr>
        <w:t>无论甲方是否进行验收，当其要求对已经隐蔽的工程重新检验时，乙方应按要求进行剥离或开孔，并在检验后重新覆盖或修复。检验合格，甲方承担由此发生的全部费用，赔偿乙方损失，并相应顺延工期。检验不合格，乙方应按照甲方要求进行返工、修复，并承担发生的全部费用，工期不予顺延。</w:t>
      </w:r>
    </w:p>
    <w:p w14:paraId="0F7452E3">
      <w:pPr>
        <w:numPr>
          <w:ilvl w:val="1"/>
          <w:numId w:val="3"/>
        </w:numPr>
        <w:kinsoku w:val="0"/>
        <w:spacing w:after="0" w:line="360" w:lineRule="auto"/>
        <w:jc w:val="both"/>
        <w:rPr>
          <w:rFonts w:hint="eastAsia" w:asciiTheme="minorEastAsia" w:hAnsiTheme="minorEastAsia" w:eastAsiaTheme="minorEastAsia" w:cstheme="minorEastAsia"/>
          <w:color w:val="000000" w:themeColor="text1"/>
          <w:kern w:val="16"/>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6"/>
          <w:sz w:val="21"/>
          <w:szCs w:val="21"/>
          <w:highlight w:val="none"/>
          <w:lang w:eastAsia="zh-CN"/>
          <w14:textFill>
            <w14:solidFill>
              <w14:schemeClr w14:val="tx1"/>
            </w14:solidFill>
          </w14:textFill>
        </w:rPr>
        <w:t>乙方应严格按相关工程资料管理的规定，及时、真实、准确地提供完整而规范的技术资料。乙方对资料的完整性、真实性负责。在资料不齐全时，甲方可以扣留部分工程款作为资料抵押金。如果政府、社会在建筑工程评比过程中对技术资料有特殊要求，乙方有义务竭力满足，不得以任何借口拒绝、推诿。</w:t>
      </w:r>
    </w:p>
    <w:p w14:paraId="0F7452E4">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665" w:name="_Toc175764426"/>
      <w:bookmarkStart w:id="666" w:name="_Toc25440"/>
      <w:bookmarkStart w:id="667" w:name="_Toc28556"/>
      <w:bookmarkStart w:id="668" w:name="_Toc6878"/>
      <w:bookmarkStart w:id="669" w:name="_Toc101963489"/>
      <w:bookmarkStart w:id="670" w:name="_Toc22723"/>
      <w:bookmarkStart w:id="671" w:name="_Toc25258"/>
      <w:bookmarkStart w:id="672" w:name="_Toc9236"/>
      <w:bookmarkStart w:id="673" w:name="_Toc101357422"/>
      <w:bookmarkStart w:id="674" w:name="_Toc22854"/>
      <w:bookmarkStart w:id="675" w:name="_Toc834"/>
      <w:bookmarkStart w:id="676" w:name="_Toc29241"/>
      <w:bookmarkStart w:id="677" w:name="_Toc20395"/>
      <w:bookmarkStart w:id="678" w:name="_Toc15900"/>
      <w:bookmarkStart w:id="679" w:name="_Toc3419"/>
      <w:bookmarkStart w:id="680" w:name="_Toc14890"/>
      <w:bookmarkStart w:id="681" w:name="_Toc21526"/>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材料设备管理</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p>
    <w:p w14:paraId="0F7452E5">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供应的材料和设备，乙方应于合同签订后10日内，根据施工图纸、施工进度计划、施工方案编制工程整体材料和设备需用计划。在施工过程中编制材料和设备进场计划，乙方当月根据甲方下达的次月生产计划上报次月甲供材料设备的需求计划，需求计划必须按照不同的工作部位、工作内容、施工工序分别列明详细的计划清单，清单中应列明材料设备规格、品种、数量、进场时间、地点等。在材料和设备进场前乙方需提前15日提供进场计划，且上述材料和设备的计划进场时间须充分考虑材料和设备的加工和准备周期。上述所有计划均须上报甲方审核批准后实施。对于任何乙方所提计划之错误、遗漏、延迟等原因造成的浪费、工期延误及甲方的相应损失，均由乙方承担。甲方对于上述计划的审核批准并不免除乙方的任何责任。</w:t>
      </w:r>
    </w:p>
    <w:p w14:paraId="0F7452E6">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上报需求计划前须按现场实际耗用量（不超过规定的损耗率）认真盘点核算，确保各种规格甲供材料的原材料、半成品库存率不超过一定比例（具体比例在专用条款中予以约定），否则甲方将处以每次2000元以上的罚款，因特殊原因引起的停窝工或甲方书面批准的特殊材料除外。</w:t>
      </w:r>
    </w:p>
    <w:p w14:paraId="0F7452E7">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所有由甲方供应的材料设备，由甲方供应至施工现场，乙方必须及时配合甲方进行共同验收盘点，按照双方确认的数量进行接收，负责卸货、倒运，并由乙方合同签约人或授权人办理领用手续，材料设备一经领用，由乙方负责保管，直至工程完工。</w:t>
      </w: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乙方未参加验收的，视为同意甲方的验收结果，以甲方与供应商双方确认的数量为准。如材料设备的品种、规格、型号、质量、数量不符合要求，乙方应在验收时提出，否则，视为乙方认可甲方提供的材料设备符合要求，如果乙方再行提出其他要求，由此增加的费用和（或）延误的期限均由乙方承担。</w:t>
      </w: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由于乙方现场保管不善，造成丢失或损坏，由乙方负责赔偿，由此造成的工期延误不予顺延。所有甲方供应的材料设备，如因甲方原因导致材料退场，乙方应负责提供退场装车、到场卸车、退料等人工配合工作；如因乙方原因导致材料设备退场，材料设备退场所发生的所有费用由乙方承担</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p w14:paraId="0F7452E8">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对于甲方提供的材料，乙方因自行加工、委托加工等原因必须移出本合同劳动作业范围时，乙方需报甲方审批，甲方批准且双方共同盘点后实施。</w:t>
      </w:r>
    </w:p>
    <w:p w14:paraId="0F7452E9">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供应的材料设备属甲方所有，只供本合同分包范围内工程专用，乙方不能挪作它用或擅自处理（包括边角余料）。施工节余材料，废旧材料、边角余料由乙方负责回收至指定地点，归甲方所有,若乙方不按照甲方要求送回至甲方指定地点，甲方将以采购价（到场价）上浮</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10</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%的价格调拨给乙方，或由乙方承担甲方自行收回所使用的机械、人工等费用。</w:t>
      </w:r>
    </w:p>
    <w:p w14:paraId="0F7452EA">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除《甲供材料、机械设备明细表》中已列明由甲方提供的材料和大中型机械外，其余辅材和小型机具均由乙方自行提供。包括但不限于辅材、低值易耗品、小型机械等，不包括主要建筑材料、周转材料和大中型施工机械设备等，费用包含在合同综合单价中。</w:t>
      </w:r>
    </w:p>
    <w:p w14:paraId="0F7452EB">
      <w:pPr>
        <w:numPr>
          <w:ilvl w:val="1"/>
          <w:numId w:val="3"/>
        </w:numPr>
        <w:kinsoku w:val="0"/>
        <w:spacing w:after="0" w:line="360" w:lineRule="auto"/>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乙方应妥善保管和使用甲方提供给乙方使用的机械、设备、材料以及周转材料，并接受甲方对使用情况的监督检查。因乙方保管不善、未合理使用、违章操作等造成机械、设备、材料以及周转材料丢失或损毁的，乙方应予以赔偿，并承担因此造成其他损失。</w:t>
      </w:r>
    </w:p>
    <w:p w14:paraId="0F7452EC">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乙方采购提供的材料、设备在使用前应按甲方要求进行检验或试验，不合格者不得使用，检验或试验费用由乙方承担。</w:t>
      </w:r>
    </w:p>
    <w:p w14:paraId="0F7452ED">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由乙方提供的机械设备，在进入施工场地后，应满足现场施工组织需求和安全文明管理，并按甲方要求进行管理，若机械设备无法满足现场施工组织要求时应无条件更换机械设备型号或增加机械设备数量，以满足施工要求。乙方提供机械设备的设备租赁费、折旧费、动力费用（燃油费、电费等）、维修费（包含配件）、进退场费、操作人员工资、食宿费等均由乙方自行承担，费用已包含在综合单价中，不再另行计取。</w:t>
      </w:r>
    </w:p>
    <w:p w14:paraId="0F7452EE">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甲方保留将任何材料作为指定供应的权利，及将任何分项工程另行分包的权利。</w:t>
      </w:r>
    </w:p>
    <w:p w14:paraId="0F7452EF">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由甲方提供设备应在安装调试完毕，确认运行良好后交付乙方使用，在进出场时，乙方必须参与验收。乙方操作人员应严格遵守设备有关安全管理规定、操作规程要求，服从甲方相关人员的指挥安排，如违章操作、使用，造成事故，乙方应承担全部的安全责任及事故造成的经济损失，损坏或丢失甲供设备须按设备配件或设备的原值进行赔偿。甲方提供的大型机械，如遇特殊情况提前拆除或维修、不同作业区因工期问题造成某作业区一定时间内无法使用甲方提供的大型机械、施工现场存在少量覆盖盲区情况，甲方应在合理期限内提前通知乙方，由乙方自行解决物料搬运问题，甲方不补偿相应费用。</w:t>
      </w:r>
    </w:p>
    <w:p w14:paraId="0F7452F0">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对于由甲方供应的材料（《甲供材料、机械设备明细表》），乙方负责在本合同中约定的消耗量之内控制使用。如合同未明确损耗率，则默认双方认可材料损耗率为零。</w:t>
      </w:r>
    </w:p>
    <w:p w14:paraId="0F7452F1">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对于由乙方负责提供的材料，不论何种原因造成超用、浪费、丢失的均由乙方自行承担。乙方不得以甲方的名义向甲方的材料、设备供方发出任何采购、订货指令和信息，且不得单方面签收其供货物品，否则其责任全部由乙方承担。</w:t>
      </w:r>
    </w:p>
    <w:p w14:paraId="0F7452F2">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材料进场后的申报程序执行工程所在地地方标准，进场设备应符合工程所在地项目建设行政主管部门备案、安全规定，乙方租用设备要有主管部门要求的证件、手续。</w:t>
      </w:r>
    </w:p>
    <w:p w14:paraId="0F7452F3">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材料存放管理：乙方自行负责材料保管，防止人为破坏、偷盗以及不利自然条件的侵蚀。材料在使用前完好无损，符合国家工程规范标准和合同其他要求。如果乙方未采取适当的保管保护措施，甲方将指派他人完成，所发生的费用由乙方承担。进场材料堆放地点、标识等管理，必须经过甲方批准，服从甲方的统筹安排。</w:t>
      </w:r>
    </w:p>
    <w:p w14:paraId="0F7452F4">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如本工程需要爆破，乙方应严格按照爆破器材的运输、保管、使用的安全规定及甲方制定的管理办法，由乙方指定持有爆破证的人员根据每次爆破用量到甲方指定的炸药库领取和使用，未使用完的爆破器材必须及时退回炸药库存放，不允许私自存放，否则发生的危险及后果由乙方承担。</w:t>
      </w:r>
    </w:p>
    <w:p w14:paraId="0F7452F5">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接受甲方及相关部门对机械设备、工具、材料的管理及使用情况的监督和检查；接受甲方及相关部门对乙方操作人员的有效证件、持证上岗情况的监督和检查；并按甲方要求做好与现场其他单位协调配合工作。</w:t>
      </w:r>
    </w:p>
    <w:p w14:paraId="0F7452F6">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bookmarkStart w:id="682" w:name="_Toc16298"/>
      <w:bookmarkStart w:id="683" w:name="_Toc383"/>
      <w:bookmarkStart w:id="684" w:name="_Toc22544"/>
      <w:bookmarkStart w:id="685" w:name="_Toc22411"/>
      <w:bookmarkStart w:id="686" w:name="_Toc11354"/>
      <w:bookmarkStart w:id="687" w:name="_Toc10324"/>
      <w:bookmarkStart w:id="688" w:name="_Toc101963490"/>
      <w:bookmarkStart w:id="689" w:name="_Toc18064"/>
      <w:bookmarkStart w:id="690" w:name="_Toc5351"/>
      <w:bookmarkStart w:id="691" w:name="_Toc749"/>
      <w:bookmarkStart w:id="692" w:name="_Toc175764427"/>
      <w:bookmarkStart w:id="693" w:name="_Toc101357423"/>
      <w:bookmarkStart w:id="694" w:name="_Toc13649"/>
      <w:bookmarkStart w:id="695" w:name="_Toc15892"/>
      <w:bookmarkStart w:id="696" w:name="_Toc31959"/>
      <w:bookmarkStart w:id="697" w:name="_Toc18280"/>
      <w:bookmarkStart w:id="698" w:name="_Toc17371"/>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安</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全</w:t>
      </w: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文明施工</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管理</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p w14:paraId="0F7452F7">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本合同双方须共同遵守国家和地方有关安全管理、环境保护的法律、法规。乙方应严格按照《安全管理协议书》中安全和绿色施工标准组织施工。</w:t>
      </w:r>
    </w:p>
    <w:p w14:paraId="0F7452F8">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本合同签约合同总价中已包含安全文明施工措施费，且明确单列，乙方应保证做到专款专用。</w:t>
      </w: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计提标准及使用方法见《中建路桥集团有限公司安全生产管理办法》。</w:t>
      </w:r>
    </w:p>
    <w:p w14:paraId="0F7452F9">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每月甲方对乙方的安全措施投入情况进行验收，验收合格后按照约定的计提比例予以支付，如现场安全投入不能满足甲方要求，则安全措施费不予支付。</w:t>
      </w:r>
    </w:p>
    <w:p w14:paraId="0F7452FA">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乙方必须缴纳安全风险抵押金5-10万元，具体金额按照专用合同条款约定执行，如施工过程中乙方更换安全人员，更换人员资历水平不得低于原投标人员，否则扣除安全风险抵押金。</w:t>
      </w:r>
    </w:p>
    <w:p w14:paraId="0F7452FB">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乙方应承担由于自身安全措施不力造成事故的责任和由此发生的费用，并承担政府主管部门因扬尘污染而给予责令停工等行政处罚所造成的误工、工期拖延造成的损失。</w:t>
      </w:r>
    </w:p>
    <w:p w14:paraId="0F7452FC">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按照甲方现场管理的要求对其施工现场进行管理，并严格遵守甲方安全生产管理体系和本项目各阶段安全生产、文明施工要求，编制专项安全施工方案并在合同签订后三日内取得甲方审批同意，建立自己的安全生产保证体系，并配备足额安全生产管理人员。</w:t>
      </w:r>
    </w:p>
    <w:p w14:paraId="0F7452FD">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专业承包单位应当根据所承担的分部分项工程的工程量和施工危险程度按要求配置专职安全生产管理人员。</w:t>
      </w:r>
    </w:p>
    <w:p w14:paraId="0F7452FE">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劳务分包单位施工人员在50人以下的，应当配备1名专职安全生产管理人员；50人-200人的，应当配备2名专职安全生产管理人员；200人及以上的，应当配备3名及以上专职安全生产管理人员，并根据所承担的分部分项工程施工危险实际情况增加，不得少于工程施工人员总人数的5‰。</w:t>
      </w:r>
    </w:p>
    <w:p w14:paraId="0F7452FF">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按工程所在地政府及相关行政主管部门有关规定做好安全教育、安全防护（包括为所属人员配备个人防护用品）等工作，保证施工安全和人身安全。如在合同期内，乙方承包范围内发生的所有人员伤亡事故，其责任及费用均由乙方承担，并应积极采取有效措施防止损失扩大，同时按规定立即书面报告甲方。</w:t>
      </w:r>
    </w:p>
    <w:p w14:paraId="0F745300">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按文明施工有关规定及甲方要求进行现场布置管理，做到工完场清，料具工具堆放整齐。安全帽应按照甲方要求统一颜色、标识，便于规范管理。</w:t>
      </w:r>
    </w:p>
    <w:p w14:paraId="0F745301">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乙方在施工过程中必须遵守工程所在地有关消防、安全文明施工、环境管理等规定，办理相关手续，承担由此发生的费用。凡因违反政府有关规定所导致的责任，均由乙方承担。</w:t>
      </w:r>
    </w:p>
    <w:p w14:paraId="0F745302">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必须对其施工管理人员及作业人员施行严格的管理，在工程开工前将进场施工人员名单报送甲方，且所有施工人员已在项目建设行政主管部门办理备案登记，特殊工种必须持证上岗。乙方必须配备专职安全员，安全员必须持证上岗。</w:t>
      </w:r>
    </w:p>
    <w:p w14:paraId="0F745303">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甲方认为乙方工作中安全措施不力或安全设施不足，可要求乙方限期改正，若仍不能满足安全要求，甲方可自行安排相关工作，所发生的费用由乙方承担。</w:t>
      </w:r>
    </w:p>
    <w:p w14:paraId="0F745304">
      <w:pPr>
        <w:numPr>
          <w:ilvl w:val="1"/>
          <w:numId w:val="3"/>
        </w:numPr>
        <w:kinsoku w:val="0"/>
        <w:spacing w:after="0" w:line="360" w:lineRule="auto"/>
        <w:jc w:val="both"/>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乙方必须为施工现场自有人员配备必需的劳动防护用品。乙方配备的劳动防护用品使用性能或质量必须符合国家主管部门及行业规范、标准要求，另外劳动防护用品外观、样式、规格、型号须符合甲方安全管理要求。</w:t>
      </w:r>
    </w:p>
    <w:p w14:paraId="0F745305">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bookmarkStart w:id="699" w:name="_Toc175764428"/>
      <w:bookmarkStart w:id="700" w:name="_Toc101963491"/>
      <w:bookmarkStart w:id="701" w:name="_Toc101357424"/>
      <w:bookmarkStart w:id="702" w:name="_Toc31132"/>
      <w:bookmarkStart w:id="703" w:name="_Toc32373"/>
      <w:bookmarkStart w:id="704" w:name="_Toc8805"/>
      <w:bookmarkStart w:id="705" w:name="_Toc16982"/>
      <w:bookmarkStart w:id="706" w:name="_Toc9837"/>
      <w:bookmarkStart w:id="707" w:name="_Toc12899"/>
      <w:bookmarkStart w:id="708" w:name="_Toc6154"/>
      <w:bookmarkStart w:id="709" w:name="_Toc22368"/>
      <w:bookmarkStart w:id="710" w:name="_Toc27577"/>
      <w:bookmarkStart w:id="711" w:name="_Toc2374"/>
      <w:bookmarkStart w:id="712" w:name="_Toc3343"/>
      <w:bookmarkStart w:id="713" w:name="_Toc6633"/>
      <w:bookmarkStart w:id="714" w:name="_Toc28305"/>
      <w:bookmarkStart w:id="715" w:name="_Toc27395"/>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绿色施工、环境保护与职业健康管理</w:t>
      </w:r>
      <w:bookmarkEnd w:id="699"/>
      <w:bookmarkEnd w:id="700"/>
      <w:bookmarkEnd w:id="701"/>
    </w:p>
    <w:p w14:paraId="0F745306">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716" w:name="_Toc101357426"/>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本合同双方应共同遵守国家和地方有关的环境保护、“双碳”目标的法律、法规，努力营造绿色低碳施工环境及建筑。</w:t>
      </w:r>
      <w:bookmarkEnd w:id="716"/>
    </w:p>
    <w:p w14:paraId="0F745307">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717" w:name="_Toc101357427"/>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乙方在整个施工作业过程中满足甲方制定并经国家权威部门认证的ISO9001、ISO14001和OHSA18001的要求，保证施工生产符合相关标准的要求。</w:t>
      </w:r>
      <w:bookmarkEnd w:id="717"/>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乙方应定期对自有管理人员及劳务工人进行绿色施工法规、技术知识培训等，并接受相关单位的监督管理。</w:t>
      </w:r>
    </w:p>
    <w:p w14:paraId="0F745308">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建立绿色施工组织架构和绿色施工管理体系，并保证有效运行，真正做到“四节一环保”即：节水、节能、节地、节材和环境保护：乙方施工中不得对未完成审批手续的森林、农田、自然保护区、自然保护动物进行破坏。</w:t>
      </w:r>
    </w:p>
    <w:p w14:paraId="0F745309">
      <w:p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（1）乙方应当确保其所提供的材料、工程设备、施工设备和其他材料都是绿色环保产品，列入国家强制认证产品名录的，还应当是通过国家强制认证的产品；</w:t>
      </w:r>
    </w:p>
    <w:p w14:paraId="0F74530A">
      <w:p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（2）建筑余料应合理使用：施工现场建筑余料要合理利用，如混凝土用于制作路牙石，预制过梁等，钢筋制作马镫，定位筋等；</w:t>
      </w:r>
    </w:p>
    <w:p w14:paraId="0F74530B">
      <w:p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（3）板材、块材等下脚料和撒落混凝土及砂浆应科学利用：下脚料等分规格后合理进行利用；</w:t>
      </w:r>
    </w:p>
    <w:p w14:paraId="0F74530C">
      <w:p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（4）混凝土养护和砂浆搅拌用水应合理，应有节水措施：混凝土养护宜采用覆膜养护或喷雾养护等节水措施；</w:t>
      </w:r>
    </w:p>
    <w:p w14:paraId="0F74530D">
      <w:p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（5）管网和用水器具不应有渗漏：对管网及用水器具要定期进行检查维修；</w:t>
      </w:r>
    </w:p>
    <w:p w14:paraId="0F74530E">
      <w:p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（6）对施工现场的生产、生活、办公和主要耗能施工设备应设有节能的控制措施：主要耗能设备要有自动控制等相关控制措施，避免造成能源浪费；</w:t>
      </w:r>
    </w:p>
    <w:p w14:paraId="0F74530F">
      <w:p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（7）国家、行业、地方政府明令淘汰的施工设备、机具和产品不应使用：施工现场严禁使用国家命令淘汰的用能设备及生产工艺；</w:t>
      </w:r>
    </w:p>
    <w:p w14:paraId="0F745310">
      <w:p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（8）应采用节能型设施：现场临电设备、小型机具、照明灯具等应采用带有国家能源效率标示的产品；</w:t>
      </w:r>
    </w:p>
    <w:p w14:paraId="0F745311">
      <w:p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（9）临时用电应设置合理，管理制度应齐全并应落实到位：施工现场临时用电要规范，制定相关管理制度，有专人负责；</w:t>
      </w:r>
    </w:p>
    <w:p w14:paraId="0F745312">
      <w:p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（10）应采用能源利用效率高的施工机械设备：现场施工应选用功率与负载相匹配的施工机械设备；</w:t>
      </w:r>
    </w:p>
    <w:p w14:paraId="0F745313">
      <w:p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（11）施工机具资源应共享：合理进行施工平面布置，塔吊、加工厂等要充分考虑多区域共同利用；</w:t>
      </w:r>
    </w:p>
    <w:p w14:paraId="0F745314">
      <w:p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（12）应定期监控重点耗能设备的能源利用情况，并有记录：塔吊、施工电梯等重点耗能设备要单独安装电表；</w:t>
      </w:r>
    </w:p>
    <w:p w14:paraId="0F745315">
      <w:p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（13）建筑材料的选用应缩短运输距离，减少能源消耗：500km以内的建筑材料用量占施工使用的建筑材料总重量的70%以上；</w:t>
      </w:r>
    </w:p>
    <w:p w14:paraId="0F745316">
      <w:p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（14）应采用能耗少的施工工艺：改进施工工艺，节能降耗。如采用逆作法等，降低扬尘及噪音、减少材料消耗、避免使用大型设备能源；</w:t>
      </w:r>
    </w:p>
    <w:p w14:paraId="0F745317">
      <w:p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（15）应合理安排施工工序和施工进度：在既定施工目标条件下，做到均衡施工、流水施工。特别要避免突击赶工期造成的无序施工、人力物力财力浪费等现象；</w:t>
      </w:r>
    </w:p>
    <w:p w14:paraId="0F745318">
      <w:p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（16）乙方应在其施工环保措施计划中明确防止误用的保证措施，违背此项约定的责任和后果全部由乙方承担。</w:t>
      </w:r>
    </w:p>
    <w:p w14:paraId="0F745319">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718" w:name="_Toc101357428"/>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乙方在运输材料（包括废料）、机具过程中应执行工程所在地关于禁止车辆运输泄露、遗撒的规定。</w:t>
      </w:r>
    </w:p>
    <w:p w14:paraId="0F74531A">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719" w:name="_Toc101357430"/>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乙方必须采取有效措施，防止运输机械噪声超标或机械漏油污染环境。</w:t>
      </w:r>
      <w:bookmarkEnd w:id="719"/>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运输车辆要定期进行噪音检测。对于不符合要求的机械要及时采取必要的措施。车辆进入现场禁止鸣笛。</w:t>
      </w:r>
    </w:p>
    <w:p w14:paraId="0F74531B">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乙方应承担因其原因引起的环境污染侵权损害赔偿责任，因上述环境污染引起纠纷而导致分包作业暂停的，由此增加的费用和（或）延误的工期由乙方承担。</w:t>
      </w:r>
    </w:p>
    <w:p w14:paraId="0F74531C">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乙方进驻现场员工需接受10.2条约定的国家认证体系的教育培训并建立工人职业健康档案。</w:t>
      </w:r>
      <w:bookmarkEnd w:id="718"/>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对聘用的所有人员核实身份及健康信息，不私招滥雇，不使用无健康信息的人员，不得在项目之间无组织无序调配使用务工人员。建立“一人一档”制度，准确掌握人员健康和流动情况。乙方应按法律规定安排分包作业人员的劳动和休息时间，保证其雇佣人员享有休息和休假的权利，做好人员防护、宣传教育工作，建立健全应急防控机制。</w:t>
      </w:r>
      <w:bookmarkStart w:id="720" w:name="_Toc101357429"/>
    </w:p>
    <w:p w14:paraId="0F74531D">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不得在任何临时和永久性工程中使用任何政府明令禁止使用的对人体有害的任何材料（如放射性材料、石棉制品等）和方法，同时也不得在永久性工程中使用政府虽未明令禁止但会给居住或使用人带来不适感觉或味觉的任何材料和添加剂等。</w:t>
      </w:r>
    </w:p>
    <w:bookmarkEnd w:id="720"/>
    <w:p w14:paraId="0F74531E">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721" w:name="_Toc101357431"/>
      <w:bookmarkStart w:id="722" w:name="_Toc175764429"/>
      <w:bookmarkStart w:id="723" w:name="_Toc101963492"/>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工期</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21"/>
      <w:bookmarkEnd w:id="722"/>
      <w:bookmarkEnd w:id="723"/>
    </w:p>
    <w:p w14:paraId="0F74531F">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 xml:space="preserve">  合同工期已经考虑下列因素，乙方承诺不因此类原因提出任何有关的工期和费用索赔：</w:t>
      </w:r>
    </w:p>
    <w:p w14:paraId="0F745320">
      <w:pPr>
        <w:pStyle w:val="87"/>
        <w:numPr>
          <w:ilvl w:val="0"/>
          <w:numId w:val="5"/>
        </w:numPr>
        <w:tabs>
          <w:tab w:val="left" w:pos="0"/>
        </w:tabs>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国家及地方政府规定的节假日或公休日；</w:t>
      </w:r>
    </w:p>
    <w:p w14:paraId="0F745321">
      <w:pPr>
        <w:pStyle w:val="87"/>
        <w:numPr>
          <w:ilvl w:val="0"/>
          <w:numId w:val="5"/>
        </w:numPr>
        <w:tabs>
          <w:tab w:val="left" w:pos="0"/>
        </w:tabs>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高考、中考期间政府对施工的限制；</w:t>
      </w:r>
    </w:p>
    <w:p w14:paraId="0F745322">
      <w:pPr>
        <w:pStyle w:val="87"/>
        <w:numPr>
          <w:ilvl w:val="0"/>
          <w:numId w:val="5"/>
        </w:numPr>
        <w:tabs>
          <w:tab w:val="left" w:pos="0"/>
        </w:tabs>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两会及其他政府会议；</w:t>
      </w:r>
    </w:p>
    <w:p w14:paraId="0F745323">
      <w:pPr>
        <w:pStyle w:val="87"/>
        <w:numPr>
          <w:ilvl w:val="0"/>
          <w:numId w:val="5"/>
        </w:numPr>
        <w:tabs>
          <w:tab w:val="left" w:pos="0"/>
        </w:tabs>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与其他施工工序间不可避免的交叉作业影响，配合施工的等待时间等对工期产生的影响；</w:t>
      </w:r>
    </w:p>
    <w:p w14:paraId="0F745324">
      <w:pPr>
        <w:pStyle w:val="87"/>
        <w:numPr>
          <w:ilvl w:val="0"/>
          <w:numId w:val="5"/>
        </w:numPr>
        <w:tabs>
          <w:tab w:val="left" w:pos="0"/>
        </w:tabs>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不利的气候条件（不可抗力除外）；</w:t>
      </w:r>
    </w:p>
    <w:p w14:paraId="0F745325">
      <w:pPr>
        <w:pStyle w:val="87"/>
        <w:numPr>
          <w:ilvl w:val="0"/>
          <w:numId w:val="5"/>
        </w:numPr>
        <w:tabs>
          <w:tab w:val="left" w:pos="0"/>
        </w:tabs>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施工噪音及夜间施工时间段造成的影响、空气污染预警、环保政策要求、扰民与民扰、城管管制、农忙；</w:t>
      </w:r>
    </w:p>
    <w:p w14:paraId="0F745326">
      <w:pPr>
        <w:pStyle w:val="87"/>
        <w:numPr>
          <w:ilvl w:val="0"/>
          <w:numId w:val="5"/>
        </w:numPr>
        <w:tabs>
          <w:tab w:val="left" w:pos="0"/>
        </w:tabs>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甲方及甲方上级单位、建设单位或政府职能部门的各类检查、奖项评比、各种层级的观摩；</w:t>
      </w:r>
    </w:p>
    <w:p w14:paraId="0F745327">
      <w:pPr>
        <w:pStyle w:val="87"/>
        <w:numPr>
          <w:ilvl w:val="0"/>
          <w:numId w:val="5"/>
        </w:numPr>
        <w:tabs>
          <w:tab w:val="left" w:pos="0"/>
        </w:tabs>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已充分研判和考虑地质风险；</w:t>
      </w:r>
    </w:p>
    <w:p w14:paraId="0F745328">
      <w:pPr>
        <w:pStyle w:val="87"/>
        <w:numPr>
          <w:ilvl w:val="0"/>
          <w:numId w:val="5"/>
        </w:numPr>
        <w:tabs>
          <w:tab w:val="left" w:pos="0"/>
        </w:tabs>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其它不利的条件（不可抗力除外）。</w:t>
      </w:r>
    </w:p>
    <w:p w14:paraId="0F745329">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经甲方审批的《工程进度计划》作为考核分包工期的依据，乙方须无条件完全正确地执行。</w:t>
      </w:r>
    </w:p>
    <w:p w14:paraId="0F74532A">
      <w:pPr>
        <w:numPr>
          <w:ilvl w:val="1"/>
          <w:numId w:val="3"/>
        </w:numPr>
        <w:kinsoku w:val="0"/>
        <w:spacing w:after="0" w:line="360" w:lineRule="auto"/>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本合同工期为乙方已充分考虑了合同文件的有关内容，并根据乙方自身条件完全能满足并达到甲方要求的工期，甲方的工期包括但不限于施工准备、材料/设备加工定货、工程施工、工程验收、完工交付等全部工作时间，除本合同规定外，不作调整。</w:t>
      </w:r>
    </w:p>
    <w:p w14:paraId="0F74532B">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发生下列情况之一时,经甲方确认,工期可以顺延:</w:t>
      </w:r>
    </w:p>
    <w:p w14:paraId="0F74532C">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因不可抗力或甲方原因导致乙方不能正常施工，并按照签证签署经甲方项目经理、项目技术负责人、项目生产负责人、项目商务经理书面共同确认。</w:t>
      </w:r>
    </w:p>
    <w:p w14:paraId="0F74532D">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建设单位书面认可的工期延误。</w:t>
      </w:r>
    </w:p>
    <w:p w14:paraId="0F74532E">
      <w:pPr>
        <w:tabs>
          <w:tab w:val="left" w:pos="0"/>
        </w:tabs>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乙方须在以上情况发生后7天内，提出工期顺延要求的报告，并附上详细的证据资料，甲方在接到报告后</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7</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天内予以签认、提出拒签理由或要求乙方补充资料。若乙方未在</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5</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日内补充要求的资料，则视为乙方放弃索赔工期的权利。经甲方审核确认后，按甲方批准时间顺延阶段工期或总工期，但乙方不得因此提出任何索赔或费用的调整，如乙方逾期未向甲方提出报告，工期不予顺延。</w:t>
      </w:r>
    </w:p>
    <w:p w14:paraId="0F74532F">
      <w:pPr>
        <w:numPr>
          <w:ilvl w:val="1"/>
          <w:numId w:val="3"/>
        </w:numPr>
        <w:kinsoku w:val="0"/>
        <w:spacing w:after="0" w:line="360" w:lineRule="auto"/>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乙方充分理解甲方在征拆或图纸不到位的情况下有可能出现所分包项目不能连续施工的情况，乙方承诺将按甲方要求顺延工期并不对此做任何费用增加及补偿的要求。</w:t>
      </w:r>
    </w:p>
    <w:p w14:paraId="0F745330">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甲方根据合同约定工期及施工组织设计编制节点工期，乙方必须严格按照甲方制定的节点工期要求组织施工。</w:t>
      </w:r>
    </w:p>
    <w:p w14:paraId="0F745331">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由于政策变化、扬尘治理、不可抗力以及建设单位或甲乙双方原因等导致工程停建或缓建，使合同不能连续履行，乙方应妥善做好已完工程和已进场材料、设备的保护和移交工作，按甲方要求将自带机械和人员撤出施工现场；如需继续施工到安全部位的，乙方应按甲方指令将工程施工到安全部位。甲方应为乙方撤出现场提供必要的条件，及时做好已完工程的结算，并按合同约定支付已完工程款。</w:t>
      </w:r>
    </w:p>
    <w:p w14:paraId="0F745332">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当工程具备复工条件时，甲方向乙方发出复工通知后，乙方应按照复工通知的要求复工，乙方应当无条件复工，超过15天乙方仍未复工的，甲方可解除合同并要求乙方承担违约责任。</w:t>
      </w:r>
    </w:p>
    <w:p w14:paraId="0F745333">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如在乙方没有全面履行完此分包合同义务之前，甲方与建设单位合同解除，甲方应当及时通知乙方，乙方接到通知后应尽快与甲方协商，解除或调整分包合同的内容，及时做好已完工程的结算。</w:t>
      </w: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无法施工的剩余分包内容工程，乙方放弃主张可得利益等权利。</w:t>
      </w:r>
    </w:p>
    <w:p w14:paraId="0F745334">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724" w:name="_Toc101357432"/>
      <w:bookmarkStart w:id="725" w:name="_Toc175764430"/>
      <w:bookmarkStart w:id="726" w:name="_Toc101963493"/>
      <w:bookmarkStart w:id="727" w:name="_Toc6962"/>
      <w:bookmarkStart w:id="728" w:name="_Toc10639"/>
      <w:bookmarkStart w:id="729" w:name="_Toc12433"/>
      <w:bookmarkStart w:id="730" w:name="_Toc19965"/>
      <w:bookmarkStart w:id="731" w:name="_Toc23833"/>
      <w:bookmarkStart w:id="732" w:name="_Toc12536"/>
      <w:bookmarkStart w:id="733" w:name="_Toc26349"/>
      <w:bookmarkStart w:id="734" w:name="_Toc4842"/>
      <w:bookmarkStart w:id="735" w:name="_Toc14657"/>
      <w:bookmarkStart w:id="736" w:name="_Toc30939"/>
      <w:bookmarkStart w:id="737" w:name="_Toc1769"/>
      <w:bookmarkStart w:id="738" w:name="_Toc30786"/>
      <w:bookmarkStart w:id="739" w:name="_Toc17806"/>
      <w:bookmarkStart w:id="740" w:name="_Toc32027"/>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试验和检验</w:t>
      </w:r>
      <w:bookmarkEnd w:id="724"/>
      <w:bookmarkEnd w:id="725"/>
      <w:bookmarkEnd w:id="726"/>
    </w:p>
    <w:p w14:paraId="0F745335">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741" w:name="_Toc101357433"/>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按合同约定进行材料、工程设备和工程的试验和检验，并为甲方对上述材料、工程设备和工程的质量检查提供必要的试验资料和原始记录。按合同约定应由甲方与乙方共同进行试验和检验的，由乙方负责提供必要的试验条件、试验资料和原始记录。</w:t>
      </w:r>
      <w:bookmarkEnd w:id="741"/>
    </w:p>
    <w:p w14:paraId="0F745336">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742" w:name="_Toc101357434"/>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甲方未按合同约定派员参加试验和检验的，除甲方另有指示外，乙方可自行试验和检验，并应及时将试验和检验结果报送甲方，甲方应签字确认。</w:t>
      </w:r>
      <w:bookmarkEnd w:id="742"/>
    </w:p>
    <w:p w14:paraId="0F745337">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743" w:name="_Toc101357435"/>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对乙方的试验和检验结果有疑问的，或为查清乙方试验和检验成果的可靠性而要求乙方重新试验和检验的。重新试验和检验的结果证明该项材料、工程设备或工程的质量不符合合同约定或质量技术要求的，由此增加的费用和（或）工期延误由乙方承担；重新试验和检验结果符合合同约定的，由甲方承担由此增加的费用和（或）工期延误。</w:t>
      </w:r>
      <w:bookmarkEnd w:id="743"/>
    </w:p>
    <w:p w14:paraId="0F745338">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744" w:name="_Toc101963494"/>
      <w:bookmarkStart w:id="745" w:name="_Toc175764431"/>
      <w:bookmarkStart w:id="746" w:name="_Toc101357436"/>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合同价款与计量方式</w:t>
      </w:r>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4"/>
      <w:bookmarkEnd w:id="745"/>
      <w:bookmarkEnd w:id="746"/>
    </w:p>
    <w:p w14:paraId="0F745339">
      <w:pPr>
        <w:numPr>
          <w:ilvl w:val="1"/>
          <w:numId w:val="3"/>
        </w:numPr>
        <w:kinsoku w:val="0"/>
        <w:spacing w:after="0" w:line="360" w:lineRule="auto"/>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合同价款：以合同协议书中约定为准，本合同生效后，除专用合同条款另有约定外不作调整。乙方在其承包范围内，为履行本合同约定的义务和职责，满足国家相关法律法规、设计要求和建设单位（</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包括项目管理咨询公司、第三方实测实量机构</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）、监理单位、甲方的合理要求，并承担自身经营风险所可能发生的一切相关费用均已包含在合同价格之内。</w:t>
      </w:r>
    </w:p>
    <w:p w14:paraId="0F74533A">
      <w:pPr>
        <w:numPr>
          <w:ilvl w:val="1"/>
          <w:numId w:val="3"/>
        </w:numPr>
        <w:kinsoku w:val="0"/>
        <w:spacing w:after="0" w:line="360" w:lineRule="auto"/>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下列三种确定合同价格的方式，在专用合同条款中约定采用其中一种：</w:t>
      </w:r>
    </w:p>
    <w:p w14:paraId="0F74533B">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单价合同：是指双方当事人约定以工程量清单及其综合单价进行合同价格计算、调整和确认的建设工程施工合同，在约定的风险范围内合同单价不作调整。综合单价包括但不限于人工费、材料相关费用（包括但不限于损耗、辅材辅料、材料转运、材料保管和堆放、材料上下车费、场地内水平及垂直运输、场内搬迁费、特殊地段材料运费补差等）、机械相关费用（包括但不限于设备进退场及场外运输费用、二次进场费、辅助机械费、小型机具费、专用工具费、机械设备安拆费、机械设备闲置费、机械设备燃动费、租赁费、维修费、场内运费等）、设计图纸中标示的特殊材料工艺的专利使用费、管理费、规费、利润、除增值税外的其他全部税费（包括但不限于城市建设维护税、教育费附加及地方教育费附加、个人所得税、合同印花税、企业所得税、车船使用税以及国家和地方规定的所有税费）、各类风险费（包括但不限于物价上涨、合同明示或暗示的风险责任和义务、施工过程中因要符合政府部门的新规定或新规范等而须改善或替换之材料设备的费用等）、相关措施费（包括但不限于质量、安全、工期、测量放线、CI费、绿色安全文明施工费、环境保护相关费用、水土保持相关费用、深化设计费、专家论证费、特殊条件施工增加费、保险费、赶工费、窝工费、加班费、成品保护费、养护费、保修费、缺陷修理费、养路费、检验试验费、竣工清理费、竣工资料费、水电燃油费、扰民调停费、各项评比检查观摩等所需的配合费用、工人及管理人员住宿通勤费、工程验收、垃圾清运、现场二次及多次搭拆施工用架子及吊篮、后期服务费用等）、施工降效费、超高费、外经证办理费用、进入工程所在地备案费用、涉及</w:t>
      </w:r>
      <w:r>
        <w:rPr>
          <w:rFonts w:hint="eastAsia" w:ascii="宋体" w:hAnsi="宋体" w:cs="宋体"/>
          <w:color w:val="000000" w:themeColor="text1"/>
          <w:sz w:val="21"/>
          <w:szCs w:val="21"/>
          <w:highlight w:val="none"/>
          <w:lang w:eastAsia="zh-CN"/>
          <w14:textFill>
            <w14:solidFill>
              <w14:schemeClr w14:val="tx1"/>
            </w14:solidFill>
          </w14:textFill>
        </w:rPr>
        <w:t>相关部门各种手续办理及费用、与周边居民的协调工作、</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配合乙方或甲方另行分包的项目所需的配合服务费及配合照管费、疫情常态化防控发生的各种防疫费用、为完成本合同承包范围由甲方安排的其它工作等。合同价格包括的风险范围：</w:t>
      </w:r>
    </w:p>
    <w:p w14:paraId="0F74533C">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（1）措施费包干，除特别约定外不作调整；</w:t>
      </w:r>
    </w:p>
    <w:p w14:paraId="0F74533D">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（2）经过乙方标价的工程量清单（或乙方投标报价）各分项工程、各子目中的计算、价格错误及组价的漏项；</w:t>
      </w:r>
    </w:p>
    <w:p w14:paraId="0F74533E">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（3）乙方施工范围或施工工程量增加15%范围以内的情况或乙方施工范围或施工工程量减少的情况导致价格的变化；</w:t>
      </w:r>
    </w:p>
    <w:p w14:paraId="0F74533F">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（4）材料价格及人工价格上涨或下落；</w:t>
      </w:r>
    </w:p>
    <w:p w14:paraId="0F745340">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（5）国家法律、法规、政策的变化；</w:t>
      </w:r>
    </w:p>
    <w:p w14:paraId="0F745341">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（6）工程造价管理部门公布的各种价格调整；</w:t>
      </w:r>
    </w:p>
    <w:p w14:paraId="0F745342">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（7）大面积与局部、小面积之间，普通部位与特殊部位之间的各种施工差异；</w:t>
      </w:r>
    </w:p>
    <w:p w14:paraId="0F745343">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（8）任何情况下，乙方在投标前已勘察现场及熟悉施工图纸等，实际施工时不能以对现场或图纸不熟，或者以清单未描述或内容描述不全面等为由要求调整合同单价。</w:t>
      </w:r>
    </w:p>
    <w:p w14:paraId="0F745344">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总价合同：是指双方当事人约定以图纸、已标价工程量清单或预算书及有关条件进行合同价格计算、调整和确认的建设工程施工合同，在约定的风险范围内合同价格不再调整。</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合同总价包括但不限于人工费、材料相关费用（包括但不限于损耗、辅材辅料、材料转运、材料保管和堆放、材料上下车费、场地内水平及垂直运输、场内搬迁费、特殊地段材料运费补差等）、机械相关费用（包括但不限于设备进退场及场外运输费用、二次进场费、辅助机械费、小型机具费、专用工具费、机械设备安拆费、机械设备闲置费、机械设备燃动费、租赁费、维修费、场内运费等）、设计图纸中标示的特殊材料工艺的专利使用费、管理费、规费、利润、除增值税外的其他全部税费（包括但不限于城市建设维护税、教育费附加及地方教育费附加、个人所得税、合同印花税、企业所得税、车船使用税以及国家和地方规定的所有税费）、各类风险费（包括但不限于物价上涨、合同明示或暗示的风险责任和义务、施工过程中因要符合政府部门的新规定或新规范等而须改善或替换之材料设备的费用等）、相关措施费（包括但不限于质量、安全、工期、测量放线、CI费、绿色安全文明施工费、环境保护相关费用、水土保持相关费用、深化设计费、专家论证费、特殊条件施工增加费、保险费、赶工费、窝工费、加班费、成品保护费、养护费、保修费、缺陷修理费、养路费、检验试验费、竣工清理费、竣工资料费、水电燃油费、扰民调停费、各项评比检查观摩等所需的配合费用、工人及管理人员住宿通勤费、工程验收、垃圾清运、现场二次及多次搭拆施工用架子及吊篮、后期服务费用等）、施工降效费、超高费、外经证办理费用、进入工程所在地备案费用、涉及</w:t>
      </w:r>
      <w:r>
        <w:rPr>
          <w:rFonts w:hint="eastAsia" w:ascii="宋体" w:hAnsi="宋体" w:cs="宋体"/>
          <w:color w:val="000000" w:themeColor="text1"/>
          <w:sz w:val="21"/>
          <w:szCs w:val="21"/>
          <w:highlight w:val="none"/>
          <w:lang w:eastAsia="zh-CN"/>
          <w14:textFill>
            <w14:solidFill>
              <w14:schemeClr w14:val="tx1"/>
            </w14:solidFill>
          </w14:textFill>
        </w:rPr>
        <w:t>相关部门各种手续办理及费用、与周边居民的协调工作、</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配合乙方或甲方另行分包的项目所需的配合服务费及配合照管费、疫情常态化防控发生的各种防疫费用、为完成本合同承包范围由甲方安排的其它工作等。合同价格包括的风险范围：</w:t>
      </w:r>
    </w:p>
    <w:p w14:paraId="0F745345">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（1）措施费包干，除特别约定外不作调整；</w:t>
      </w:r>
    </w:p>
    <w:p w14:paraId="0F745346">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（2）施工图纸、图集和相关规范所必须的全部施工内容；</w:t>
      </w:r>
    </w:p>
    <w:p w14:paraId="0F745347">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（3）当施工范围或施工图纸发生变化导致工程量增加15%以内或工程量减少的情况导致价格的变化；</w:t>
      </w:r>
    </w:p>
    <w:p w14:paraId="0F745348">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（4）合同清单中的计算、价格错误及组价的漏项；</w:t>
      </w:r>
    </w:p>
    <w:p w14:paraId="0F745349">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（5）材料价格及人工价格上涨或下落；</w:t>
      </w:r>
    </w:p>
    <w:p w14:paraId="0F74534A">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（6）国家法律、法规、政策的变化；</w:t>
      </w:r>
    </w:p>
    <w:p w14:paraId="0F74534B">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（7）工程造价管理部门公布的各种价格调整；</w:t>
      </w:r>
    </w:p>
    <w:p w14:paraId="0F74534C">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（8）大面积与局部、小面积之间，普通部位与特殊部位之间的各种施工差异；</w:t>
      </w:r>
    </w:p>
    <w:p w14:paraId="0F74534D">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（9）任何情况下，乙方在投标前已勘察现场及熟悉施工图纸等，实际施工时不能以对现场或图纸不熟，或者以清单未描述或内容描述不全面等为由要求调整合同总价。</w:t>
      </w:r>
    </w:p>
    <w:p w14:paraId="0F74534E">
      <w:pPr>
        <w:numPr>
          <w:ilvl w:val="2"/>
          <w:numId w:val="3"/>
        </w:numPr>
        <w:kinsoku w:val="0"/>
        <w:spacing w:after="0" w:line="360" w:lineRule="auto"/>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其他价格形式：是指除第 13.2.1、13.2.2 项以外的其他合同价格形式，具体约定见专用合同条款。</w:t>
      </w:r>
    </w:p>
    <w:p w14:paraId="0F74534F">
      <w:pPr>
        <w:numPr>
          <w:ilvl w:val="1"/>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招标文件和分包合同文件明示要求的项目若在《工程量清单计价表》内没有显示，或任何组成《工程量清单计价表》以外的而根据设计和规范必不可少项目，其价款均视为已经包含在《工程量清单计价表》所列项目单价/价款内。</w:t>
      </w:r>
    </w:p>
    <w:p w14:paraId="0F745350">
      <w:pPr>
        <w:numPr>
          <w:ilvl w:val="1"/>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合同单价中存在一定的不平衡，由此导致的风险由乙方承担，乙方不得以低于成本、出现亏损等任何原因要求调高价款。</w:t>
      </w:r>
    </w:p>
    <w:p w14:paraId="0F745351">
      <w:pPr>
        <w:numPr>
          <w:ilvl w:val="1"/>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合同价款综合考虑了以下各类因素，乙方不得有选择性施工作业；乙方不得以施工难度等因素为由调整合同价款，甲方不接受乙方就以下情况的费用索赔或额外补偿的要求。</w:t>
      </w:r>
    </w:p>
    <w:p w14:paraId="0F745352">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bCs/>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（1）实际</w:t>
      </w:r>
      <w:r>
        <w:rPr>
          <w:rFonts w:hint="eastAsia" w:asciiTheme="minorEastAsia" w:hAnsiTheme="minorEastAsia" w:eastAsiaTheme="minorEastAsia" w:cstheme="minorEastAsia"/>
          <w:bCs/>
          <w:color w:val="000000" w:themeColor="text1"/>
          <w:kern w:val="10"/>
          <w:sz w:val="21"/>
          <w:szCs w:val="21"/>
          <w:highlight w:val="none"/>
          <w:lang w:eastAsia="zh-CN"/>
          <w14:textFill>
            <w14:solidFill>
              <w14:schemeClr w14:val="tx1"/>
            </w14:solidFill>
          </w14:textFill>
        </w:rPr>
        <w:t>工程量较合同清单工程量增加</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15%范围以内或减少的情况，单价不予调整；若</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实际</w:t>
      </w:r>
      <w:r>
        <w:rPr>
          <w:rFonts w:hint="eastAsia" w:asciiTheme="minorEastAsia" w:hAnsiTheme="minorEastAsia" w:eastAsiaTheme="minorEastAsia" w:cstheme="minorEastAsia"/>
          <w:bCs/>
          <w:color w:val="000000" w:themeColor="text1"/>
          <w:kern w:val="10"/>
          <w:sz w:val="21"/>
          <w:szCs w:val="21"/>
          <w:highlight w:val="none"/>
          <w:lang w:eastAsia="zh-CN"/>
          <w14:textFill>
            <w14:solidFill>
              <w14:schemeClr w14:val="tx1"/>
            </w14:solidFill>
          </w14:textFill>
        </w:rPr>
        <w:t>工程量较合同清单工程量</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增加超过15%时，双方应就该清单项单价调减，并及时签订补充协议</w:t>
      </w:r>
      <w:r>
        <w:rPr>
          <w:rFonts w:hint="eastAsia" w:asciiTheme="minorEastAsia" w:hAnsiTheme="minorEastAsia" w:eastAsiaTheme="minorEastAsia" w:cstheme="minorEastAsia"/>
          <w:bCs/>
          <w:color w:val="000000" w:themeColor="text1"/>
          <w:kern w:val="10"/>
          <w:sz w:val="21"/>
          <w:szCs w:val="21"/>
          <w:highlight w:val="none"/>
          <w:lang w:eastAsia="zh-CN"/>
          <w14:textFill>
            <w14:solidFill>
              <w14:schemeClr w14:val="tx1"/>
            </w14:solidFill>
          </w14:textFill>
        </w:rPr>
        <w:t>；</w:t>
      </w:r>
    </w:p>
    <w:p w14:paraId="0F745353">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bCs/>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（2）全部</w:t>
      </w:r>
      <w:r>
        <w:rPr>
          <w:rFonts w:hint="eastAsia" w:asciiTheme="minorEastAsia" w:hAnsiTheme="minorEastAsia" w:eastAsiaTheme="minorEastAsia" w:cstheme="minorEastAsia"/>
          <w:bCs/>
          <w:color w:val="000000" w:themeColor="text1"/>
          <w:kern w:val="10"/>
          <w:sz w:val="21"/>
          <w:szCs w:val="21"/>
          <w:highlight w:val="none"/>
          <w:lang w:eastAsia="zh-CN"/>
          <w14:textFill>
            <w14:solidFill>
              <w14:schemeClr w14:val="tx1"/>
            </w14:solidFill>
          </w14:textFill>
        </w:rPr>
        <w:t>非标层高、局部超高及高层施工难度等因素；</w:t>
      </w:r>
    </w:p>
    <w:p w14:paraId="0F745354">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（3）全部或局部尺寸、形状、工艺等部分特殊性设计或异形构件等施工造成的工效降低；</w:t>
      </w:r>
    </w:p>
    <w:p w14:paraId="0F745355">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（3）机械覆盖范围外引起降效和人工倒运；</w:t>
      </w:r>
    </w:p>
    <w:p w14:paraId="0F745356">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bookmarkStart w:id="747" w:name="_Hlk34494197"/>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（4）</w:t>
      </w:r>
      <w:bookmarkEnd w:id="747"/>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建设单位图纸原因、节假日、政府强制停工复工、各类</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检查观摩等</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所引起各项工作费用（如二次进出场、留守人员等）；</w:t>
      </w:r>
    </w:p>
    <w:p w14:paraId="0F745357">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（5）停水停电、待料、机械修理等停工费用；</w:t>
      </w:r>
    </w:p>
    <w:p w14:paraId="0F745358">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（6）甲方根据工程的进展及施工的需要调整了施工方案和工序而产生费用；</w:t>
      </w:r>
    </w:p>
    <w:p w14:paraId="0F745359">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（7）未经甲方允许，乙方在施工中擅自改变材料做法进行施工作业；</w:t>
      </w:r>
    </w:p>
    <w:p w14:paraId="0F74535A">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（8）乙方承包范围内任何零星用工、窝工、误工、赶工等费用；</w:t>
      </w:r>
    </w:p>
    <w:p w14:paraId="0F74535B">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（9）因市场变化导致人工、材料、机械价格变化或政府及行业主管部门红头文件的颁发而起的乙方的实际支出的增减；</w:t>
      </w:r>
    </w:p>
    <w:p w14:paraId="0F74535C">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（10）因天气、地形、地质、环保要求等条件变化对工程影响（如因雨雪、大气污染、扬尘管控）及采取的临时措施；</w:t>
      </w:r>
    </w:p>
    <w:p w14:paraId="0F74535D">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（11）乙方对招标文件、图纸情况、施工现场情况、生活区情况的理解偏差；</w:t>
      </w:r>
    </w:p>
    <w:p w14:paraId="0F74535E">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（12）按规范、方案、图纸要求必须完成的</w:t>
      </w:r>
      <w:bookmarkStart w:id="748" w:name="_Hlk34051356"/>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（包括图纸没有显示的）工作；</w:t>
      </w:r>
    </w:p>
    <w:bookmarkEnd w:id="748"/>
    <w:p w14:paraId="0F74535F">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（13）同前期工程衔接、处理完善前期遗留问题、接受现场基层条件所需的费用；</w:t>
      </w:r>
    </w:p>
    <w:p w14:paraId="0F745360">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bookmarkStart w:id="749" w:name="_Hlk33982872"/>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（14）与其他分包单位的照管、配合及带来的工作量的全部费用；</w:t>
      </w:r>
    </w:p>
    <w:bookmarkEnd w:id="749"/>
    <w:p w14:paraId="0F745361">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（15）甲方基于项目需求所推行或要求使用的新技术、新工艺、新材料的费用；</w:t>
      </w:r>
    </w:p>
    <w:p w14:paraId="0F745362">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（16）本合同没有提到的但乙方为完成本工程工作所必然发生的工作所产生的费用；</w:t>
      </w:r>
    </w:p>
    <w:p w14:paraId="0F745363">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（17）非乙方原因停工30日以内造成的窝工；</w:t>
      </w:r>
    </w:p>
    <w:p w14:paraId="0F745364">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（18）因达到合同约定的创优标准所发生的费用；</w:t>
      </w:r>
    </w:p>
    <w:p w14:paraId="0F745365">
      <w:pPr>
        <w:tabs>
          <w:tab w:val="left" w:pos="6090"/>
        </w:tabs>
        <w:kinsoku w:val="0"/>
        <w:adjustRightInd w:val="0"/>
        <w:spacing w:after="0" w:line="360" w:lineRule="auto"/>
        <w:ind w:right="149" w:rightChars="71" w:firstLine="420" w:firstLineChars="200"/>
        <w:contextualSpacing/>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（19）其他在本合同中明确的因素。</w:t>
      </w:r>
    </w:p>
    <w:p w14:paraId="0F745366">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乙方承诺为满足本合同约定的工期、质量、安全生产要求，会随时按甲方指令无条件追加现场资源投入，以达到甲方的要求为止；为达到上述要求，乙方采取各种措施的费用已包含于合同价款中，不再增加任何费用。</w:t>
      </w:r>
    </w:p>
    <w:p w14:paraId="0F745367">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在合同执行期间，如遇国家增值税率调整，在不含税价格不变的情况下，按政策调整之日对本合同项下未完成部分执行最新规定。</w:t>
      </w:r>
    </w:p>
    <w:p w14:paraId="0F745368">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本合同中约定的任何一项工作内容未履行或未完全履行，均应从合同价款中扣除相应费用。</w:t>
      </w:r>
    </w:p>
    <w:p w14:paraId="0F745369">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计量方式</w:t>
      </w:r>
    </w:p>
    <w:p w14:paraId="0F74536A">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本工程工程量计量原则按照经甲方确认的施工图纸及合同专用条款中约定的规定执行，以经甲方最终确认的实际施工部位为准，按照施工图纸计算的工程量及现场实际完成的合格工程量的较小值计算。</w:t>
      </w:r>
    </w:p>
    <w:p w14:paraId="0F74536B">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本工程分部分项工程量清单中所列数量为暂定数量（固定总价合同除外），不作为乙方结算依据，乙方不得以清单中工程数量及项目发生变更要求调整清单单价，乙方结算按照上述计量原则进行计算。</w:t>
      </w:r>
    </w:p>
    <w:p w14:paraId="0F74536C">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本合同范围内工作内容不得发生任何零工、零星机械台班及技术措施费。甲方可以拒绝支付任何此类费用。</w:t>
      </w:r>
    </w:p>
    <w:p w14:paraId="0F74536D">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任何情况下（甲方原因除外）造成的返工、返修、超技术交底或设计图纸施工的工程数量不予计价。</w:t>
      </w:r>
    </w:p>
    <w:p w14:paraId="0F74536E">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开工前期，如在网电未接通的情况下需进行施工时,具体事宜在专用条款中约定，专用条款中没有约定的视为此项费用由乙方承担，已包含在分包单价中。</w:t>
      </w:r>
    </w:p>
    <w:p w14:paraId="0F74536F">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750" w:name="_Toc32406"/>
      <w:bookmarkStart w:id="751" w:name="_Toc12172"/>
      <w:bookmarkStart w:id="752" w:name="_Toc26611"/>
      <w:bookmarkStart w:id="753" w:name="_Toc27252"/>
      <w:bookmarkStart w:id="754" w:name="_Toc9587"/>
      <w:bookmarkStart w:id="755" w:name="_Toc19551"/>
      <w:bookmarkStart w:id="756" w:name="_Toc10179"/>
      <w:bookmarkStart w:id="757" w:name="_Toc20662"/>
      <w:bookmarkStart w:id="758" w:name="_Toc17450"/>
      <w:bookmarkStart w:id="759" w:name="_Toc25862"/>
      <w:bookmarkStart w:id="760" w:name="_Toc7970"/>
      <w:bookmarkStart w:id="761" w:name="_Toc101963495"/>
      <w:bookmarkStart w:id="762" w:name="_Toc29071"/>
      <w:bookmarkStart w:id="763" w:name="_Toc24618"/>
      <w:bookmarkStart w:id="764" w:name="_Toc175764432"/>
      <w:bookmarkStart w:id="765" w:name="_Toc101357437"/>
      <w:bookmarkStart w:id="766" w:name="_Toc10689"/>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变更</w:t>
      </w: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签证</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p>
    <w:p w14:paraId="0F745370">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如果甲方认为有必要对本分包工程或其中的任何部分的形式、质量、数量做出任何变更或调整，乙方应遵照执行，该指示包括来自建设单位、设计单位、监理单位的设计变更、洽商、指示等。</w:t>
      </w:r>
      <w:r>
        <w:rPr>
          <w:rFonts w:hint="eastAsia" w:asciiTheme="minorEastAsia" w:hAnsiTheme="minorEastAsia" w:eastAsiaTheme="minorEastAsia" w:cstheme="minorEastAsia"/>
          <w:bCs/>
          <w:color w:val="000000" w:themeColor="text1"/>
          <w:sz w:val="21"/>
          <w:szCs w:val="21"/>
          <w:highlight w:val="none"/>
          <w:lang w:eastAsia="zh-CN"/>
          <w14:textFill>
            <w14:solidFill>
              <w14:schemeClr w14:val="tx1"/>
            </w14:solidFill>
          </w14:textFill>
        </w:rPr>
        <w:t>乙方因没有遵守此条款，引起的任何返工，其损失或工期延误都应由乙方承担。</w:t>
      </w:r>
    </w:p>
    <w:p w14:paraId="0F745371">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上述变更指令发出后，双方应继续履行本合同。因变更而导致合同价款的增减及造成的工期影响，按本合同17.4.2条规定执行。</w:t>
      </w:r>
    </w:p>
    <w:p w14:paraId="0F745372">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如果上述变更是因为乙方违约或自身原因造成甲方不得不发出变更指令，则任何此类变更后增加的费用均由乙方承担。</w:t>
      </w:r>
    </w:p>
    <w:p w14:paraId="0F745373">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按照甲方发出的设计变更通知及有关要求，进行施工，未经甲方事先书面同意，乙方不得擅自对原工程设计进行变更或调整分包作业范围。由乙方擅自变更或未按照甲方设计变更通知进行施工造成的费用增加和由此导致甲方的直接损失，由乙方承担，延误的工期不予顺延。</w:t>
      </w:r>
    </w:p>
    <w:p w14:paraId="0F745374">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在施工中提出的合理化建议及涉及到对设计图纸或施工组织设计的更改及对材料、设备的换用，应向甲方提交合理化建议说明，说明建议的内容、理由以及实施该建议对合同价格和工期的影响，且须经甲方同意，未经甲方同意擅自更改或换用时，乙方承担由此发生的费用，并赔偿由此给甲方造成的一切损失，延误的工期不予顺延。</w:t>
      </w:r>
    </w:p>
    <w:p w14:paraId="0F745375">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发生14.5条中的情况时，乙方应在7日内，将调整的原因、金额以书面形式（附有详细估算）提交甲方，甲方在收到乙方报告后上报建设单位，经建设单位审批后，甲方签署意见并调整本合同价款，本变更合同价款由双方协商确定但不得超过建设单位审批变更价款。</w:t>
      </w:r>
    </w:p>
    <w:p w14:paraId="0F745376">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现场变更签证管理规定：</w:t>
      </w:r>
    </w:p>
    <w:p w14:paraId="0F745377">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变更、工程量确定原则</w:t>
      </w:r>
    </w:p>
    <w:p w14:paraId="0F745378">
      <w:pPr>
        <w:tabs>
          <w:tab w:val="left" w:pos="0"/>
        </w:tabs>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（1）工程变更、签证单应按甲方要求填写，字迹清楚工整。</w:t>
      </w:r>
    </w:p>
    <w:p w14:paraId="0F745379">
      <w:pPr>
        <w:tabs>
          <w:tab w:val="left" w:pos="0"/>
        </w:tabs>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w:t>
      </w: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须由甲方项目部现场签证发起人员、商务人员及乙方三方进行现场验收核实，并经甲方项目经理、商务经理、项目技术负责人、项目生产负责人等共同签字且日期齐全。</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对变更、签证事由和内容的描述须详尽，必要时应附上图示及工程量计算式。变更事由注明发生时间、地点和工作部位（层次、轴线编号、构件名称、桩号等）。</w:t>
      </w:r>
    </w:p>
    <w:p w14:paraId="0F74537A">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变更、签证单价确定原则</w:t>
      </w:r>
    </w:p>
    <w:p w14:paraId="0F74537B">
      <w:pPr>
        <w:kinsoku w:val="0"/>
        <w:autoSpaceDE w:val="0"/>
        <w:autoSpaceDN w:val="0"/>
        <w:adjustRightInd w:val="0"/>
        <w:spacing w:after="0" w:line="480" w:lineRule="exact"/>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（1）如果取消某项工作，则该项工作的总额价不予支付；</w:t>
      </w:r>
    </w:p>
    <w:p w14:paraId="0F74537C">
      <w:pPr>
        <w:kinsoku w:val="0"/>
        <w:autoSpaceDE w:val="0"/>
        <w:autoSpaceDN w:val="0"/>
        <w:adjustRightInd w:val="0"/>
        <w:spacing w:after="0" w:line="480" w:lineRule="exact"/>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（2）已标价工程量清单中有相同清单项的，按照已标价工程量清单单价认定；</w:t>
      </w:r>
    </w:p>
    <w:p w14:paraId="0F74537D">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（3）已标价工程量清单中无相同清单项，但有类似清单项的，于合同清单外工程的价格，可以参照已标价工程量清单中类似清单项单价认定；</w:t>
      </w:r>
    </w:p>
    <w:p w14:paraId="0F74537E">
      <w:pPr>
        <w:kinsoku w:val="0"/>
        <w:adjustRightInd w:val="0"/>
        <w:snapToGrid w:val="0"/>
        <w:spacing w:after="0" w:line="360" w:lineRule="auto"/>
        <w:ind w:firstLine="420" w:firstLineChars="200"/>
        <w:contextualSpacing/>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4）已标价工程量清单中无相同清单项或类似清单项的，由乙方提出适当的价格，并经甲方审核后出具双方签字盖章的价格确认单方可执行。变更、签证单上签署的未经甲方相关部门和人员审核的价格，不作为最终结算依据。</w:t>
      </w:r>
    </w:p>
    <w:p w14:paraId="0F74537F">
      <w:pPr>
        <w:kinsoku w:val="0"/>
        <w:autoSpaceDE w:val="0"/>
        <w:autoSpaceDN w:val="0"/>
        <w:adjustRightInd w:val="0"/>
        <w:spacing w:after="0" w:line="480" w:lineRule="exact"/>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（5）如果本工程的变更指示是因乙方过错、乙方违反合同或乙方责任造成的，则这种违约引起的任何额外费用应由乙方承担。</w:t>
      </w:r>
    </w:p>
    <w:p w14:paraId="0F745380">
      <w:pPr>
        <w:numPr>
          <w:ilvl w:val="2"/>
          <w:numId w:val="3"/>
        </w:numPr>
        <w:kinsoku w:val="0"/>
        <w:spacing w:after="0" w:line="360" w:lineRule="auto"/>
        <w:jc w:val="both"/>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无效变更、签证单：</w:t>
      </w:r>
    </w:p>
    <w:p w14:paraId="0F745381">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lang w:eastAsia="zh-CN"/>
          <w14:textFill>
            <w14:solidFill>
              <w14:schemeClr w14:val="tx1"/>
            </w14:solidFill>
          </w14:textFill>
        </w:rPr>
        <w:t>（1）</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甲方项目经理、项目商务经理、项目技术负责人、项目生产负责人及经办人员签名不全或没有注明变更日期的变更、签证单；</w:t>
      </w:r>
    </w:p>
    <w:p w14:paraId="0F745382">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（2）超过变更时效或竣工后突击补签的变更、签证单；</w:t>
      </w:r>
    </w:p>
    <w:p w14:paraId="0F745383">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（3）非原件的变更、签证资料；</w:t>
      </w:r>
    </w:p>
    <w:p w14:paraId="0F745384">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（4）内容不实、对事由的描述太简单以致无法核定工程量的变更、签证单；</w:t>
      </w:r>
    </w:p>
    <w:p w14:paraId="0F745385">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（5）变更、签证内容包括在本合同单价范围内或者本合同工作范围内。</w:t>
      </w:r>
    </w:p>
    <w:p w14:paraId="0F745386">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已发生的有关签证必须在当天办理现场验收核实，涉及的合同外增加费用的，乙方必须在变更、签证发生7天内将变更、签证费用上报甲方，如果乙方未在规定的时间内上报，则视为本洽商、变更、签证不涉及合同外费用调整。</w:t>
      </w:r>
    </w:p>
    <w:p w14:paraId="0F745387">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767" w:name="_Toc101963496"/>
      <w:bookmarkStart w:id="768" w:name="_Toc5904"/>
      <w:bookmarkStart w:id="769" w:name="_Toc4391"/>
      <w:bookmarkStart w:id="770" w:name="_Toc4788"/>
      <w:bookmarkStart w:id="771" w:name="_Toc30828"/>
      <w:bookmarkStart w:id="772" w:name="_Toc20055"/>
      <w:bookmarkStart w:id="773" w:name="_Toc23028"/>
      <w:bookmarkStart w:id="774" w:name="_Toc31015"/>
      <w:bookmarkStart w:id="775" w:name="_Toc24261"/>
      <w:bookmarkStart w:id="776" w:name="_Toc101357440"/>
      <w:bookmarkStart w:id="777" w:name="_Toc1051"/>
      <w:bookmarkStart w:id="778" w:name="_Toc21135"/>
      <w:bookmarkStart w:id="779" w:name="_Toc175764433"/>
      <w:bookmarkStart w:id="780" w:name="_Toc4065"/>
      <w:bookmarkStart w:id="781" w:name="_Toc26886"/>
      <w:bookmarkStart w:id="782" w:name="_Toc21943"/>
      <w:bookmarkStart w:id="783" w:name="_Toc14250"/>
      <w:bookmarkStart w:id="784" w:name="_Toc32733"/>
      <w:bookmarkStart w:id="785" w:name="_Toc11238"/>
      <w:bookmarkStart w:id="786" w:name="_Toc20120"/>
      <w:bookmarkStart w:id="787" w:name="_Toc30193"/>
      <w:bookmarkStart w:id="788" w:name="_Toc28726"/>
      <w:bookmarkStart w:id="789" w:name="_Toc11138"/>
      <w:bookmarkStart w:id="790" w:name="_Toc23683"/>
      <w:bookmarkStart w:id="791" w:name="_Toc23790"/>
      <w:bookmarkStart w:id="792" w:name="_Toc101357438"/>
      <w:bookmarkStart w:id="793" w:name="_Toc9294"/>
      <w:bookmarkStart w:id="794" w:name="_Toc28252"/>
      <w:bookmarkStart w:id="795" w:name="_Toc27177"/>
      <w:bookmarkStart w:id="796" w:name="_Toc6616"/>
      <w:bookmarkStart w:id="797" w:name="_Toc29236"/>
      <w:bookmarkStart w:id="798" w:name="_Toc22125"/>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工程款支付</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p w14:paraId="0F745388">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甲方应按合同约定向乙方支付工程预付款。工程预付款的支付时间、预付额度、工程预付款的抵扣起始时间和方式见专用合同条款。</w:t>
      </w:r>
    </w:p>
    <w:p w14:paraId="0F745389">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甲方应按专用合同条款约定的工程进度款付款周期、程序、支付比例或金额支付工程进度款。</w:t>
      </w:r>
    </w:p>
    <w:p w14:paraId="0F74538A">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委托甲方代发农民工工资，并认可甲方的按月代发行为，每次付款前,应当提供收款承诺书或收据。不得据此拒绝提供或不足额提供增值税专用发票给甲方。甲方根据合同专用合同条款的约定代发乙方农民工工资。乙方不得以任何理由扣押或者变相扣押用于支付农民工工资的银行账户所绑定的农民工本人社会保障卡或者银行卡。乙方需按照国家法律法规政策，为农民工缴纳个人所得税，并按照甲方要求，定期提交纳税证明，确保如实履行代扣代缴的纳税义务。</w:t>
      </w:r>
    </w:p>
    <w:p w14:paraId="0F74538B">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甲方按合同约定向乙方支付的进度款已足够支付全额工人工资，乙方在收到甲方进度款后应优先用于支付工人工资。</w:t>
      </w:r>
    </w:p>
    <w:p w14:paraId="0F74538C">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按甲方财务要求提供符合本合同协议书中约定税率的合规增值税专用发票（包含税务机关代开），并按实际提供服务及货物情况，准确填写发票项目，甲方收到乙方的合格发票后支付工程款。因乙方发票填写有误，造成甲方增值税抵扣税额损失的，由乙方全额进行赔偿。</w:t>
      </w:r>
    </w:p>
    <w:p w14:paraId="0F74538D">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开具增值税专用发票的，乙方应按甲方通知的时间完成指定工作，并经双方现场人员验收确认后，由甲方通知乙方开票时间，乙方在甲方要求的时间内，向甲方开具已验收工作内容全额增值税专用发票。由于乙方不及时提供发票或者提供的发票不符合税务机关要求，导致甲方不能报验抵扣进项税金，或者当时虽正常通过审核，后被税务机关以“比对不符”或“失控发票”等事由追缴税款，从而给甲方造成的经济损失，由乙方负责赔偿。乙方不提供发票或发票不符合税务部门要求的，甲方</w:t>
      </w:r>
      <w:r>
        <w:rPr>
          <w:rStyle w:val="38"/>
          <w:rFonts w:hint="eastAsia" w:asciiTheme="minorEastAsia" w:hAnsiTheme="minorEastAsia" w:eastAsiaTheme="minorEastAsia" w:cstheme="minorEastAsia"/>
          <w:color w:val="000000" w:themeColor="text1"/>
          <w:highlight w:val="none"/>
          <w:lang w:eastAsia="zh-CN"/>
          <w14:textFill>
            <w14:solidFill>
              <w14:schemeClr w14:val="tx1"/>
            </w14:solidFill>
          </w14:textFill>
        </w:rPr>
        <w:t>可以</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从应付款项中直接扣除发票事项的损失，然后再支付剩余的款项给乙方。</w:t>
      </w:r>
    </w:p>
    <w:p w14:paraId="0F74538E">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若因合同工作内容及价款等增值税专用发票记载项目发生变化的，如果甲方取得增值税专用发票尚未认证抵扣，则乙方应作废原发票，重新开具增值税专用发票，作废发票前需告知甲方，并收回原发票；如果原增值税专用发票已经认证抵扣，则乙方就合同增加的金额补开增值税专用发票；如有调减或者其他需要，与甲方联系开具红字信息表办理开具红冲发票。</w:t>
      </w:r>
    </w:p>
    <w:p w14:paraId="0F74538F">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开具的发票必须保证“五流一致”，即合同流、资金流（银行的收付款凭证）、发票流（发票的开票人和收票人）、物流（或劳务流）和信息流相互统一，即合同主体、收款方、开票方和货物销售方或劳务提供方必须是同一个法律主体，而且合同主体、付款方、货物采购方或劳务接收方必须是同一个法律主体，如果因乙方原因导致五流不一致，造成甲方不能对税款进行抵扣的，乙方必须承担由此给甲方带来的经济损失。</w:t>
      </w:r>
    </w:p>
    <w:p w14:paraId="0F745390">
      <w:pPr>
        <w:numPr>
          <w:ilvl w:val="1"/>
          <w:numId w:val="3"/>
        </w:numPr>
        <w:kinsoku w:val="0"/>
        <w:spacing w:after="0" w:line="360" w:lineRule="auto"/>
        <w:jc w:val="both"/>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乙方在分包报价中已考虑本项目的资金风险，具备一定的资金实力。如双方因工程款支付发生争议，对于争议解决前甲方存在迟付情形的已付款项，乙方放弃索要逾期利息、违约金或资金占用费的权利。非甲方原因延迟支付结算款的，甲方不承担逾期利息，如因其他原因需甲方承担逾期利息时，约定利率为不超过合同订立时1年期贷款市场报价利率。乙方不以缓付、迟付工程款为由减慢施工进度或停止施工，</w:t>
      </w: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乙方需自筹资金保证本工程按期完成</w:t>
      </w: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；不以缓付、迟付工程款为由拒绝办理过程结算、竣工结算。</w:t>
      </w:r>
    </w:p>
    <w:p w14:paraId="0F745391">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799" w:name="_Toc101963497"/>
      <w:bookmarkStart w:id="800" w:name="_Toc175764434"/>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过程结算</w:t>
      </w:r>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p>
    <w:p w14:paraId="0F745392">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乙方应按合同约定的时间和内容向甲方提交计量周期的已完成的工程量报告。乙方提交已完成的工程量报告的时间、内容和计量周期见专用合同条款。</w:t>
      </w:r>
    </w:p>
    <w:p w14:paraId="0F745393">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乙方必须满足“月结月清”要求，每次过程结算内容必须包含图纸施工内容、及经相关人员签字确认的合同外签证变更索赔等所有乙方发生内容，超期补报视为无效。</w:t>
      </w:r>
    </w:p>
    <w:p w14:paraId="0F745394">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对工程量有异议的，可以要求乙方进行共同复核或抽样复测。乙方应协助甲方进行复核或抽样复测，并按甲方要求提供补充计量资料。乙方未按甲方要求参加复核或抽样复测的，甲方复核或修正的工程量视为乙方实际完成的工程量。</w:t>
      </w:r>
    </w:p>
    <w:p w14:paraId="0F745395">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根据审核通过的工程量报告，编制过程结算资料，甲方和乙方应在过程结算资料编制完毕后2日内对过程结算资料予以书面确认，乙方需加盖公章。乙方应在书面确认后2日内开具已确认过程结算金额的全额增值税专用发票。</w:t>
      </w:r>
    </w:p>
    <w:p w14:paraId="0F745396">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过程结算审核必须经过甲方项目部、公司等各层级相关部门审核并签字后方可生效，仅甲方项目部项目经理签字的结算书不作为过程结算确认依据。</w:t>
      </w:r>
    </w:p>
    <w:p w14:paraId="0F745397">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801" w:name="_Toc28888"/>
      <w:bookmarkStart w:id="802" w:name="_Toc27851"/>
      <w:bookmarkStart w:id="803" w:name="_Toc26755"/>
      <w:bookmarkStart w:id="804" w:name="_Toc9893"/>
      <w:bookmarkStart w:id="805" w:name="_Toc26856"/>
      <w:bookmarkStart w:id="806" w:name="_Toc9353"/>
      <w:bookmarkStart w:id="807" w:name="_Toc8694"/>
      <w:bookmarkStart w:id="808" w:name="_Toc20927"/>
      <w:bookmarkStart w:id="809" w:name="_Toc6494"/>
      <w:bookmarkStart w:id="810" w:name="_Toc24796"/>
      <w:bookmarkStart w:id="811" w:name="_Toc175764435"/>
      <w:bookmarkStart w:id="812" w:name="_Toc27329"/>
      <w:bookmarkStart w:id="813" w:name="_Toc14052"/>
      <w:bookmarkStart w:id="814" w:name="_Toc4798"/>
      <w:bookmarkStart w:id="815" w:name="_Toc101963498"/>
      <w:bookmarkStart w:id="816" w:name="_Toc101357439"/>
      <w:bookmarkStart w:id="817" w:name="_Toc21709"/>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最终</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结算</w:t>
      </w:r>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p>
    <w:p w14:paraId="0F745398">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分包工程完工验收合格后30天内，乙方向甲方提交经乙方签字盖章并装订成册的结算报告及完整的结算资料，包含内容见专用合同条款。结算资料一经提交，乙方不得更改或补充。超过本分包工程完工验收合格后60天或经甲方催促后14天，乙方仍未向甲方提交完整结算资料或明确答复的，甲方可以根据已有资料进行审查，确定双方的结算金额，并单方面出具书面结算资料，以快递或电子邮件形式发送乙方，若在三日内未收到乙方回复，则视同乙方已认可该结算，并将该结算作为双方最终结算。该结算金额对乙方具有约束力，乙方无权再提出疑义，由此带来的全部责任和后果由乙方自负。</w:t>
      </w:r>
    </w:p>
    <w:p w14:paraId="0F745399">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对结算报告有异议的，可以要求乙方进行共同复核或抽样复测。乙方应协助甲方进行复核或抽样复测，并按甲方要求提供补充结算资料。乙方未按甲方要求参加复核或抽样复测的，甲方复核或修正的结算金额视为乙方实际完成的结算金额。</w:t>
      </w:r>
    </w:p>
    <w:p w14:paraId="0F74539A">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分包工程结算必须经过甲方项目部、子企业、集团总部等相关部门审核，甲方根据通过审核的结算资料编制完工结算书，甲方和乙方应在完工结算书编制完毕后30日内予以书面确认，结算书经双方签字盖章后方可生效，仅甲方项目部相关人员签字的结算书不作为最终双方确认依据。</w:t>
      </w:r>
    </w:p>
    <w:p w14:paraId="0F74539B">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最终结算价款根据合同价格形式，按照专用条款约定执行。</w:t>
      </w:r>
    </w:p>
    <w:p w14:paraId="0F74539C">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本分包工程可根据施工形象进度办理分阶段最终结算，办理原则和要求与上述最终结算条款约定一致。</w:t>
      </w:r>
    </w:p>
    <w:p w14:paraId="0F74539D">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818" w:name="_Toc175764436"/>
      <w:bookmarkStart w:id="819" w:name="_Toc101963499"/>
      <w:bookmarkStart w:id="820" w:name="_Toc101357441"/>
      <w:bookmarkStart w:id="821" w:name="_Toc22036"/>
      <w:bookmarkStart w:id="822" w:name="_Toc40"/>
      <w:bookmarkStart w:id="823" w:name="_Toc19855"/>
      <w:bookmarkStart w:id="824" w:name="_Toc12386"/>
      <w:bookmarkStart w:id="825" w:name="_Toc16415"/>
      <w:bookmarkStart w:id="826" w:name="_Toc1823"/>
      <w:bookmarkStart w:id="827" w:name="_Toc4750"/>
      <w:bookmarkStart w:id="828" w:name="_Toc3706"/>
      <w:bookmarkStart w:id="829" w:name="_Toc29076"/>
      <w:bookmarkStart w:id="830" w:name="_Toc12374"/>
      <w:bookmarkStart w:id="831" w:name="_Toc2774"/>
      <w:bookmarkStart w:id="832" w:name="_Toc19831"/>
      <w:bookmarkStart w:id="833" w:name="_Toc21233"/>
      <w:bookmarkStart w:id="834" w:name="_Toc25864"/>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完工验收</w:t>
      </w:r>
      <w:bookmarkEnd w:id="818"/>
      <w:bookmarkEnd w:id="819"/>
      <w:bookmarkEnd w:id="820"/>
    </w:p>
    <w:p w14:paraId="0F74539E">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甲方有作业规范要求的，乙方的分包作业还应当满足甲方的作业规范要求。甲方可以随时对乙方实施的分包作业进行监督检查。</w:t>
      </w:r>
    </w:p>
    <w:p w14:paraId="0F74539F">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本分包工程具备以下完工验收条件后，乙方方可向甲方提交完工验收申请报告：</w:t>
      </w:r>
    </w:p>
    <w:p w14:paraId="0F7453A0">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工程完工后，乙方应在完工验收10日前，向甲方提交完工验收报告和竣工资料。乙方提供资料数据并配合甲方做好竣工验收各项资料，资料费用由乙方承担。相关资料包括：分包资质报验表及其附件；乙方现场代表授权文书及现场人员通讯录（均需加盖公章）；材料进场报验表及其所附的材料试验、复试报告；隐蔽工程和中间验收记录的原始技术资料；提供办理工程竣工图的数据与资料；其他为完成竣工验收所需要的一切附件资料。</w:t>
      </w:r>
    </w:p>
    <w:p w14:paraId="0F7453A1">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乙方在工程完工后应通知甲方、监理办理完工验收，在甲方、监理在完工验收单上签字，明确表示本工程符合合同约定的质量标准后，方被认为工程完工。甲方、监理在完工验收单上签字时间为本工程完工时间。</w:t>
      </w:r>
    </w:p>
    <w:p w14:paraId="0F7453A2">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协助甲方办理整体工程竣工验收，及时完成验收提出的整改内容；并提交产品合格证、竣工报告及符合工程所在地地方标准的资料。如因缺项、漏项或资料不合格等情况，影响分包工程结算、工程款或质量保证金支付，相应责任由乙方承担。</w:t>
      </w:r>
    </w:p>
    <w:p w14:paraId="0F7453A3">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835" w:name="_Toc101357443"/>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审查后，认为尚不具备验收条件的，应通知乙方在完工验收前尚需完成的工作内容，乙方应在完成甲方通知的全部工作内容后，再次提交完工验收申请报告。甲方审查后，认为已具备验收条件的，应在专用合同条款约定的时间内进行验收。验收合格的，则视为工程完工验收通过。验收不合格的，甲方应通知乙方进行整改，整改完成后重新办理验收，由此增加的费用和（或）工期延误由乙方承担。</w:t>
      </w:r>
      <w:bookmarkEnd w:id="835"/>
      <w:bookmarkStart w:id="836" w:name="_Toc101357444"/>
    </w:p>
    <w:p w14:paraId="0F7453A4">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经验收合格的工程，实际完工日期为乙方按第 18.2 款提交完工验收申请报告或按该款重新提交完工验收申请报告的日期（以两者中时间在后者为准）。</w:t>
      </w:r>
      <w:bookmarkEnd w:id="836"/>
    </w:p>
    <w:p w14:paraId="0F7453A5">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837" w:name="_Toc101357445"/>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检查检验合格后，又发现因乙方原因引起的质量问题，仍由乙方承担返修责任及费用，赔偿甲方因此造成的损失。甲方并不为其检查检验的行为承担任何责任。造成工期延误的，按照合同协议书约定承担违约金并赔偿甲方损失。</w:t>
      </w:r>
    </w:p>
    <w:p w14:paraId="0F7453A6">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分包作业经验收合格后，乙方应当按照甲方指示及时将该分包作业交付甲方，不得以双方存在争议为由拒绝将该分包作业交付甲方。</w:t>
      </w:r>
    </w:p>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7"/>
    <w:p w14:paraId="0F7453A7">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838" w:name="_Toc101366205"/>
      <w:bookmarkEnd w:id="838"/>
      <w:bookmarkStart w:id="839" w:name="_Toc29742"/>
      <w:bookmarkStart w:id="840" w:name="_Toc5861"/>
      <w:bookmarkStart w:id="841" w:name="_Toc16080"/>
      <w:bookmarkStart w:id="842" w:name="_Toc15786"/>
      <w:bookmarkStart w:id="843" w:name="_Toc3049"/>
      <w:bookmarkStart w:id="844" w:name="_Toc230"/>
      <w:bookmarkStart w:id="845" w:name="_Toc28445"/>
      <w:bookmarkStart w:id="846" w:name="_Toc101963501"/>
      <w:bookmarkStart w:id="847" w:name="_Toc15912"/>
      <w:bookmarkStart w:id="848" w:name="_Toc16570"/>
      <w:bookmarkStart w:id="849" w:name="_Toc17265"/>
      <w:bookmarkStart w:id="850" w:name="_Toc101357447"/>
      <w:bookmarkStart w:id="851" w:name="_Toc20068"/>
      <w:bookmarkStart w:id="852" w:name="_Toc24000"/>
      <w:bookmarkStart w:id="853" w:name="_Toc24385"/>
      <w:bookmarkStart w:id="854" w:name="_Toc28979"/>
      <w:bookmarkStart w:id="855" w:name="_Toc175764437"/>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履约</w:t>
      </w:r>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保证</w:t>
      </w:r>
      <w:bookmarkEnd w:id="855"/>
    </w:p>
    <w:p w14:paraId="0F7453A8">
      <w:pPr>
        <w:numPr>
          <w:ilvl w:val="1"/>
          <w:numId w:val="3"/>
        </w:numPr>
        <w:kinsoku w:val="0"/>
        <w:spacing w:after="0" w:line="360" w:lineRule="auto"/>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乙方应在合同签订的同时，按专用合同条款约定向甲方提交履约保函（或提供同等金额的履约保证金）。该保函应为独立、不可撤销、见索即付的银行保函，且采取甲方和乙方双方同意的格式，开具保函的机构须经甲方同意，为执行本款所发生的费用应由乙方承担。未提交履约保函或保证金的，进度款不予支付。</w:t>
      </w:r>
    </w:p>
    <w:p w14:paraId="0F7453A9">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在本分包工程交（竣）工验收合格之前，乙方应保证履约担保持续有效。若分包工程尚未完工验收或办理完成最终结算，则乙方应在履约担保期满前28天内延长履约担保的有效期，直至分包工程完工验收合格并办理完成最终结算。履约保函（或履约保证金）的有效期至本分包工程完工验收合格并办理完成最终结算为止，在有效期满30日内扣除乙方违约金及应扣款项后将履约保函（或履约保证金）无息退还给乙方。</w:t>
      </w:r>
    </w:p>
    <w:p w14:paraId="0F7453AA">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当乙方未按约定履行合同而发生违约行为时，乙方应承担的违约金及因违约对甲方所造成的损失金额，甲方可无条件从履约担保中扣除违约金及相关损失并通知乙方，乙方有义务在接到上述通知后7天内将履约担保恢复到原金额。当乙方需承担的违约金及造成甲方的损失金额超出履约担保金额时，甲方可就超出数额向乙方追偿。</w:t>
      </w:r>
    </w:p>
    <w:p w14:paraId="0F7453AB">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kern w:val="10"/>
          <w:sz w:val="21"/>
          <w:szCs w:val="21"/>
          <w:highlight w:val="none"/>
          <w14:textFill>
            <w14:solidFill>
              <w14:schemeClr w14:val="tx1"/>
            </w14:solidFill>
          </w14:textFill>
        </w:rPr>
      </w:pPr>
      <w:bookmarkStart w:id="856" w:name="_Toc101963502"/>
      <w:bookmarkStart w:id="857" w:name="_Toc5026"/>
      <w:bookmarkStart w:id="858" w:name="_Toc23026"/>
      <w:bookmarkStart w:id="859" w:name="_Toc29175"/>
      <w:bookmarkStart w:id="860" w:name="_Toc24258"/>
      <w:bookmarkStart w:id="861" w:name="_Toc13622"/>
      <w:bookmarkStart w:id="862" w:name="_Toc101357448"/>
      <w:bookmarkStart w:id="863" w:name="_Toc15725"/>
      <w:bookmarkStart w:id="864" w:name="_Toc3211"/>
      <w:bookmarkStart w:id="865" w:name="_Toc32222"/>
      <w:bookmarkStart w:id="866" w:name="_Toc11409"/>
      <w:bookmarkStart w:id="867" w:name="_Toc29227"/>
      <w:bookmarkStart w:id="868" w:name="_Toc19980"/>
      <w:bookmarkStart w:id="869" w:name="_Toc175764438"/>
      <w:bookmarkStart w:id="870" w:name="_Toc19247"/>
      <w:bookmarkStart w:id="871" w:name="_Toc28929"/>
      <w:bookmarkStart w:id="872" w:name="_Toc13752"/>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缺陷责任与</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保修</w:t>
      </w:r>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p>
    <w:p w14:paraId="0F7453AC">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乙方应在缺陷责任期内对已交付使用的工程承担缺陷责任。缺陷责任期的起始时间和缺陷责任期的期限见专用合同条款。</w:t>
      </w:r>
    </w:p>
    <w:p w14:paraId="0F7453AD">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乙方应在质量保修期内对已交付使用的工程承担保修责任。质量保修期的起始时间和质量保修期的期限见专用合同条款。</w:t>
      </w:r>
    </w:p>
    <w:p w14:paraId="0F7453AE">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乙方在质量保修期内，按照有关法律、法规、规章的管理规定和双方约定，承担本分包工程质量保修责任。保修金在保修期满后30天内无息支付。</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乙方负责承包范围的保修工作，保修期及保修内容均按照甲方与总承包合同的相应规定执行，保修期满后，并不免除乙方的施工质量责任。</w:t>
      </w:r>
    </w:p>
    <w:p w14:paraId="0F7453AF">
      <w:pPr>
        <w:numPr>
          <w:ilvl w:val="1"/>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14:textFill>
            <w14:solidFill>
              <w14:schemeClr w14:val="tx1"/>
            </w14:solidFill>
          </w14:textFill>
        </w:rPr>
        <w:t>质量保修责任</w:t>
      </w:r>
    </w:p>
    <w:p w14:paraId="0F7453B0">
      <w:pPr>
        <w:numPr>
          <w:ilvl w:val="2"/>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属于保修范围、内容的项目，乙方应当在接到保修通知之日起24小时内派人保修。乙方不在约定期限内派人保修的，甲方可以委托第三方完成维修工作，发生的所有费用由乙方承担，因乙方拒绝维修导致额外的损失，甲方可向乙方追偿，同时乙方仍需承担由第三方代为施工的工程范围的质量及后期维修责任。</w:t>
      </w:r>
    </w:p>
    <w:p w14:paraId="0F7453B1">
      <w:pPr>
        <w:numPr>
          <w:ilvl w:val="2"/>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发生紧急抢修事故时，乙方在接到事故通知后，应当立即到达事故现场抢修。</w:t>
      </w:r>
    </w:p>
    <w:p w14:paraId="0F7453B2">
      <w:pPr>
        <w:numPr>
          <w:ilvl w:val="2"/>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乙方的操作工艺、材料质量、施工质量存在的缺陷以及为修补该缺陷而需进行的剔凿和恢复以及其它相关工作，若乙方自身技术水平与资质不能胜任类似工作时，甲方可以指定其他施工队伍完成相关作业，全部费用由乙方承担。</w:t>
      </w:r>
    </w:p>
    <w:p w14:paraId="0F7453B3">
      <w:pPr>
        <w:numPr>
          <w:ilvl w:val="2"/>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对于涉及结构安全的质量问题，应当按照行业规定，立即向当地建设行政主管部门报告，采取安全防范措施；由原设计单位或者具有相应资质等级的设计单位提出保修方案，乙方实施保修作业。</w:t>
      </w:r>
      <w:r>
        <w:rPr>
          <w:rFonts w:hint="eastAsia" w:asciiTheme="minorEastAsia" w:hAnsiTheme="minorEastAsia" w:eastAsiaTheme="minorEastAsia" w:cstheme="minorEastAsia"/>
          <w:color w:val="000000" w:themeColor="text1"/>
          <w:kern w:val="10"/>
          <w:sz w:val="21"/>
          <w:szCs w:val="21"/>
          <w:highlight w:val="none"/>
          <w14:textFill>
            <w14:solidFill>
              <w14:schemeClr w14:val="tx1"/>
            </w14:solidFill>
          </w14:textFill>
        </w:rPr>
        <w:t>相关费用由乙方承担。</w:t>
      </w:r>
    </w:p>
    <w:p w14:paraId="0F7453B4">
      <w:pPr>
        <w:numPr>
          <w:ilvl w:val="2"/>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质量问题保修完成后，由建设单位、使用方会同甲方组织验收，各方验收合格后当次保修即告结束。</w:t>
      </w:r>
    </w:p>
    <w:p w14:paraId="0F7453B5">
      <w:pPr>
        <w:numPr>
          <w:ilvl w:val="1"/>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10"/>
          <w:sz w:val="21"/>
          <w:szCs w:val="21"/>
          <w:highlight w:val="none"/>
          <w14:textFill>
            <w14:solidFill>
              <w14:schemeClr w14:val="tx1"/>
            </w14:solidFill>
          </w14:textFill>
        </w:rPr>
        <w:t>保修费用与赔偿责任</w:t>
      </w:r>
    </w:p>
    <w:p w14:paraId="0F7453B6">
      <w:pPr>
        <w:numPr>
          <w:ilvl w:val="2"/>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保修费用由造成质量缺陷的责任方承担。</w:t>
      </w:r>
    </w:p>
    <w:p w14:paraId="0F7453B7">
      <w:pPr>
        <w:numPr>
          <w:ilvl w:val="2"/>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如乙方施工质量缺陷、工艺缺陷、材料老化等缺陷与瑕疵给使用方、建设单位造成人员物资财产等直接损失以及其它间接损失均由乙方负责赔偿。</w:t>
      </w:r>
    </w:p>
    <w:p w14:paraId="0F7453B8">
      <w:pPr>
        <w:numPr>
          <w:ilvl w:val="2"/>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为返修以及受它影响的相关联工作所需费用由乙方承担。</w:t>
      </w:r>
    </w:p>
    <w:p w14:paraId="0F7453B9">
      <w:pPr>
        <w:numPr>
          <w:ilvl w:val="2"/>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因</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建设单位</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、使用方使用或保养不当造成质量问题，乙方应尽义务进行维修，维修费用则由甲方牵头，乙方配合，向责任方索要，但甲方没有追索此项债务的义务。</w:t>
      </w:r>
    </w:p>
    <w:p w14:paraId="0F7453BA">
      <w:pPr>
        <w:numPr>
          <w:ilvl w:val="2"/>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若合同双方对本分包工程质量发生争议，则共同约请当地省市项目建设行政主管部门下属质量监督总站或其它权威机构进行鉴定。如果鉴定结论乙方质量不合格，则鉴定费用由乙方承担。</w:t>
      </w:r>
    </w:p>
    <w:p w14:paraId="0F7453BB">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保修金的返还：</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缺陷责任期</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满后</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在合同约定工作全部完成并验收合格后办理最终结算，结算手续完成后，以及按合同规定扣除应扣的款项后，甲方将余款一次性（无息）返还给乙方。</w:t>
      </w:r>
    </w:p>
    <w:p w14:paraId="0F7453BC">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保修金需扣除以下费用：</w:t>
      </w:r>
    </w:p>
    <w:p w14:paraId="0F7453BD">
      <w:pPr>
        <w:pStyle w:val="87"/>
        <w:numPr>
          <w:ilvl w:val="0"/>
          <w:numId w:val="6"/>
        </w:numPr>
        <w:tabs>
          <w:tab w:val="left" w:pos="0"/>
        </w:tabs>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甲方委托他人完成保修维修工作的费用；</w:t>
      </w:r>
    </w:p>
    <w:p w14:paraId="0F7453BE">
      <w:pPr>
        <w:pStyle w:val="87"/>
        <w:numPr>
          <w:ilvl w:val="0"/>
          <w:numId w:val="6"/>
        </w:numPr>
        <w:tabs>
          <w:tab w:val="left" w:pos="0"/>
        </w:tabs>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因乙方过失、责任而赔偿建设单位、使用方的相关损失；</w:t>
      </w:r>
    </w:p>
    <w:p w14:paraId="0F7453BF">
      <w:pPr>
        <w:pStyle w:val="87"/>
        <w:numPr>
          <w:ilvl w:val="0"/>
          <w:numId w:val="6"/>
        </w:numPr>
        <w:tabs>
          <w:tab w:val="left" w:pos="0"/>
        </w:tabs>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为返修以及其它与之相关联工作所需花费的费用（甲方代为支付时）；</w:t>
      </w:r>
    </w:p>
    <w:p w14:paraId="0F7453C0">
      <w:pPr>
        <w:pStyle w:val="87"/>
        <w:numPr>
          <w:ilvl w:val="0"/>
          <w:numId w:val="6"/>
        </w:numPr>
        <w:tabs>
          <w:tab w:val="left" w:pos="0"/>
        </w:tabs>
        <w:kinsoku w:val="0"/>
        <w:spacing w:after="0" w:line="360" w:lineRule="auto"/>
        <w:ind w:firstLine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其它与保修维修有关的费用。</w:t>
      </w:r>
    </w:p>
    <w:p w14:paraId="0F7453C1">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保修金不计取任何利息。</w:t>
      </w:r>
    </w:p>
    <w:p w14:paraId="0F7453C2">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kern w:val="10"/>
          <w:sz w:val="21"/>
          <w:szCs w:val="21"/>
          <w:highlight w:val="none"/>
          <w14:textFill>
            <w14:solidFill>
              <w14:schemeClr w14:val="tx1"/>
            </w14:solidFill>
          </w14:textFill>
        </w:rPr>
      </w:pPr>
      <w:bookmarkStart w:id="873" w:name="_Toc28821"/>
      <w:bookmarkStart w:id="874" w:name="_Toc2139"/>
      <w:bookmarkStart w:id="875" w:name="_Toc28167"/>
      <w:bookmarkStart w:id="876" w:name="_Toc3537"/>
      <w:bookmarkStart w:id="877" w:name="_Toc4112"/>
      <w:bookmarkStart w:id="878" w:name="_Toc7709"/>
      <w:bookmarkStart w:id="879" w:name="_Toc9963"/>
      <w:bookmarkStart w:id="880" w:name="_Toc101963503"/>
      <w:bookmarkStart w:id="881" w:name="_Toc175764439"/>
      <w:bookmarkStart w:id="882" w:name="_Toc28472"/>
      <w:bookmarkStart w:id="883" w:name="_Toc101357449"/>
      <w:bookmarkStart w:id="884" w:name="_Toc24745"/>
      <w:bookmarkStart w:id="885" w:name="_Toc21842"/>
      <w:bookmarkStart w:id="886" w:name="_Toc1655"/>
      <w:bookmarkStart w:id="887" w:name="_Toc15716"/>
      <w:bookmarkStart w:id="888" w:name="_Toc22219"/>
      <w:bookmarkStart w:id="889" w:name="_Toc9403"/>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保险</w:t>
      </w:r>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p>
    <w:p w14:paraId="0F7453C3">
      <w:pPr>
        <w:numPr>
          <w:ilvl w:val="1"/>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甲方投保内容：施工人员意外伤害险。</w:t>
      </w:r>
    </w:p>
    <w:p w14:paraId="0F7453C4">
      <w:pPr>
        <w:numPr>
          <w:ilvl w:val="1"/>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乙方投保内容：乙方应自行办理并履行与本合同有关的各类保险，包括人身、财产、设备、工程、农民工工伤保险第三方责任等（不限于此），并在出险时自行向保险公司索赔，以保障乙方自身与工程的利益。否则，一切损失和后果由乙方自负。</w:t>
      </w:r>
    </w:p>
    <w:p w14:paraId="0F7453C5">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为施工场地内自有人员生命财产和施工机械设备及用于本工程的材料和待安装设备办理保险，并支付保险费用。乙方应保持保单的有效性，并按照甲方的要求，在本分包合同履约期间，妥善保存此保单及保险费付款收据，并在甲方要求的情况下立即向甲方出示投保单和保险单。如果乙方未按约定办理上述保险且在甲方提醒后仍未办理，甲方可代为办理保险，并从应支付乙方工程款中扣除相应金额。</w:t>
      </w:r>
    </w:p>
    <w:p w14:paraId="0F7453C6">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关于乙方雇佣的任何员工或其他人员的任何意外事故或伤害所引起的一切损失或法律补偿费，甲方均不负责任。乙方应使甲方免遭此类损失或补偿费，免遭此方面或与此相关的任何索赔、诉讼和费用。</w:t>
      </w:r>
    </w:p>
    <w:p w14:paraId="0F7453C7">
      <w:pPr>
        <w:numPr>
          <w:ilvl w:val="1"/>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保险事故发生时，乙方有责任尽力采取必要的措施，控制事态扩散，防止或者减少损失。</w:t>
      </w:r>
    </w:p>
    <w:p w14:paraId="0F7453C8">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890" w:name="_Toc175764440"/>
      <w:bookmarkStart w:id="891" w:name="_Toc3767"/>
      <w:bookmarkStart w:id="892" w:name="_Toc12027"/>
      <w:bookmarkStart w:id="893" w:name="_Toc101357450"/>
      <w:bookmarkStart w:id="894" w:name="_Toc24208"/>
      <w:bookmarkStart w:id="895" w:name="_Toc101963504"/>
      <w:bookmarkStart w:id="896" w:name="_Toc20112"/>
      <w:bookmarkStart w:id="897" w:name="_Toc16393"/>
      <w:bookmarkStart w:id="898" w:name="_Toc27970"/>
      <w:bookmarkStart w:id="899" w:name="_Toc17940"/>
      <w:bookmarkStart w:id="900" w:name="_Toc11014"/>
      <w:bookmarkStart w:id="901" w:name="_Toc22749"/>
      <w:bookmarkStart w:id="902" w:name="_Toc1429"/>
      <w:bookmarkStart w:id="903" w:name="_Toc7811"/>
      <w:bookmarkStart w:id="904" w:name="_Toc24439"/>
      <w:bookmarkStart w:id="905" w:name="_Toc30407"/>
      <w:bookmarkStart w:id="906" w:name="_Toc4173"/>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不可抗力</w:t>
      </w:r>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p>
    <w:p w14:paraId="0F7453C9">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本合同所定不可抗力是指合同当事人在签订合同时不可预见，在合同履行过程中不可避免且不能克服的自然灾害和社会性突发事件，包括但不限于地震、海啸、瘟疫、骚乱、戒严、暴动、战争等。</w:t>
      </w:r>
    </w:p>
    <w:p w14:paraId="0F7453CA">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不可抗力事件发生后，乙方应立即通知甲方，并在力所能及的条件下迅速采取措施，尽力减少损失，甲方应协助乙方采取措施。若因乙方未能尽力挽救，导致损失扩大的，由乙方承担全部责任。</w:t>
      </w:r>
    </w:p>
    <w:p w14:paraId="0F7453CB">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认为乙方应当暂停工作的，乙方应暂停工作。不可抗力事件发生后24小时内乙方向甲方通报受害情况和损失情况，及预计清理和修复的费用，逾期提出的甲方不予认可。不可抗力事件持续发生，乙方应每隔7日向甲方报告一次受害情况。不可抗力事件结束后7日内，乙方向甲方提交清理和修复费用的正式报告及有关资料。</w:t>
      </w:r>
    </w:p>
    <w:p w14:paraId="0F7453CC">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因不可抗力事件导致发生的下列费用由乙方承担：</w:t>
      </w:r>
    </w:p>
    <w:p w14:paraId="0F7453CD">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乙方人员伤亡。</w:t>
      </w:r>
    </w:p>
    <w:p w14:paraId="0F7453CE">
      <w:pPr>
        <w:numPr>
          <w:ilvl w:val="2"/>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乙方机械设备和材料的损坏、停工等造成的损失；</w:t>
      </w:r>
    </w:p>
    <w:p w14:paraId="0F7453CF">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工程自身的损害、因工程损害导致第三人伤亡、工程清理维修费由乙方配合甲方与建设单位协商处理。</w:t>
      </w:r>
    </w:p>
    <w:p w14:paraId="0F7453D0">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在得到建设单位/监理对整体/分包工程的工期顺延许可后，分包工程延误的工期相应顺延。</w:t>
      </w:r>
    </w:p>
    <w:p w14:paraId="0F7453D1">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因本合同一方迟延履行合同后发生不可抗力的，不能免除迟延责任方的相应责任。</w:t>
      </w:r>
    </w:p>
    <w:p w14:paraId="0F7453D2">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因单次不可抗力导致合同无法履行连续超过</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90</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天或累计超过</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120</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天的，甲乙双方均有权解除合同。合同解除后，双方应就已完工程的计量、验收、估价以及结算与付款等善后事宜达成补充协议。</w:t>
      </w:r>
    </w:p>
    <w:p w14:paraId="0F7453D3">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907" w:name="_Toc11143"/>
      <w:bookmarkStart w:id="908" w:name="_Toc17882"/>
      <w:bookmarkStart w:id="909" w:name="_Toc175764441"/>
      <w:bookmarkStart w:id="910" w:name="_Toc12030"/>
      <w:bookmarkStart w:id="911" w:name="_Toc21657"/>
      <w:bookmarkStart w:id="912" w:name="_Toc101357451"/>
      <w:bookmarkStart w:id="913" w:name="_Toc2523"/>
      <w:bookmarkStart w:id="914" w:name="_Toc636"/>
      <w:bookmarkStart w:id="915" w:name="_Toc19938"/>
      <w:bookmarkStart w:id="916" w:name="_Toc32288"/>
      <w:bookmarkStart w:id="917" w:name="_Toc21421"/>
      <w:bookmarkStart w:id="918" w:name="_Toc16400"/>
      <w:bookmarkStart w:id="919" w:name="_Toc24540"/>
      <w:bookmarkStart w:id="920" w:name="_Toc29858"/>
      <w:bookmarkStart w:id="921" w:name="_Toc3544"/>
      <w:bookmarkStart w:id="922" w:name="_Toc101963505"/>
      <w:bookmarkStart w:id="923" w:name="_Toc24388"/>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违约</w:t>
      </w:r>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p>
    <w:p w14:paraId="0F7453D4">
      <w:pPr>
        <w:numPr>
          <w:ilvl w:val="1"/>
          <w:numId w:val="3"/>
        </w:numPr>
        <w:kinsoku w:val="0"/>
        <w:spacing w:after="0" w:line="360" w:lineRule="auto"/>
        <w:jc w:val="both"/>
        <w:rPr>
          <w:rFonts w:hint="eastAsia" w:asciiTheme="minorEastAsia" w:hAnsiTheme="minorEastAsia" w:eastAsiaTheme="minorEastAsia" w:cstheme="minorEastAsia"/>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合同双方任何一方不能全面履行本合同条款，均属违约；违约所造成的损失、后果、责任，概由违约方承担。</w:t>
      </w:r>
    </w:p>
    <w:p w14:paraId="0F7453D5">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除非甲乙双方协商终止本合同，违约方承担前述违约责任、损失后仍需严格履行本合同。</w:t>
      </w:r>
    </w:p>
    <w:p w14:paraId="0F7453D6">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乙方对本合同承包范围内的分包作业向甲方负责，全部施工任务必须组织自有力量完成，严禁转包、挂靠和再分包</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否则一经发现</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，乙方无条件退场，并承担由此带来的退场费用及赔偿甲方相应损失，缴纳的履约保证金不予返还，并将乙方列入甲方不合格协力队伍名录，不得参与甲方组织的任何形式的招标项目。</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违反本合同可能产生的后果：如乙方有违反分包合同的行为，乙方应保障甲方免于承担因此违约造成的工期延误、经济损失及甲方将向建设单位负责的任何赔偿费，在此情况下，甲方可从本应支付乙方的任何价款中扣除此笔经济损失及赔偿费，并且不排除采用其它补救方法的可能。</w:t>
      </w:r>
    </w:p>
    <w:p w14:paraId="0F7453D7">
      <w:pPr>
        <w:numPr>
          <w:ilvl w:val="1"/>
          <w:numId w:val="3"/>
        </w:numPr>
        <w:kinsoku w:val="0"/>
        <w:spacing w:after="0" w:line="360" w:lineRule="auto"/>
        <w:jc w:val="both"/>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t xml:space="preserve"> 如乙方出现以下违约行为，甲方可发出书面指令要求其立即纠正并承担违约所造成的损失：</w:t>
      </w:r>
    </w:p>
    <w:p w14:paraId="0F7453D8">
      <w:pPr>
        <w:kinsoku w:val="0"/>
        <w:spacing w:after="0" w:line="360" w:lineRule="auto"/>
        <w:jc w:val="both"/>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t>（1）在竣工之前，没有合理原因，完全搁置工程停止施工；</w:t>
      </w:r>
    </w:p>
    <w:p w14:paraId="0F7453D9">
      <w:pPr>
        <w:kinsoku w:val="0"/>
        <w:spacing w:after="0" w:line="360" w:lineRule="auto"/>
        <w:jc w:val="both"/>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t>（2）拒绝执行甲方要求其修补缺陷或更换不适用的材料和（或）物品等的书面通知；</w:t>
      </w:r>
    </w:p>
    <w:p w14:paraId="0F7453DA">
      <w:pPr>
        <w:kinsoku w:val="0"/>
        <w:spacing w:after="0" w:line="360" w:lineRule="auto"/>
        <w:jc w:val="both"/>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t>（3）未经甲方许可，乙方擅自将其承包的分包工程转包或再分包；</w:t>
      </w:r>
    </w:p>
    <w:p w14:paraId="0F7453DB">
      <w:pPr>
        <w:kinsoku w:val="0"/>
        <w:spacing w:after="0" w:line="360" w:lineRule="auto"/>
        <w:jc w:val="both"/>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t>（4）因乙方原因拖延工期，未能在约定的工期内或分段工期内完成分包工程或其中任何区段的工作；</w:t>
      </w:r>
    </w:p>
    <w:p w14:paraId="0F7453DC">
      <w:pPr>
        <w:kinsoku w:val="0"/>
        <w:spacing w:after="0" w:line="360" w:lineRule="auto"/>
        <w:jc w:val="both"/>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t>（5）因乙方原因工程质量达不到本分包合同约定的质量标准和质量目标；</w:t>
      </w:r>
    </w:p>
    <w:p w14:paraId="0F7453DD">
      <w:pPr>
        <w:kinsoku w:val="0"/>
        <w:spacing w:after="0" w:line="360" w:lineRule="auto"/>
        <w:jc w:val="both"/>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t>（6）合同中约定的其他违约行为。</w:t>
      </w:r>
    </w:p>
    <w:p w14:paraId="0F7453DE">
      <w:pPr>
        <w:numPr>
          <w:ilvl w:val="1"/>
          <w:numId w:val="3"/>
        </w:numPr>
        <w:kinsoku w:val="0"/>
        <w:spacing w:after="0" w:line="360" w:lineRule="auto"/>
        <w:jc w:val="both"/>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t>甲方可将乙方违约金从乙方缴纳的全部履约保证金或履约保函中直接扣除，也可从任何一笔应支付乙方的工程款中直接扣除，甲方应付乙方的工程款不足以覆盖上述款项的，可以向乙方追偿。乙方对此知悉并同意，且甲方可解除合同，解除合同造成的全部损失由乙方承担。</w:t>
      </w:r>
    </w:p>
    <w:p w14:paraId="0F7453DF">
      <w:pPr>
        <w:numPr>
          <w:ilvl w:val="1"/>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若因乙方违约引发纠纷或诉讼，导致甲方参与诉讼或承担连带责任的，甲方可按发生费用或产生损失的两倍向乙方要求赔偿，包括但不限于诉讼费、代理费、差旅费等。</w:t>
      </w:r>
    </w:p>
    <w:p w14:paraId="0F7453E0">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924" w:name="_Toc175764442"/>
      <w:bookmarkStart w:id="925" w:name="_Toc7104"/>
      <w:bookmarkStart w:id="926" w:name="_Toc22303"/>
      <w:bookmarkStart w:id="927" w:name="_Toc1784"/>
      <w:bookmarkStart w:id="928" w:name="_Toc27878"/>
      <w:bookmarkStart w:id="929" w:name="_Toc101963506"/>
      <w:bookmarkStart w:id="930" w:name="_Toc24440"/>
      <w:bookmarkStart w:id="931" w:name="_Toc101357452"/>
      <w:bookmarkStart w:id="932" w:name="_Toc10565"/>
      <w:bookmarkStart w:id="933" w:name="_Toc15409"/>
      <w:bookmarkStart w:id="934" w:name="_Toc1773"/>
      <w:bookmarkStart w:id="935" w:name="_Toc14437"/>
      <w:bookmarkStart w:id="936" w:name="_Toc27114"/>
      <w:bookmarkStart w:id="937" w:name="_Toc10915"/>
      <w:bookmarkStart w:id="938" w:name="_Toc14525"/>
      <w:bookmarkStart w:id="939" w:name="_Toc29483"/>
      <w:bookmarkStart w:id="940" w:name="_Toc5929"/>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争议解决</w:t>
      </w:r>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p>
    <w:p w14:paraId="0F7453E1">
      <w:pPr>
        <w:kinsoku w:val="0"/>
        <w:spacing w:after="0" w:line="360" w:lineRule="auto"/>
        <w:ind w:left="158" w:leftChars="75"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双方发生争议时，可以通过协商解决。不愿通过协商或者协商不成，按专用合同条款约定的方式解决。</w:t>
      </w:r>
    </w:p>
    <w:p w14:paraId="0F7453E2">
      <w:pPr>
        <w:numPr>
          <w:ilvl w:val="0"/>
          <w:numId w:val="3"/>
        </w:numPr>
        <w:kinsoku w:val="0"/>
        <w:spacing w:after="0" w:line="360" w:lineRule="auto"/>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941" w:name="_Toc101357453"/>
      <w:bookmarkStart w:id="942" w:name="_Toc10531"/>
      <w:bookmarkStart w:id="943" w:name="_Toc2614"/>
      <w:bookmarkStart w:id="944" w:name="_Toc16949"/>
      <w:bookmarkStart w:id="945" w:name="_Toc7256"/>
      <w:bookmarkStart w:id="946" w:name="_Toc6947"/>
      <w:bookmarkStart w:id="947" w:name="_Toc21888"/>
      <w:bookmarkStart w:id="948" w:name="_Toc18320"/>
      <w:bookmarkStart w:id="949" w:name="_Toc101963507"/>
      <w:bookmarkStart w:id="950" w:name="_Toc3107"/>
      <w:bookmarkStart w:id="951" w:name="_Toc10150"/>
      <w:bookmarkStart w:id="952" w:name="_Toc19144"/>
      <w:bookmarkStart w:id="953" w:name="_Toc175764443"/>
      <w:bookmarkStart w:id="954" w:name="_Toc15940"/>
      <w:bookmarkStart w:id="955" w:name="_Toc10296"/>
      <w:bookmarkStart w:id="956" w:name="_Toc5260"/>
      <w:bookmarkStart w:id="957" w:name="_Toc7711"/>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合同终止</w:t>
      </w:r>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p>
    <w:p w14:paraId="0F7453E3">
      <w:pPr>
        <w:numPr>
          <w:ilvl w:val="1"/>
          <w:numId w:val="3"/>
        </w:numPr>
        <w:kinsoku w:val="0"/>
        <w:spacing w:after="0" w:line="360" w:lineRule="auto"/>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bookmarkStart w:id="958" w:name="_Toc22366613"/>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在乙方交付齐全有效的技术资料，履行完保修职责，保修期结束，本合同即告终止</w:t>
      </w:r>
      <w:bookmarkEnd w:id="958"/>
      <w:bookmarkStart w:id="959" w:name="_Toc22366614"/>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w:t>
      </w:r>
    </w:p>
    <w:p w14:paraId="0F7453E4">
      <w:pPr>
        <w:numPr>
          <w:ilvl w:val="1"/>
          <w:numId w:val="3"/>
        </w:numPr>
        <w:kinsoku w:val="0"/>
        <w:spacing w:after="0" w:line="360" w:lineRule="auto"/>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如乙方发生了本合同约定的违约行为，在接到甲方发出的书面指令后，违约行为仍未停止或再次发生的，甲方可选择行使如下权利：</w:t>
      </w:r>
    </w:p>
    <w:p w14:paraId="0F7453E5">
      <w:pPr>
        <w:kinsoku w:val="0"/>
        <w:spacing w:after="0" w:line="360" w:lineRule="auto"/>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（1）以书面形式通知乙方解除本分包合同；</w:t>
      </w:r>
    </w:p>
    <w:p w14:paraId="0F7453E6">
      <w:pPr>
        <w:kinsoku w:val="0"/>
        <w:spacing w:after="0" w:line="360" w:lineRule="auto"/>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（2）将分包工程中的部分内容交由其他单位完成，相关费用由甲方从分包工程价款中扣除，由此给甲方造成的额外成本由乙方承担。</w:t>
      </w:r>
    </w:p>
    <w:p w14:paraId="0F7453E7">
      <w:pPr>
        <w:numPr>
          <w:ilvl w:val="1"/>
          <w:numId w:val="3"/>
        </w:numPr>
        <w:kinsoku w:val="0"/>
        <w:spacing w:after="0" w:line="360" w:lineRule="auto"/>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如果乙方发生破产、解散、关闭等已不能实际履行分包合同义务的情形，甲方可在通知乙方后，解除本分包合同。</w:t>
      </w:r>
    </w:p>
    <w:p w14:paraId="0F7453E8">
      <w:pPr>
        <w:numPr>
          <w:ilvl w:val="1"/>
          <w:numId w:val="3"/>
        </w:numPr>
        <w:kinsoku w:val="0"/>
        <w:spacing w:after="0" w:line="360" w:lineRule="auto"/>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因不可抗力发生导致全部分包合同的履行成为不可能时，甲方、乙方均有权解除合同。</w:t>
      </w:r>
    </w:p>
    <w:p w14:paraId="0F7453E9">
      <w:pPr>
        <w:numPr>
          <w:ilvl w:val="1"/>
          <w:numId w:val="3"/>
        </w:numPr>
        <w:kinsoku w:val="0"/>
        <w:spacing w:after="0" w:line="360" w:lineRule="auto"/>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不论基于何种原因而导致甲方与建设单位之间的合同解除时，甲乙双方间的合同都同时无条件予以解除</w:t>
      </w:r>
      <w:bookmarkEnd w:id="959"/>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如因建设单位的原因致使本合同无法履行，或因建设单位原因造成工程停建或缓建的，此情况下，甲方享有合同单方解除权。甲方向乙方发出的解除通知到达乙方时，合同解除。合同未开始履行的，双方互不承担责任，已经履行的，按实结算。</w:t>
      </w:r>
    </w:p>
    <w:p w14:paraId="0F7453EA">
      <w:pPr>
        <w:numPr>
          <w:ilvl w:val="1"/>
          <w:numId w:val="3"/>
        </w:num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协商解除：甲方和乙方协商一致，可以解除分包合同。合同解除后，乙方应妥善做好已完劳务作业和剩余材料、设备的保护和移交工作，按甲方要求撤出劳务作业场地。有过错的一方应当赔偿因合同解除给对方造成的损失。合同解除后，不影响双方在合同中约定的结算和清理条款的效力。</w:t>
      </w:r>
    </w:p>
    <w:p w14:paraId="0F7453EB">
      <w:pPr>
        <w:pStyle w:val="11"/>
        <w:kinsoku w:val="0"/>
        <w:rPr>
          <w:color w:val="000000" w:themeColor="text1"/>
          <w:highlight w:val="none"/>
          <w14:textFill>
            <w14:solidFill>
              <w14:schemeClr w14:val="tx1"/>
            </w14:solidFill>
          </w14:textFill>
        </w:rPr>
      </w:pPr>
    </w:p>
    <w:p w14:paraId="0F7453EC">
      <w:pPr>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sectPr>
          <w:pgSz w:w="11906" w:h="16838"/>
          <w:pgMar w:top="1134" w:right="1134" w:bottom="1134" w:left="1134" w:header="851" w:footer="567" w:gutter="0"/>
          <w:cols w:space="720" w:num="1"/>
          <w:docGrid w:type="lines" w:linePitch="312" w:charSpace="0"/>
        </w:sectPr>
      </w:pPr>
    </w:p>
    <w:p w14:paraId="0F7453ED">
      <w:pPr>
        <w:kinsoku w:val="0"/>
        <w:spacing w:line="360" w:lineRule="auto"/>
        <w:ind w:left="158" w:leftChars="75"/>
        <w:jc w:val="center"/>
        <w:outlineLvl w:val="0"/>
        <w:rPr>
          <w:rFonts w:hint="eastAsia" w:ascii="宋体" w:hAnsi="宋体"/>
          <w:b/>
          <w:color w:val="000000" w:themeColor="text1"/>
          <w:sz w:val="32"/>
          <w:szCs w:val="32"/>
          <w:highlight w:val="none"/>
          <w:lang w:eastAsia="zh-CN"/>
          <w14:textFill>
            <w14:solidFill>
              <w14:schemeClr w14:val="tx1"/>
            </w14:solidFill>
          </w14:textFill>
        </w:rPr>
      </w:pPr>
      <w:bookmarkStart w:id="960" w:name="_Toc101357454"/>
      <w:bookmarkStart w:id="961" w:name="_Toc18104"/>
      <w:bookmarkStart w:id="962" w:name="_Toc4053"/>
      <w:bookmarkStart w:id="963" w:name="_Toc5528"/>
      <w:bookmarkStart w:id="964" w:name="_Toc175764444"/>
      <w:bookmarkStart w:id="965" w:name="_Toc20138"/>
      <w:bookmarkStart w:id="966" w:name="_Toc17545"/>
      <w:bookmarkStart w:id="967" w:name="_Toc32179"/>
      <w:bookmarkStart w:id="968" w:name="_Toc17855"/>
      <w:bookmarkStart w:id="969" w:name="_Toc25841"/>
      <w:bookmarkStart w:id="970" w:name="_Toc101963508"/>
      <w:bookmarkStart w:id="971" w:name="_Toc5490"/>
      <w:bookmarkStart w:id="972" w:name="_Toc13270"/>
      <w:bookmarkStart w:id="973" w:name="_Toc11775"/>
      <w:bookmarkStart w:id="974" w:name="_Toc15486"/>
      <w:bookmarkStart w:id="975" w:name="_Toc5434"/>
      <w:bookmarkStart w:id="976" w:name="_Toc29769"/>
      <w:bookmarkStart w:id="977" w:name="_Toc13080"/>
      <w:bookmarkStart w:id="978" w:name="_Toc19925"/>
      <w:bookmarkStart w:id="979" w:name="_Toc27110"/>
      <w:bookmarkStart w:id="980" w:name="_Toc3113"/>
      <w:r>
        <w:rPr>
          <w:rFonts w:hint="eastAsia" w:ascii="宋体" w:hAnsi="宋体"/>
          <w:b/>
          <w:color w:val="000000" w:themeColor="text1"/>
          <w:sz w:val="32"/>
          <w:szCs w:val="32"/>
          <w:highlight w:val="none"/>
          <w:lang w:eastAsia="zh-CN"/>
          <w14:textFill>
            <w14:solidFill>
              <w14:schemeClr w14:val="tx1"/>
            </w14:solidFill>
          </w14:textFill>
        </w:rPr>
        <w:t>第三部分 专用合同条款</w:t>
      </w:r>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p>
    <w:p w14:paraId="0F7453EF">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bookmarkStart w:id="981" w:name="A3"/>
      <w:bookmarkEnd w:id="981"/>
      <w:bookmarkStart w:id="982" w:name="_Toc175764445"/>
      <w:bookmarkStart w:id="983" w:name="_Toc7247"/>
      <w:bookmarkStart w:id="984" w:name="_Toc14356"/>
      <w:bookmarkStart w:id="985" w:name="_Toc12407"/>
      <w:bookmarkStart w:id="986" w:name="_Toc6416"/>
      <w:bookmarkStart w:id="987" w:name="_Toc16194"/>
      <w:bookmarkStart w:id="988" w:name="_Toc4138"/>
      <w:bookmarkStart w:id="989" w:name="_Toc5201"/>
      <w:bookmarkStart w:id="990" w:name="_Toc20370"/>
      <w:bookmarkStart w:id="991" w:name="_Toc14288"/>
      <w:bookmarkStart w:id="992" w:name="_Toc31398"/>
      <w:bookmarkStart w:id="993" w:name="_Toc16663"/>
      <w:bookmarkStart w:id="994" w:name="_Toc16664"/>
      <w:bookmarkStart w:id="995" w:name="_Toc24232"/>
      <w:bookmarkStart w:id="996" w:name="_Toc1640"/>
      <w:bookmarkStart w:id="997" w:name="_Toc31761"/>
      <w:bookmarkStart w:id="998" w:name="_Toc24755"/>
      <w:bookmarkStart w:id="999" w:name="_Toc101963509"/>
      <w:bookmarkStart w:id="1000" w:name="_Toc10805"/>
      <w:bookmarkStart w:id="1001" w:name="_Toc22656"/>
      <w:bookmarkStart w:id="1002" w:name="_Toc101357455"/>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词语解释</w:t>
      </w:r>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p>
    <w:p w14:paraId="0F7453F0">
      <w:pPr>
        <w:kinsoku w:val="0"/>
        <w:spacing w:after="0" w:line="360" w:lineRule="auto"/>
        <w:ind w:firstLine="420" w:firstLineChars="200"/>
        <w:jc w:val="both"/>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见通用合同条款。</w:t>
      </w:r>
    </w:p>
    <w:p w14:paraId="0F7453F1">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bookmarkStart w:id="1003" w:name="_Toc101963510"/>
      <w:bookmarkStart w:id="1004" w:name="_Toc14912"/>
      <w:bookmarkStart w:id="1005" w:name="_Toc29334"/>
      <w:bookmarkStart w:id="1006" w:name="_Toc175764446"/>
      <w:bookmarkStart w:id="1007" w:name="_Toc4045"/>
      <w:bookmarkStart w:id="1008" w:name="_Toc7851"/>
      <w:bookmarkStart w:id="1009" w:name="_Toc18963"/>
      <w:bookmarkStart w:id="1010" w:name="_Toc5390"/>
      <w:bookmarkStart w:id="1011" w:name="_Toc30537"/>
      <w:bookmarkStart w:id="1012" w:name="_Toc21059"/>
      <w:bookmarkStart w:id="1013" w:name="_Toc22681"/>
      <w:bookmarkStart w:id="1014" w:name="_Toc22270"/>
      <w:bookmarkStart w:id="1015" w:name="_Toc30330"/>
      <w:bookmarkStart w:id="1016" w:name="_Toc24088"/>
      <w:bookmarkStart w:id="1017" w:name="_Toc28016"/>
      <w:bookmarkStart w:id="1018" w:name="_Toc13233"/>
      <w:bookmarkStart w:id="1019" w:name="_Toc27250"/>
      <w:bookmarkStart w:id="1020" w:name="_Toc30074"/>
      <w:bookmarkStart w:id="1021" w:name="_Toc21218"/>
      <w:bookmarkStart w:id="1022" w:name="_Toc101357456"/>
      <w:bookmarkStart w:id="1023" w:name="_Toc18210"/>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适用法律法规</w:t>
      </w:r>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p>
    <w:p w14:paraId="0F7453F2">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见通用合同条款。</w:t>
      </w:r>
    </w:p>
    <w:p w14:paraId="0F7453F4">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需要明示的法律、行政法规</w:t>
      </w:r>
      <w:bookmarkStart w:id="1024" w:name="_Toc18335"/>
      <w:bookmarkStart w:id="1025" w:name="_Toc30885"/>
      <w:bookmarkStart w:id="1026" w:name="_Toc32731"/>
      <w:bookmarkStart w:id="1027" w:name="_Toc28737"/>
      <w:bookmarkStart w:id="1028" w:name="_Toc30676"/>
      <w:bookmarkStart w:id="1029" w:name="_Toc4409"/>
      <w:bookmarkStart w:id="1030" w:name="_Toc16344"/>
      <w:bookmarkStart w:id="1031" w:name="_Toc7367"/>
      <w:bookmarkStart w:id="1032" w:name="_Toc28440"/>
      <w:bookmarkStart w:id="1033" w:name="_Toc24425"/>
      <w:bookmarkStart w:id="1034" w:name="_Toc4654"/>
      <w:bookmarkStart w:id="1035" w:name="_Toc22040"/>
      <w:bookmarkStart w:id="1036" w:name="_Toc20084"/>
      <w:bookmarkStart w:id="1037" w:name="_Toc2946"/>
      <w:bookmarkStart w:id="1038" w:name="_Toc25376"/>
      <w:bookmarkStart w:id="1039" w:name="_Toc13013"/>
      <w:bookmarkStart w:id="1040" w:name="_Toc19069"/>
      <w:bookmarkStart w:id="1041" w:name="_Toc8353"/>
    </w:p>
    <w:p w14:paraId="0F7453F5">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见通用合同条款。</w:t>
      </w:r>
    </w:p>
    <w:p w14:paraId="0F7453F6">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bookmarkStart w:id="1042" w:name="_Toc101357458"/>
      <w:bookmarkStart w:id="1043" w:name="_Toc175764448"/>
      <w:bookmarkStart w:id="1044" w:name="_Toc101963512"/>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合同文件组成及解释顺序</w:t>
      </w:r>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p>
    <w:p w14:paraId="0F7453F7">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见通用合同条款。</w:t>
      </w:r>
    </w:p>
    <w:p w14:paraId="0F7453F8">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bookmarkStart w:id="1045" w:name="_Toc4207"/>
      <w:bookmarkStart w:id="1046" w:name="_Toc19399"/>
      <w:bookmarkStart w:id="1047" w:name="_Toc6089"/>
      <w:bookmarkStart w:id="1048" w:name="_Toc12286"/>
      <w:bookmarkStart w:id="1049" w:name="_Toc27367"/>
      <w:bookmarkStart w:id="1050" w:name="_Toc101963513"/>
      <w:bookmarkStart w:id="1051" w:name="_Toc12550"/>
      <w:bookmarkStart w:id="1052" w:name="_Toc9407"/>
      <w:bookmarkStart w:id="1053" w:name="_Toc14134"/>
      <w:bookmarkStart w:id="1054" w:name="_Toc2127"/>
      <w:bookmarkStart w:id="1055" w:name="_Toc675"/>
      <w:bookmarkStart w:id="1056" w:name="_Toc29551"/>
      <w:bookmarkStart w:id="1057" w:name="_Toc4639"/>
      <w:bookmarkStart w:id="1058" w:name="_Toc13464"/>
      <w:bookmarkStart w:id="1059" w:name="_Toc12596"/>
      <w:bookmarkStart w:id="1060" w:name="_Toc101357459"/>
      <w:bookmarkStart w:id="1061" w:name="_Toc26951"/>
      <w:bookmarkStart w:id="1062" w:name="_Toc6303"/>
      <w:bookmarkStart w:id="1063" w:name="_Toc29034"/>
      <w:bookmarkStart w:id="1064" w:name="_Toc175764449"/>
      <w:bookmarkStart w:id="1065" w:name="_Toc30159"/>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甲方工作</w:t>
      </w:r>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p>
    <w:p w14:paraId="0F7453FA">
      <w:pPr>
        <w:kinsoku w:val="0"/>
        <w:spacing w:after="0" w:line="360" w:lineRule="auto"/>
        <w:ind w:firstLine="420" w:firstLineChars="200"/>
        <w:jc w:val="both"/>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5.1负责将电源配送至【一/二】级电箱，</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不适用本合同。</w:t>
      </w:r>
    </w:p>
    <w:p w14:paraId="0F7453FB">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5.4甲方向乙方</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提供适用技术标准、技术参数、施工方案。</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甲方根据现场实际情况对施工图纸进行变更、对工艺工序和施工方案以及进度计划进行调整、对乙方施工条件作出改变等。</w:t>
      </w:r>
    </w:p>
    <w:p w14:paraId="0F745400">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066" w:name="_Toc101366219"/>
      <w:bookmarkEnd w:id="1066"/>
      <w:bookmarkStart w:id="1067" w:name="_Toc101366221"/>
      <w:bookmarkEnd w:id="1067"/>
      <w:bookmarkStart w:id="1068" w:name="_Toc101366225"/>
      <w:bookmarkEnd w:id="1068"/>
      <w:bookmarkStart w:id="1069" w:name="_Toc101366223"/>
      <w:bookmarkEnd w:id="1069"/>
      <w:bookmarkStart w:id="1070" w:name="_Toc101366222"/>
      <w:bookmarkEnd w:id="1070"/>
      <w:bookmarkStart w:id="1071" w:name="_Toc101366226"/>
      <w:bookmarkEnd w:id="1071"/>
      <w:bookmarkStart w:id="1072" w:name="_Toc101366224"/>
      <w:bookmarkEnd w:id="1072"/>
      <w:bookmarkStart w:id="1073" w:name="_Toc101366220"/>
      <w:bookmarkEnd w:id="1073"/>
      <w:bookmarkStart w:id="1074" w:name="_Toc20567"/>
      <w:bookmarkStart w:id="1075" w:name="_Toc27703"/>
      <w:bookmarkStart w:id="1076" w:name="_Toc22484"/>
      <w:bookmarkStart w:id="1077" w:name="_Toc21663"/>
      <w:bookmarkStart w:id="1078" w:name="_Toc15681"/>
      <w:bookmarkStart w:id="1079" w:name="_Toc3920"/>
      <w:bookmarkStart w:id="1080" w:name="_Toc118"/>
      <w:bookmarkStart w:id="1081" w:name="_Toc11907"/>
      <w:bookmarkStart w:id="1082" w:name="_Toc101357460"/>
      <w:bookmarkStart w:id="1083" w:name="_Toc12823"/>
      <w:bookmarkStart w:id="1084" w:name="_Toc30945"/>
      <w:bookmarkStart w:id="1085" w:name="_Toc11612"/>
      <w:bookmarkStart w:id="1086" w:name="_Toc11989"/>
      <w:bookmarkStart w:id="1087" w:name="_Toc497"/>
      <w:bookmarkStart w:id="1088" w:name="_Toc175764450"/>
      <w:bookmarkStart w:id="1089" w:name="_Toc4573"/>
      <w:bookmarkStart w:id="1090" w:name="_Toc19642"/>
      <w:bookmarkStart w:id="1091" w:name="_Toc31864"/>
      <w:bookmarkStart w:id="1092" w:name="_Toc101963514"/>
      <w:bookmarkStart w:id="1093" w:name="_Toc16841"/>
      <w:bookmarkStart w:id="1094" w:name="_Toc9845"/>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乙方工作</w:t>
      </w:r>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p>
    <w:p w14:paraId="0F745402">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6.1</w:t>
      </w:r>
      <w:r>
        <w:rPr>
          <w:rFonts w:hint="eastAsia" w:ascii="宋体" w:hAnsi="宋体"/>
          <w:color w:val="000000" w:themeColor="text1"/>
          <w:sz w:val="21"/>
          <w:szCs w:val="21"/>
          <w:highlight w:val="none"/>
          <w:lang w:eastAsia="zh-CN"/>
          <w14:textFill>
            <w14:solidFill>
              <w14:schemeClr w14:val="tx1"/>
            </w14:solidFill>
          </w14:textFill>
        </w:rPr>
        <w:t>为提高乙方诚信能力，建立黑名单制度，乙方明确本项目负责人：</w:t>
      </w:r>
      <w:r>
        <w:rPr>
          <w:rFonts w:hint="eastAsia" w:ascii="宋体" w:hAnsi="宋体"/>
          <w:color w:val="000000" w:themeColor="text1"/>
          <w:sz w:val="21"/>
          <w:szCs w:val="21"/>
          <w:highlight w:val="none"/>
          <w:u w:val="single"/>
          <w:lang w:eastAsia="zh-CN"/>
          <w14:textFill>
            <w14:solidFill>
              <w14:schemeClr w14:val="tx1"/>
            </w14:solidFill>
          </w14:textFill>
        </w:rPr>
        <w:t>（人名），身份证号：XXX XXX XXX XXX，施工队长：（人名），身份证号：XXX XXX XXX XXX，施工班组长：（人名），身份证号：XXX XXX XXX XXX。若施工期间乙方存在施工不力、严重违约、恶意讨薪等问题，乙方连同上述人员不得再参与甲方组织的分包招标工作。</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乙方没有得到甲方书面同意更换项目经理或其他主要管理人员的，每发生一次更换项目经理乙方承担人民币</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1万</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元整的违约金，每发生一次更换项目其他主要管理人员承担人民币</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0.5万</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元整的违约金，并按照甲方要求限期纠正；甲方要求乙方更换项目经理或其他主要管理人员的，乙方应在</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7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日内按照甲方要求予以撤换，当乙方无正当理由拒绝更换时，乙方应承担人民币</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1万</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元整的违约金。当乙方项目经理临时离开现场时应指定合适的替代人员，离开现场</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3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天及以上时，应书面通知甲方并获得甲方同意，否则每次乙方应承担人民币</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1万</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元整的违约金；此类违约超过两次，甲方可要求更换项目经理。</w:t>
      </w:r>
    </w:p>
    <w:p w14:paraId="0F745403">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6.2乙方使用电子邮箱处理与甲方的电子函件往来：</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   </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.com。</w:t>
      </w:r>
    </w:p>
    <w:p w14:paraId="468EA899">
      <w:pPr>
        <w:numPr>
          <w:ilvl w:val="1"/>
          <w:numId w:val="8"/>
        </w:numPr>
        <w:tabs>
          <w:tab w:val="left" w:pos="567"/>
        </w:tabs>
        <w:kinsoku w:val="0"/>
        <w:spacing w:after="0" w:line="360" w:lineRule="auto"/>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6.15本合同适用</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【②】</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条约定。</w:t>
      </w:r>
    </w:p>
    <w:p w14:paraId="0F745405">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6.23本分包工程需要乙方提供的资料和档案形式、提供的份数、期限、标准以及其它相关要求：</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符合甲方资料相关要求</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p>
    <w:p w14:paraId="0F745406">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关于竣工文件的其他约定：</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符合甲方资料相关要求</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p w14:paraId="0F745407">
      <w:pPr>
        <w:pStyle w:val="11"/>
        <w:ind w:firstLine="420"/>
        <w:rPr>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6.36本条款</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【不适用】</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0F745408">
      <w:pPr>
        <w:kinsoku w:val="0"/>
        <w:spacing w:after="0" w:line="360" w:lineRule="auto"/>
        <w:ind w:firstLine="420" w:firstLineChars="200"/>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6.38 乙方配置</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10"/>
          <w:sz w:val="21"/>
          <w:szCs w:val="21"/>
          <w:highlight w:val="none"/>
          <w:u w:val="singl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名劳资专员。</w:t>
      </w:r>
    </w:p>
    <w:p w14:paraId="0F74540A">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（1）姓名：</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，身份证号：</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，联系电话：</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，联系地址：</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p w14:paraId="0F74540B">
      <w:pPr>
        <w:kinsoku w:val="0"/>
        <w:spacing w:after="0" w:line="360" w:lineRule="auto"/>
        <w:ind w:firstLine="420" w:firstLineChars="2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6.39若发现乙方未与劳务作业人员签订劳动用工合同或者签订劳动合同不真实，乙方承担</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万元/人次违约金并赔偿给因此给甲方造成的一切损失（包括但不限于诉讼费、律师费、行政处罚等），乙方同意甲方在工程进度款中扣除，甲方有权单方解除合同，乙方需按照签约合同价</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1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%支付违约金。</w:t>
      </w:r>
    </w:p>
    <w:p w14:paraId="0F74540E">
      <w:pPr>
        <w:kinsoku w:val="0"/>
        <w:spacing w:after="0" w:line="360" w:lineRule="auto"/>
        <w:ind w:firstLine="420" w:firstLineChars="200"/>
        <w:jc w:val="both"/>
        <w:rPr>
          <w:rFonts w:hint="eastAsia" w:asciiTheme="minorEastAsia" w:hAnsiTheme="minorEastAsia" w:eastAsiaTheme="minorEastAsia" w:cstheme="minorEastAsia"/>
          <w:b/>
          <w:bCs/>
          <w:color w:val="000000" w:themeColor="text1"/>
          <w:kern w:val="10"/>
          <w:sz w:val="21"/>
          <w:szCs w:val="21"/>
          <w:highlight w:val="none"/>
          <w:u w:val="singl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6.49乙方应履行的其他义务：</w:t>
      </w:r>
    </w:p>
    <w:p w14:paraId="559DFE14">
      <w:pPr>
        <w:pStyle w:val="11"/>
        <w:ind w:firstLine="42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分包方未经总包方许可，禁止擅自使用、拆改总包方现场的临时设施，由此发生的一切事故及损失均由分包方负责。</w:t>
      </w:r>
    </w:p>
    <w:p w14:paraId="292927A6">
      <w:pPr>
        <w:pStyle w:val="11"/>
        <w:ind w:firstLine="42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如未在文中以文字形式明确列出、提及或约定的工作内容，但合理推断应属于分包方的工作，则此类工作应理解为分包方的潜在责任和义务，分包方应负责完成并自行承担相应的费用。</w:t>
      </w:r>
    </w:p>
    <w:p w14:paraId="1CD3D1DC">
      <w:pPr>
        <w:pStyle w:val="11"/>
        <w:ind w:firstLine="42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在施工过程中若因分包自身原因破坏已完成的工程项目时，分包方需负责修复并承担所有费用及可能引起的一切经济损失。</w:t>
      </w:r>
    </w:p>
    <w:p w14:paraId="4D725518">
      <w:pPr>
        <w:pStyle w:val="11"/>
        <w:ind w:firstLine="42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6.50 公司性质：本公司性质符合以下第 （2） 条之规定。</w:t>
      </w:r>
    </w:p>
    <w:p w14:paraId="5E8D6210">
      <w:pPr>
        <w:pStyle w:val="11"/>
        <w:ind w:firstLine="42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（1）本公司符合《中小企业划型标准规定》（工信部联企业〔2011〕300 号）的划型标准中的微型、</w:t>
      </w:r>
    </w:p>
    <w:p w14:paraId="6D78291A">
      <w:pPr>
        <w:pStyle w:val="11"/>
        <w:ind w:firstLine="42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小型、中型企业。[需提供：企业注册地政府主管部门（如工业和信息化局、中小企业服务中心、市场</w:t>
      </w:r>
    </w:p>
    <w:p w14:paraId="7FFB91A8">
      <w:pPr>
        <w:pStyle w:val="11"/>
        <w:ind w:firstLine="42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监督管理局等）出具的“中小企业证明性材料”并加盖公章，非政府机构或企业自行提供的声明文件不予</w:t>
      </w:r>
    </w:p>
    <w:p w14:paraId="684F1170">
      <w:pPr>
        <w:pStyle w:val="11"/>
        <w:ind w:firstLine="42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认可。材料内容应明确体现该企业符合国务院批准的中小企业划分标准，常见证明材料包括：《中小企业</w:t>
      </w:r>
    </w:p>
    <w:p w14:paraId="722591A2">
      <w:pPr>
        <w:pStyle w:val="11"/>
        <w:ind w:firstLine="42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CSCEC</w:t>
      </w:r>
    </w:p>
    <w:p w14:paraId="1FA2581A">
      <w:pPr>
        <w:pStyle w:val="11"/>
        <w:ind w:firstLine="42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声明函》（须由政府主管部门盖章确认）、政府官网公示的中小企业名录截图（需带有官方标识）等。]</w:t>
      </w:r>
    </w:p>
    <w:p w14:paraId="266DFD7C">
      <w:pPr>
        <w:pStyle w:val="11"/>
        <w:ind w:firstLine="42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（2）本公司为非中小微型企业。</w:t>
      </w:r>
    </w:p>
    <w:p w14:paraId="0F74540F">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095" w:name="_Toc101366230"/>
      <w:bookmarkEnd w:id="1095"/>
      <w:bookmarkStart w:id="1096" w:name="_Toc101366229"/>
      <w:bookmarkEnd w:id="1096"/>
      <w:bookmarkStart w:id="1097" w:name="_Toc101366228"/>
      <w:bookmarkEnd w:id="1097"/>
      <w:bookmarkStart w:id="1098" w:name="_Toc101366231"/>
      <w:bookmarkEnd w:id="1098"/>
      <w:bookmarkStart w:id="1099" w:name="_Toc4482"/>
      <w:bookmarkStart w:id="1100" w:name="_Toc10615"/>
      <w:bookmarkStart w:id="1101" w:name="_Toc3041"/>
      <w:bookmarkStart w:id="1102" w:name="_Toc32452"/>
      <w:bookmarkStart w:id="1103" w:name="_Toc3210"/>
      <w:bookmarkStart w:id="1104" w:name="_Toc752"/>
      <w:bookmarkStart w:id="1105" w:name="_Toc25021"/>
      <w:bookmarkStart w:id="1106" w:name="_Toc14452"/>
      <w:bookmarkStart w:id="1107" w:name="_Toc556"/>
      <w:bookmarkStart w:id="1108" w:name="_Toc9000"/>
      <w:bookmarkStart w:id="1109" w:name="_Toc10220"/>
      <w:bookmarkStart w:id="1110" w:name="_Toc101357461"/>
      <w:bookmarkStart w:id="1111" w:name="_Toc15695"/>
      <w:bookmarkStart w:id="1112" w:name="_Toc1623"/>
      <w:bookmarkStart w:id="1113" w:name="_Toc175764451"/>
      <w:bookmarkStart w:id="1114" w:name="_Toc26576"/>
      <w:bookmarkStart w:id="1115" w:name="_Toc101963515"/>
      <w:bookmarkStart w:id="1116" w:name="_Toc29276"/>
      <w:bookmarkStart w:id="1117" w:name="_Toc23064"/>
      <w:bookmarkStart w:id="1118" w:name="_Toc26129"/>
      <w:bookmarkStart w:id="1119" w:name="_Toc544"/>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技术质量要求</w:t>
      </w:r>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p>
    <w:p w14:paraId="23A9858A">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120" w:name="_Toc175764452"/>
      <w:bookmarkStart w:id="1121" w:name="_Toc13402"/>
      <w:bookmarkStart w:id="1122" w:name="_Toc15624"/>
      <w:bookmarkStart w:id="1123" w:name="_Toc28201"/>
      <w:bookmarkStart w:id="1124" w:name="_Toc29298"/>
      <w:bookmarkStart w:id="1125" w:name="_Toc7540"/>
      <w:bookmarkStart w:id="1126" w:name="_Toc22750"/>
      <w:bookmarkStart w:id="1127" w:name="_Toc14225"/>
      <w:bookmarkStart w:id="1128" w:name="_Toc31809"/>
      <w:bookmarkStart w:id="1129" w:name="_Toc19888"/>
      <w:bookmarkStart w:id="1130" w:name="_Toc101357462"/>
      <w:bookmarkStart w:id="1131" w:name="_Toc7739"/>
      <w:bookmarkStart w:id="1132" w:name="_Toc22673"/>
      <w:bookmarkStart w:id="1133" w:name="_Toc2819"/>
      <w:bookmarkStart w:id="1134" w:name="_Toc30440"/>
      <w:bookmarkStart w:id="1135" w:name="_Toc5405"/>
      <w:bookmarkStart w:id="1136" w:name="_Toc13749"/>
      <w:bookmarkStart w:id="1137" w:name="_Toc20514"/>
      <w:bookmarkStart w:id="1138" w:name="_Toc26939"/>
      <w:bookmarkStart w:id="1139" w:name="_Toc19673"/>
      <w:bookmarkStart w:id="1140" w:name="_Toc101963516"/>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7.2 补充：质量违约金为分包结算总价中相应金额的 2 %。</w:t>
      </w:r>
    </w:p>
    <w:p w14:paraId="7601FD3F">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7.8 乙方在施工过程中必须充分考虑环境污染问题，如发生污染遭到相关部门处罚（如：现金处罚、停工等）由乙方承担责任，如需项目部协调，产生的费用全部由乙方承担，因此问题造成工程节点未完成，甲方可对乙方进行现金处罚，在计量支付中扣除。</w:t>
      </w:r>
    </w:p>
    <w:p w14:paraId="3CF806A2">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7.10 因施工质量或施工组织不力导致的施工工期延误所产生的一切损失均由乙方承担。</w:t>
      </w:r>
    </w:p>
    <w:p w14:paraId="2D48E2FC">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7.11 乙方应严格按照设计规范要求进行施工，严格控制好各施工环节。非甲方及外界原因造成的钢筋等的损耗及相关质量事故，全部由乙方承担，由此造成的相关损失也由乙方承担。</w:t>
      </w:r>
    </w:p>
    <w:p w14:paraId="4E49D28E">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7.12 乙方对所属施工人员进行施工技术交底，设专人负责工程质量自检，配合并服从就甲方现场管理人员的质量管理，负责对乙方提供的施工图纸数据进行复核，发现问题应及时上报甲方核实，无权擅自改变图纸设计，对因此产生的损失甲方不承担任何责任。</w:t>
      </w:r>
    </w:p>
    <w:p w14:paraId="0F745412">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材料设备管理</w:t>
      </w:r>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p>
    <w:p w14:paraId="0F745415">
      <w:pPr>
        <w:kinsoku w:val="0"/>
        <w:spacing w:after="0" w:line="480" w:lineRule="exact"/>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8.7对于由甲方供应的材料，乙方应限额领料，超出限额或损耗率控制目标的部分，甲方将按甲供材料价格表中材料单价加包装、运输费等乘以超出上述核定量之部分</w:t>
      </w:r>
      <w:r>
        <w:rPr>
          <w:rFonts w:hint="eastAsia" w:asciiTheme="minorEastAsia" w:hAnsiTheme="minorEastAsia" w:eastAsiaTheme="minorEastAsia" w:cstheme="minorEastAsia"/>
          <w:b/>
          <w:bCs/>
          <w:color w:val="000000" w:themeColor="text1"/>
          <w:sz w:val="21"/>
          <w:szCs w:val="21"/>
          <w:highlight w:val="none"/>
          <w:u w:val="single"/>
          <w:lang w:eastAsia="zh-CN"/>
          <w14:textFill>
            <w14:solidFill>
              <w14:schemeClr w14:val="tx1"/>
            </w14:solidFill>
          </w14:textFill>
        </w:rPr>
        <w:t>1.3倍</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在对乙方的进度款或结算款中扣除。</w:t>
      </w:r>
    </w:p>
    <w:p w14:paraId="0F745416">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141" w:name="_Toc31479"/>
      <w:bookmarkStart w:id="1142" w:name="_Toc19535"/>
      <w:bookmarkStart w:id="1143" w:name="_Toc20670"/>
      <w:bookmarkStart w:id="1144" w:name="_Toc26565"/>
      <w:bookmarkStart w:id="1145" w:name="_Toc12658"/>
      <w:bookmarkStart w:id="1146" w:name="_Toc10377"/>
      <w:bookmarkStart w:id="1147" w:name="_Toc6224"/>
      <w:bookmarkStart w:id="1148" w:name="_Toc11460"/>
      <w:bookmarkStart w:id="1149" w:name="_Toc19791"/>
      <w:bookmarkStart w:id="1150" w:name="_Toc10950"/>
      <w:bookmarkStart w:id="1151" w:name="_Toc175764453"/>
      <w:bookmarkStart w:id="1152" w:name="_Toc2732"/>
      <w:bookmarkStart w:id="1153" w:name="_Toc4835"/>
      <w:bookmarkStart w:id="1154" w:name="_Toc13688"/>
      <w:bookmarkStart w:id="1155" w:name="_Toc7144"/>
      <w:bookmarkStart w:id="1156" w:name="_Toc5704"/>
      <w:bookmarkStart w:id="1157" w:name="_Toc10045"/>
      <w:bookmarkStart w:id="1158" w:name="_Toc101357463"/>
      <w:bookmarkStart w:id="1159" w:name="_Toc20197"/>
      <w:bookmarkStart w:id="1160" w:name="_Toc5223"/>
      <w:bookmarkStart w:id="1161" w:name="_Toc101963517"/>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安全文明施工管理</w:t>
      </w:r>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p>
    <w:p w14:paraId="0F745418">
      <w:pPr>
        <w:kinsoku w:val="0"/>
        <w:spacing w:after="0" w:line="360" w:lineRule="auto"/>
        <w:ind w:firstLine="420" w:firstLineChars="200"/>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9.4补充：乙方必须缴纳安全风险抵押金</w:t>
      </w:r>
      <w:r>
        <w:rPr>
          <w:rFonts w:hint="eastAsia" w:asciiTheme="minorEastAsia" w:hAnsiTheme="minorEastAsia" w:eastAsiaTheme="minorEastAsia" w:cstheme="minorEastAsia"/>
          <w:b/>
          <w:bCs/>
          <w:color w:val="000000" w:themeColor="text1"/>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1"/>
          <w:szCs w:val="21"/>
          <w:highlight w:val="none"/>
          <w:u w:val="single"/>
          <w:lang w:val="en-US" w:eastAsia="zh-CN"/>
          <w14:textFill>
            <w14:solidFill>
              <w14:schemeClr w14:val="tx1"/>
            </w14:solidFill>
          </w14:textFill>
        </w:rPr>
        <w:t>2</w:t>
      </w:r>
      <w:r>
        <w:rPr>
          <w:rFonts w:hint="eastAsia" w:asciiTheme="minorEastAsia" w:hAnsiTheme="minorEastAsia" w:eastAsiaTheme="minorEastAsia" w:cstheme="minorEastAsia"/>
          <w:b/>
          <w:bCs/>
          <w:color w:val="000000" w:themeColor="text1"/>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万元。</w:t>
      </w:r>
    </w:p>
    <w:p w14:paraId="0F745419">
      <w:pPr>
        <w:kinsoku w:val="0"/>
        <w:spacing w:after="0" w:line="360" w:lineRule="auto"/>
        <w:ind w:firstLine="420" w:firstLineChars="200"/>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highlight w:val="none"/>
          <w:lang w:eastAsia="zh-CN"/>
          <w14:textFill>
            <w14:solidFill>
              <w14:schemeClr w14:val="tx1"/>
            </w14:solidFill>
          </w14:textFill>
        </w:rPr>
        <w:t>9.12劳动防护用品（包括“三宝一器”：安全帽、安全带、安全网、漏电保护器）的购买、验收、发放、使用、更换和报废统一由</w:t>
      </w:r>
      <w:r>
        <w:rPr>
          <w:rFonts w:hint="eastAsia" w:asciiTheme="minorEastAsia" w:hAnsiTheme="minorEastAsia" w:eastAsiaTheme="minorEastAsia" w:cstheme="minorEastAsia"/>
          <w:b w:val="0"/>
          <w:bCs w:val="0"/>
          <w:color w:val="000000" w:themeColor="text1"/>
          <w:sz w:val="21"/>
          <w:szCs w:val="21"/>
          <w:highlight w:val="none"/>
          <w:u w:val="single"/>
          <w:lang w:eastAsia="zh-CN"/>
          <w14:textFill>
            <w14:solidFill>
              <w14:schemeClr w14:val="tx1"/>
            </w14:solidFill>
          </w14:textFill>
        </w:rPr>
        <w:t>甲方</w:t>
      </w:r>
      <w:r>
        <w:rPr>
          <w:rFonts w:hint="eastAsia" w:asciiTheme="minorEastAsia" w:hAnsiTheme="minorEastAsia" w:eastAsiaTheme="minorEastAsia" w:cstheme="minorEastAsia"/>
          <w:b w:val="0"/>
          <w:bCs w:val="0"/>
          <w:color w:val="000000" w:themeColor="text1"/>
          <w:sz w:val="21"/>
          <w:szCs w:val="21"/>
          <w:highlight w:val="none"/>
          <w:lang w:eastAsia="zh-CN"/>
          <w14:textFill>
            <w14:solidFill>
              <w14:schemeClr w14:val="tx1"/>
            </w14:solidFill>
          </w14:textFill>
        </w:rPr>
        <w:t>负责。费用由乙方承担，从本分包工程的结算中扣除，甲方代付代扣</w:t>
      </w: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w:t>
      </w:r>
    </w:p>
    <w:p w14:paraId="1A4C4AFB">
      <w:pPr>
        <w:pStyle w:val="11"/>
        <w:rPr>
          <w:rFonts w:hint="eastAsia" w:asciiTheme="minorEastAsia" w:hAnsiTheme="minorEastAsia" w:eastAsiaTheme="minorEastAsia" w:cstheme="minorEastAsia"/>
          <w:b w:val="0"/>
          <w:bCs w:val="0"/>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color w:val="000000" w:themeColor="text1"/>
          <w:kern w:val="2"/>
          <w:sz w:val="21"/>
          <w:szCs w:val="21"/>
          <w:highlight w:val="none"/>
          <w:lang w:val="en-US" w:eastAsia="zh-CN" w:bidi="ar-SA"/>
          <w14:textFill>
            <w14:solidFill>
              <w14:schemeClr w14:val="tx1"/>
            </w14:solidFill>
          </w14:textFill>
        </w:rPr>
        <w:t xml:space="preserve"> 9.13 乙方安全生产费用投入必须达到项目所在地、业主及甲方要求，并提供相应的发票、影响资料、签认单等支撑性资料，若安全生产费用投入未达到要求的投入金额，甲方有权在工程款支付时扣除不足部分的安全生产费用；</w:t>
      </w:r>
    </w:p>
    <w:p w14:paraId="12970F40">
      <w:pPr>
        <w:pStyle w:val="11"/>
        <w:ind w:firstLine="420" w:firstLineChars="200"/>
        <w:rPr>
          <w:rFonts w:hint="eastAsia" w:asciiTheme="minorEastAsia" w:hAnsiTheme="minorEastAsia" w:eastAsiaTheme="minorEastAsia" w:cstheme="minorEastAsia"/>
          <w:b w:val="0"/>
          <w:bCs w:val="0"/>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b w:val="0"/>
          <w:bCs w:val="0"/>
          <w:color w:val="000000" w:themeColor="text1"/>
          <w:kern w:val="2"/>
          <w:sz w:val="21"/>
          <w:szCs w:val="21"/>
          <w:highlight w:val="none"/>
          <w:lang w:val="en-US" w:eastAsia="zh-CN" w:bidi="ar-SA"/>
          <w14:textFill>
            <w14:solidFill>
              <w14:schemeClr w14:val="tx1"/>
            </w14:solidFill>
          </w14:textFill>
        </w:rPr>
        <w:t>9.14 乙方须采取有效措施，防止机械噪声超标或机械漏油污染环境，对于不符合要求的机械应及时采取必要的措施；</w:t>
      </w:r>
    </w:p>
    <w:p w14:paraId="6E538CB9">
      <w:pPr>
        <w:pStyle w:val="11"/>
        <w:ind w:firstLine="420" w:firstLineChars="200"/>
        <w:rPr>
          <w:rFonts w:hint="eastAsia" w:asciiTheme="minorEastAsia" w:hAnsiTheme="minorEastAsia" w:eastAsiaTheme="minorEastAsia" w:cstheme="minorEastAsia"/>
          <w:b w:val="0"/>
          <w:bCs w:val="0"/>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b w:val="0"/>
          <w:bCs w:val="0"/>
          <w:color w:val="000000" w:themeColor="text1"/>
          <w:kern w:val="2"/>
          <w:sz w:val="21"/>
          <w:szCs w:val="21"/>
          <w:highlight w:val="none"/>
          <w:lang w:val="en-US" w:eastAsia="zh-CN" w:bidi="ar-SA"/>
          <w14:textFill>
            <w14:solidFill>
              <w14:schemeClr w14:val="tx1"/>
            </w14:solidFill>
          </w14:textFill>
        </w:rPr>
        <w:t>9.15 分包方负责人按实际情况上报人员数量及身份证复印件（身份证复印件必须与本人相符）在我项目部登记备案，人员数量增减必须如实上报。若不如实上报和人员信息不相符，将对其进行 1000 元罚款。若没有登记和人员信息不符的人员出现安全事故由分包方承担一切责任。</w:t>
      </w:r>
    </w:p>
    <w:p w14:paraId="3A9C58ED">
      <w:pPr>
        <w:pStyle w:val="11"/>
        <w:ind w:firstLine="420" w:firstLineChars="200"/>
        <w:rPr>
          <w:rFonts w:hint="eastAsia" w:asciiTheme="minorEastAsia" w:hAnsiTheme="minorEastAsia" w:eastAsiaTheme="minorEastAsia" w:cstheme="minorEastAsia"/>
          <w:b w:val="0"/>
          <w:bCs w:val="0"/>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b w:val="0"/>
          <w:bCs w:val="0"/>
          <w:color w:val="000000" w:themeColor="text1"/>
          <w:kern w:val="2"/>
          <w:sz w:val="21"/>
          <w:szCs w:val="21"/>
          <w:highlight w:val="none"/>
          <w:lang w:val="en-US" w:eastAsia="zh-CN" w:bidi="ar-SA"/>
          <w14:textFill>
            <w14:solidFill>
              <w14:schemeClr w14:val="tx1"/>
            </w14:solidFill>
          </w14:textFill>
        </w:rPr>
        <w:t>9.16 在施工场地涉及危险地区或需要安全防护措施施工时，乙方应提出安全防护措施，经甲方批准后实施，发生的相应费用由乙方承担。</w:t>
      </w:r>
    </w:p>
    <w:p w14:paraId="64DA843A">
      <w:pPr>
        <w:pStyle w:val="11"/>
        <w:ind w:firstLine="420" w:firstLineChars="200"/>
        <w:rPr>
          <w:rFonts w:hint="default" w:asciiTheme="minorEastAsia" w:hAnsiTheme="minorEastAsia" w:eastAsiaTheme="minorEastAsia" w:cstheme="minorEastAsia"/>
          <w:b w:val="0"/>
          <w:bCs w:val="0"/>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b w:val="0"/>
          <w:bCs w:val="0"/>
          <w:color w:val="000000" w:themeColor="text1"/>
          <w:kern w:val="2"/>
          <w:sz w:val="21"/>
          <w:szCs w:val="21"/>
          <w:highlight w:val="none"/>
          <w:lang w:val="en-US" w:eastAsia="zh-CN" w:bidi="ar-SA"/>
          <w14:textFill>
            <w14:solidFill>
              <w14:schemeClr w14:val="tx1"/>
            </w14:solidFill>
          </w14:textFill>
        </w:rPr>
        <w:t>9.17 乙方必须对其施工范围和相关场所以及所有施工人员、管理辅助人员、设备、财产及第三人的安全负一切责任，在施工及材料的采购、运输等过程中发生的一切人身伤残、死亡、财产损失、损害及意外事故均由乙方承担，如发生安全事故，甲方有权在乙方进度款或安全履约保证金内扣除相应资金用于安全事故处理。</w:t>
      </w:r>
    </w:p>
    <w:p w14:paraId="0F74541A">
      <w:pPr>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bookmarkStart w:id="1162" w:name="_Toc175764454"/>
      <w:bookmarkStart w:id="1163" w:name="_Toc101357464"/>
      <w:bookmarkStart w:id="1164" w:name="_Toc101963518"/>
      <w:bookmarkStart w:id="1165" w:name="_Toc28958"/>
      <w:bookmarkStart w:id="1166" w:name="_Toc783"/>
      <w:bookmarkStart w:id="1167" w:name="_Toc25432"/>
      <w:bookmarkStart w:id="1168" w:name="_Toc496"/>
      <w:bookmarkStart w:id="1169" w:name="_Toc28699"/>
      <w:bookmarkStart w:id="1170" w:name="_Toc21567"/>
      <w:bookmarkStart w:id="1171" w:name="_Toc10348"/>
      <w:bookmarkStart w:id="1172" w:name="_Toc2531"/>
      <w:bookmarkStart w:id="1173" w:name="_Toc21644"/>
      <w:bookmarkStart w:id="1174" w:name="_Toc14336"/>
      <w:bookmarkStart w:id="1175" w:name="_Toc3250"/>
      <w:bookmarkStart w:id="1176" w:name="_Toc26103"/>
      <w:bookmarkStart w:id="1177" w:name="_Toc24192"/>
      <w:bookmarkStart w:id="1178" w:name="_Toc17137"/>
      <w:bookmarkStart w:id="1179" w:name="_Toc370"/>
      <w:bookmarkStart w:id="1180" w:name="_Toc29188"/>
      <w:bookmarkStart w:id="1181" w:name="_Toc4937"/>
      <w:bookmarkStart w:id="1182" w:name="_Toc22179"/>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绿色施工、环境保护与职业健康管理</w:t>
      </w:r>
      <w:bookmarkEnd w:id="1162"/>
      <w:bookmarkEnd w:id="1163"/>
      <w:bookmarkEnd w:id="1164"/>
      <w:bookmarkStart w:id="1183" w:name="_Toc101357465"/>
    </w:p>
    <w:p w14:paraId="0F74541B">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见通用合同条款。</w:t>
      </w:r>
      <w:bookmarkEnd w:id="1183"/>
    </w:p>
    <w:p w14:paraId="0F74541C">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bookmarkStart w:id="1184" w:name="_Toc101357466"/>
      <w:bookmarkStart w:id="1185" w:name="_Toc101963519"/>
      <w:bookmarkStart w:id="1186" w:name="_Toc175764455"/>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工期</w:t>
      </w:r>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4"/>
      <w:bookmarkEnd w:id="1185"/>
      <w:bookmarkEnd w:id="1186"/>
    </w:p>
    <w:p w14:paraId="0F74541E">
      <w:pPr>
        <w:pStyle w:val="28"/>
        <w:keepNext w:val="0"/>
        <w:keepLines w:val="0"/>
        <w:widowControl/>
        <w:suppressLineNumbers w:val="0"/>
        <w:ind w:firstLine="420" w:firstLineChars="200"/>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bookmarkStart w:id="1187" w:name="_Toc2649"/>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11.6主要节点工期目标：</w:t>
      </w:r>
      <w:bookmarkEnd w:id="1187"/>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乙方进场后，按照现场实际施工进度计划制定施工节点并确定奖罚措施</w:t>
      </w:r>
    </w:p>
    <w:p w14:paraId="0F74543D">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188" w:name="_Toc175764456"/>
      <w:bookmarkStart w:id="1189" w:name="_Toc101963520"/>
      <w:bookmarkStart w:id="1190" w:name="_Toc101357467"/>
      <w:bookmarkStart w:id="1191" w:name="_Toc416"/>
      <w:bookmarkStart w:id="1192" w:name="_Toc15643"/>
      <w:bookmarkStart w:id="1193" w:name="_Toc19739"/>
      <w:bookmarkStart w:id="1194" w:name="_Toc6778"/>
      <w:bookmarkStart w:id="1195" w:name="_Toc23709"/>
      <w:bookmarkStart w:id="1196" w:name="_Toc2116"/>
      <w:bookmarkStart w:id="1197" w:name="_Toc31747"/>
      <w:bookmarkStart w:id="1198" w:name="_Toc17691"/>
      <w:bookmarkStart w:id="1199" w:name="_Toc9732"/>
      <w:bookmarkStart w:id="1200" w:name="_Toc13529"/>
      <w:bookmarkStart w:id="1201" w:name="_Toc14156"/>
      <w:bookmarkStart w:id="1202" w:name="_Toc12264"/>
      <w:bookmarkStart w:id="1203" w:name="_Toc4510"/>
      <w:bookmarkStart w:id="1204" w:name="_Toc16161"/>
      <w:bookmarkStart w:id="1205" w:name="_Toc15784"/>
      <w:bookmarkStart w:id="1206" w:name="_Toc20371"/>
      <w:bookmarkStart w:id="1207" w:name="_Toc15033"/>
      <w:bookmarkStart w:id="1208" w:name="_Toc9892"/>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试验和检验</w:t>
      </w:r>
      <w:bookmarkEnd w:id="1188"/>
      <w:bookmarkEnd w:id="1189"/>
      <w:bookmarkEnd w:id="1190"/>
    </w:p>
    <w:p w14:paraId="0F74543E">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209" w:name="_Toc101357468"/>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见通用合同条款。</w:t>
      </w:r>
      <w:bookmarkEnd w:id="1209"/>
    </w:p>
    <w:p w14:paraId="0F74543F">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210" w:name="_Toc101357469"/>
      <w:bookmarkStart w:id="1211" w:name="_Toc175764457"/>
      <w:bookmarkStart w:id="1212" w:name="_Toc101963521"/>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合同价款与计量方式</w:t>
      </w:r>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10"/>
      <w:bookmarkEnd w:id="1211"/>
      <w:bookmarkEnd w:id="1212"/>
    </w:p>
    <w:p w14:paraId="0A4A530D">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bookmarkStart w:id="1213" w:name="_Toc29038"/>
      <w:bookmarkStart w:id="1214" w:name="_Toc18090"/>
      <w:bookmarkStart w:id="1215" w:name="_Toc10465"/>
      <w:bookmarkStart w:id="1216" w:name="_Toc15999"/>
      <w:bookmarkStart w:id="1217" w:name="_Toc21889"/>
      <w:bookmarkStart w:id="1218" w:name="_Toc3339"/>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13.2本分包合同价格</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采用</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通用合同13.2.1条</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单价合同</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2"/>
          <w:sz w:val="21"/>
          <w:szCs w:val="21"/>
          <w:highlight w:val="none"/>
          <w:u w:val="single"/>
          <w:lang w:eastAsia="zh-CN" w:bidi="ar-SA"/>
          <w14:textFill>
            <w14:solidFill>
              <w14:schemeClr w14:val="tx1"/>
            </w14:solidFill>
          </w14:textFill>
        </w:rPr>
        <w:t>形式</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bookmarkEnd w:id="1213"/>
      <w:bookmarkEnd w:id="1214"/>
      <w:bookmarkEnd w:id="1215"/>
      <w:bookmarkEnd w:id="1216"/>
      <w:bookmarkEnd w:id="1217"/>
      <w:bookmarkEnd w:id="1218"/>
    </w:p>
    <w:p w14:paraId="0F745459">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219" w:name="_Toc6377"/>
      <w:bookmarkStart w:id="1220" w:name="_Toc21879"/>
      <w:bookmarkStart w:id="1221" w:name="_Toc6199"/>
      <w:bookmarkStart w:id="1222" w:name="_Toc28009"/>
      <w:bookmarkStart w:id="1223" w:name="_Toc438"/>
      <w:bookmarkStart w:id="1224" w:name="_Toc7533"/>
      <w:bookmarkStart w:id="1225" w:name="_Toc2913"/>
      <w:bookmarkStart w:id="1226" w:name="_Toc11994"/>
      <w:bookmarkStart w:id="1227" w:name="_Toc2347"/>
      <w:bookmarkStart w:id="1228" w:name="_Toc6228"/>
      <w:bookmarkStart w:id="1229" w:name="_Toc101357470"/>
      <w:bookmarkStart w:id="1230" w:name="_Toc19921"/>
      <w:bookmarkStart w:id="1231" w:name="_Toc3437"/>
      <w:bookmarkStart w:id="1232" w:name="_Toc21360"/>
      <w:bookmarkStart w:id="1233" w:name="_Toc26062"/>
      <w:bookmarkStart w:id="1234" w:name="_Toc8900"/>
      <w:bookmarkStart w:id="1235" w:name="_Toc31545"/>
      <w:bookmarkStart w:id="1236" w:name="_Toc101963522"/>
      <w:bookmarkStart w:id="1237" w:name="_Toc9193"/>
      <w:bookmarkStart w:id="1238" w:name="_Toc15608"/>
      <w:bookmarkStart w:id="1239" w:name="_Toc175764458"/>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变更</w:t>
      </w:r>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签证</w:t>
      </w:r>
      <w:bookmarkEnd w:id="1239"/>
    </w:p>
    <w:p w14:paraId="0F74545A">
      <w:pPr>
        <w:kinsoku w:val="0"/>
        <w:spacing w:after="0" w:line="360" w:lineRule="auto"/>
        <w:ind w:firstLine="420" w:firstLineChars="200"/>
        <w:jc w:val="both"/>
        <w:rPr>
          <w:rFonts w:hint="eastAsia" w:ascii="宋体" w:hAnsi="宋体" w:cstheme="minorEastAsia"/>
          <w:color w:val="000000" w:themeColor="text1"/>
          <w:sz w:val="21"/>
          <w:szCs w:val="21"/>
          <w:highlight w:val="none"/>
          <w:lang w:eastAsia="zh-CN"/>
          <w14:textFill>
            <w14:solidFill>
              <w14:schemeClr w14:val="tx1"/>
            </w14:solidFill>
          </w14:textFill>
        </w:rPr>
      </w:pPr>
      <w:bookmarkStart w:id="1240" w:name="_Toc10576"/>
      <w:bookmarkStart w:id="1241" w:name="_Toc1218"/>
      <w:bookmarkStart w:id="1242" w:name="_Toc9374"/>
      <w:bookmarkStart w:id="1243" w:name="_Toc5241"/>
      <w:bookmarkStart w:id="1244" w:name="_Toc228"/>
      <w:bookmarkStart w:id="1245" w:name="_Toc10335"/>
      <w:r>
        <w:rPr>
          <w:rFonts w:hint="eastAsia" w:ascii="宋体" w:hAnsi="宋体" w:cstheme="minorEastAsia"/>
          <w:color w:val="000000" w:themeColor="text1"/>
          <w:sz w:val="21"/>
          <w:szCs w:val="21"/>
          <w:highlight w:val="none"/>
          <w:lang w:eastAsia="zh-CN"/>
          <w14:textFill>
            <w14:solidFill>
              <w14:schemeClr w14:val="tx1"/>
            </w14:solidFill>
          </w14:textFill>
        </w:rPr>
        <w:t>14.7.5增加：甲方授权本合同现场签证事项签署人员为：项目经理</w:t>
      </w:r>
      <w:r>
        <w:rPr>
          <w:rFonts w:hint="eastAsia" w:ascii="宋体" w:hAnsi="宋体" w:cstheme="minorEastAsia"/>
          <w:color w:val="000000" w:themeColor="text1"/>
          <w:sz w:val="21"/>
          <w:szCs w:val="21"/>
          <w:highlight w:val="none"/>
          <w:u w:val="single"/>
          <w:lang w:val="en-US" w:eastAsia="zh-CN"/>
          <w14:textFill>
            <w14:solidFill>
              <w14:schemeClr w14:val="tx1"/>
            </w14:solidFill>
          </w14:textFill>
        </w:rPr>
        <w:t>李浩然</w:t>
      </w:r>
      <w:r>
        <w:rPr>
          <w:rFonts w:hint="eastAsia" w:ascii="宋体" w:hAnsi="宋体" w:cstheme="minorEastAsia"/>
          <w:color w:val="000000" w:themeColor="text1"/>
          <w:sz w:val="21"/>
          <w:szCs w:val="21"/>
          <w:highlight w:val="none"/>
          <w:lang w:eastAsia="zh-CN"/>
          <w14:textFill>
            <w14:solidFill>
              <w14:schemeClr w14:val="tx1"/>
            </w14:solidFill>
          </w14:textFill>
        </w:rPr>
        <w:t>及分管项目签证负责人</w:t>
      </w:r>
      <w:r>
        <w:rPr>
          <w:rFonts w:hint="eastAsia" w:ascii="宋体" w:hAnsi="宋体" w:cstheme="minorEastAsia"/>
          <w:color w:val="000000" w:themeColor="text1"/>
          <w:sz w:val="21"/>
          <w:szCs w:val="21"/>
          <w:highlight w:val="none"/>
          <w:u w:val="single"/>
          <w:lang w:eastAsia="zh-CN"/>
          <w14:textFill>
            <w14:solidFill>
              <w14:schemeClr w14:val="tx1"/>
            </w14:solidFill>
          </w14:textFill>
        </w:rPr>
        <w:t>姜光辉</w:t>
      </w:r>
      <w:r>
        <w:rPr>
          <w:rFonts w:hint="eastAsia" w:ascii="宋体" w:hAnsi="宋体" w:cstheme="minorEastAsia"/>
          <w:color w:val="000000" w:themeColor="text1"/>
          <w:sz w:val="21"/>
          <w:szCs w:val="21"/>
          <w:highlight w:val="none"/>
          <w:lang w:eastAsia="zh-CN"/>
          <w14:textFill>
            <w14:solidFill>
              <w14:schemeClr w14:val="tx1"/>
            </w14:solidFill>
          </w14:textFill>
        </w:rPr>
        <w:t>。单份单项额度2万元以下的现场签证签署至项目经理，单份单项额度2万元及以上的现场签证签署至分管项目签证负责人，非甲方授权人员签字确认的签证事项一律无效，不作为结算依据。在分包合同和工程量清单描述中已经明确约定由乙方负责的工作内容以及属分包合同价格包干工作内容，不能签证，即使签署了签证也为无效签证。</w:t>
      </w:r>
    </w:p>
    <w:p w14:paraId="0F74545B">
      <w:pPr>
        <w:pStyle w:val="11"/>
        <w:spacing w:after="0" w:line="360" w:lineRule="auto"/>
        <w:ind w:firstLine="420"/>
        <w:jc w:val="both"/>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14.7.6增加：甲方对乙方结算及付款的依据仅限于甲方与乙方双方签订的分包合同、分包补充合同（协议）及甲方授权人在权限范围内签署的现场签证。除甲方评审通过并经甲乙双方签字盖章的变更、签证单外（格式见附件16），由甲方发出的、超出分包合同工程量清单承包范围外的指令，无论何种形式（包括但不仅限于往来函件、会议纪要、洽商变更、承诺书、备忘录等</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，仅作为签订分包合同、补充合同（协议）或现场签证的辅助性支撑资料，不能单独作为甲方对乙方结算及付款的依据。甲方项目部其他任何人员的任何形式的签字均不作为甲方结算及付款的依据。</w:t>
      </w:r>
    </w:p>
    <w:bookmarkEnd w:id="1240"/>
    <w:bookmarkEnd w:id="1241"/>
    <w:bookmarkEnd w:id="1242"/>
    <w:bookmarkEnd w:id="1243"/>
    <w:bookmarkEnd w:id="1244"/>
    <w:bookmarkEnd w:id="1245"/>
    <w:p w14:paraId="0F74545C">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246" w:name="_Toc4604"/>
      <w:bookmarkStart w:id="1247" w:name="_Toc15410"/>
      <w:bookmarkStart w:id="1248" w:name="_Toc28357"/>
      <w:bookmarkStart w:id="1249" w:name="_Toc8618"/>
      <w:bookmarkStart w:id="1250" w:name="_Toc175764459"/>
      <w:bookmarkStart w:id="1251" w:name="_Toc9211"/>
      <w:bookmarkStart w:id="1252" w:name="_Toc10569"/>
      <w:bookmarkStart w:id="1253" w:name="_Toc11817"/>
      <w:bookmarkStart w:id="1254" w:name="_Toc101963523"/>
      <w:bookmarkStart w:id="1255" w:name="_Toc20022"/>
      <w:bookmarkStart w:id="1256" w:name="_Toc14584"/>
      <w:bookmarkStart w:id="1257" w:name="_Toc2547"/>
      <w:bookmarkStart w:id="1258" w:name="_Toc22366"/>
      <w:bookmarkStart w:id="1259" w:name="_Toc31952"/>
      <w:bookmarkStart w:id="1260" w:name="_Toc20034"/>
      <w:bookmarkStart w:id="1261" w:name="_Toc3916"/>
      <w:bookmarkStart w:id="1262" w:name="_Toc6875"/>
      <w:bookmarkStart w:id="1263" w:name="_Toc28309"/>
      <w:bookmarkStart w:id="1264" w:name="_Toc11499"/>
      <w:bookmarkStart w:id="1265" w:name="_Toc8508"/>
      <w:bookmarkStart w:id="1266" w:name="_Toc101357473"/>
      <w:bookmarkStart w:id="1267" w:name="_Toc27949"/>
      <w:bookmarkStart w:id="1268" w:name="_Toc101357471"/>
      <w:bookmarkStart w:id="1269" w:name="_Toc27680"/>
      <w:bookmarkStart w:id="1270" w:name="_Toc17252"/>
      <w:bookmarkStart w:id="1271" w:name="_Toc21651"/>
      <w:bookmarkStart w:id="1272" w:name="_Toc7740"/>
      <w:bookmarkStart w:id="1273" w:name="_Toc31997"/>
      <w:bookmarkStart w:id="1274" w:name="_Toc27504"/>
      <w:bookmarkStart w:id="1275" w:name="_Toc5210"/>
      <w:bookmarkStart w:id="1276" w:name="_Toc8585"/>
      <w:bookmarkStart w:id="1277" w:name="_Toc13268"/>
      <w:bookmarkStart w:id="1278" w:name="_Toc1067"/>
      <w:bookmarkStart w:id="1279" w:name="_Toc21029"/>
      <w:bookmarkStart w:id="1280" w:name="_Toc5433"/>
      <w:bookmarkStart w:id="1281" w:name="_Toc18734"/>
      <w:bookmarkStart w:id="1282" w:name="_Toc24145"/>
      <w:bookmarkStart w:id="1283" w:name="_Toc1084"/>
      <w:bookmarkStart w:id="1284" w:name="_Toc12415"/>
      <w:bookmarkStart w:id="1285" w:name="_Toc11858"/>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工程款支付</w:t>
      </w:r>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p>
    <w:p w14:paraId="0F745463">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15.1本工程</w:t>
      </w:r>
      <w:r>
        <w:rPr>
          <w:rFonts w:asciiTheme="minorEastAsia" w:hAnsiTheme="minorEastAsia" w:eastAsiaTheme="minorEastAsia" w:cstheme="minorEastAsia"/>
          <w:color w:val="000000" w:themeColor="text1"/>
          <w:sz w:val="21"/>
          <w:szCs w:val="21"/>
          <w:highlight w:val="none"/>
          <w14:textFill>
            <w14:solidFill>
              <w14:schemeClr w14:val="tx1"/>
            </w14:solidFill>
          </w14:textFill>
        </w:rPr>
        <w:sym w:font="Wingdings 2" w:char="F052"/>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无工程预付款。</w:t>
      </w:r>
    </w:p>
    <w:p w14:paraId="0F745464">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15.2工程进度款的付款周期、程序、支付比例</w:t>
      </w:r>
    </w:p>
    <w:p w14:paraId="0F745465">
      <w:pPr>
        <w:tabs>
          <w:tab w:val="left" w:pos="992"/>
        </w:tabs>
        <w:kinsoku w:val="0"/>
        <w:spacing w:after="0" w:line="360" w:lineRule="auto"/>
        <w:ind w:left="158" w:leftChars="75"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以下约定的支付情况，是在乙方已向甲方提供了按结算金额开具的建筑业增值税专用发票并经甲方完成发票认证和相应金额的财务收据前提下执行。</w:t>
      </w:r>
    </w:p>
    <w:p w14:paraId="71042317">
      <w:pPr>
        <w:numPr>
          <w:ilvl w:val="0"/>
          <w:numId w:val="9"/>
        </w:num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本工程按</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月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支付进度工程款，经甲方审核完成乙方报送过程结算书后1个月内，支付甲方审定的当期进度完成量的</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80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乙方应及时提交农民工工资支付各项手续，并对真实性、完整性负责，确保农民工工资支付比例</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100</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w:t>
      </w:r>
    </w:p>
    <w:p w14:paraId="0F745469">
      <w:pPr>
        <w:numPr>
          <w:ilvl w:val="0"/>
          <w:numId w:val="9"/>
        </w:num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分包最终结算经甲方审定后3个月内，支付至本分包工程最终结算额的</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90</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乙方应及时提交农民工工资支付各项手续，并对真实性、完整性负责，确保农民工工资支付比例100%。</w:t>
      </w:r>
    </w:p>
    <w:p w14:paraId="0AB378B9">
      <w:pPr>
        <w:numPr>
          <w:ilvl w:val="0"/>
          <w:numId w:val="9"/>
        </w:num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本分包工程完工验收合格</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并通车运营且分包</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最终结算经甲方审定后3个月内支付至本分包工程最终结算额的</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97</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％，剩余</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3</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%为质量保证金，缺陷责任期满后，若无质量等扣款事项且乙方尽到保修义务的，甲方一次性无息付清工程尾款。乙方应在甲方支付至分包工程最终结算额的</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97</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％前，按分包最终结算提供全额发票（含保修金发票），否则甲方可暂不支付而无需承担延期支付责任。</w:t>
      </w:r>
    </w:p>
    <w:p w14:paraId="0F74546B">
      <w:pPr>
        <w:numPr>
          <w:ilvl w:val="0"/>
          <w:numId w:val="9"/>
        </w:num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甲乙双方一致同意对工程所有款项实施分账制支付，即，一部分是农民工工资，占结算价款比例的</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40</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直接通过甲方开设的农民工工资专用账户（乙方应签订农民工工资代付协议，并为农民工办理个人工资银行卡，在工人进场后7日内将工人的工资收款信息书面报送甲方，并按时编制报送每期农民工工资明细）支付至乙方指定工人（乙方在实名制平台上登记考勤的工人）的银行卡；另外一部分（含乙方采购的零星材料、辅材、小型机械费、管理费、利润和税金等除农民工工资外的全部费用）按合同约定支付到乙方指定账户。</w:t>
      </w:r>
    </w:p>
    <w:p w14:paraId="0F74546C">
      <w:pPr>
        <w:numPr>
          <w:ilvl w:val="0"/>
          <w:numId w:val="9"/>
        </w:num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接受甲方以现金或银行转账方式支付人工费部分，以电汇、转账、银行汇票、信用证、保理、供应链等形式支付非人工费部分，乙方须配合甲方完成相关支付手续。付款过程中产生的贴息费用及手续费由【乙方/甲方】承担。乙方委托专职收款人办理收款业务，收款人必须取得授权。</w:t>
      </w:r>
    </w:p>
    <w:p w14:paraId="0F74546D">
      <w:pPr>
        <w:numPr>
          <w:ilvl w:val="0"/>
          <w:numId w:val="9"/>
        </w:num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乙方指定下列账户为收款账户，当甲方采用转账方式付款时，应支付至下列账户。如乙方变更收款账户，应提前十五天以上书面通知甲方，否则造成资金的损失由乙方自行承担，与甲方无关。乙方指定收款账户：</w:t>
      </w:r>
    </w:p>
    <w:p w14:paraId="0F74546E">
      <w:pPr>
        <w:kinsoku w:val="0"/>
        <w:spacing w:after="0" w:line="360" w:lineRule="auto"/>
        <w:ind w:left="420" w:leftChars="2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账户名：</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p>
    <w:p w14:paraId="0F74546F">
      <w:pPr>
        <w:kinsoku w:val="0"/>
        <w:spacing w:after="0" w:line="360" w:lineRule="auto"/>
        <w:ind w:left="420" w:leftChars="2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开户行：</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p>
    <w:p w14:paraId="0F745470">
      <w:pPr>
        <w:kinsoku w:val="0"/>
        <w:spacing w:after="0" w:line="360" w:lineRule="auto"/>
        <w:ind w:left="420" w:leftChars="2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账  号：</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p>
    <w:p w14:paraId="0F745471">
      <w:pPr>
        <w:numPr>
          <w:ilvl w:val="0"/>
          <w:numId w:val="9"/>
        </w:num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首次付款中包含甲方在工程开工之日起一个月内支付乙方合同价款50%安全生产费，剩余50%安全生产费按工程施工进度分批次支付，乙方应确保该项金额全部用于安全生产支出。首次付款支付50%安全生产费后，剩余50%安全生产费用支付前，乙方应提供前期支付的50%费用的安全措施费发票及相关资料，乙方提供的发票应符合甲方和建设单位及属地有关部门的要求。乙方投入不足或提供资料不符合要求的，甲方有权在后续工程款中扣除或要求乙方退还已支付安全生产费。</w:t>
      </w:r>
    </w:p>
    <w:p w14:paraId="0F745472">
      <w:pPr>
        <w:numPr>
          <w:ilvl w:val="0"/>
          <w:numId w:val="9"/>
        </w:numPr>
        <w:kinsoku w:val="0"/>
        <w:spacing w:after="0" w:line="360" w:lineRule="auto"/>
        <w:ind w:firstLine="420" w:firstLineChars="2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甲方拖欠线索受理联系人：</w:t>
      </w:r>
    </w:p>
    <w:p w14:paraId="0F745473">
      <w:pPr>
        <w:kinsoku w:val="0"/>
        <w:spacing w:after="0" w:line="360" w:lineRule="auto"/>
        <w:ind w:left="420" w:leftChars="200" w:firstLine="210" w:firstLineChars="1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项目部联系人：</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李浩然</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 xml:space="preserve"> ，联系电话：</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13722889353</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 xml:space="preserve">； </w:t>
      </w:r>
    </w:p>
    <w:p w14:paraId="7771398F">
      <w:pPr>
        <w:kinsoku w:val="0"/>
        <w:spacing w:after="0" w:line="360" w:lineRule="auto"/>
        <w:ind w:firstLine="630" w:firstLineChars="3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公司联系人：</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 xml:space="preserve"> ，联系电话： </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p w14:paraId="0F745475">
      <w:pPr>
        <w:kinsoku w:val="0"/>
        <w:spacing w:after="0" w:line="360" w:lineRule="auto"/>
        <w:ind w:firstLine="630" w:firstLineChars="3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公司信访投诉电话：</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   </w:t>
      </w:r>
    </w:p>
    <w:p w14:paraId="0F745476">
      <w:pPr>
        <w:kinsoku w:val="0"/>
        <w:spacing w:after="0" w:line="360" w:lineRule="auto"/>
        <w:ind w:firstLine="630" w:firstLineChars="3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信访投诉邮箱：</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@qq.com</w:t>
      </w:r>
    </w:p>
    <w:p w14:paraId="0F745477">
      <w:pPr>
        <w:kinsoku w:val="0"/>
        <w:spacing w:after="0" w:line="360" w:lineRule="auto"/>
        <w:ind w:firstLine="630" w:firstLineChars="3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云筑网中建系统账款投诉平台：https://ts.yzw.cn</w:t>
      </w:r>
    </w:p>
    <w:p w14:paraId="0F745478">
      <w:pPr>
        <w:kinsoku w:val="0"/>
        <w:spacing w:after="0" w:line="360" w:lineRule="auto"/>
        <w:ind w:firstLine="210" w:firstLineChars="1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15.3甲方代发乙方农民工工资的程序、支付比例：</w:t>
      </w:r>
    </w:p>
    <w:p w14:paraId="0F745479">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（1）支付周期：</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月度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p w14:paraId="0F74547A">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（2）甲方优先代发乙方农民工工资，农民工工资代发完毕后，支付乙方当期其他工程款。</w:t>
      </w:r>
    </w:p>
    <w:p w14:paraId="0F74547B">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（3）甲方代发乙方农民工工资前，乙方应提供以下资料：</w:t>
      </w:r>
    </w:p>
    <w:p w14:paraId="0F74547C">
      <w:pPr>
        <w:kinsoku w:val="0"/>
        <w:spacing w:after="0" w:line="360" w:lineRule="auto"/>
        <w:ind w:left="158" w:leftChars="75"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1）乙方与农民工签订的劳动合同。</w:t>
      </w:r>
    </w:p>
    <w:p w14:paraId="0F74547D">
      <w:pPr>
        <w:kinsoku w:val="0"/>
        <w:spacing w:after="0" w:line="360" w:lineRule="auto"/>
        <w:ind w:left="158" w:leftChars="75"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2）农民工工资支付台账、考勤表，农民工工资支付台账以班组分类，必须农民工本人签字并按手印，提供农民工本人签字并按手印的影像资料。</w:t>
      </w:r>
    </w:p>
    <w:p w14:paraId="0F74547E">
      <w:pPr>
        <w:kinsoku w:val="0"/>
        <w:spacing w:after="0" w:line="360" w:lineRule="auto"/>
        <w:ind w:left="158" w:leftChars="75"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3）乙方出具的《农民工当期工资支付完毕声明书》。</w:t>
      </w:r>
    </w:p>
    <w:p w14:paraId="0F74547F">
      <w:pPr>
        <w:kinsoku w:val="0"/>
        <w:spacing w:after="0" w:line="360" w:lineRule="auto"/>
        <w:ind w:left="158" w:leftChars="75"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4）工人退场时需办理劳务工资结算单，对于已经结清工资的农民工，应在劳务结算单上签字确认工资结清承诺。</w:t>
      </w:r>
    </w:p>
    <w:p w14:paraId="0F745480">
      <w:pPr>
        <w:kinsoku w:val="0"/>
        <w:spacing w:after="0" w:line="360" w:lineRule="auto"/>
        <w:ind w:left="158" w:leftChars="75"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5）乙方应向甲方出具农民工工资代发授权委托书。</w:t>
      </w:r>
    </w:p>
    <w:p w14:paraId="0F745481">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（4）甲方根据乙方编制的农民工工资支付台账，通过农民工工资专用账户直接将工资支付到农民工本人的银行账户，并向乙方提供代发工资凭证。</w:t>
      </w:r>
    </w:p>
    <w:p w14:paraId="0F745482">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5）因乙方漏报、瞒报、虚报农民工工资等原因造成甲方代乙方清偿拖欠农民工工资、超分包工程款代付农民工工资情况的，甲方可以从分包履约保证金中扣回（尚未完成履约的应及时补缴履约保证金），也可以采取索赔和追偿。</w:t>
      </w:r>
    </w:p>
    <w:p w14:paraId="0F745483">
      <w:pPr>
        <w:pStyle w:val="11"/>
        <w:spacing w:after="0" w:line="360" w:lineRule="auto"/>
        <w:ind w:firstLine="420"/>
        <w:rPr>
          <w:rFonts w:hint="eastAsia" w:asciiTheme="minorEastAsia" w:hAnsiTheme="minorEastAsia" w:eastAsiaTheme="minorEastAsia" w:cstheme="minorEastAsia"/>
          <w:b/>
          <w:bCs/>
          <w:color w:val="000000" w:themeColor="text1"/>
          <w:kern w:val="10"/>
          <w:sz w:val="21"/>
          <w:szCs w:val="21"/>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15.4本条款</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【不适用】</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0F745485">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15.10甲方付款前，乙方应按甲方财务要求提供合法的</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增值税专用发票</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，准确填写发票内容并提供发票真伪查询证明，发票备注栏应填写与总包合同一致的工程名称及工程地址（省市区）。</w:t>
      </w: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乙方未能按甲方要求提供增值税专用发票，除扣除相应税金外，还应承担合同金额（含增值税）</w:t>
      </w:r>
      <w:r>
        <w:rPr>
          <w:rFonts w:hint="eastAsia" w:asciiTheme="minorEastAsia" w:hAnsiTheme="minorEastAsia" w:eastAsiaTheme="minorEastAsia" w:cstheme="minorEastAsia"/>
          <w:b/>
          <w:bCs/>
          <w:color w:val="000000" w:themeColor="text1"/>
          <w:sz w:val="21"/>
          <w:szCs w:val="21"/>
          <w:highlight w:val="none"/>
          <w:u w:val="single"/>
          <w:lang w:eastAsia="zh-CN"/>
          <w14:textFill>
            <w14:solidFill>
              <w14:schemeClr w14:val="tx1"/>
            </w14:solidFill>
          </w14:textFill>
        </w:rPr>
        <w:t>10%</w:t>
      </w: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的违约金。</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乙方开具增值税发票后，次月必须在税务网进行抄税，未经甲方事先书面同意，乙方不得擅自将已向甲方开具的增值税发票作废。若乙方擅自作废发票，需向甲方承担作废发票金额</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2</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%的违约金并承担因擅自作废给甲方造成的所有责任及损失。</w:t>
      </w:r>
    </w:p>
    <w:p w14:paraId="0F745486">
      <w:pPr>
        <w:kinsoku w:val="0"/>
        <w:spacing w:after="0" w:line="360" w:lineRule="auto"/>
        <w:ind w:firstLine="420" w:firstLineChars="2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15.11发票要求：</w:t>
      </w:r>
    </w:p>
    <w:p w14:paraId="0F745487">
      <w:pPr>
        <w:widowControl w:val="0"/>
        <w:kinsoku w:val="0"/>
        <w:spacing w:after="0" w:line="360" w:lineRule="auto"/>
        <w:ind w:left="158" w:leftChars="75" w:firstLine="840" w:firstLineChars="400"/>
        <w:rPr>
          <w:rFonts w:hint="eastAsia" w:asciiTheme="minorEastAsia" w:hAnsiTheme="minorEastAsia" w:eastAsiaTheme="minorEastAsia" w:cstheme="minorEastAsia"/>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lang w:eastAsia="zh-CN"/>
          <w14:textFill>
            <w14:solidFill>
              <w14:schemeClr w14:val="tx1"/>
            </w14:solidFill>
          </w14:textFill>
        </w:rPr>
        <w:t>甲方单位名称：</w:t>
      </w:r>
      <w:r>
        <w:rPr>
          <w:rFonts w:hint="eastAsia" w:asciiTheme="minorEastAsia" w:hAnsiTheme="minorEastAsia" w:eastAsiaTheme="minorEastAsia" w:cstheme="minorEastAsia"/>
          <w:bCs/>
          <w:color w:val="000000" w:themeColor="text1"/>
          <w:sz w:val="21"/>
          <w:szCs w:val="21"/>
          <w:highlight w:val="none"/>
          <w:u w:val="single"/>
          <w:lang w:eastAsia="zh-CN"/>
          <w14:textFill>
            <w14:solidFill>
              <w14:schemeClr w14:val="tx1"/>
            </w14:solidFill>
          </w14:textFill>
        </w:rPr>
        <w:t xml:space="preserve">                                  </w:t>
      </w:r>
    </w:p>
    <w:p w14:paraId="0F745488">
      <w:pPr>
        <w:widowControl w:val="0"/>
        <w:kinsoku w:val="0"/>
        <w:spacing w:after="0" w:line="360" w:lineRule="auto"/>
        <w:ind w:left="158" w:leftChars="75" w:firstLine="840" w:firstLineChars="400"/>
        <w:rPr>
          <w:rFonts w:hint="eastAsia" w:asciiTheme="minorEastAsia" w:hAnsiTheme="minorEastAsia" w:eastAsiaTheme="minorEastAsia" w:cstheme="minorEastAsia"/>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甲方</w:t>
      </w:r>
      <w:r>
        <w:rPr>
          <w:rFonts w:hint="eastAsia" w:asciiTheme="minorEastAsia" w:hAnsiTheme="minorEastAsia" w:eastAsiaTheme="minorEastAsia" w:cstheme="minorEastAsia"/>
          <w:bCs/>
          <w:color w:val="000000" w:themeColor="text1"/>
          <w:sz w:val="21"/>
          <w:szCs w:val="21"/>
          <w:highlight w:val="none"/>
          <w:lang w:eastAsia="zh-CN"/>
          <w14:textFill>
            <w14:solidFill>
              <w14:schemeClr w14:val="tx1"/>
            </w14:solidFill>
          </w14:textFill>
        </w:rPr>
        <w:t>开户银行：</w:t>
      </w:r>
      <w:r>
        <w:rPr>
          <w:rFonts w:hint="eastAsia" w:asciiTheme="minorEastAsia" w:hAnsiTheme="minorEastAsia" w:eastAsiaTheme="minorEastAsia" w:cstheme="minorEastAsia"/>
          <w:bCs/>
          <w:color w:val="000000" w:themeColor="text1"/>
          <w:sz w:val="21"/>
          <w:szCs w:val="21"/>
          <w:highlight w:val="none"/>
          <w:u w:val="single"/>
          <w:lang w:eastAsia="zh-CN"/>
          <w14:textFill>
            <w14:solidFill>
              <w14:schemeClr w14:val="tx1"/>
            </w14:solidFill>
          </w14:textFill>
        </w:rPr>
        <w:t xml:space="preserve">        *****                     </w:t>
      </w:r>
    </w:p>
    <w:p w14:paraId="0F745489">
      <w:pPr>
        <w:widowControl w:val="0"/>
        <w:kinsoku w:val="0"/>
        <w:spacing w:after="0" w:line="360" w:lineRule="auto"/>
        <w:ind w:left="158" w:leftChars="75" w:firstLine="840" w:firstLineChars="400"/>
        <w:rPr>
          <w:rFonts w:hint="eastAsia" w:asciiTheme="minorEastAsia" w:hAnsiTheme="minorEastAsia" w:eastAsiaTheme="minorEastAsia" w:cstheme="minorEastAsia"/>
          <w:bCs/>
          <w:color w:val="000000" w:themeColor="text1"/>
          <w:sz w:val="21"/>
          <w:szCs w:val="21"/>
          <w:highlight w:val="none"/>
          <w:u w:val="single"/>
          <w:lang w:eastAsia="zh-CN"/>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lang w:eastAsia="zh-CN"/>
          <w14:textFill>
            <w14:solidFill>
              <w14:schemeClr w14:val="tx1"/>
            </w14:solidFill>
          </w14:textFill>
        </w:rPr>
        <w:t>甲方银行账号：</w:t>
      </w:r>
      <w:r>
        <w:rPr>
          <w:rFonts w:hint="eastAsia" w:asciiTheme="minorEastAsia" w:hAnsiTheme="minorEastAsia" w:eastAsiaTheme="minorEastAsia" w:cstheme="minorEastAsia"/>
          <w:bCs/>
          <w:color w:val="000000" w:themeColor="text1"/>
          <w:sz w:val="21"/>
          <w:szCs w:val="21"/>
          <w:highlight w:val="none"/>
          <w:u w:val="single"/>
          <w:lang w:eastAsia="zh-CN"/>
          <w14:textFill>
            <w14:solidFill>
              <w14:schemeClr w14:val="tx1"/>
            </w14:solidFill>
          </w14:textFill>
        </w:rPr>
        <w:t xml:space="preserve">        *****                     </w:t>
      </w:r>
    </w:p>
    <w:p w14:paraId="0F74548A">
      <w:pPr>
        <w:widowControl w:val="0"/>
        <w:kinsoku w:val="0"/>
        <w:spacing w:after="0" w:line="360" w:lineRule="auto"/>
        <w:ind w:left="158" w:leftChars="75" w:firstLine="840" w:firstLineChars="400"/>
        <w:rPr>
          <w:rFonts w:hint="eastAsia" w:asciiTheme="minorEastAsia" w:hAnsiTheme="minorEastAsia" w:eastAsiaTheme="minorEastAsia" w:cstheme="minorEastAsia"/>
          <w:bCs/>
          <w:color w:val="000000" w:themeColor="text1"/>
          <w:sz w:val="21"/>
          <w:szCs w:val="21"/>
          <w:highlight w:val="none"/>
          <w:u w:val="single"/>
          <w:lang w:eastAsia="zh-CN"/>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lang w:eastAsia="zh-CN"/>
          <w14:textFill>
            <w14:solidFill>
              <w14:schemeClr w14:val="tx1"/>
            </w14:solidFill>
          </w14:textFill>
        </w:rPr>
        <w:t>地 址、电 话：</w:t>
      </w:r>
      <w:r>
        <w:rPr>
          <w:rFonts w:hint="eastAsia" w:asciiTheme="minorEastAsia" w:hAnsiTheme="minorEastAsia" w:eastAsiaTheme="minorEastAsia" w:cstheme="minorEastAsia"/>
          <w:bCs/>
          <w:color w:val="000000" w:themeColor="text1"/>
          <w:sz w:val="21"/>
          <w:szCs w:val="21"/>
          <w:highlight w:val="none"/>
          <w:u w:val="single"/>
          <w:lang w:eastAsia="zh-CN"/>
          <w14:textFill>
            <w14:solidFill>
              <w14:schemeClr w14:val="tx1"/>
            </w14:solidFill>
          </w14:textFill>
        </w:rPr>
        <w:t xml:space="preserve">        *****                     </w:t>
      </w:r>
    </w:p>
    <w:p w14:paraId="0F74548B">
      <w:pPr>
        <w:kinsoku w:val="0"/>
        <w:spacing w:after="0" w:line="360" w:lineRule="auto"/>
        <w:ind w:left="158" w:leftChars="75" w:firstLine="840" w:firstLineChars="40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lang w:eastAsia="zh-CN"/>
          <w14:textFill>
            <w14:solidFill>
              <w14:schemeClr w14:val="tx1"/>
            </w14:solidFill>
          </w14:textFill>
        </w:rPr>
        <w:t>统一社会信用代码：</w:t>
      </w:r>
      <w:r>
        <w:rPr>
          <w:rFonts w:hint="eastAsia" w:asciiTheme="minorEastAsia" w:hAnsiTheme="minorEastAsia" w:eastAsiaTheme="minorEastAsia" w:cstheme="minorEastAsia"/>
          <w:bCs/>
          <w:color w:val="000000" w:themeColor="text1"/>
          <w:sz w:val="21"/>
          <w:szCs w:val="21"/>
          <w:highlight w:val="none"/>
          <w:u w:val="single"/>
          <w:lang w:eastAsia="zh-CN"/>
          <w14:textFill>
            <w14:solidFill>
              <w14:schemeClr w14:val="tx1"/>
            </w14:solidFill>
          </w14:textFill>
        </w:rPr>
        <w:t xml:space="preserve">        *****                 </w:t>
      </w:r>
    </w:p>
    <w:p w14:paraId="0F74548C">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15.12甲乙双方一致确认提供发票为主合同义务而非附随义务，如因乙方未及时开具发票，甲方可拒绝付款，并不承担逾期付款责任。</w:t>
      </w:r>
    </w:p>
    <w:p w14:paraId="0F74548E">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286" w:name="_Toc101963524"/>
      <w:bookmarkStart w:id="1287" w:name="_Toc175764460"/>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过程结算</w:t>
      </w:r>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p>
    <w:p w14:paraId="0F74548F">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16.1乙方提交已完成的工程量报告的时间、内容、计量周期：</w:t>
      </w:r>
    </w:p>
    <w:p w14:paraId="0F745490">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（1）乙方提交已完成的工程量报告的时间：</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10"/>
          <w:sz w:val="21"/>
          <w:szCs w:val="21"/>
          <w:highlight w:val="none"/>
          <w:u w:val="single"/>
          <w:lang w:val="en-US" w:eastAsia="zh-CN"/>
          <w14:textFill>
            <w14:solidFill>
              <w14:schemeClr w14:val="tx1"/>
            </w14:solidFill>
          </w14:textFill>
        </w:rPr>
        <w:t>每月15日</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p w14:paraId="0F745491">
      <w:pPr>
        <w:pStyle w:val="28"/>
        <w:keepNext w:val="0"/>
        <w:keepLines w:val="0"/>
        <w:widowControl/>
        <w:suppressLineNumbers w:val="0"/>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（2）乙方提交已完成的工程量报告的内容：</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10"/>
          <w:sz w:val="21"/>
          <w:szCs w:val="21"/>
          <w:highlight w:val="none"/>
          <w:u w:val="single"/>
          <w:lang w:val="en-US" w:eastAsia="zh-CN"/>
          <w14:textFill>
            <w14:solidFill>
              <w14:schemeClr w14:val="tx1"/>
            </w14:solidFill>
          </w14:textFill>
        </w:rPr>
        <w:t>上报上月至当月9日完际完成形象进度报表（包括合同外增项、变更、签证等）、相关计量资料及农民工工资支付明细表 。</w:t>
      </w:r>
    </w:p>
    <w:p w14:paraId="0F745492">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（3）计量周期：</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10"/>
          <w:sz w:val="21"/>
          <w:szCs w:val="21"/>
          <w:highlight w:val="none"/>
          <w:u w:val="single"/>
          <w:lang w:val="en-US" w:eastAsia="zh-CN"/>
          <w14:textFill>
            <w14:solidFill>
              <w14:schemeClr w14:val="tx1"/>
            </w14:solidFill>
          </w14:textFill>
        </w:rPr>
        <w:t>月度计量</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w:t>
      </w:r>
    </w:p>
    <w:p w14:paraId="0F745494">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16.6若乙方未能在本合同约定的时间内完成工程量核对确认工作，甲方可以暂停乙方过程结算及支付工作，直至完成合同内工程量核对确认并签订转固定总价补充协议。</w:t>
      </w:r>
    </w:p>
    <w:p w14:paraId="0F745495">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288" w:name="_Toc12928"/>
      <w:bookmarkStart w:id="1289" w:name="_Toc8237"/>
      <w:bookmarkStart w:id="1290" w:name="_Toc8151"/>
      <w:bookmarkStart w:id="1291" w:name="_Toc175764461"/>
      <w:bookmarkStart w:id="1292" w:name="_Toc9149"/>
      <w:bookmarkStart w:id="1293" w:name="_Toc5995"/>
      <w:bookmarkStart w:id="1294" w:name="_Toc16958"/>
      <w:bookmarkStart w:id="1295" w:name="_Toc32235"/>
      <w:bookmarkStart w:id="1296" w:name="_Toc101357472"/>
      <w:bookmarkStart w:id="1297" w:name="_Toc32123"/>
      <w:bookmarkStart w:id="1298" w:name="_Toc5073"/>
      <w:bookmarkStart w:id="1299" w:name="_Toc24071"/>
      <w:bookmarkStart w:id="1300" w:name="_Toc638"/>
      <w:bookmarkStart w:id="1301" w:name="_Toc24768"/>
      <w:bookmarkStart w:id="1302" w:name="_Toc9347"/>
      <w:bookmarkStart w:id="1303" w:name="_Toc101963525"/>
      <w:bookmarkStart w:id="1304" w:name="_Toc24445"/>
      <w:bookmarkStart w:id="1305" w:name="_Toc13020"/>
      <w:bookmarkStart w:id="1306" w:name="_Toc11418"/>
      <w:bookmarkStart w:id="1307" w:name="_Toc9965"/>
      <w:bookmarkStart w:id="1308" w:name="_Toc12521"/>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最终</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结算</w:t>
      </w:r>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p>
    <w:p w14:paraId="0F745497">
      <w:pPr>
        <w:tabs>
          <w:tab w:val="left" w:pos="425"/>
        </w:tabs>
        <w:kinsoku w:val="0"/>
        <w:spacing w:after="0" w:line="360" w:lineRule="auto"/>
        <w:ind w:firstLine="420" w:firstLineChars="200"/>
        <w:jc w:val="both"/>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lang w:eastAsia="zh-CN"/>
          <w14:textFill>
            <w14:solidFill>
              <w14:schemeClr w14:val="tx1"/>
            </w14:solidFill>
          </w14:textFill>
        </w:rPr>
        <w:t>17.1</w:t>
      </w: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本分包工程完工验收合格后30天内，乙方向甲方提交结算报告，乙方提交的结算报告内容包含且不限于：</w:t>
      </w:r>
    </w:p>
    <w:p w14:paraId="0F745498">
      <w:pPr>
        <w:kinsoku w:val="0"/>
        <w:spacing w:after="0" w:line="360" w:lineRule="auto"/>
        <w:ind w:firstLine="420" w:firstLineChars="200"/>
        <w:jc w:val="both"/>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（1）加盖乙方单位公章的工程结算书（含工程量计算书电子版）。</w:t>
      </w:r>
    </w:p>
    <w:p w14:paraId="0F745499">
      <w:pPr>
        <w:kinsoku w:val="0"/>
        <w:spacing w:after="0" w:line="360" w:lineRule="auto"/>
        <w:ind w:firstLine="420" w:firstLineChars="200"/>
        <w:jc w:val="both"/>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（2）分包完工确认单（含工程量、签证、材料、费用等完工确认单）。</w:t>
      </w:r>
    </w:p>
    <w:p w14:paraId="0F74549A">
      <w:pPr>
        <w:kinsoku w:val="0"/>
        <w:spacing w:after="0" w:line="360" w:lineRule="auto"/>
        <w:ind w:firstLine="420" w:firstLineChars="200"/>
        <w:jc w:val="both"/>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（3）派工资料、验收资料、设备启停通知等。</w:t>
      </w:r>
    </w:p>
    <w:p w14:paraId="0F74549B">
      <w:pPr>
        <w:kinsoku w:val="0"/>
        <w:spacing w:after="0" w:line="360" w:lineRule="auto"/>
        <w:ind w:firstLine="420" w:firstLineChars="200"/>
        <w:jc w:val="both"/>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（4）乙方物资对账汇总表。</w:t>
      </w:r>
    </w:p>
    <w:p w14:paraId="0F74549C">
      <w:pPr>
        <w:kinsoku w:val="0"/>
        <w:spacing w:after="0" w:line="360" w:lineRule="auto"/>
        <w:ind w:firstLine="420" w:firstLineChars="200"/>
        <w:jc w:val="both"/>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（5）经审批的变更洽商、现场签证等。</w:t>
      </w:r>
    </w:p>
    <w:p w14:paraId="0F74549D">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（6）会议纪要、备忘录、施工方案等相关资料。</w:t>
      </w:r>
    </w:p>
    <w:p w14:paraId="0F74549E">
      <w:pPr>
        <w:pStyle w:val="15"/>
        <w:kinsoku w:val="0"/>
        <w:spacing w:after="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（7）其他：</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w:t>
      </w:r>
      <w:r>
        <w:rPr>
          <w:rFonts w:hint="eastAsia"/>
          <w:color w:val="000000" w:themeColor="text1"/>
          <w:highlight w:val="none"/>
          <w:u w:val="single"/>
          <w14:textFill>
            <w14:solidFill>
              <w14:schemeClr w14:val="tx1"/>
            </w14:solidFill>
          </w14:textFill>
        </w:rPr>
        <w:t xml:space="preserve">               </w:t>
      </w:r>
    </w:p>
    <w:p w14:paraId="0F74549F">
      <w:pPr>
        <w:kinsoku w:val="0"/>
        <w:snapToGrid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17.3增加：若乙方所报结算价的审减率在5%-10%（含5%）的，乙方承担被审减额的</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5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 xml:space="preserve">%的违约金，若审减率超过10%（含10%）的，乙方承担被审减额的 </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10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%的违约金，审减率在20%以上（含20%）的，乙方承担被审减额的</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20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%的违约金，被审减额为乙方上报结算金额与经甲方审定盖章后的最终结算金额之差。</w:t>
      </w:r>
    </w:p>
    <w:p w14:paraId="0F7454A0">
      <w:pPr>
        <w:kinsoku w:val="0"/>
        <w:snapToGrid w:val="0"/>
        <w:spacing w:after="0" w:line="360" w:lineRule="auto"/>
        <w:ind w:firstLine="420" w:firstLineChars="200"/>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17.4</w:t>
      </w: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最终结算价款=根据13.9.1条计算的工程量×固定单价±变更洽商金额—扣款和罚款—违约金。</w:t>
      </w:r>
    </w:p>
    <w:p w14:paraId="0F7454A2">
      <w:pPr>
        <w:kinsoku w:val="0"/>
        <w:autoSpaceDE w:val="0"/>
        <w:autoSpaceDN w:val="0"/>
        <w:adjustRightInd w:val="0"/>
        <w:spacing w:after="0" w:line="360" w:lineRule="auto"/>
        <w:ind w:firstLine="420" w:firstLineChars="200"/>
        <w:jc w:val="both"/>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17.4.1结算扣款、罚款和违约金包含且不限于以下内容：</w:t>
      </w:r>
    </w:p>
    <w:p w14:paraId="0F7454A3">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①包含在施工所需水、电费用。</w:t>
      </w:r>
    </w:p>
    <w:p w14:paraId="0F7454A4">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②地方各种政策性收费：按甲方实际代扣代缴为准。</w:t>
      </w:r>
    </w:p>
    <w:p w14:paraId="0F7454A5">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③乙方承担的各项罚款及违约金。</w:t>
      </w:r>
    </w:p>
    <w:p w14:paraId="0F7454A6">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④乙方施工的安防用品、工作服等，以实际领取数量及甲方采购价为准（如有）。</w:t>
      </w:r>
    </w:p>
    <w:p w14:paraId="0F7454A7">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⑤应由乙方分摊或甲方代为支付的垃圾清运、试验检测、安全文明等费用。</w:t>
      </w:r>
    </w:p>
    <w:p w14:paraId="0F7454A8">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⑥甲方根据合同应当扣除的其他款项。</w:t>
      </w:r>
    </w:p>
    <w:p w14:paraId="0F7454AA">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309" w:name="_Toc101963526"/>
      <w:bookmarkStart w:id="1310" w:name="_Toc175764462"/>
      <w:bookmarkStart w:id="1311" w:name="_Toc101357474"/>
      <w:bookmarkStart w:id="1312" w:name="_Toc28514"/>
      <w:bookmarkStart w:id="1313" w:name="_Toc16327"/>
      <w:bookmarkStart w:id="1314" w:name="_Toc8861"/>
      <w:bookmarkStart w:id="1315" w:name="_Toc21149"/>
      <w:bookmarkStart w:id="1316" w:name="_Toc3585"/>
      <w:bookmarkStart w:id="1317" w:name="_Toc19408"/>
      <w:bookmarkStart w:id="1318" w:name="_Toc22761"/>
      <w:bookmarkStart w:id="1319" w:name="_Toc31668"/>
      <w:bookmarkStart w:id="1320" w:name="_Toc31287"/>
      <w:bookmarkStart w:id="1321" w:name="_Toc2867"/>
      <w:bookmarkStart w:id="1322" w:name="_Toc4434"/>
      <w:bookmarkStart w:id="1323" w:name="_Toc15704"/>
      <w:bookmarkStart w:id="1324" w:name="_Toc4720"/>
      <w:bookmarkStart w:id="1325" w:name="_Toc25355"/>
      <w:bookmarkStart w:id="1326" w:name="_Toc7572"/>
      <w:bookmarkStart w:id="1327" w:name="_Toc577"/>
      <w:bookmarkStart w:id="1328" w:name="_Toc8522"/>
      <w:bookmarkStart w:id="1329" w:name="_Toc29974"/>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完工验收</w:t>
      </w:r>
      <w:bookmarkEnd w:id="1309"/>
      <w:bookmarkEnd w:id="1310"/>
      <w:bookmarkEnd w:id="1311"/>
    </w:p>
    <w:p w14:paraId="0F7454AC">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18.3补充：完工验收期限：</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10"/>
          <w:sz w:val="21"/>
          <w:szCs w:val="21"/>
          <w:highlight w:val="none"/>
          <w:u w:val="single"/>
          <w:lang w:val="en-US" w:eastAsia="zh-CN"/>
          <w14:textFill>
            <w14:solidFill>
              <w14:schemeClr w14:val="tx1"/>
            </w14:solidFill>
          </w14:textFill>
        </w:rPr>
        <w:t>3个月</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w:t>
      </w:r>
    </w:p>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p w14:paraId="0F7454AD">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330" w:name="_Toc175764463"/>
      <w:bookmarkStart w:id="1331" w:name="_Toc28255"/>
      <w:bookmarkStart w:id="1332" w:name="_Toc15602"/>
      <w:bookmarkStart w:id="1333" w:name="_Toc18993"/>
      <w:bookmarkStart w:id="1334" w:name="_Toc21044"/>
      <w:bookmarkStart w:id="1335" w:name="_Toc14412"/>
      <w:bookmarkStart w:id="1336" w:name="_Toc10185"/>
      <w:bookmarkStart w:id="1337" w:name="_Toc101963528"/>
      <w:bookmarkStart w:id="1338" w:name="_Toc3443"/>
      <w:bookmarkStart w:id="1339" w:name="_Toc5078"/>
      <w:bookmarkStart w:id="1340" w:name="_Toc27061"/>
      <w:bookmarkStart w:id="1341" w:name="_Toc6364"/>
      <w:bookmarkStart w:id="1342" w:name="_Toc31165"/>
      <w:bookmarkStart w:id="1343" w:name="_Toc1328"/>
      <w:bookmarkStart w:id="1344" w:name="_Toc101357477"/>
      <w:bookmarkStart w:id="1345" w:name="_Toc28462"/>
      <w:bookmarkStart w:id="1346" w:name="_Toc21183"/>
      <w:bookmarkStart w:id="1347" w:name="_Toc14756"/>
      <w:bookmarkStart w:id="1348" w:name="_Toc10135"/>
      <w:bookmarkStart w:id="1349" w:name="_Toc21575"/>
      <w:bookmarkStart w:id="1350" w:name="_Toc31722"/>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履约保</w:t>
      </w: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证</w:t>
      </w:r>
      <w:bookmarkEnd w:id="1330"/>
    </w:p>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p w14:paraId="0F7454AF">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19.1乙方履约担保形式：</w:t>
      </w:r>
      <w:r>
        <w:rPr>
          <w:rFonts w:asciiTheme="minorEastAsia" w:hAnsiTheme="minorEastAsia" w:eastAsiaTheme="minorEastAsia" w:cstheme="minorEastAsia"/>
          <w:color w:val="000000" w:themeColor="text1"/>
          <w:sz w:val="21"/>
          <w:szCs w:val="21"/>
          <w:highlight w:val="none"/>
          <w14:textFill>
            <w14:solidFill>
              <w14:schemeClr w14:val="tx1"/>
            </w14:solidFill>
          </w14:textFill>
        </w:rPr>
        <w:sym w:font="Wingdings 2" w:char="00A3"/>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不担保，</w:t>
      </w:r>
      <w:r>
        <w:rPr>
          <w:rFonts w:asciiTheme="minorEastAsia" w:hAnsiTheme="minorEastAsia" w:eastAsiaTheme="minorEastAsia" w:cstheme="minorEastAsia"/>
          <w:color w:val="000000" w:themeColor="text1"/>
          <w:sz w:val="21"/>
          <w:szCs w:val="21"/>
          <w:highlight w:val="none"/>
          <w14:textFill>
            <w14:solidFill>
              <w14:schemeClr w14:val="tx1"/>
            </w14:solidFill>
          </w14:textFill>
        </w:rPr>
        <w:sym w:font="Wingdings 2" w:char="F0A3"/>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 xml:space="preserve">独立、不可撤销、见索即付的银行保函，担保金额：¥ </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元（人民币大写：</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元）；</w:t>
      </w:r>
      <w:r>
        <w:rPr>
          <w:rFonts w:asciiTheme="minorEastAsia" w:hAnsiTheme="minorEastAsia" w:eastAsiaTheme="minorEastAsia" w:cstheme="minorEastAsia"/>
          <w:color w:val="000000" w:themeColor="text1"/>
          <w:sz w:val="21"/>
          <w:szCs w:val="21"/>
          <w:highlight w:val="none"/>
          <w14:textFill>
            <w14:solidFill>
              <w14:schemeClr w14:val="tx1"/>
            </w14:solidFill>
          </w14:textFill>
        </w:rPr>
        <w:sym w:font="Wingdings 2" w:char="F0A3"/>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 xml:space="preserve">履约保证金，保证金额：¥ </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元（人民币大写：</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元）。（保函，与响应单位须知保持一致）</w:t>
      </w:r>
    </w:p>
    <w:p w14:paraId="0F7454B0">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351" w:name="_Toc15918"/>
      <w:bookmarkStart w:id="1352" w:name="_Toc25609"/>
      <w:bookmarkStart w:id="1353" w:name="_Toc29281"/>
      <w:bookmarkStart w:id="1354" w:name="_Toc2350"/>
      <w:bookmarkStart w:id="1355" w:name="_Toc13157"/>
      <w:bookmarkStart w:id="1356" w:name="_Toc16322"/>
      <w:bookmarkStart w:id="1357" w:name="_Toc20599"/>
      <w:bookmarkStart w:id="1358" w:name="_Toc27527"/>
      <w:bookmarkStart w:id="1359" w:name="_Toc101963529"/>
      <w:bookmarkStart w:id="1360" w:name="_Toc101357478"/>
      <w:bookmarkStart w:id="1361" w:name="_Toc669"/>
      <w:bookmarkStart w:id="1362" w:name="_Toc175764464"/>
      <w:bookmarkStart w:id="1363" w:name="_Toc25332"/>
      <w:bookmarkStart w:id="1364" w:name="_Toc21636"/>
      <w:bookmarkStart w:id="1365" w:name="_Toc11440"/>
      <w:bookmarkStart w:id="1366" w:name="_Toc723"/>
      <w:bookmarkStart w:id="1367" w:name="_Toc13500"/>
      <w:bookmarkStart w:id="1368" w:name="_Toc7929"/>
      <w:bookmarkStart w:id="1369" w:name="_Toc5256"/>
      <w:bookmarkStart w:id="1370" w:name="_Toc15741"/>
      <w:bookmarkStart w:id="1371" w:name="_Toc8344"/>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缺陷责任与</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保修</w:t>
      </w:r>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p>
    <w:p w14:paraId="150D5293">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20.1 缺陷责任期：</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24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个月，缺陷责任期自甲方整体工程交工验收合格并通车运营且总承包工程交接证书中载明的交接之日起计算。</w:t>
      </w:r>
    </w:p>
    <w:p w14:paraId="0F7454B3">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20.2质量保修期：</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10"/>
          <w:sz w:val="21"/>
          <w:szCs w:val="21"/>
          <w:highlight w:val="none"/>
          <w:u w:val="singl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年，质量保修期缺陷责任期自甲方整体工程交工验收合格并通车运营且总承包工程交接证书中载明的交接之日起计算。</w:t>
      </w:r>
    </w:p>
    <w:p w14:paraId="0F7454B4">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372" w:name="_Toc3596"/>
      <w:bookmarkStart w:id="1373" w:name="_Toc12525"/>
      <w:bookmarkStart w:id="1374" w:name="_Toc6172"/>
      <w:bookmarkStart w:id="1375" w:name="_Toc15560"/>
      <w:bookmarkStart w:id="1376" w:name="_Toc7605"/>
      <w:bookmarkStart w:id="1377" w:name="_Toc26482"/>
      <w:bookmarkStart w:id="1378" w:name="_Toc18145"/>
      <w:bookmarkStart w:id="1379" w:name="_Toc175764465"/>
      <w:bookmarkStart w:id="1380" w:name="_Toc24061"/>
      <w:bookmarkStart w:id="1381" w:name="_Toc32301"/>
      <w:bookmarkStart w:id="1382" w:name="_Toc18693"/>
      <w:bookmarkStart w:id="1383" w:name="_Toc101963530"/>
      <w:bookmarkStart w:id="1384" w:name="_Toc14158"/>
      <w:bookmarkStart w:id="1385" w:name="_Toc101357479"/>
      <w:bookmarkStart w:id="1386" w:name="_Toc30242"/>
      <w:bookmarkStart w:id="1387" w:name="_Toc18945"/>
      <w:bookmarkStart w:id="1388" w:name="_Toc21668"/>
      <w:bookmarkStart w:id="1389" w:name="_Toc26076"/>
      <w:bookmarkStart w:id="1390" w:name="_Toc9484"/>
      <w:bookmarkStart w:id="1391" w:name="_Toc24792"/>
      <w:bookmarkStart w:id="1392" w:name="_Toc24423"/>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保险</w:t>
      </w:r>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p>
    <w:p w14:paraId="215B03F2">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pPr>
      <w:bookmarkStart w:id="1393" w:name="_Toc175764466"/>
      <w:bookmarkStart w:id="1394" w:name="_Toc16794"/>
      <w:bookmarkStart w:id="1395" w:name="_Toc22941"/>
      <w:bookmarkStart w:id="1396" w:name="_Toc7971"/>
      <w:bookmarkStart w:id="1397" w:name="_Toc28353"/>
      <w:bookmarkStart w:id="1398" w:name="_Toc9356"/>
      <w:bookmarkStart w:id="1399" w:name="_Toc19476"/>
      <w:bookmarkStart w:id="1400" w:name="_Toc20802"/>
      <w:bookmarkStart w:id="1401" w:name="_Toc3384"/>
      <w:bookmarkStart w:id="1402" w:name="_Toc26543"/>
      <w:bookmarkStart w:id="1403" w:name="_Toc3222"/>
      <w:bookmarkStart w:id="1404" w:name="_Toc7215"/>
      <w:bookmarkStart w:id="1405" w:name="_Toc17268"/>
      <w:bookmarkStart w:id="1406" w:name="_Toc18600"/>
      <w:bookmarkStart w:id="1407" w:name="_Toc101357480"/>
      <w:bookmarkStart w:id="1408" w:name="_Toc19013"/>
      <w:bookmarkStart w:id="1409" w:name="_Toc13977"/>
      <w:bookmarkStart w:id="1410" w:name="_Toc24557"/>
      <w:bookmarkStart w:id="1411" w:name="_Toc101963531"/>
      <w:bookmarkStart w:id="1412" w:name="_Toc634"/>
      <w:bookmarkStart w:id="1413" w:name="_Toc15928"/>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见通用合同条款。</w:t>
      </w:r>
    </w:p>
    <w:p w14:paraId="0F7454B7">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不可抗力</w:t>
      </w:r>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p>
    <w:p w14:paraId="0F7454B8">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见通用合同条款。</w:t>
      </w:r>
    </w:p>
    <w:p w14:paraId="0F7454B9">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414" w:name="_Toc16901"/>
      <w:bookmarkStart w:id="1415" w:name="_Toc11400"/>
      <w:bookmarkStart w:id="1416" w:name="_Toc18426"/>
      <w:bookmarkStart w:id="1417" w:name="_Toc12979"/>
      <w:bookmarkStart w:id="1418" w:name="_Toc26578"/>
      <w:bookmarkStart w:id="1419" w:name="_Toc19605"/>
      <w:bookmarkStart w:id="1420" w:name="_Toc10662"/>
      <w:bookmarkStart w:id="1421" w:name="_Toc20420"/>
      <w:bookmarkStart w:id="1422" w:name="_Toc21145"/>
      <w:bookmarkStart w:id="1423" w:name="_Toc14862"/>
      <w:bookmarkStart w:id="1424" w:name="_Toc101357481"/>
      <w:bookmarkStart w:id="1425" w:name="_Toc15121"/>
      <w:bookmarkStart w:id="1426" w:name="_Toc28990"/>
      <w:bookmarkStart w:id="1427" w:name="_Toc5749"/>
      <w:bookmarkStart w:id="1428" w:name="_Toc6999"/>
      <w:bookmarkStart w:id="1429" w:name="_Toc175764467"/>
      <w:bookmarkStart w:id="1430" w:name="_Toc30852"/>
      <w:bookmarkStart w:id="1431" w:name="_Toc2889"/>
      <w:bookmarkStart w:id="1432" w:name="_Toc2628"/>
      <w:bookmarkStart w:id="1433" w:name="_Toc24784"/>
      <w:bookmarkStart w:id="1434" w:name="_Toc101963532"/>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违约</w:t>
      </w:r>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p>
    <w:p w14:paraId="0F7454BC">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bookmarkStart w:id="1435" w:name="_Toc4047"/>
      <w:bookmarkStart w:id="1436" w:name="_Toc22716"/>
      <w:bookmarkStart w:id="1437" w:name="_Toc16061"/>
      <w:bookmarkStart w:id="1438" w:name="_Toc30012"/>
      <w:bookmarkStart w:id="1439" w:name="_Toc5986"/>
      <w:bookmarkStart w:id="1440" w:name="_Toc25592"/>
      <w:bookmarkStart w:id="1441" w:name="_Toc2136"/>
      <w:bookmarkStart w:id="1442" w:name="_Toc12743"/>
      <w:bookmarkStart w:id="1443" w:name="_Toc101963533"/>
      <w:bookmarkStart w:id="1444" w:name="_Toc13869"/>
      <w:bookmarkStart w:id="1445" w:name="_Toc27782"/>
      <w:bookmarkStart w:id="1446" w:name="_Toc31565"/>
      <w:bookmarkStart w:id="1447" w:name="_Toc8437"/>
      <w:bookmarkStart w:id="1448" w:name="_Toc30088"/>
      <w:bookmarkStart w:id="1449" w:name="_Toc101357482"/>
      <w:bookmarkStart w:id="1450" w:name="_Toc4860"/>
      <w:bookmarkStart w:id="1451" w:name="_Toc24887"/>
      <w:bookmarkStart w:id="1452" w:name="_Toc16290"/>
      <w:bookmarkStart w:id="1453" w:name="_Toc4020"/>
      <w:bookmarkStart w:id="1454" w:name="_Toc23242"/>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23.3乙方转包、挂靠和再分包的，甲方可以单方解除合同，且乙方应承担签约合同价</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20 %</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的惩罚性违约金并赔偿甲方所有的损失（包括但不限于诉讼费、律师费、行政处罚等）</w:t>
      </w:r>
    </w:p>
    <w:p w14:paraId="0F7454BD">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23.6 安全违约</w:t>
      </w:r>
    </w:p>
    <w:p w14:paraId="0F7454BE">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23.6.1乙方因违反国家安全质量法规及本合同有关条款约定，出现火灾、坍塌、人员重伤、死亡等生产安全事故，则乙方应承担全部损失，并按相关法规接受行政及法律处罚；如造成甲方及对第三人利益的损害等，该损害赔偿责任均由乙方承担。</w:t>
      </w:r>
    </w:p>
    <w:p w14:paraId="0F7454BF">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23.6.2由乙方原因发生的安全事故或</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由于乙方原因导致隐患与违章在各级各类监督检查过程中，</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给甲方造成</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信誉评价扣分</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、经济损失，</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以及停止招投标等市场影响的，所有经济损失由乙方承担，并按甲方公司及项目安全管理规定进行处罚。</w:t>
      </w:r>
    </w:p>
    <w:p w14:paraId="0F7454C0">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23.6.3甲方和乙方应对各自施工现场的工作人员进行安全教育，作业前进行安全技术交底。发生重大伤亡事故及其他安全事故后，首先施救、保护现场，第一时间通知甲方，由甲方按政府有关部门要求进行处理，由事故责任方承担责任和相应的费用，伤亡事故的善后处理由乙方负责。</w:t>
      </w:r>
    </w:p>
    <w:p w14:paraId="0F7454C1">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23.6.4如乙方违反国家、地方、甲方及本合同关于安全文明施工的规定，但尚未造成生产安全事故，乙方应及时改正行为并赔偿相关方的损失，如未及时整改，</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根据甲方公司及项目安全管理制度进行处罚。</w:t>
      </w: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因乙方原因未达到本合同约定的安全文明施工标准时，乙方向甲方支付签约合同价</w:t>
      </w:r>
      <w:r>
        <w:rPr>
          <w:rFonts w:hint="eastAsia" w:asciiTheme="minorEastAsia" w:hAnsiTheme="minorEastAsia" w:eastAsiaTheme="minorEastAsia" w:cstheme="minorEastAsia"/>
          <w:b/>
          <w:bCs/>
          <w:color w:val="000000" w:themeColor="text1"/>
          <w:sz w:val="21"/>
          <w:szCs w:val="21"/>
          <w:highlight w:val="none"/>
          <w:u w:val="single"/>
          <w:lang w:eastAsia="zh-CN"/>
          <w14:textFill>
            <w14:solidFill>
              <w14:schemeClr w14:val="tx1"/>
            </w14:solidFill>
          </w14:textFill>
        </w:rPr>
        <w:t xml:space="preserve">  5  </w:t>
      </w: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%的违约金，并承担因此给甲方造成的全部损失。</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安全文明工地建设参照当地主管部门的有关标准验收，用工等费用已包含在乙方报价中。</w:t>
      </w:r>
    </w:p>
    <w:p w14:paraId="0F7454C2">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23.6.5乙方必须接受相关方和甲方组织的安全、文明施工的检查，检查中的不合格项目、安全隐患必须在规定的时间内整改完成，否则将</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根据甲方公司及项目安全管理制度进行处罚，</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直至整改合格。</w:t>
      </w:r>
    </w:p>
    <w:p w14:paraId="0F7454C3">
      <w:pPr>
        <w:kinsoku w:val="0"/>
        <w:spacing w:after="0" w:line="360" w:lineRule="auto"/>
        <w:ind w:firstLine="420" w:firstLineChars="200"/>
        <w:jc w:val="both"/>
        <w:rPr>
          <w:rFonts w:hint="eastAsia" w:asciiTheme="minorEastAsia" w:hAnsiTheme="minorEastAsia" w:eastAsiaTheme="minorEastAsia" w:cstheme="minorEastAsia"/>
          <w:b/>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kern w:val="10"/>
          <w:sz w:val="21"/>
          <w:szCs w:val="21"/>
          <w:highlight w:val="none"/>
          <w:lang w:eastAsia="zh-CN"/>
          <w14:textFill>
            <w14:solidFill>
              <w14:schemeClr w14:val="tx1"/>
            </w14:solidFill>
          </w14:textFill>
        </w:rPr>
        <w:t>23.6.6</w:t>
      </w: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乙方未按法规要求及合同承诺配备专职安全管理人员，乙方应限期整改，若乙方未能在限期内完成整改，每缺少1名专职安全管理人员，乙方向甲方支付</w:t>
      </w:r>
      <w:r>
        <w:rPr>
          <w:rFonts w:hint="eastAsia" w:asciiTheme="minorEastAsia" w:hAnsiTheme="minorEastAsia" w:eastAsiaTheme="minorEastAsia" w:cstheme="minorEastAsia"/>
          <w:b/>
          <w:color w:val="000000" w:themeColor="text1"/>
          <w:sz w:val="21"/>
          <w:szCs w:val="21"/>
          <w:highlight w:val="none"/>
          <w:u w:val="single"/>
          <w:lang w:val="en-US" w:eastAsia="zh-CN"/>
          <w14:textFill>
            <w14:solidFill>
              <w14:schemeClr w14:val="tx1"/>
            </w14:solidFill>
          </w14:textFill>
        </w:rPr>
        <w:t>1</w:t>
      </w:r>
      <w:r>
        <w:rPr>
          <w:rFonts w:hint="eastAsia" w:asciiTheme="minorEastAsia" w:hAnsiTheme="minorEastAsia" w:eastAsiaTheme="minorEastAsia" w:cstheme="minorEastAsia"/>
          <w:b/>
          <w:color w:val="000000" w:themeColor="text1"/>
          <w:sz w:val="21"/>
          <w:szCs w:val="21"/>
          <w:highlight w:val="none"/>
          <w:u w:val="single"/>
          <w:lang w:eastAsia="zh-CN"/>
          <w14:textFill>
            <w14:solidFill>
              <w14:schemeClr w14:val="tx1"/>
            </w14:solidFill>
          </w14:textFill>
        </w:rPr>
        <w:t>0000</w:t>
      </w: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元违约金。</w:t>
      </w:r>
    </w:p>
    <w:p w14:paraId="0F7454C4">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23.7 质量违约</w:t>
      </w:r>
    </w:p>
    <w:p w14:paraId="0F7454C5">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23.7.1因乙方质量原因出现以下情形的，乙方须承担相应违约责任。</w:t>
      </w:r>
    </w:p>
    <w:p w14:paraId="0F7454C6">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（1）不按图施工，每次乙方向甲方支付违约金人民币</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2000-5000</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元。</w:t>
      </w:r>
    </w:p>
    <w:p w14:paraId="0F7454C7">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（2）未进行隐蔽验收，验收不合格强行施工，每次乙方向甲方支付违约金人民币</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2000-5000</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元。</w:t>
      </w:r>
    </w:p>
    <w:p w14:paraId="0F7454C8">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（3）施工质量不符合设计及规范要求，每次乙方向甲方支付违约金人民币</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2000-5000</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元。</w:t>
      </w:r>
    </w:p>
    <w:p w14:paraId="0F7454C9">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（4）未进行条件验收，条件验收不合格继续施工，或发现质量问题隐患隐瞒不报、未经甲方允许自行处理的，每次乙方向甲方支付违约金人民币</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5000-10000</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元。</w:t>
      </w:r>
    </w:p>
    <w:p w14:paraId="0F7454CA">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（5）成品防护不到位，施工后出现较大面积破损或污染，每处乙方向甲方支付违约金人民币</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2000-5000</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元。</w:t>
      </w:r>
    </w:p>
    <w:p w14:paraId="0F7454CB">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（6）原材料、设备未按国家及行业相关规定进行报验、审批或手续不全，已投入使用；乙方未按要求及时上报主要材料、设备使用计划或不能及时上报审批用相关资料，每次乙方向甲方支付违约金人民币</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2000-5000</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元。如在施工过程中发现材料质量不合格，乙方除负责更换合格材料外，每次乙方向甲方支付违约金人民币</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10000</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元，并承担因此给甲方造成的全部损失。</w:t>
      </w:r>
    </w:p>
    <w:p w14:paraId="0F7454CC">
      <w:pPr>
        <w:kinsoku w:val="0"/>
        <w:autoSpaceDE w:val="0"/>
        <w:autoSpaceDN w:val="0"/>
        <w:adjustRightInd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7）甲方与建设单位间的隐蔽工程验收、分部分项工程验收以及工程竣工验收表明分包作业质量不合格时，乙方应负责无偿整改，作业期限不予延长，并承担由此导致的甲方的全部损失。若乙方接到甲方整改通知单后</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24小时 </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内未进行整改或整改不合格的，甲方</w:t>
      </w:r>
      <w:r>
        <w:rPr>
          <w:rStyle w:val="38"/>
          <w:rFonts w:hint="eastAsia" w:asciiTheme="minorEastAsia" w:hAnsiTheme="minorEastAsia" w:eastAsiaTheme="minorEastAsia" w:cstheme="minorEastAsia"/>
          <w:color w:val="000000" w:themeColor="text1"/>
          <w:highlight w:val="none"/>
          <w:lang w:eastAsia="zh-CN"/>
          <w14:textFill>
            <w14:solidFill>
              <w14:schemeClr w14:val="tx1"/>
            </w14:solidFill>
          </w14:textFill>
        </w:rPr>
        <w:t>可以自行</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委托第三方完成，此部分费用由乙方承担并向甲方支付违约金人民币</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10000</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元。</w:t>
      </w:r>
    </w:p>
    <w:p w14:paraId="0F7454CD">
      <w:pPr>
        <w:kinsoku w:val="0"/>
        <w:autoSpaceDE w:val="0"/>
        <w:autoSpaceDN w:val="0"/>
        <w:adjustRightInd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（8）如乙方未能按照约定履行维修义务，甲方可在乙方的质保金中扣除相关维修费用，并要求乙方承担维修费用</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20%</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的违约金，不足部分及因乙方拒绝维修导致额外的损失，甲方将继续向乙方追偿。</w:t>
      </w:r>
    </w:p>
    <w:p w14:paraId="0F7454CE">
      <w:pPr>
        <w:pStyle w:val="11"/>
        <w:kinsoku w:val="0"/>
        <w:spacing w:after="0" w:line="360" w:lineRule="auto"/>
        <w:ind w:firstLine="420"/>
        <w:jc w:val="both"/>
        <w:rPr>
          <w:rFonts w:hint="eastAsia" w:asciiTheme="minorEastAsia" w:hAnsiTheme="minorEastAsia" w:eastAsia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olor w:val="000000" w:themeColor="text1"/>
          <w:sz w:val="21"/>
          <w:szCs w:val="21"/>
          <w:highlight w:val="none"/>
          <w14:textFill>
            <w14:solidFill>
              <w14:schemeClr w14:val="tx1"/>
            </w14:solidFill>
          </w14:textFill>
        </w:rPr>
        <w:t>（9）被建设单位、甲方公司及其上级单位质量检查通报排名倒数后两名的，乙方按照</w:t>
      </w:r>
      <w:r>
        <w:rPr>
          <w:rFonts w:hint="eastAsia" w:asciiTheme="minorEastAsia" w:hAnsiTheme="minorEastAsia" w:eastAsiaTheme="minorEastAsia"/>
          <w:b/>
          <w:color w:val="000000" w:themeColor="text1"/>
          <w:sz w:val="21"/>
          <w:szCs w:val="21"/>
          <w:highlight w:val="none"/>
          <w:u w:val="single"/>
          <w14:textFill>
            <w14:solidFill>
              <w14:schemeClr w14:val="tx1"/>
            </w14:solidFill>
          </w14:textFill>
        </w:rPr>
        <w:t>3000～5000</w:t>
      </w:r>
      <w:r>
        <w:rPr>
          <w:rFonts w:hint="eastAsia" w:asciiTheme="minorEastAsia" w:hAnsiTheme="minorEastAsia" w:eastAsiaTheme="minorEastAsia"/>
          <w:color w:val="000000" w:themeColor="text1"/>
          <w:sz w:val="21"/>
          <w:szCs w:val="21"/>
          <w:highlight w:val="none"/>
          <w14:textFill>
            <w14:solidFill>
              <w14:schemeClr w14:val="tx1"/>
            </w14:solidFill>
          </w14:textFill>
        </w:rPr>
        <w:t>元/次承担违约金。同一项目，被连续通报倒数后两名的，违约金加倍。</w:t>
      </w:r>
    </w:p>
    <w:p w14:paraId="0F7454CF">
      <w:pPr>
        <w:pStyle w:val="11"/>
        <w:kinsoku w:val="0"/>
        <w:spacing w:after="0" w:line="360" w:lineRule="auto"/>
        <w:ind w:firstLine="420"/>
        <w:jc w:val="both"/>
        <w:rPr>
          <w:rFonts w:hint="eastAsia" w:asciiTheme="minorEastAsia" w:hAnsiTheme="minorEastAsia" w:eastAsia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olor w:val="000000" w:themeColor="text1"/>
          <w:sz w:val="21"/>
          <w:szCs w:val="21"/>
          <w:highlight w:val="none"/>
          <w14:textFill>
            <w14:solidFill>
              <w14:schemeClr w14:val="tx1"/>
            </w14:solidFill>
          </w14:textFill>
        </w:rPr>
        <w:t>（10）被建设单位投诉到甲方公司及其上级单位主管部门的，乙方按照</w:t>
      </w:r>
      <w:r>
        <w:rPr>
          <w:rFonts w:hint="eastAsia" w:asciiTheme="minorEastAsia" w:hAnsiTheme="minorEastAsia" w:eastAsiaTheme="minorEastAsia"/>
          <w:b/>
          <w:color w:val="000000" w:themeColor="text1"/>
          <w:sz w:val="21"/>
          <w:szCs w:val="21"/>
          <w:highlight w:val="none"/>
          <w:u w:val="single"/>
          <w14:textFill>
            <w14:solidFill>
              <w14:schemeClr w14:val="tx1"/>
            </w14:solidFill>
          </w14:textFill>
        </w:rPr>
        <w:t>10000～50000</w:t>
      </w:r>
      <w:r>
        <w:rPr>
          <w:rFonts w:hint="eastAsia" w:asciiTheme="minorEastAsia" w:hAnsiTheme="minorEastAsia" w:eastAsiaTheme="minorEastAsia"/>
          <w:color w:val="000000" w:themeColor="text1"/>
          <w:sz w:val="21"/>
          <w:szCs w:val="21"/>
          <w:highlight w:val="none"/>
          <w14:textFill>
            <w14:solidFill>
              <w14:schemeClr w14:val="tx1"/>
            </w14:solidFill>
          </w14:textFill>
        </w:rPr>
        <w:t>元/次承担违约金。同一项目，半年期内连续被投诉，违约金加倍。</w:t>
      </w:r>
    </w:p>
    <w:p w14:paraId="0F7454D0">
      <w:pPr>
        <w:pStyle w:val="11"/>
        <w:kinsoku w:val="0"/>
        <w:spacing w:after="0" w:line="360" w:lineRule="auto"/>
        <w:ind w:firstLine="420"/>
        <w:jc w:val="both"/>
        <w:rPr>
          <w:rFonts w:hint="eastAsia" w:asciiTheme="minorEastAsia" w:hAnsiTheme="minorEastAsia" w:eastAsia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olor w:val="000000" w:themeColor="text1"/>
          <w:sz w:val="21"/>
          <w:szCs w:val="21"/>
          <w:highlight w:val="none"/>
          <w14:textFill>
            <w14:solidFill>
              <w14:schemeClr w14:val="tx1"/>
            </w14:solidFill>
          </w14:textFill>
        </w:rPr>
        <w:t>（11）被新闻媒体曝光的，乙方按照</w:t>
      </w:r>
      <w:r>
        <w:rPr>
          <w:rFonts w:hint="eastAsia" w:asciiTheme="minorEastAsia" w:hAnsiTheme="minorEastAsia" w:eastAsiaTheme="minorEastAsia"/>
          <w:b/>
          <w:color w:val="000000" w:themeColor="text1"/>
          <w:sz w:val="21"/>
          <w:szCs w:val="21"/>
          <w:highlight w:val="none"/>
          <w:u w:val="single"/>
          <w14:textFill>
            <w14:solidFill>
              <w14:schemeClr w14:val="tx1"/>
            </w14:solidFill>
          </w14:textFill>
        </w:rPr>
        <w:t>20000～100000</w:t>
      </w:r>
      <w:r>
        <w:rPr>
          <w:rFonts w:hint="eastAsia" w:asciiTheme="minorEastAsia" w:hAnsiTheme="minorEastAsia" w:eastAsiaTheme="minorEastAsia"/>
          <w:color w:val="000000" w:themeColor="text1"/>
          <w:sz w:val="21"/>
          <w:szCs w:val="21"/>
          <w:highlight w:val="none"/>
          <w14:textFill>
            <w14:solidFill>
              <w14:schemeClr w14:val="tx1"/>
            </w14:solidFill>
          </w14:textFill>
        </w:rPr>
        <w:t>元/次承担违约金。</w:t>
      </w:r>
    </w:p>
    <w:p w14:paraId="0F7454D1">
      <w:pPr>
        <w:pStyle w:val="11"/>
        <w:kinsoku w:val="0"/>
        <w:spacing w:after="0" w:line="360" w:lineRule="auto"/>
        <w:ind w:firstLine="420"/>
        <w:jc w:val="both"/>
        <w:rPr>
          <w:rFonts w:hint="eastAsia" w:asciiTheme="minorEastAsia" w:hAnsiTheme="minorEastAsia" w:eastAsia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olor w:val="000000" w:themeColor="text1"/>
          <w:sz w:val="21"/>
          <w:szCs w:val="21"/>
          <w:highlight w:val="none"/>
          <w14:textFill>
            <w14:solidFill>
              <w14:schemeClr w14:val="tx1"/>
            </w14:solidFill>
          </w14:textFill>
        </w:rPr>
        <w:t>（12）被政府主管部门行政处罚的，乙方除按处罚金额交款外，另外按照罚款金额的</w:t>
      </w:r>
      <w:r>
        <w:rPr>
          <w:rFonts w:hint="eastAsia" w:asciiTheme="minorEastAsia" w:hAnsiTheme="minorEastAsia" w:eastAsiaTheme="minorEastAsia"/>
          <w:b/>
          <w:color w:val="000000" w:themeColor="text1"/>
          <w:sz w:val="21"/>
          <w:szCs w:val="21"/>
          <w:highlight w:val="none"/>
          <w:u w:val="single"/>
          <w14:textFill>
            <w14:solidFill>
              <w14:schemeClr w14:val="tx1"/>
            </w14:solidFill>
          </w14:textFill>
        </w:rPr>
        <w:t>两倍</w:t>
      </w:r>
      <w:r>
        <w:rPr>
          <w:rFonts w:hint="eastAsia" w:asciiTheme="minorEastAsia" w:hAnsiTheme="minorEastAsia" w:eastAsiaTheme="minorEastAsia"/>
          <w:color w:val="000000" w:themeColor="text1"/>
          <w:sz w:val="21"/>
          <w:szCs w:val="21"/>
          <w:highlight w:val="none"/>
          <w14:textFill>
            <w14:solidFill>
              <w14:schemeClr w14:val="tx1"/>
            </w14:solidFill>
          </w14:textFill>
        </w:rPr>
        <w:t>承担违约金。</w:t>
      </w:r>
    </w:p>
    <w:p w14:paraId="0F7454D2">
      <w:pPr>
        <w:pStyle w:val="11"/>
        <w:kinsoku w:val="0"/>
        <w:spacing w:after="0" w:line="360" w:lineRule="auto"/>
        <w:ind w:firstLine="420"/>
        <w:jc w:val="both"/>
        <w:rPr>
          <w:rFonts w:hint="eastAsia" w:asciiTheme="minorEastAsia" w:hAnsiTheme="minorEastAsia" w:eastAsia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olor w:val="000000" w:themeColor="text1"/>
          <w:sz w:val="21"/>
          <w:szCs w:val="21"/>
          <w:highlight w:val="none"/>
          <w14:textFill>
            <w14:solidFill>
              <w14:schemeClr w14:val="tx1"/>
            </w14:solidFill>
          </w14:textFill>
        </w:rPr>
        <w:t>（13）被政府主管部门责令停工、限制投标以及降低资质的，乙方按照</w:t>
      </w:r>
      <w:r>
        <w:rPr>
          <w:rFonts w:hint="eastAsia" w:asciiTheme="minorEastAsia" w:hAnsiTheme="minorEastAsia" w:eastAsiaTheme="minorEastAsia"/>
          <w:b/>
          <w:color w:val="000000" w:themeColor="text1"/>
          <w:sz w:val="21"/>
          <w:szCs w:val="21"/>
          <w:highlight w:val="none"/>
          <w:u w:val="single"/>
          <w14:textFill>
            <w14:solidFill>
              <w14:schemeClr w14:val="tx1"/>
            </w14:solidFill>
          </w14:textFill>
        </w:rPr>
        <w:t>100000～500000</w:t>
      </w:r>
      <w:r>
        <w:rPr>
          <w:rFonts w:hint="eastAsia" w:asciiTheme="minorEastAsia" w:hAnsiTheme="minorEastAsia" w:eastAsiaTheme="minorEastAsia"/>
          <w:color w:val="000000" w:themeColor="text1"/>
          <w:sz w:val="21"/>
          <w:szCs w:val="21"/>
          <w:highlight w:val="none"/>
          <w14:textFill>
            <w14:solidFill>
              <w14:schemeClr w14:val="tx1"/>
            </w14:solidFill>
          </w14:textFill>
        </w:rPr>
        <w:t>元/次承担违约金。</w:t>
      </w:r>
    </w:p>
    <w:p w14:paraId="0F7454D3">
      <w:pPr>
        <w:pStyle w:val="11"/>
        <w:kinsoku w:val="0"/>
        <w:spacing w:after="0" w:line="360" w:lineRule="auto"/>
        <w:ind w:firstLine="420"/>
        <w:jc w:val="both"/>
        <w:rPr>
          <w:rFonts w:hint="eastAsia" w:asciiTheme="minorEastAsia" w:hAnsiTheme="minorEastAsia" w:eastAsia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olor w:val="000000" w:themeColor="text1"/>
          <w:sz w:val="21"/>
          <w:szCs w:val="21"/>
          <w:highlight w:val="none"/>
          <w14:textFill>
            <w14:solidFill>
              <w14:schemeClr w14:val="tx1"/>
            </w14:solidFill>
          </w14:textFill>
        </w:rPr>
        <w:t>（14）被国家、地方政府建设主管部门在执法检查中典型通报，违反国家强制性标准，或质量较差造成恶劣影响的，乙方按照</w:t>
      </w:r>
      <w:r>
        <w:rPr>
          <w:rFonts w:hint="eastAsia" w:asciiTheme="minorEastAsia" w:hAnsiTheme="minorEastAsia" w:eastAsiaTheme="minorEastAsia"/>
          <w:b/>
          <w:color w:val="000000" w:themeColor="text1"/>
          <w:sz w:val="21"/>
          <w:szCs w:val="21"/>
          <w:highlight w:val="none"/>
          <w:u w:val="single"/>
          <w14:textFill>
            <w14:solidFill>
              <w14:schemeClr w14:val="tx1"/>
            </w14:solidFill>
          </w14:textFill>
        </w:rPr>
        <w:t>100000～500000</w:t>
      </w:r>
      <w:r>
        <w:rPr>
          <w:rFonts w:hint="eastAsia" w:asciiTheme="minorEastAsia" w:hAnsiTheme="minorEastAsia" w:eastAsiaTheme="minorEastAsia"/>
          <w:color w:val="000000" w:themeColor="text1"/>
          <w:sz w:val="21"/>
          <w:szCs w:val="21"/>
          <w:highlight w:val="none"/>
          <w14:textFill>
            <w14:solidFill>
              <w14:schemeClr w14:val="tx1"/>
            </w14:solidFill>
          </w14:textFill>
        </w:rPr>
        <w:t>元/次承担违约金。</w:t>
      </w:r>
    </w:p>
    <w:p w14:paraId="0F7454D4">
      <w:pPr>
        <w:kinsoku w:val="0"/>
        <w:autoSpaceDE w:val="0"/>
        <w:autoSpaceDN w:val="0"/>
        <w:adjustRightInd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23.7.2发生质量事故的，乙方按照下述承担违约责任。</w:t>
      </w:r>
    </w:p>
    <w:p w14:paraId="0F7454D5">
      <w:pPr>
        <w:kinsoku w:val="0"/>
        <w:autoSpaceDE w:val="0"/>
        <w:autoSpaceDN w:val="0"/>
        <w:adjustRightInd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（1）特别重大质量事故直接责任人应依法追究其刑事责任及民事责任。乙方按照</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500000～1000000</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元/次承担违约金。</w:t>
      </w:r>
    </w:p>
    <w:p w14:paraId="0F7454D6">
      <w:pPr>
        <w:kinsoku w:val="0"/>
        <w:autoSpaceDE w:val="0"/>
        <w:autoSpaceDN w:val="0"/>
        <w:adjustRightInd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重大质量事故的</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直接责任人应依法追究其刑事责任及民事责任。乙方按照</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100000～200000</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元/次承担违约金。</w:t>
      </w:r>
    </w:p>
    <w:p w14:paraId="0F7454D7">
      <w:pPr>
        <w:kinsoku w:val="0"/>
        <w:autoSpaceDE w:val="0"/>
        <w:autoSpaceDN w:val="0"/>
        <w:adjustRightInd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（3）较大质量事故的直接责任人应依法追究其民事责任，因事故造成人员死亡时应依法追究其刑事责任。乙方按照</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50000～200000</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元/次承担违约金。</w:t>
      </w:r>
    </w:p>
    <w:p w14:paraId="0F7454D8">
      <w:pPr>
        <w:kinsoku w:val="0"/>
        <w:autoSpaceDE w:val="0"/>
        <w:autoSpaceDN w:val="0"/>
        <w:adjustRightInd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（4）一般质量事故的直接责任人违约金额度不应低于事故直接经济损失的5%，亦不应低于100000元。乙方按照</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10000～50000</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元/次承担违约金。</w:t>
      </w:r>
    </w:p>
    <w:p w14:paraId="0F7454D9">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23.7.3乙方必须接受相关部门和甲方组织的工程质量检查，检查中发现的不合格项目必须在规定的整改时间内完成。</w:t>
      </w:r>
    </w:p>
    <w:p w14:paraId="0F7454DA">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23.7.4因乙方原因造成本工程质量达不到合同约定质量标准和创优目标的，甲方可采取不办理结算、不支付工程款，乙方承担合同价款10%的违约金，甲方可选择解除合同，乙方承担因此造成的一切经济损失。</w:t>
      </w:r>
    </w:p>
    <w:p w14:paraId="0F7454DB">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上述罚款行为视为乙方的违约行为，罚款视为乙方应支付的违约金，23.7.1和23.7.2条款所涉及违约事项由同一行为导致的或发生多项违约行为的，</w:t>
      </w:r>
      <w:r>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t>违约金累加计算</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，甲方可选择在过程结算中扣除，也可在最终结算时扣除。</w:t>
      </w:r>
    </w:p>
    <w:p w14:paraId="0F7454DC">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23.8工期违约</w:t>
      </w:r>
    </w:p>
    <w:p w14:paraId="0F7454DD">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23.8.1乙方工期节点延误，每延误一天，乙方支付</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 xml:space="preserve">1000 </w:t>
      </w:r>
      <w:r>
        <w:rPr>
          <w:rFonts w:hint="eastAsia" w:asciiTheme="minorEastAsia" w:hAnsiTheme="minorEastAsia" w:eastAsiaTheme="minorEastAsia" w:cstheme="minorEastAsia"/>
          <w:b/>
          <w:color w:val="000000" w:themeColor="text1"/>
          <w:kern w:val="10"/>
          <w:sz w:val="21"/>
          <w:szCs w:val="21"/>
          <w:highlight w:val="none"/>
          <w:lang w:eastAsia="zh-CN"/>
          <w14:textFill>
            <w14:solidFill>
              <w14:schemeClr w14:val="tx1"/>
            </w14:solidFill>
          </w14:textFill>
        </w:rPr>
        <w:t>元</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误期违约赔偿金，最高赔偿金不超过合同价款的</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10"/>
          <w:sz w:val="21"/>
          <w:szCs w:val="21"/>
          <w:highlight w:val="none"/>
          <w:u w:val="singl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b/>
          <w:color w:val="000000" w:themeColor="text1"/>
          <w:kern w:val="10"/>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误期违约赔偿金不应解除乙方完成本工程的义务，或合同约定的其可能承担的其他责任、义务或职责。且甲方可以从乙方交纳的履约保证金中直接扣除相应金额抵付违约金。如因乙方延期给甲方造成的经济损失超过该违约金金额的，乙方还应承担赔偿责任。在合同实施过程中，当甲方认为乙方无法保证工期，甲方可以对乙方合同范围的施工任务进行切割，乙方须无条件接受，由此造成的损失由乙方承担全部责任和费用。</w:t>
      </w:r>
    </w:p>
    <w:p w14:paraId="0F7454DE">
      <w:pPr>
        <w:kinsoku w:val="0"/>
        <w:spacing w:after="0" w:line="360" w:lineRule="auto"/>
        <w:ind w:firstLine="420" w:firstLineChars="200"/>
        <w:jc w:val="both"/>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23.8.2如因非甲方原因导致本工程不能按合同约定完工交付，每延期一天乙方向甲方支付违约金</w:t>
      </w:r>
      <w:r>
        <w:rPr>
          <w:rFonts w:hint="eastAsia" w:asciiTheme="minorEastAsia" w:hAnsiTheme="minorEastAsia" w:eastAsiaTheme="minorEastAsia" w:cstheme="minorEastAsia"/>
          <w:b/>
          <w:bCs/>
          <w:color w:val="000000" w:themeColor="text1"/>
          <w:kern w:val="10"/>
          <w:sz w:val="21"/>
          <w:szCs w:val="21"/>
          <w:highlight w:val="none"/>
          <w:u w:val="single"/>
          <w:lang w:eastAsia="zh-CN"/>
          <w14:textFill>
            <w14:solidFill>
              <w14:schemeClr w14:val="tx1"/>
            </w14:solidFill>
          </w14:textFill>
        </w:rPr>
        <w:t>10000</w:t>
      </w:r>
      <w:r>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t>元</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，延期违约金最高不得超过合同价款的</w:t>
      </w:r>
      <w:r>
        <w:rPr>
          <w:rFonts w:hint="eastAsia" w:asciiTheme="minorEastAsia" w:hAnsiTheme="minorEastAsia" w:eastAsiaTheme="minorEastAsia" w:cstheme="minorEastAsia"/>
          <w:b/>
          <w:bCs/>
          <w:color w:val="000000" w:themeColor="text1"/>
          <w:kern w:val="10"/>
          <w:sz w:val="21"/>
          <w:szCs w:val="21"/>
          <w:highlight w:val="none"/>
          <w:u w:val="single"/>
          <w:lang w:eastAsia="zh-CN"/>
          <w14:textFill>
            <w14:solidFill>
              <w14:schemeClr w14:val="tx1"/>
            </w14:solidFill>
          </w14:textFill>
        </w:rPr>
        <w:t>20</w:t>
      </w:r>
      <w:r>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，并赔偿因工期延误造成的连带损失。</w:t>
      </w:r>
    </w:p>
    <w:p w14:paraId="0F7454DF">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23.8.3在施工过程中，若乙方擅自停工，视为乙方违约，除承担停工给甲方造成的损失外，另承担</w:t>
      </w:r>
      <w:r>
        <w:rPr>
          <w:rFonts w:hint="eastAsia" w:asciiTheme="minorEastAsia" w:hAnsiTheme="minorEastAsia" w:eastAsiaTheme="minorEastAsia" w:cstheme="minorEastAsia"/>
          <w:b/>
          <w:bCs/>
          <w:color w:val="000000" w:themeColor="text1"/>
          <w:kern w:val="10"/>
          <w:sz w:val="21"/>
          <w:szCs w:val="21"/>
          <w:highlight w:val="none"/>
          <w:u w:val="single"/>
          <w:lang w:eastAsia="zh-CN"/>
          <w14:textFill>
            <w14:solidFill>
              <w14:schemeClr w14:val="tx1"/>
            </w14:solidFill>
          </w14:textFill>
        </w:rPr>
        <w:t>1000</w:t>
      </w:r>
      <w:r>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t>元/天</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的违约金，停工超过</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5 </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天，甲方可单方解除合同，乙方需向甲方承担本合同签约合同价3%的违约金。</w:t>
      </w:r>
    </w:p>
    <w:p w14:paraId="0F7454E0">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23.9环保违约</w:t>
      </w:r>
    </w:p>
    <w:p w14:paraId="0F7454E1">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23.9.1乙方未按要求开展生态环保、节能减排、水土保持等工作，导致施工现场存在大气、水土、固体废弃物等方面的生态环保隐患的，每发生一起支付违约金人民币</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5000-20000</w:t>
      </w:r>
      <w:r>
        <w:rPr>
          <w:rFonts w:hint="eastAsia" w:asciiTheme="minorEastAsia" w:hAnsiTheme="minorEastAsia" w:eastAsiaTheme="minorEastAsia" w:cstheme="minorEastAsia"/>
          <w:b/>
          <w:color w:val="000000" w:themeColor="text1"/>
          <w:kern w:val="10"/>
          <w:sz w:val="21"/>
          <w:szCs w:val="21"/>
          <w:highlight w:val="none"/>
          <w:lang w:eastAsia="zh-CN"/>
          <w14:textFill>
            <w14:solidFill>
              <w14:schemeClr w14:val="tx1"/>
            </w14:solidFill>
          </w14:textFill>
        </w:rPr>
        <w:t>元</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w:t>
      </w:r>
    </w:p>
    <w:p w14:paraId="0F7454E2">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23.9.2因乙方管理不当，致使甲方被属地政府单位或其他国家行政单位进行公示或处以罚款的，乙方需承担甲方全部经济损失，且每发生一起支付违约金人民币</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50000-100000</w:t>
      </w:r>
      <w:r>
        <w:rPr>
          <w:rFonts w:hint="eastAsia" w:asciiTheme="minorEastAsia" w:hAnsiTheme="minorEastAsia" w:eastAsiaTheme="minorEastAsia" w:cstheme="minorEastAsia"/>
          <w:b/>
          <w:color w:val="000000" w:themeColor="text1"/>
          <w:kern w:val="10"/>
          <w:sz w:val="21"/>
          <w:szCs w:val="21"/>
          <w:highlight w:val="none"/>
          <w:lang w:eastAsia="zh-CN"/>
          <w14:textFill>
            <w14:solidFill>
              <w14:schemeClr w14:val="tx1"/>
            </w14:solidFill>
          </w14:textFill>
        </w:rPr>
        <w:t>元</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w:t>
      </w:r>
    </w:p>
    <w:p w14:paraId="0F7454E3">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23.10用工违约</w:t>
      </w:r>
    </w:p>
    <w:p w14:paraId="0F7454E4">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23.10.1如经查实乙方未依法办理劳动用工、社会保险手续的，按乙方违约处理，每出现一例，乙方需支付违约金人民币</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2000-5000</w:t>
      </w:r>
      <w:r>
        <w:rPr>
          <w:rFonts w:hint="eastAsia" w:asciiTheme="minorEastAsia" w:hAnsiTheme="minorEastAsia" w:eastAsiaTheme="minorEastAsia" w:cstheme="minorEastAsia"/>
          <w:b/>
          <w:color w:val="000000" w:themeColor="text1"/>
          <w:kern w:val="10"/>
          <w:sz w:val="21"/>
          <w:szCs w:val="21"/>
          <w:highlight w:val="none"/>
          <w:lang w:eastAsia="zh-CN"/>
          <w14:textFill>
            <w14:solidFill>
              <w14:schemeClr w14:val="tx1"/>
            </w14:solidFill>
          </w14:textFill>
        </w:rPr>
        <w:t>元/人</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w:t>
      </w:r>
    </w:p>
    <w:p w14:paraId="0F7454E5">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23.10.2在合同履行期间，如经查实乙方拖欠或克扣农民工或劳务工工资，导致劳资纠纷或发生危及公共安全或正常社会秩序的事件的，按乙方违约处理，乙方按拖欠或克扣农民工或劳务工工资的</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3倍</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支付违约金；如甲方先行垫付，甲方有权从欠付乙方工程款或保证金中直接扣除。</w:t>
      </w:r>
    </w:p>
    <w:p w14:paraId="0F7454E6">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23.10.3特殊工种未持证上岗每查实一人次，乙方应支付违约金</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2000-5000</w:t>
      </w:r>
      <w:r>
        <w:rPr>
          <w:rFonts w:hint="eastAsia" w:asciiTheme="minorEastAsia" w:hAnsiTheme="minorEastAsia" w:eastAsiaTheme="minorEastAsia" w:cstheme="minorEastAsia"/>
          <w:b/>
          <w:color w:val="000000" w:themeColor="text1"/>
          <w:kern w:val="10"/>
          <w:sz w:val="21"/>
          <w:szCs w:val="21"/>
          <w:highlight w:val="none"/>
          <w:lang w:eastAsia="zh-CN"/>
          <w14:textFill>
            <w14:solidFill>
              <w14:schemeClr w14:val="tx1"/>
            </w14:solidFill>
          </w14:textFill>
        </w:rPr>
        <w:t>元/人次</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，该人不得从事本工种。</w:t>
      </w:r>
    </w:p>
    <w:p w14:paraId="0F7454E7">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23.10.4项目安全管理人员未持证上岗，乙方应支付违约金</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2000-5000</w:t>
      </w:r>
      <w:r>
        <w:rPr>
          <w:rFonts w:hint="eastAsia" w:asciiTheme="minorEastAsia" w:hAnsiTheme="minorEastAsia" w:eastAsiaTheme="minorEastAsia" w:cstheme="minorEastAsia"/>
          <w:b/>
          <w:color w:val="000000" w:themeColor="text1"/>
          <w:kern w:val="10"/>
          <w:sz w:val="21"/>
          <w:szCs w:val="21"/>
          <w:highlight w:val="none"/>
          <w:lang w:eastAsia="zh-CN"/>
          <w14:textFill>
            <w14:solidFill>
              <w14:schemeClr w14:val="tx1"/>
            </w14:solidFill>
          </w14:textFill>
        </w:rPr>
        <w:t>元/人。</w:t>
      </w:r>
    </w:p>
    <w:p w14:paraId="0F7454E8">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23.11其他违约</w:t>
      </w:r>
    </w:p>
    <w:p w14:paraId="0F7454E9">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23.11.1配备的主要安全管理人员擅离岗位，每次支付违约金</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5000</w:t>
      </w:r>
      <w:r>
        <w:rPr>
          <w:rFonts w:hint="eastAsia" w:asciiTheme="minorEastAsia" w:hAnsiTheme="minorEastAsia" w:eastAsiaTheme="minorEastAsia" w:cstheme="minorEastAsia"/>
          <w:b/>
          <w:color w:val="000000" w:themeColor="text1"/>
          <w:kern w:val="10"/>
          <w:sz w:val="21"/>
          <w:szCs w:val="21"/>
          <w:highlight w:val="none"/>
          <w:lang w:eastAsia="zh-CN"/>
          <w14:textFill>
            <w14:solidFill>
              <w14:schemeClr w14:val="tx1"/>
            </w14:solidFill>
          </w14:textFill>
        </w:rPr>
        <w:t>元/人</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w:t>
      </w:r>
    </w:p>
    <w:p w14:paraId="0F7454EA">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23.11.2未按甲方安全质量通报要求及时上报整改情况，每次支付违约金</w:t>
      </w:r>
      <w:r>
        <w:rPr>
          <w:rFonts w:hint="eastAsia" w:asciiTheme="minorEastAsia" w:hAnsiTheme="minorEastAsia" w:eastAsiaTheme="minorEastAsia" w:cstheme="minorEastAsia"/>
          <w:b/>
          <w:color w:val="000000" w:themeColor="text1"/>
          <w:kern w:val="10"/>
          <w:sz w:val="21"/>
          <w:szCs w:val="21"/>
          <w:highlight w:val="none"/>
          <w:u w:val="single"/>
          <w:lang w:eastAsia="zh-CN"/>
          <w14:textFill>
            <w14:solidFill>
              <w14:schemeClr w14:val="tx1"/>
            </w14:solidFill>
          </w14:textFill>
        </w:rPr>
        <w:t>20000-50000</w:t>
      </w:r>
      <w:r>
        <w:rPr>
          <w:rFonts w:hint="eastAsia" w:asciiTheme="minorEastAsia" w:hAnsiTheme="minorEastAsia" w:eastAsiaTheme="minorEastAsia" w:cstheme="minorEastAsia"/>
          <w:b/>
          <w:color w:val="000000" w:themeColor="text1"/>
          <w:kern w:val="10"/>
          <w:sz w:val="21"/>
          <w:szCs w:val="21"/>
          <w:highlight w:val="none"/>
          <w:lang w:eastAsia="zh-CN"/>
          <w14:textFill>
            <w14:solidFill>
              <w14:schemeClr w14:val="tx1"/>
            </w14:solidFill>
          </w14:textFill>
        </w:rPr>
        <w:t>元</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人民币。</w:t>
      </w:r>
    </w:p>
    <w:p w14:paraId="0F7454EB">
      <w:pPr>
        <w:kinsoku w:val="0"/>
        <w:spacing w:after="0" w:line="360" w:lineRule="auto"/>
        <w:ind w:firstLine="420" w:firstLineChars="200"/>
        <w:jc w:val="both"/>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t>23.11.3因乙方自身原因而导致甲方经济损失或使得</w:t>
      </w: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建设单位</w:t>
      </w:r>
      <w:r>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t>或其它方对甲方进行罚款的，此经济损失或罚款均由乙方承担。乙方承诺，此经济损失或罚款只要事实清楚、证据确凿，不管乙方签字确认与否，此经济损失或罚款都应由乙方承担，款额甲方将从乙方的应结款或履约担保金中直接扣回。</w:t>
      </w:r>
    </w:p>
    <w:p w14:paraId="0F7454EC">
      <w:pPr>
        <w:kinsoku w:val="0"/>
        <w:spacing w:after="0" w:line="360" w:lineRule="auto"/>
        <w:ind w:firstLine="420" w:firstLineChars="200"/>
        <w:jc w:val="both"/>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t>23.11.4若乙方及乙方的供货商、员工、下游工人、其他相关方因聚众闹事、恶意讨薪等造成被媒体曝光或政府相关部门通报等负面影响，乙方应承担合同额10%的违约金，且甲方可选择解除合同。</w:t>
      </w:r>
    </w:p>
    <w:p w14:paraId="0F7454ED">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23.11.5</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乙方与第三人的债务纠纷、诉讼、仲裁纠纷，导致甲方被追索或成为协助义务人，冻结了甲方的账户或造成甲方其他损失的，乙方应承担因此对甲方造成的所有损失并按签约合同价</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1  </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%或</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100000</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元/次进行赔偿。同时甲方可以解除合同，解除合同通知书达到乙方时，本合同及其补充协议解除。</w:t>
      </w:r>
    </w:p>
    <w:p w14:paraId="0F7454EE">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23.11.6</w:t>
      </w:r>
      <w:r>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t>对于在本合同项下产生的或与本合同相关事宜产生的乙方对甲方拥有的债权，乙方承诺不得将其转让给第三方，也不得用于对外提供担保。违反本条款约定，除转让无效和对外提供担保无效外，乙方还应当承担违约责任支付违约金。除非经过甲方的书面同意后方可转让，否则，乙方应在违约转让债权之日起五日内，按照违约转让债权总额的</w:t>
      </w:r>
      <w:r>
        <w:rPr>
          <w:rFonts w:hint="eastAsia" w:asciiTheme="minorEastAsia" w:hAnsiTheme="minorEastAsia" w:eastAsiaTheme="minorEastAsia" w:cstheme="minorEastAsia"/>
          <w:b/>
          <w:bCs/>
          <w:color w:val="000000" w:themeColor="text1"/>
          <w:kern w:val="10"/>
          <w:sz w:val="21"/>
          <w:szCs w:val="21"/>
          <w:highlight w:val="none"/>
          <w:u w:val="single"/>
          <w:lang w:eastAsia="zh-CN"/>
          <w14:textFill>
            <w14:solidFill>
              <w14:schemeClr w14:val="tx1"/>
            </w14:solidFill>
          </w14:textFill>
        </w:rPr>
        <w:t xml:space="preserve"> 5 </w:t>
      </w:r>
      <w:r>
        <w:rPr>
          <w:rFonts w:hint="eastAsia" w:asciiTheme="minorEastAsia" w:hAnsiTheme="minorEastAsia" w:eastAsiaTheme="minorEastAsia" w:cstheme="minorEastAsia"/>
          <w:b/>
          <w:bCs/>
          <w:color w:val="000000" w:themeColor="text1"/>
          <w:kern w:val="10"/>
          <w:sz w:val="21"/>
          <w:szCs w:val="21"/>
          <w:highlight w:val="none"/>
          <w:lang w:eastAsia="zh-CN"/>
          <w14:textFill>
            <w14:solidFill>
              <w14:schemeClr w14:val="tx1"/>
            </w14:solidFill>
          </w14:textFill>
        </w:rPr>
        <w:t>%向甲方支付违约金，逾期支付并应承担违约付款责任，同时债权转让不发生法律效力。</w:t>
      </w:r>
    </w:p>
    <w:p w14:paraId="0F7454EF">
      <w:pPr>
        <w:kinsoku w:val="0"/>
        <w:spacing w:after="0" w:line="360" w:lineRule="auto"/>
        <w:ind w:firstLine="420" w:firstLineChars="20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23.11.7如乙方泄露或者在本合同以外使用该商业秘密、技术秘密等保密信息，应向甲方支付签约合同价</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5  </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%的违约金，并赔偿甲方因此遭受的全部损失。</w:t>
      </w:r>
    </w:p>
    <w:p w14:paraId="0F7454F0">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23.11.8如因乙方原因导致中建集团、中建路桥或其他下属公司、甲方及甲方关联公司或项目部名誉受损的，除应按签约合同价</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 xml:space="preserve"> 3 </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%/次支付违约金外，还应赔偿甲方因此而遭受的全部损失，以及甲方为恢复名誉而支付的差旅费、诉讼费、律师费等，并应在事件发生后</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24小时</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内通过具有全国影响力的主流媒体公开向甲方道歉并澄清相关事实。</w:t>
      </w:r>
    </w:p>
    <w:p w14:paraId="0F7454F1">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23.11.9如乙方发生以下不良行为：发生法律诉讼、恶意讨薪、恶意拖欠农民工工资、组织人员恶意“上访”、闹访，围堵政府、甲方单位、项目部的；以讨要农民工工资为由，制造事端或者恶意举报、投诉、诋毁甲方的；以拖欠农民工工资为由，讨要工程款或无据抬高结算额等严重违约、严重不服从监督管理的，乙方应承担合同额10%的违约金，且甲方可选择解除合同，解除合同通知书达到乙方时，本合同及其补充协议解除。同时录入甲方不合格劳务分包商名录，禁入甲方所有工程项目。</w:t>
      </w:r>
    </w:p>
    <w:p w14:paraId="0F7454F2">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23.11.10乙方因自身原因在合同约定工作未完成前主动退场或因不能满足合同要求而被勒令退场时，甲方将扣除乙方所完工程金额的</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10"/>
          <w:sz w:val="21"/>
          <w:szCs w:val="21"/>
          <w:highlight w:val="none"/>
          <w:u w:val="singl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kern w:val="10"/>
          <w:sz w:val="21"/>
          <w:szCs w:val="21"/>
          <w:highlight w:val="none"/>
          <w:u w:val="single"/>
          <w:lang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作为违约金，从结算金额中予以扣除。</w:t>
      </w:r>
    </w:p>
    <w:p w14:paraId="0F7454F3">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455" w:name="_Toc175764468"/>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争议解决</w:t>
      </w:r>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p>
    <w:p w14:paraId="0F7454F5">
      <w:pPr>
        <w:pStyle w:val="11"/>
        <w:kinsoku w:val="0"/>
        <w:spacing w:after="0" w:line="360" w:lineRule="auto"/>
        <w:jc w:val="both"/>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24.1对因本合同引起或与之相关的任何争议、纠纷或权利主张，任何一方如欲通过本条约定的方式解决，则必须在提起本条约定的争议解决方式前，向对方发出书面和解申请书，并告知对方争议、纠纷或权利主张之事实及依据、联系人及联系方式，在对方收到上述通知之日起3个月为双方和解期限。在和解期限内，若双方达成和解协议的，双方的权利义务按照和解协议履行；若未达成和解协议的，任何一方可采取本条第2款约定的争议解决方式。</w:t>
      </w:r>
    </w:p>
    <w:p w14:paraId="0F7454F6">
      <w:pPr>
        <w:pStyle w:val="11"/>
        <w:kinsoku w:val="0"/>
        <w:spacing w:after="0" w:line="360" w:lineRule="auto"/>
        <w:jc w:val="both"/>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任何一方若未履行上述和解程序而直接采用第2款约定的争议解决方式的，则需要向对方承担合同总价款3%的违约金；如一方出现上述情形，另一方提起反诉或反请求，则提起反诉或反请求的一方不承担违约金。</w:t>
      </w:r>
    </w:p>
    <w:p w14:paraId="0F7454F7">
      <w:pPr>
        <w:pStyle w:val="11"/>
        <w:kinsoku w:val="0"/>
        <w:spacing w:after="0" w:line="360" w:lineRule="auto"/>
        <w:jc w:val="both"/>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24.2双方和解不成且已超过和解期限的，可向石家庄仲裁委员会申请仲裁，并自行承担本方发生的律师费、差旅费、保函费等相关费用。</w:t>
      </w:r>
    </w:p>
    <w:p w14:paraId="760BACE6">
      <w:pPr>
        <w:keepNext w:val="0"/>
        <w:keepLines w:val="0"/>
        <w:widowControl/>
        <w:suppressLineNumbers w:val="0"/>
        <w:jc w:val="left"/>
        <w:rPr>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kern w:val="0"/>
          <w:sz w:val="20"/>
          <w:szCs w:val="20"/>
          <w:highlight w:val="none"/>
          <w:lang w:val="en-US" w:eastAsia="zh-CN" w:bidi="ar"/>
          <w14:textFill>
            <w14:solidFill>
              <w14:schemeClr w14:val="tx1"/>
            </w14:solidFill>
          </w14:textFill>
        </w:rPr>
        <w:t xml:space="preserve">24.3 </w:t>
      </w: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 xml:space="preserve">本合同中涉及合同、文件、律师函（不含诉讼司法文书）的送达地址或邮箱及法律后果作如下约定： </w:t>
      </w:r>
    </w:p>
    <w:p w14:paraId="3EFC85E4">
      <w:pPr>
        <w:keepNext w:val="0"/>
        <w:keepLines w:val="0"/>
        <w:widowControl/>
        <w:suppressLineNumbers w:val="0"/>
        <w:jc w:val="left"/>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0"/>
          <w:szCs w:val="20"/>
          <w:highlight w:val="none"/>
          <w:lang w:val="en-US" w:eastAsia="zh-CN" w:bidi="ar"/>
          <w14:textFill>
            <w14:solidFill>
              <w14:schemeClr w14:val="tx1"/>
            </w14:solidFill>
          </w14:textFill>
        </w:rPr>
        <w:t>1</w:t>
      </w: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）甲方确认其有效的送达地址为：</w:t>
      </w:r>
      <w:r>
        <w:rPr>
          <w:rFonts w:hint="eastAsia" w:ascii="宋体" w:hAnsi="宋体" w:cs="宋体"/>
          <w:color w:val="000000" w:themeColor="text1"/>
          <w:kern w:val="0"/>
          <w:sz w:val="20"/>
          <w:szCs w:val="20"/>
          <w:highlight w:val="none"/>
          <w:u w:val="single"/>
          <w:lang w:val="en-US" w:eastAsia="zh-CN" w:bidi="ar"/>
          <w14:textFill>
            <w14:solidFill>
              <w14:schemeClr w14:val="tx1"/>
            </w14:solidFill>
          </w14:textFill>
        </w:rPr>
        <w:t xml:space="preserve">                                    </w:t>
      </w: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 xml:space="preserve">； </w:t>
      </w:r>
    </w:p>
    <w:p w14:paraId="422F72F7">
      <w:pPr>
        <w:keepNext w:val="0"/>
        <w:keepLines w:val="0"/>
        <w:widowControl/>
        <w:suppressLineNumbers w:val="0"/>
        <w:jc w:val="left"/>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联系人及电话：</w:t>
      </w:r>
      <w:r>
        <w:rPr>
          <w:rFonts w:hint="eastAsia" w:ascii="宋体" w:hAnsi="宋体" w:cs="宋体"/>
          <w:color w:val="000000" w:themeColor="text1"/>
          <w:kern w:val="0"/>
          <w:sz w:val="20"/>
          <w:szCs w:val="20"/>
          <w:highlight w:val="none"/>
          <w:u w:val="single"/>
          <w:lang w:val="en-US" w:eastAsia="zh-CN" w:bidi="ar"/>
          <w14:textFill>
            <w14:solidFill>
              <w14:schemeClr w14:val="tx1"/>
            </w14:solidFill>
          </w14:textFill>
        </w:rPr>
        <w:t xml:space="preserve">              </w:t>
      </w: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 xml:space="preserve">； </w:t>
      </w:r>
    </w:p>
    <w:p w14:paraId="32330150">
      <w:pPr>
        <w:keepNext w:val="0"/>
        <w:keepLines w:val="0"/>
        <w:widowControl/>
        <w:suppressLineNumbers w:val="0"/>
        <w:jc w:val="left"/>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邮箱：</w:t>
      </w:r>
      <w:r>
        <w:rPr>
          <w:rFonts w:hint="eastAsia" w:ascii="宋体" w:hAnsi="宋体" w:cs="宋体"/>
          <w:color w:val="000000" w:themeColor="text1"/>
          <w:kern w:val="0"/>
          <w:sz w:val="20"/>
          <w:szCs w:val="20"/>
          <w:highlight w:val="none"/>
          <w:u w:val="single"/>
          <w:lang w:val="en-US" w:eastAsia="zh-CN" w:bidi="ar"/>
          <w14:textFill>
            <w14:solidFill>
              <w14:schemeClr w14:val="tx1"/>
            </w14:solidFill>
          </w14:textFill>
        </w:rPr>
        <w:t xml:space="preserve">            </w:t>
      </w:r>
      <w:r>
        <w:rPr>
          <w:rFonts w:hint="default" w:ascii="Times New Roman" w:hAnsi="Times New Roman" w:eastAsia="宋体" w:cs="Times New Roman"/>
          <w:color w:val="000000" w:themeColor="text1"/>
          <w:kern w:val="0"/>
          <w:sz w:val="20"/>
          <w:szCs w:val="20"/>
          <w:highlight w:val="none"/>
          <w:lang w:val="en-US" w:eastAsia="zh-CN" w:bidi="ar"/>
          <w14:textFill>
            <w14:solidFill>
              <w14:schemeClr w14:val="tx1"/>
            </w14:solidFill>
          </w14:textFill>
        </w:rPr>
        <w:t>@qq.com</w:t>
      </w: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 xml:space="preserve">； </w:t>
      </w:r>
    </w:p>
    <w:p w14:paraId="4E117F4C">
      <w:pPr>
        <w:keepNext w:val="0"/>
        <w:keepLines w:val="0"/>
        <w:widowControl/>
        <w:suppressLineNumbers w:val="0"/>
        <w:jc w:val="left"/>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0"/>
          <w:szCs w:val="20"/>
          <w:highlight w:val="none"/>
          <w:lang w:val="en-US" w:eastAsia="zh-CN" w:bidi="ar"/>
          <w14:textFill>
            <w14:solidFill>
              <w14:schemeClr w14:val="tx1"/>
            </w14:solidFill>
          </w14:textFill>
        </w:rPr>
        <w:t>2</w:t>
      </w: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 xml:space="preserve">）乙方确认其有效的送达地址为： </w:t>
      </w:r>
      <w:r>
        <w:rPr>
          <w:rFonts w:hint="eastAsia" w:ascii="宋体" w:hAnsi="宋体" w:cs="宋体"/>
          <w:color w:val="000000" w:themeColor="text1"/>
          <w:kern w:val="0"/>
          <w:sz w:val="20"/>
          <w:szCs w:val="20"/>
          <w:highlight w:val="none"/>
          <w:u w:val="single"/>
          <w:lang w:val="en-US" w:eastAsia="zh-CN" w:bidi="ar"/>
          <w14:textFill>
            <w14:solidFill>
              <w14:schemeClr w14:val="tx1"/>
            </w14:solidFill>
          </w14:textFill>
        </w:rPr>
        <w:t xml:space="preserve">                               </w:t>
      </w:r>
      <w:r>
        <w:rPr>
          <w:rFonts w:hint="default" w:ascii="Times New Roman" w:hAnsi="Times New Roman" w:eastAsia="宋体" w:cs="Times New Roman"/>
          <w:color w:val="000000" w:themeColor="text1"/>
          <w:kern w:val="0"/>
          <w:sz w:val="20"/>
          <w:szCs w:val="20"/>
          <w:highlight w:val="none"/>
          <w:lang w:val="en-US" w:eastAsia="zh-CN" w:bidi="ar"/>
          <w14:textFill>
            <w14:solidFill>
              <w14:schemeClr w14:val="tx1"/>
            </w14:solidFill>
          </w14:textFill>
        </w:rPr>
        <w:t xml:space="preserve"> </w:t>
      </w: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 xml:space="preserve">； </w:t>
      </w:r>
    </w:p>
    <w:p w14:paraId="6D1D1BB5">
      <w:pPr>
        <w:keepNext w:val="0"/>
        <w:keepLines w:val="0"/>
        <w:widowControl/>
        <w:suppressLineNumbers w:val="0"/>
        <w:jc w:val="left"/>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联系人及电话：</w:t>
      </w:r>
      <w:r>
        <w:rPr>
          <w:rFonts w:hint="eastAsia" w:ascii="宋体" w:hAnsi="宋体" w:cs="宋体"/>
          <w:color w:val="000000" w:themeColor="text1"/>
          <w:kern w:val="0"/>
          <w:sz w:val="20"/>
          <w:szCs w:val="20"/>
          <w:highlight w:val="none"/>
          <w:u w:val="single"/>
          <w:lang w:val="en-US" w:eastAsia="zh-CN" w:bidi="ar"/>
          <w14:textFill>
            <w14:solidFill>
              <w14:schemeClr w14:val="tx1"/>
            </w14:solidFill>
          </w14:textFill>
        </w:rPr>
        <w:t xml:space="preserve">                 </w:t>
      </w: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 xml:space="preserve">； </w:t>
      </w:r>
    </w:p>
    <w:p w14:paraId="667E9498">
      <w:pPr>
        <w:keepNext w:val="0"/>
        <w:keepLines w:val="0"/>
        <w:widowControl/>
        <w:suppressLineNumbers w:val="0"/>
        <w:jc w:val="left"/>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邮箱：</w:t>
      </w:r>
      <w:r>
        <w:rPr>
          <w:rFonts w:hint="eastAsia" w:ascii="宋体" w:hAnsi="宋体" w:cs="宋体"/>
          <w:color w:val="000000" w:themeColor="text1"/>
          <w:kern w:val="0"/>
          <w:sz w:val="20"/>
          <w:szCs w:val="20"/>
          <w:highlight w:val="none"/>
          <w:u w:val="single"/>
          <w:lang w:val="en-US" w:eastAsia="zh-CN" w:bidi="ar"/>
          <w14:textFill>
            <w14:solidFill>
              <w14:schemeClr w14:val="tx1"/>
            </w14:solidFill>
          </w14:textFill>
        </w:rPr>
        <w:t xml:space="preserve">             </w:t>
      </w:r>
      <w:r>
        <w:rPr>
          <w:rFonts w:hint="default" w:ascii="Times New Roman" w:hAnsi="Times New Roman" w:eastAsia="宋体" w:cs="Times New Roman"/>
          <w:color w:val="000000" w:themeColor="text1"/>
          <w:kern w:val="0"/>
          <w:sz w:val="20"/>
          <w:szCs w:val="20"/>
          <w:highlight w:val="none"/>
          <w:lang w:val="en-US" w:eastAsia="zh-CN" w:bidi="ar"/>
          <w14:textFill>
            <w14:solidFill>
              <w14:schemeClr w14:val="tx1"/>
            </w14:solidFill>
          </w14:textFill>
        </w:rPr>
        <w:t>@qq.com</w:t>
      </w: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 xml:space="preserve">； </w:t>
      </w:r>
    </w:p>
    <w:p w14:paraId="568277CD">
      <w:pPr>
        <w:keepNext w:val="0"/>
        <w:keepLines w:val="0"/>
        <w:widowControl/>
        <w:suppressLineNumbers w:val="0"/>
        <w:jc w:val="left"/>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 xml:space="preserve">如资料邮寄至其他地址，视为未送达。 </w:t>
      </w:r>
    </w:p>
    <w:p w14:paraId="444C61FA">
      <w:pPr>
        <w:keepNext w:val="0"/>
        <w:keepLines w:val="0"/>
        <w:widowControl/>
        <w:suppressLineNumbers w:val="0"/>
        <w:jc w:val="left"/>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 xml:space="preserve">乙方因提供的送达地址或邮箱不准确、变更后未及时书面告知甲方、其指定的接收人拒绝签收等原因，导 </w:t>
      </w:r>
    </w:p>
    <w:p w14:paraId="6C786613">
      <w:pPr>
        <w:keepNext w:val="0"/>
        <w:keepLines w:val="0"/>
        <w:widowControl/>
        <w:suppressLineNumbers w:val="0"/>
        <w:jc w:val="left"/>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 xml:space="preserve">致法律文书未能被其实际接收的，视为对乙方送达成功：邮寄送达的，以文件退回之日视为送达之日；直 </w:t>
      </w:r>
    </w:p>
    <w:p w14:paraId="7CFBFE1B">
      <w:pPr>
        <w:keepNext w:val="0"/>
        <w:keepLines w:val="0"/>
        <w:widowControl/>
        <w:suppressLineNumbers w:val="0"/>
        <w:jc w:val="left"/>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0"/>
          <w:szCs w:val="20"/>
          <w:highlight w:val="none"/>
          <w:lang w:val="en-US" w:eastAsia="zh-CN" w:bidi="ar"/>
          <w14:textFill>
            <w14:solidFill>
              <w14:schemeClr w14:val="tx1"/>
            </w14:solidFill>
          </w14:textFill>
        </w:rPr>
        <w:t>接送达的，送达人当场在送达回证上记明情况之日视为送达之日。</w:t>
      </w:r>
    </w:p>
    <w:p w14:paraId="2D98470B">
      <w:pPr>
        <w:rPr>
          <w:color w:val="000000" w:themeColor="text1"/>
          <w:highlight w:val="none"/>
          <w14:textFill>
            <w14:solidFill>
              <w14:schemeClr w14:val="tx1"/>
            </w14:solidFill>
          </w14:textFill>
        </w:rPr>
      </w:pPr>
    </w:p>
    <w:p w14:paraId="0F7454F8">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456" w:name="_Toc27023"/>
      <w:bookmarkStart w:id="1457" w:name="_Toc18492"/>
      <w:bookmarkStart w:id="1458" w:name="_Toc31281"/>
      <w:bookmarkStart w:id="1459" w:name="_Toc24283"/>
      <w:bookmarkStart w:id="1460" w:name="_Toc10401"/>
      <w:bookmarkStart w:id="1461" w:name="_Toc23370"/>
      <w:bookmarkStart w:id="1462" w:name="_Toc1486"/>
      <w:bookmarkStart w:id="1463" w:name="_Toc26863"/>
      <w:bookmarkStart w:id="1464" w:name="_Toc25119"/>
      <w:bookmarkStart w:id="1465" w:name="_Toc5739"/>
      <w:bookmarkStart w:id="1466" w:name="_Toc175764469"/>
      <w:bookmarkStart w:id="1467" w:name="_Toc7440"/>
      <w:bookmarkStart w:id="1468" w:name="_Toc26894"/>
      <w:bookmarkStart w:id="1469" w:name="_Toc29653"/>
      <w:bookmarkStart w:id="1470" w:name="_Toc22869"/>
      <w:bookmarkStart w:id="1471" w:name="_Toc11232"/>
      <w:bookmarkStart w:id="1472" w:name="_Toc16065"/>
      <w:bookmarkStart w:id="1473" w:name="_Toc17384"/>
      <w:bookmarkStart w:id="1474" w:name="_Toc101963534"/>
      <w:bookmarkStart w:id="1475" w:name="_Toc101357483"/>
      <w:bookmarkStart w:id="1476" w:name="_Toc4879"/>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合同终止</w:t>
      </w:r>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p>
    <w:p w14:paraId="0F7454FA">
      <w:pPr>
        <w:pStyle w:val="11"/>
        <w:kinsoku w:val="0"/>
        <w:spacing w:after="0" w:line="360" w:lineRule="auto"/>
        <w:ind w:firstLine="420" w:firstLineChars="200"/>
        <w:jc w:val="both"/>
        <w:rPr>
          <w:color w:val="000000" w:themeColor="text1"/>
          <w:kern w:val="10"/>
          <w:highlight w:val="none"/>
          <w14:textFill>
            <w14:solidFill>
              <w14:schemeClr w14:val="tx1"/>
            </w14:solidFill>
          </w14:textFill>
        </w:rPr>
      </w:pPr>
      <w:r>
        <w:rPr>
          <w:rFonts w:hint="eastAsia"/>
          <w:color w:val="000000" w:themeColor="text1"/>
          <w:highlight w:val="none"/>
          <w14:textFill>
            <w14:solidFill>
              <w14:schemeClr w14:val="tx1"/>
            </w14:solidFill>
          </w14:textFill>
        </w:rPr>
        <w:t>25.7如因本合同约定的合同解除情形发生，甲方和乙方应具有以下权利和责任：</w:t>
      </w:r>
    </w:p>
    <w:p w14:paraId="0F7454FB">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（1）甲方可雇佣其他单位进行并完成分包工程。</w:t>
      </w:r>
    </w:p>
    <w:p w14:paraId="0F7454FC">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（2）分包合同解除后（</w:t>
      </w:r>
      <w:r>
        <w:rPr>
          <w:rFonts w:hint="eastAsia" w:asciiTheme="minorEastAsia" w:hAnsiTheme="minorEastAsia" w:eastAsiaTheme="minorEastAsia" w:cstheme="minorEastAsia"/>
          <w:color w:val="000000" w:themeColor="text1"/>
          <w:kern w:val="10"/>
          <w:sz w:val="21"/>
          <w:szCs w:val="21"/>
          <w:highlight w:val="none"/>
          <w:u w:val="single"/>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）天内，经甲方同意，乙方可将用于本分包工程的任何材料、设备和其它物品的采购供货协议和租赁协议等转让给甲方或乙方的继任者。</w:t>
      </w:r>
    </w:p>
    <w:p w14:paraId="0F7454FD">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（3）乙方应妥善做好已完工程和已购材料、设备、建筑施工图纸和全部相关资料的保护和移交工作。</w:t>
      </w:r>
    </w:p>
    <w:p w14:paraId="0F7454FE">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4）当甲方以书面形式通知乙方须从现场拆除或撤出属于乙方的或由其租赁的任何临时工程、机具设备、材料和货物时，乙方应按照要求执行。如乙方未在合理的时间内按照要求执行，甲方可自行拆除（但不对任何损失或损坏负责），并可以变卖或处理任何这些的属于乙方的财产。甲方在扣除因乙方违约造成的工程损失费用及处理此类财产的费用后，将剩余金额返还乙方。</w:t>
      </w:r>
    </w:p>
    <w:p w14:paraId="0F7454FF">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（5）分包合同解除后（</w:t>
      </w:r>
      <w:r>
        <w:rPr>
          <w:rFonts w:hint="eastAsia" w:asciiTheme="minorEastAsia" w:hAnsiTheme="minorEastAsia" w:eastAsiaTheme="minorEastAsia" w:cstheme="minorEastAsia"/>
          <w:color w:val="000000" w:themeColor="text1"/>
          <w:kern w:val="10"/>
          <w:sz w:val="21"/>
          <w:szCs w:val="21"/>
          <w:highlight w:val="none"/>
          <w:u w:val="single"/>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）日内，乙方自身的劳务人员或其劳务分包的全体人员应退场，未撤场人员发生的费用均由乙方承担。</w:t>
      </w:r>
    </w:p>
    <w:p w14:paraId="0F745500">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（6）乙方应补偿甲方因分包合同解除给甲方带来的任何损失和损害。</w:t>
      </w:r>
    </w:p>
    <w:p w14:paraId="0F745501">
      <w:pPr>
        <w:kinsoku w:val="0"/>
        <w:spacing w:after="0" w:line="360" w:lineRule="auto"/>
        <w:ind w:firstLine="420" w:firstLineChars="200"/>
        <w:jc w:val="both"/>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（7）分包合同解除后（</w:t>
      </w:r>
      <w:r>
        <w:rPr>
          <w:rFonts w:hint="eastAsia" w:asciiTheme="minorEastAsia" w:hAnsiTheme="minorEastAsia" w:eastAsiaTheme="minorEastAsia" w:cstheme="minorEastAsia"/>
          <w:color w:val="000000" w:themeColor="text1"/>
          <w:kern w:val="10"/>
          <w:sz w:val="21"/>
          <w:szCs w:val="21"/>
          <w:highlight w:val="none"/>
          <w:u w:val="single"/>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kern w:val="10"/>
          <w:sz w:val="21"/>
          <w:szCs w:val="21"/>
          <w:highlight w:val="none"/>
          <w:lang w:eastAsia="zh-CN"/>
          <w14:textFill>
            <w14:solidFill>
              <w14:schemeClr w14:val="tx1"/>
            </w14:solidFill>
          </w14:textFill>
        </w:rPr>
        <w:t>）日内，乙方应向甲方提交结算报告和结算协议供甲方审核，结算应根据甲方签字确认的已完工程量和工程量清单中确定的单价进行计算，计算时间应截至分包合同解除之日。一旦工程竣工并在甲方对工程结算核准后的合理时间内，甲方应确认因乙方原因导致分包合同解除而给总包工程带来任何直接、间接损失和损害的费用金额。如果此金额加上在分包合同解除前已付给乙方的金额超过在分包合同解除时应付而未付给乙方的工程款额时，其差额作为乙方对甲方的负债，由甲方从乙方提交的履约保函、预付款保函中予以扣回，不足时，仍可索赔；如果此金额未超过甲方应支付给乙方的工程款额时，其差额应由甲方按分包合同付款条件支付给乙方。</w:t>
      </w:r>
    </w:p>
    <w:p w14:paraId="0F745502">
      <w:pPr>
        <w:widowControl w:val="0"/>
        <w:numPr>
          <w:ilvl w:val="0"/>
          <w:numId w:val="7"/>
        </w:numPr>
        <w:kinsoku w:val="0"/>
        <w:spacing w:after="0" w:line="360" w:lineRule="auto"/>
        <w:ind w:left="158" w:leftChars="75"/>
        <w:jc w:val="both"/>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477" w:name="_Toc101963535"/>
      <w:bookmarkStart w:id="1478" w:name="_Toc6396"/>
      <w:bookmarkStart w:id="1479" w:name="_Toc31576"/>
      <w:bookmarkStart w:id="1480" w:name="_Toc10738"/>
      <w:bookmarkStart w:id="1481" w:name="_Toc101357484"/>
      <w:bookmarkStart w:id="1482" w:name="_Toc175764470"/>
      <w:bookmarkStart w:id="1483" w:name="_Toc27942"/>
      <w:bookmarkStart w:id="1484" w:name="_Toc24897"/>
      <w:bookmarkStart w:id="1485" w:name="_Toc16676"/>
      <w:bookmarkStart w:id="1486" w:name="_Toc31549"/>
      <w:bookmarkStart w:id="1487" w:name="_Toc21424"/>
      <w:bookmarkStart w:id="1488" w:name="_Toc28952"/>
      <w:bookmarkStart w:id="1489" w:name="_Toc6031"/>
      <w:bookmarkStart w:id="1490" w:name="_Toc2158"/>
      <w:bookmarkStart w:id="1491" w:name="_Toc24167"/>
      <w:bookmarkStart w:id="1492" w:name="_Toc4980"/>
      <w:bookmarkStart w:id="1493" w:name="_Toc6048"/>
      <w:bookmarkStart w:id="1494" w:name="_Toc26100"/>
      <w:bookmarkStart w:id="1495" w:name="_Toc8410"/>
      <w:bookmarkStart w:id="1496" w:name="_Toc20289"/>
      <w:bookmarkStart w:id="1497" w:name="_Toc16417"/>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合同附件</w:t>
      </w:r>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p>
    <w:p w14:paraId="0F745503">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498" w:name="_Toc175764471"/>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附件1.工程量清单</w:t>
      </w:r>
      <w:bookmarkEnd w:id="1498"/>
    </w:p>
    <w:p w14:paraId="0F745504">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499" w:name="_Toc175764472"/>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附件2.甲供材料、机械设备明细表</w:t>
      </w:r>
      <w:bookmarkEnd w:id="1499"/>
    </w:p>
    <w:p w14:paraId="0F745505">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500" w:name="_Toc175764473"/>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附件3.拟投入本合同工程主要人员汇总表</w:t>
      </w:r>
      <w:bookmarkEnd w:id="1500"/>
    </w:p>
    <w:p w14:paraId="0F745506">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501" w:name="_Toc175764474"/>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附件4.拟进场机械设备一览表</w:t>
      </w:r>
      <w:bookmarkEnd w:id="1501"/>
    </w:p>
    <w:p w14:paraId="0F745507">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502" w:name="_Toc175764475"/>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附件5.安全管理协议书</w:t>
      </w:r>
      <w:bookmarkEnd w:id="1502"/>
    </w:p>
    <w:p w14:paraId="0F745508">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503" w:name="_Toc175764476"/>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附件6.廉政合同</w:t>
      </w:r>
      <w:bookmarkEnd w:id="1503"/>
    </w:p>
    <w:p w14:paraId="0F745509">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504" w:name="_Toc175764477"/>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附件7.履约授权管理协议</w:t>
      </w:r>
      <w:bookmarkEnd w:id="1504"/>
    </w:p>
    <w:p w14:paraId="0F74550A">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505" w:name="_Toc175764478"/>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附件8.工程项目施工质量管理协议书</w:t>
      </w:r>
      <w:bookmarkEnd w:id="1505"/>
    </w:p>
    <w:p w14:paraId="0F74550B">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506" w:name="_Toc175764479"/>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附件9.质量保修书</w:t>
      </w:r>
      <w:bookmarkEnd w:id="1506"/>
    </w:p>
    <w:p w14:paraId="0F74550C">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507" w:name="_Toc175764480"/>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附件10.农民工工资管理协议</w:t>
      </w:r>
      <w:bookmarkEnd w:id="1507"/>
    </w:p>
    <w:p w14:paraId="0F74550D">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508" w:name="_Toc175764481"/>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附件11.项目部合规权限告知书</w:t>
      </w:r>
      <w:bookmarkEnd w:id="1508"/>
    </w:p>
    <w:p w14:paraId="0F74550E">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509" w:name="_Toc175764482"/>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附件12.授权委托书（分包方）</w:t>
      </w:r>
      <w:bookmarkEnd w:id="1509"/>
    </w:p>
    <w:p w14:paraId="0F74550F">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510" w:name="_Toc175764483"/>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附件13.农民工工资代发授权委托书</w:t>
      </w:r>
      <w:bookmarkEnd w:id="1510"/>
    </w:p>
    <w:p w14:paraId="0F745510">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511" w:name="_Toc175764484"/>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附件14.农民工当期工资支付完毕声明书</w:t>
      </w:r>
      <w:bookmarkEnd w:id="1511"/>
    </w:p>
    <w:p w14:paraId="0F745511">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512" w:name="_Toc175764485"/>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附件15.违约金扣款通知单</w:t>
      </w:r>
      <w:bookmarkEnd w:id="1512"/>
    </w:p>
    <w:p w14:paraId="270505B1">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513" w:name="_Toc175764486"/>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附件16.签证工作内容记录单</w:t>
      </w:r>
      <w:bookmarkEnd w:id="1513"/>
    </w:p>
    <w:p w14:paraId="3E046D6B">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fldChar w:fldCharType="begin"/>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instrText xml:space="preserve"> HYPERLINK \l "_Toc175764486" </w:instrTex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附件1</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.临时用电安全管理协议</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fldChar w:fldCharType="end"/>
      </w:r>
    </w:p>
    <w:p w14:paraId="3D89392D">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fldChar w:fldCharType="begin"/>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instrText xml:space="preserve"> HYPERLINK \l "_Toc175764486" </w:instrTex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附件1</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.消防安全管理协议</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fldChar w:fldCharType="end"/>
      </w:r>
    </w:p>
    <w:p w14:paraId="329DB456">
      <w:pPr>
        <w:spacing w:line="360" w:lineRule="auto"/>
        <w:ind w:firstLine="420" w:firstLineChars="200"/>
        <w:jc w:val="left"/>
        <w:rPr>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fldChar w:fldCharType="begin"/>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instrText xml:space="preserve"> HYPERLINK \l "_Toc175764486" </w:instrTex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附件1</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9</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.保密义务告知</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fldChar w:fldCharType="end"/>
      </w:r>
    </w:p>
    <w:p w14:paraId="730BF077">
      <w:pPr>
        <w:spacing w:line="360" w:lineRule="auto"/>
        <w:ind w:firstLine="562" w:firstLineChars="200"/>
        <w:jc w:val="center"/>
        <w:rPr>
          <w:b/>
          <w:color w:val="000000" w:themeColor="text1"/>
          <w:sz w:val="28"/>
          <w:szCs w:val="28"/>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bookmarkEnd w:id="526"/>
    <w:bookmarkEnd w:id="527"/>
    <w:bookmarkEnd w:id="528"/>
    <w:bookmarkEnd w:id="529"/>
    <w:bookmarkEnd w:id="530"/>
    <w:bookmarkEnd w:id="531"/>
    <w:bookmarkEnd w:id="532"/>
    <w:bookmarkEnd w:id="533"/>
    <w:bookmarkEnd w:id="534"/>
    <w:bookmarkEnd w:id="535"/>
    <w:bookmarkEnd w:id="536"/>
    <w:bookmarkEnd w:id="537"/>
    <w:bookmarkEnd w:id="538"/>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14:paraId="3033C78C">
      <w:pPr>
        <w:pStyle w:val="2"/>
        <w:rPr>
          <w:color w:val="000000" w:themeColor="text1"/>
          <w:highlight w:val="none"/>
          <w14:textFill>
            <w14:solidFill>
              <w14:schemeClr w14:val="tx1"/>
            </w14:solidFill>
          </w14:textFill>
        </w:rPr>
      </w:pPr>
      <w:bookmarkStart w:id="1514" w:name="_Toc145499828"/>
      <w:bookmarkStart w:id="1515" w:name="_Toc54291520"/>
      <w:bookmarkStart w:id="1516" w:name="_Toc54281190"/>
      <w:bookmarkStart w:id="1517" w:name="_Toc144872174"/>
      <w:bookmarkStart w:id="1518" w:name="_Toc284135616"/>
      <w:bookmarkStart w:id="1519" w:name="_Toc145426866"/>
      <w:bookmarkStart w:id="1520" w:name="_Toc53949154"/>
      <w:bookmarkStart w:id="1521" w:name="_Toc53949575"/>
      <w:bookmarkStart w:id="1522" w:name="_Toc54280338"/>
      <w:bookmarkStart w:id="1523" w:name="_Toc54280764"/>
      <w:bookmarkStart w:id="1524" w:name="_Toc53948733"/>
      <w:bookmarkStart w:id="1525" w:name="_Toc54281616"/>
      <w:bookmarkStart w:id="1526" w:name="_Toc54278955"/>
      <w:bookmarkStart w:id="1527" w:name="_Toc53946178"/>
      <w:bookmarkStart w:id="1528" w:name="_Toc16353853"/>
      <w:bookmarkStart w:id="1529" w:name="_Toc18209292"/>
      <w:r>
        <w:rPr>
          <w:color w:val="000000" w:themeColor="text1"/>
          <w:highlight w:val="none"/>
          <w14:textFill>
            <w14:solidFill>
              <w14:schemeClr w14:val="tx1"/>
            </w14:solidFill>
          </w14:textFill>
        </w:rPr>
        <w:t>第</w:t>
      </w:r>
      <w:r>
        <w:rPr>
          <w:rFonts w:hint="eastAsia"/>
          <w:color w:val="000000" w:themeColor="text1"/>
          <w:highlight w:val="none"/>
          <w14:textFill>
            <w14:solidFill>
              <w14:schemeClr w14:val="tx1"/>
            </w14:solidFill>
          </w14:textFill>
        </w:rPr>
        <w:t>四</w:t>
      </w:r>
      <w:r>
        <w:rPr>
          <w:color w:val="000000" w:themeColor="text1"/>
          <w:highlight w:val="none"/>
          <w14:textFill>
            <w14:solidFill>
              <w14:schemeClr w14:val="tx1"/>
            </w14:solidFill>
          </w14:textFill>
        </w:rPr>
        <w:t>篇  图纸</w:t>
      </w:r>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p>
    <w:p w14:paraId="3A162A1F">
      <w:pPr>
        <w:jc w:val="center"/>
        <w:rPr>
          <w:color w:val="000000" w:themeColor="text1"/>
          <w:highlight w:val="none"/>
          <w14:textFill>
            <w14:solidFill>
              <w14:schemeClr w14:val="tx1"/>
            </w14:solidFill>
          </w14:textFill>
        </w:rPr>
      </w:pPr>
    </w:p>
    <w:p w14:paraId="7F5ACA50">
      <w:pPr>
        <w:jc w:val="center"/>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图纸目录</w:t>
      </w:r>
    </w:p>
    <w:p w14:paraId="59106435">
      <w:pPr>
        <w:rPr>
          <w:color w:val="000000" w:themeColor="text1"/>
          <w:highlight w:val="none"/>
          <w14:textFill>
            <w14:solidFill>
              <w14:schemeClr w14:val="tx1"/>
            </w14:solidFill>
          </w14:textFill>
        </w:rPr>
      </w:pPr>
    </w:p>
    <w:tbl>
      <w:tblPr>
        <w:tblStyle w:val="31"/>
        <w:tblW w:w="8670" w:type="dxa"/>
        <w:tblInd w:w="15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5"/>
        <w:gridCol w:w="6510"/>
        <w:gridCol w:w="1365"/>
      </w:tblGrid>
      <w:tr w14:paraId="104A47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64E13CEA">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序号</w:t>
            </w:r>
          </w:p>
        </w:tc>
        <w:tc>
          <w:tcPr>
            <w:tcW w:w="6510" w:type="dxa"/>
            <w:vAlign w:val="center"/>
          </w:tcPr>
          <w:p w14:paraId="2FEAB9EC">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图纸名称</w:t>
            </w:r>
          </w:p>
        </w:tc>
        <w:tc>
          <w:tcPr>
            <w:tcW w:w="1365" w:type="dxa"/>
            <w:vAlign w:val="center"/>
          </w:tcPr>
          <w:p w14:paraId="5AEB4F33">
            <w:pPr>
              <w:jc w:val="center"/>
              <w:rPr>
                <w:color w:val="000000" w:themeColor="text1"/>
                <w:szCs w:val="21"/>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日期</w:t>
            </w:r>
          </w:p>
        </w:tc>
      </w:tr>
      <w:tr w14:paraId="2F5EF9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0CB02E28">
            <w:pPr>
              <w:numPr>
                <w:ilvl w:val="0"/>
                <w:numId w:val="10"/>
              </w:numPr>
              <w:jc w:val="center"/>
              <w:rPr>
                <w:color w:val="000000" w:themeColor="text1"/>
                <w:szCs w:val="21"/>
                <w:highlight w:val="none"/>
                <w14:textFill>
                  <w14:solidFill>
                    <w14:schemeClr w14:val="tx1"/>
                  </w14:solidFill>
                </w14:textFill>
              </w:rPr>
            </w:pPr>
          </w:p>
        </w:tc>
        <w:tc>
          <w:tcPr>
            <w:tcW w:w="6510" w:type="dxa"/>
            <w:vAlign w:val="center"/>
          </w:tcPr>
          <w:p w14:paraId="5DE762FC">
            <w:pPr>
              <w:jc w:val="left"/>
              <w:rPr>
                <w:color w:val="000000" w:themeColor="text1"/>
                <w:szCs w:val="21"/>
                <w:highlight w:val="none"/>
                <w14:textFill>
                  <w14:solidFill>
                    <w14:schemeClr w14:val="tx1"/>
                  </w14:solidFill>
                </w14:textFill>
              </w:rPr>
            </w:pPr>
          </w:p>
        </w:tc>
        <w:tc>
          <w:tcPr>
            <w:tcW w:w="1365" w:type="dxa"/>
            <w:vAlign w:val="center"/>
          </w:tcPr>
          <w:p w14:paraId="10CD4F11">
            <w:pPr>
              <w:jc w:val="center"/>
              <w:rPr>
                <w:color w:val="000000" w:themeColor="text1"/>
                <w:szCs w:val="21"/>
                <w:highlight w:val="none"/>
                <w14:textFill>
                  <w14:solidFill>
                    <w14:schemeClr w14:val="tx1"/>
                  </w14:solidFill>
                </w14:textFill>
              </w:rPr>
            </w:pPr>
          </w:p>
        </w:tc>
      </w:tr>
      <w:tr w14:paraId="468986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69A0D60D">
            <w:pPr>
              <w:numPr>
                <w:ilvl w:val="0"/>
                <w:numId w:val="10"/>
              </w:numPr>
              <w:jc w:val="center"/>
              <w:rPr>
                <w:color w:val="000000" w:themeColor="text1"/>
                <w:szCs w:val="21"/>
                <w:highlight w:val="none"/>
                <w14:textFill>
                  <w14:solidFill>
                    <w14:schemeClr w14:val="tx1"/>
                  </w14:solidFill>
                </w14:textFill>
              </w:rPr>
            </w:pPr>
          </w:p>
        </w:tc>
        <w:tc>
          <w:tcPr>
            <w:tcW w:w="6510" w:type="dxa"/>
            <w:vAlign w:val="center"/>
          </w:tcPr>
          <w:p w14:paraId="5A40A89B">
            <w:pPr>
              <w:jc w:val="left"/>
              <w:rPr>
                <w:color w:val="000000" w:themeColor="text1"/>
                <w:szCs w:val="21"/>
                <w:highlight w:val="none"/>
                <w14:textFill>
                  <w14:solidFill>
                    <w14:schemeClr w14:val="tx1"/>
                  </w14:solidFill>
                </w14:textFill>
              </w:rPr>
            </w:pPr>
          </w:p>
        </w:tc>
        <w:tc>
          <w:tcPr>
            <w:tcW w:w="1365" w:type="dxa"/>
            <w:vAlign w:val="center"/>
          </w:tcPr>
          <w:p w14:paraId="7D91341F">
            <w:pPr>
              <w:jc w:val="center"/>
              <w:rPr>
                <w:color w:val="000000" w:themeColor="text1"/>
                <w:szCs w:val="21"/>
                <w:highlight w:val="none"/>
                <w14:textFill>
                  <w14:solidFill>
                    <w14:schemeClr w14:val="tx1"/>
                  </w14:solidFill>
                </w14:textFill>
              </w:rPr>
            </w:pPr>
          </w:p>
        </w:tc>
      </w:tr>
      <w:tr w14:paraId="7B9F2E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24EA11E0">
            <w:pPr>
              <w:numPr>
                <w:ilvl w:val="0"/>
                <w:numId w:val="10"/>
              </w:numPr>
              <w:jc w:val="center"/>
              <w:rPr>
                <w:color w:val="000000" w:themeColor="text1"/>
                <w:szCs w:val="21"/>
                <w:highlight w:val="none"/>
                <w14:textFill>
                  <w14:solidFill>
                    <w14:schemeClr w14:val="tx1"/>
                  </w14:solidFill>
                </w14:textFill>
              </w:rPr>
            </w:pPr>
          </w:p>
        </w:tc>
        <w:tc>
          <w:tcPr>
            <w:tcW w:w="6510" w:type="dxa"/>
            <w:vAlign w:val="center"/>
          </w:tcPr>
          <w:p w14:paraId="42BC78F8">
            <w:pPr>
              <w:jc w:val="left"/>
              <w:rPr>
                <w:color w:val="000000" w:themeColor="text1"/>
                <w:szCs w:val="21"/>
                <w:highlight w:val="none"/>
                <w14:textFill>
                  <w14:solidFill>
                    <w14:schemeClr w14:val="tx1"/>
                  </w14:solidFill>
                </w14:textFill>
              </w:rPr>
            </w:pPr>
          </w:p>
        </w:tc>
        <w:tc>
          <w:tcPr>
            <w:tcW w:w="1365" w:type="dxa"/>
            <w:vAlign w:val="center"/>
          </w:tcPr>
          <w:p w14:paraId="53799D95">
            <w:pPr>
              <w:jc w:val="center"/>
              <w:rPr>
                <w:color w:val="000000" w:themeColor="text1"/>
                <w:szCs w:val="21"/>
                <w:highlight w:val="none"/>
                <w14:textFill>
                  <w14:solidFill>
                    <w14:schemeClr w14:val="tx1"/>
                  </w14:solidFill>
                </w14:textFill>
              </w:rPr>
            </w:pPr>
          </w:p>
        </w:tc>
      </w:tr>
      <w:tr w14:paraId="45F6F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24CD881F">
            <w:pPr>
              <w:numPr>
                <w:ilvl w:val="0"/>
                <w:numId w:val="10"/>
              </w:numPr>
              <w:jc w:val="center"/>
              <w:rPr>
                <w:color w:val="000000" w:themeColor="text1"/>
                <w:szCs w:val="21"/>
                <w:highlight w:val="none"/>
                <w14:textFill>
                  <w14:solidFill>
                    <w14:schemeClr w14:val="tx1"/>
                  </w14:solidFill>
                </w14:textFill>
              </w:rPr>
            </w:pPr>
          </w:p>
        </w:tc>
        <w:tc>
          <w:tcPr>
            <w:tcW w:w="6510" w:type="dxa"/>
            <w:vAlign w:val="center"/>
          </w:tcPr>
          <w:p w14:paraId="7BEBE3CD">
            <w:pPr>
              <w:jc w:val="left"/>
              <w:rPr>
                <w:color w:val="000000" w:themeColor="text1"/>
                <w:szCs w:val="21"/>
                <w:highlight w:val="none"/>
                <w14:textFill>
                  <w14:solidFill>
                    <w14:schemeClr w14:val="tx1"/>
                  </w14:solidFill>
                </w14:textFill>
              </w:rPr>
            </w:pPr>
          </w:p>
        </w:tc>
        <w:tc>
          <w:tcPr>
            <w:tcW w:w="1365" w:type="dxa"/>
            <w:vAlign w:val="center"/>
          </w:tcPr>
          <w:p w14:paraId="238F27CF">
            <w:pPr>
              <w:jc w:val="center"/>
              <w:rPr>
                <w:color w:val="000000" w:themeColor="text1"/>
                <w:szCs w:val="21"/>
                <w:highlight w:val="none"/>
                <w14:textFill>
                  <w14:solidFill>
                    <w14:schemeClr w14:val="tx1"/>
                  </w14:solidFill>
                </w14:textFill>
              </w:rPr>
            </w:pPr>
          </w:p>
        </w:tc>
      </w:tr>
    </w:tbl>
    <w:p w14:paraId="2FAB05EE">
      <w:pPr>
        <w:spacing w:line="360" w:lineRule="auto"/>
        <w:rPr>
          <w:rFonts w:hint="eastAsia" w:ascii="宋体" w:hAnsi="宋体" w:cs="宋体"/>
          <w:b/>
          <w:bCs/>
          <w:color w:val="000000" w:themeColor="text1"/>
          <w:kern w:val="0"/>
          <w:sz w:val="22"/>
          <w:szCs w:val="22"/>
          <w:highlight w:val="none"/>
          <w14:textFill>
            <w14:solidFill>
              <w14:schemeClr w14:val="tx1"/>
            </w14:solidFill>
          </w14:textFill>
        </w:rPr>
      </w:pPr>
    </w:p>
    <w:p w14:paraId="4F0F4078">
      <w:pPr>
        <w:spacing w:line="360" w:lineRule="auto"/>
        <w:rPr>
          <w:color w:val="000000" w:themeColor="text1"/>
          <w:highlight w:val="none"/>
          <w14:textFill>
            <w14:solidFill>
              <w14:schemeClr w14:val="tx1"/>
            </w14:solidFill>
          </w14:textFill>
        </w:rPr>
      </w:pPr>
    </w:p>
    <w:p w14:paraId="109EB26A">
      <w:pPr>
        <w:spacing w:line="360" w:lineRule="auto"/>
        <w:rPr>
          <w:color w:val="000000" w:themeColor="text1"/>
          <w:highlight w:val="none"/>
          <w14:textFill>
            <w14:solidFill>
              <w14:schemeClr w14:val="tx1"/>
            </w14:solidFill>
          </w14:textFill>
        </w:rPr>
        <w:sectPr>
          <w:headerReference r:id="rId9" w:type="default"/>
          <w:pgSz w:w="11907" w:h="16840"/>
          <w:pgMar w:top="1417" w:right="1701" w:bottom="1417" w:left="1701" w:header="850" w:footer="1134" w:gutter="0"/>
          <w:pgNumType w:fmt="decimal"/>
          <w:cols w:space="0" w:num="1"/>
          <w:rtlGutter w:val="0"/>
          <w:docGrid w:linePitch="312" w:charSpace="0"/>
        </w:sectPr>
      </w:pPr>
    </w:p>
    <w:p w14:paraId="1FD461BB">
      <w:pPr>
        <w:pStyle w:val="2"/>
        <w:rPr>
          <w:color w:val="000000" w:themeColor="text1"/>
          <w:highlight w:val="none"/>
          <w14:textFill>
            <w14:solidFill>
              <w14:schemeClr w14:val="tx1"/>
            </w14:solidFill>
          </w14:textFill>
        </w:rPr>
      </w:pPr>
      <w:bookmarkStart w:id="1530" w:name="_Toc284135617"/>
      <w:r>
        <w:rPr>
          <w:color w:val="000000" w:themeColor="text1"/>
          <w:highlight w:val="none"/>
          <w14:textFill>
            <w14:solidFill>
              <w14:schemeClr w14:val="tx1"/>
            </w14:solidFill>
          </w14:textFill>
        </w:rPr>
        <w:t>第</w:t>
      </w:r>
      <w:r>
        <w:rPr>
          <w:rFonts w:hint="eastAsia"/>
          <w:color w:val="000000" w:themeColor="text1"/>
          <w:highlight w:val="none"/>
          <w14:textFill>
            <w14:solidFill>
              <w14:schemeClr w14:val="tx1"/>
            </w14:solidFill>
          </w14:textFill>
        </w:rPr>
        <w:t>五</w:t>
      </w:r>
      <w:r>
        <w:rPr>
          <w:color w:val="000000" w:themeColor="text1"/>
          <w:highlight w:val="none"/>
          <w14:textFill>
            <w14:solidFill>
              <w14:schemeClr w14:val="tx1"/>
            </w14:solidFill>
          </w14:textFill>
        </w:rPr>
        <w:t>篇  工程量清单</w:t>
      </w:r>
      <w:bookmarkEnd w:id="1530"/>
    </w:p>
    <w:p w14:paraId="31B5F5BC">
      <w:pPr>
        <w:pStyle w:val="3"/>
        <w:spacing w:before="240" w:beforeLines="100" w:after="120" w:afterLines="50" w:line="360" w:lineRule="auto"/>
        <w:jc w:val="center"/>
        <w:rPr>
          <w:rStyle w:val="46"/>
          <w:rFonts w:ascii="Times New Roman" w:hAnsi="Times New Roman" w:eastAsia="宋体"/>
          <w:b/>
          <w:bCs w:val="0"/>
          <w:color w:val="000000" w:themeColor="text1"/>
          <w:sz w:val="32"/>
          <w:highlight w:val="none"/>
          <w14:textFill>
            <w14:solidFill>
              <w14:schemeClr w14:val="tx1"/>
            </w14:solidFill>
          </w14:textFill>
        </w:rPr>
      </w:pPr>
      <w:bookmarkStart w:id="1531" w:name="_Toc53949139"/>
      <w:bookmarkStart w:id="1532" w:name="_Toc54280749"/>
      <w:bookmarkStart w:id="1533" w:name="_Toc54291505"/>
      <w:bookmarkStart w:id="1534" w:name="_Toc20578214"/>
      <w:bookmarkStart w:id="1535" w:name="_Toc145499813"/>
      <w:bookmarkStart w:id="1536" w:name="_Toc54278940"/>
      <w:bookmarkStart w:id="1537" w:name="_Toc54281601"/>
      <w:bookmarkStart w:id="1538" w:name="_Toc53946163"/>
      <w:bookmarkStart w:id="1539" w:name="_Toc284135618"/>
      <w:bookmarkStart w:id="1540" w:name="_Toc53948718"/>
      <w:bookmarkStart w:id="1541" w:name="_Toc53949560"/>
      <w:bookmarkStart w:id="1542" w:name="_Toc54280323"/>
      <w:bookmarkStart w:id="1543" w:name="_Toc144872159"/>
      <w:bookmarkStart w:id="1544" w:name="_Toc54281175"/>
      <w:r>
        <w:rPr>
          <w:rStyle w:val="46"/>
          <w:rFonts w:ascii="Times New Roman" w:hAnsi="Times New Roman" w:eastAsia="宋体"/>
          <w:b/>
          <w:bCs w:val="0"/>
          <w:color w:val="000000" w:themeColor="text1"/>
          <w:sz w:val="32"/>
          <w:highlight w:val="none"/>
          <w14:textFill>
            <w14:solidFill>
              <w14:schemeClr w14:val="tx1"/>
            </w14:solidFill>
          </w14:textFill>
        </w:rPr>
        <w:t>第一章  工程量清单一般要求</w:t>
      </w:r>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p>
    <w:p w14:paraId="2CA10CFB">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bookmarkStart w:id="1545" w:name="_Toc54281602"/>
      <w:bookmarkStart w:id="1546" w:name="_Toc54281176"/>
      <w:bookmarkStart w:id="1547" w:name="_Toc53948719"/>
      <w:bookmarkStart w:id="1548" w:name="_Toc53916580"/>
      <w:bookmarkStart w:id="1549" w:name="_Toc54278941"/>
      <w:bookmarkStart w:id="1550" w:name="_Toc53949561"/>
      <w:bookmarkStart w:id="1551" w:name="_Toc53919178"/>
      <w:bookmarkStart w:id="1552" w:name="_Toc53946164"/>
      <w:bookmarkStart w:id="1553" w:name="_Toc54291506"/>
      <w:bookmarkStart w:id="1554" w:name="_Toc53936890"/>
      <w:bookmarkStart w:id="1555" w:name="_Toc53939961"/>
      <w:bookmarkStart w:id="1556" w:name="_Toc54280750"/>
      <w:bookmarkStart w:id="1557" w:name="_Toc54280324"/>
      <w:bookmarkStart w:id="1558" w:name="_Toc20578215"/>
      <w:bookmarkStart w:id="1559" w:name="_Toc145499814"/>
      <w:bookmarkStart w:id="1560" w:name="_Toc144872160"/>
      <w:bookmarkStart w:id="1561" w:name="_Toc53949140"/>
      <w:r>
        <w:rPr>
          <w:rStyle w:val="46"/>
          <w:rFonts w:ascii="Times New Roman" w:hAnsi="Times New Roman" w:eastAsia="宋体" w:cs="Times New Roman"/>
          <w:b/>
          <w:bCs w:val="0"/>
          <w:color w:val="000000" w:themeColor="text1"/>
          <w:szCs w:val="24"/>
          <w:highlight w:val="none"/>
          <w14:textFill>
            <w14:solidFill>
              <w14:schemeClr w14:val="tx1"/>
            </w14:solidFill>
          </w14:textFill>
        </w:rPr>
        <w:t>1.设置范围</w:t>
      </w:r>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p>
    <w:p w14:paraId="397BD14D">
      <w:pPr>
        <w:spacing w:line="360" w:lineRule="auto"/>
        <w:ind w:left="735" w:leftChars="200" w:hanging="315" w:hangingChars="15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1.1工程量清单</w:t>
      </w:r>
      <w:r>
        <w:rPr>
          <w:rFonts w:hint="eastAsia"/>
          <w:color w:val="000000" w:themeColor="text1"/>
          <w:szCs w:val="21"/>
          <w:highlight w:val="none"/>
          <w14:textFill>
            <w14:solidFill>
              <w14:schemeClr w14:val="tx1"/>
            </w14:solidFill>
          </w14:textFill>
        </w:rPr>
        <w:t>依据现行国家、行业规范标准，按照图纸和工程情况进行编制</w:t>
      </w:r>
      <w:r>
        <w:rPr>
          <w:color w:val="000000" w:themeColor="text1"/>
          <w:szCs w:val="21"/>
          <w:highlight w:val="none"/>
          <w14:textFill>
            <w14:solidFill>
              <w14:schemeClr w14:val="tx1"/>
            </w14:solidFill>
          </w14:textFill>
        </w:rPr>
        <w:t>。</w:t>
      </w:r>
    </w:p>
    <w:p w14:paraId="5E1941D3">
      <w:pPr>
        <w:spacing w:line="360" w:lineRule="auto"/>
        <w:ind w:left="735" w:leftChars="200" w:hanging="315" w:hangingChars="15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本合同分部分项工程量清单各细目所报单价除非合同另有规定，均应包括了为实施和完成合同工程所需的</w:t>
      </w:r>
      <w:r>
        <w:rPr>
          <w:rFonts w:hint="eastAsia"/>
          <w:color w:val="000000" w:themeColor="text1"/>
          <w:szCs w:val="21"/>
          <w:highlight w:val="none"/>
          <w14:textFill>
            <w14:solidFill>
              <w14:schemeClr w14:val="tx1"/>
            </w14:solidFill>
          </w14:textFill>
        </w:rPr>
        <w:t>劳务、材料、机械、措施、检测、质检、安装、缺陷修复、资料、保险、管理费、利润、规费、税金等费用、以及采购文件明示或暗示的所有责任、义务和合同约定的风险。</w:t>
      </w:r>
    </w:p>
    <w:p w14:paraId="09FF271A">
      <w:pPr>
        <w:spacing w:line="360" w:lineRule="auto"/>
        <w:ind w:left="735" w:leftChars="200" w:hanging="315" w:hangingChars="15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1.3</w:t>
      </w:r>
      <w:r>
        <w:rPr>
          <w:color w:val="000000" w:themeColor="text1"/>
          <w:szCs w:val="21"/>
          <w:highlight w:val="none"/>
          <w14:textFill>
            <w14:solidFill>
              <w14:schemeClr w14:val="tx1"/>
            </w14:solidFill>
          </w14:textFill>
        </w:rPr>
        <w:t>安全防护、文明施工措施费</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包括环境保护、文明施工、安全施工、临时设施</w:t>
      </w:r>
      <w:r>
        <w:rPr>
          <w:rFonts w:hint="eastAsia"/>
          <w:color w:val="000000" w:themeColor="text1"/>
          <w:szCs w:val="21"/>
          <w:highlight w:val="none"/>
          <w14:textFill>
            <w14:solidFill>
              <w14:schemeClr w14:val="tx1"/>
            </w14:solidFill>
          </w14:textFill>
        </w:rPr>
        <w:t>和施工围挡共五项</w:t>
      </w:r>
      <w:r>
        <w:rPr>
          <w:color w:val="000000" w:themeColor="text1"/>
          <w:szCs w:val="21"/>
          <w:highlight w:val="none"/>
          <w14:textFill>
            <w14:solidFill>
              <w14:schemeClr w14:val="tx1"/>
            </w14:solidFill>
          </w14:textFill>
        </w:rPr>
        <w:t>措施</w:t>
      </w:r>
      <w:r>
        <w:rPr>
          <w:rFonts w:hint="eastAsia"/>
          <w:color w:val="000000" w:themeColor="text1"/>
          <w:szCs w:val="21"/>
          <w:highlight w:val="none"/>
          <w14:textFill>
            <w14:solidFill>
              <w14:schemeClr w14:val="tx1"/>
            </w14:solidFill>
          </w14:textFill>
        </w:rPr>
        <w:t>）是乙方根据施工情况投入到本工程的安全生产、环保及文明施工费用，以完成工作量的</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u w:val="single"/>
          <w:lang w:val="en-US" w:eastAsia="zh-CN"/>
          <w14:textFill>
            <w14:solidFill>
              <w14:schemeClr w14:val="tx1"/>
            </w14:solidFill>
          </w14:textFill>
        </w:rPr>
        <w:t>1.5</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作为最高限计算，具体计量以采购人安全部与合约部共同确定的方法为准。</w:t>
      </w:r>
    </w:p>
    <w:p w14:paraId="1C8BD60E">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bookmarkStart w:id="1562" w:name="_Toc54291508"/>
      <w:bookmarkStart w:id="1563" w:name="_Toc53939963"/>
      <w:bookmarkStart w:id="1564" w:name="_Toc53949563"/>
      <w:bookmarkStart w:id="1565" w:name="_Toc145499816"/>
      <w:bookmarkStart w:id="1566" w:name="_Toc144872162"/>
      <w:bookmarkStart w:id="1567" w:name="_Toc53916582"/>
      <w:bookmarkStart w:id="1568" w:name="_Toc53919180"/>
      <w:bookmarkStart w:id="1569" w:name="_Toc54278943"/>
      <w:bookmarkStart w:id="1570" w:name="_Toc54281604"/>
      <w:bookmarkStart w:id="1571" w:name="_Toc53946166"/>
      <w:bookmarkStart w:id="1572" w:name="_Toc53949142"/>
      <w:bookmarkStart w:id="1573" w:name="_Toc54280326"/>
      <w:bookmarkStart w:id="1574" w:name="_Toc54280752"/>
      <w:bookmarkStart w:id="1575" w:name="_Toc53936892"/>
      <w:bookmarkStart w:id="1576" w:name="_Toc54281178"/>
      <w:bookmarkStart w:id="1577" w:name="_Toc53948721"/>
      <w:bookmarkStart w:id="1578" w:name="_Toc20578217"/>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2</w:t>
      </w:r>
      <w:r>
        <w:rPr>
          <w:rStyle w:val="46"/>
          <w:rFonts w:ascii="Times New Roman" w:hAnsi="Times New Roman" w:eastAsia="宋体" w:cs="Times New Roman"/>
          <w:b/>
          <w:bCs w:val="0"/>
          <w:color w:val="000000" w:themeColor="text1"/>
          <w:szCs w:val="24"/>
          <w:highlight w:val="none"/>
          <w14:textFill>
            <w14:solidFill>
              <w14:schemeClr w14:val="tx1"/>
            </w14:solidFill>
          </w14:textFill>
        </w:rPr>
        <w:t>.工程量的确定</w:t>
      </w:r>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p>
    <w:p w14:paraId="3B9FA71C">
      <w:pPr>
        <w:spacing w:line="360" w:lineRule="auto"/>
        <w:ind w:left="735" w:leftChars="200" w:hanging="315" w:hangingChars="15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2.1工程量清单中所列工程数量</w:t>
      </w:r>
      <w:r>
        <w:rPr>
          <w:rFonts w:hint="eastAsia"/>
          <w:color w:val="000000" w:themeColor="text1"/>
          <w:szCs w:val="21"/>
          <w:highlight w:val="none"/>
          <w14:textFill>
            <w14:solidFill>
              <w14:schemeClr w14:val="tx1"/>
            </w14:solidFill>
          </w14:textFill>
        </w:rPr>
        <w:t>为暂估量</w:t>
      </w:r>
      <w:r>
        <w:rPr>
          <w:color w:val="000000" w:themeColor="text1"/>
          <w:szCs w:val="21"/>
          <w:highlight w:val="none"/>
          <w14:textFill>
            <w14:solidFill>
              <w14:schemeClr w14:val="tx1"/>
            </w14:solidFill>
          </w14:textFill>
        </w:rPr>
        <w:t>，仅作为</w:t>
      </w:r>
      <w:r>
        <w:rPr>
          <w:rFonts w:hint="eastAsia"/>
          <w:color w:val="000000" w:themeColor="text1"/>
          <w:szCs w:val="21"/>
          <w:highlight w:val="none"/>
          <w14:textFill>
            <w14:solidFill>
              <w14:schemeClr w14:val="tx1"/>
            </w14:solidFill>
          </w14:textFill>
        </w:rPr>
        <w:t>报价</w:t>
      </w:r>
      <w:r>
        <w:rPr>
          <w:color w:val="000000" w:themeColor="text1"/>
          <w:szCs w:val="21"/>
          <w:highlight w:val="none"/>
          <w14:textFill>
            <w14:solidFill>
              <w14:schemeClr w14:val="tx1"/>
            </w14:solidFill>
          </w14:textFill>
        </w:rPr>
        <w:t>的共同基础，不作为最终结算与支付的依据。</w:t>
      </w:r>
    </w:p>
    <w:p w14:paraId="76DAB6B5">
      <w:pPr>
        <w:spacing w:line="360" w:lineRule="auto"/>
        <w:ind w:left="735" w:leftChars="200" w:hanging="315" w:hangingChars="15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.2实际支付应</w:t>
      </w:r>
      <w:r>
        <w:rPr>
          <w:rFonts w:hint="eastAsia"/>
          <w:color w:val="000000" w:themeColor="text1"/>
          <w:szCs w:val="21"/>
          <w:highlight w:val="none"/>
          <w14:textFill>
            <w14:solidFill>
              <w14:schemeClr w14:val="tx1"/>
            </w14:solidFill>
          </w14:textFill>
        </w:rPr>
        <w:t>以</w:t>
      </w:r>
      <w:r>
        <w:rPr>
          <w:color w:val="000000" w:themeColor="text1"/>
          <w:szCs w:val="21"/>
          <w:highlight w:val="none"/>
          <w14:textFill>
            <w14:solidFill>
              <w14:schemeClr w14:val="tx1"/>
            </w14:solidFill>
          </w14:textFill>
        </w:rPr>
        <w:t>承包人实际完成的工程量，按合同约定的计量方法和计量规则，经</w:t>
      </w:r>
      <w:r>
        <w:rPr>
          <w:rFonts w:hint="eastAsia"/>
          <w:color w:val="000000" w:themeColor="text1"/>
          <w:szCs w:val="21"/>
          <w:highlight w:val="none"/>
          <w14:textFill>
            <w14:solidFill>
              <w14:schemeClr w14:val="tx1"/>
            </w14:solidFill>
          </w14:textFill>
        </w:rPr>
        <w:t>采购</w:t>
      </w:r>
      <w:r>
        <w:rPr>
          <w:color w:val="000000" w:themeColor="text1"/>
          <w:szCs w:val="21"/>
          <w:highlight w:val="none"/>
          <w14:textFill>
            <w14:solidFill>
              <w14:schemeClr w14:val="tx1"/>
            </w14:solidFill>
          </w14:textFill>
        </w:rPr>
        <w:t>人认可或同意为准。</w:t>
      </w:r>
    </w:p>
    <w:p w14:paraId="3FA04048">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bookmarkStart w:id="1579" w:name="_Toc53949143"/>
      <w:bookmarkStart w:id="1580" w:name="_Toc53939964"/>
      <w:bookmarkStart w:id="1581" w:name="_Toc20578218"/>
      <w:bookmarkStart w:id="1582" w:name="_Toc54281179"/>
      <w:bookmarkStart w:id="1583" w:name="_Toc53916583"/>
      <w:bookmarkStart w:id="1584" w:name="_Toc54278944"/>
      <w:bookmarkStart w:id="1585" w:name="_Toc53936893"/>
      <w:bookmarkStart w:id="1586" w:name="_Toc53948722"/>
      <w:bookmarkStart w:id="1587" w:name="_Toc53946167"/>
      <w:bookmarkStart w:id="1588" w:name="_Toc54280753"/>
      <w:bookmarkStart w:id="1589" w:name="_Toc54281605"/>
      <w:bookmarkStart w:id="1590" w:name="_Toc53919181"/>
      <w:bookmarkStart w:id="1591" w:name="_Toc145499817"/>
      <w:bookmarkStart w:id="1592" w:name="_Toc144872163"/>
      <w:bookmarkStart w:id="1593" w:name="_Toc54291509"/>
      <w:bookmarkStart w:id="1594" w:name="_Toc53949564"/>
      <w:bookmarkStart w:id="1595" w:name="_Toc54280327"/>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3</w:t>
      </w:r>
      <w:r>
        <w:rPr>
          <w:rStyle w:val="46"/>
          <w:rFonts w:ascii="Times New Roman" w:hAnsi="Times New Roman" w:eastAsia="宋体" w:cs="Times New Roman"/>
          <w:b/>
          <w:bCs w:val="0"/>
          <w:color w:val="000000" w:themeColor="text1"/>
          <w:szCs w:val="24"/>
          <w:highlight w:val="none"/>
          <w14:textFill>
            <w14:solidFill>
              <w14:schemeClr w14:val="tx1"/>
            </w14:solidFill>
          </w14:textFill>
        </w:rPr>
        <w:t>.计量规则</w:t>
      </w:r>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p>
    <w:p w14:paraId="01CECDD2">
      <w:pPr>
        <w:spacing w:line="360" w:lineRule="auto"/>
        <w:ind w:left="735" w:leftChars="200" w:hanging="315" w:hangingChars="150"/>
        <w:rPr>
          <w:color w:val="000000" w:themeColor="text1"/>
          <w:szCs w:val="21"/>
          <w:highlight w:val="none"/>
          <w14:textFill>
            <w14:solidFill>
              <w14:schemeClr w14:val="tx1"/>
            </w14:solidFill>
          </w14:textFill>
        </w:rPr>
      </w:pPr>
      <w:bookmarkStart w:id="1596" w:name="_Toc38359629"/>
      <w:bookmarkStart w:id="1597" w:name="_Toc41820523"/>
      <w:bookmarkStart w:id="1598" w:name="_Toc20578219"/>
      <w:bookmarkStart w:id="1599" w:name="_Toc53936894"/>
      <w:bookmarkStart w:id="1600" w:name="_Toc53916584"/>
      <w:bookmarkStart w:id="1601" w:name="_Toc53939965"/>
      <w:bookmarkStart w:id="1602" w:name="_Toc53919182"/>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.1计量工作应按合同条款约定的程序进行，所计量的分部分项工程质量必须达到合同约定及国家现行规范要求。</w:t>
      </w:r>
    </w:p>
    <w:p w14:paraId="75BAA596">
      <w:pPr>
        <w:spacing w:line="360" w:lineRule="auto"/>
        <w:ind w:left="735" w:leftChars="200" w:hanging="315" w:hangingChars="15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.2各工程项目中已包括的所有材料</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包括钢筋搭接</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及工作损耗均不单独计量</w:t>
      </w:r>
      <w:r>
        <w:rPr>
          <w:rFonts w:hint="eastAsia"/>
          <w:color w:val="000000" w:themeColor="text1"/>
          <w:szCs w:val="21"/>
          <w:highlight w:val="none"/>
          <w14:textFill>
            <w14:solidFill>
              <w14:schemeClr w14:val="tx1"/>
            </w14:solidFill>
          </w14:textFill>
        </w:rPr>
        <w:t>，应综合考虑在报价的单价中</w:t>
      </w:r>
      <w:r>
        <w:rPr>
          <w:color w:val="000000" w:themeColor="text1"/>
          <w:szCs w:val="21"/>
          <w:highlight w:val="none"/>
          <w14:textFill>
            <w14:solidFill>
              <w14:schemeClr w14:val="tx1"/>
            </w14:solidFill>
          </w14:textFill>
        </w:rPr>
        <w:t>。</w:t>
      </w:r>
    </w:p>
    <w:bookmarkEnd w:id="1596"/>
    <w:bookmarkEnd w:id="1597"/>
    <w:p w14:paraId="146F6375">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bookmarkStart w:id="1603" w:name="_Toc54281180"/>
      <w:bookmarkStart w:id="1604" w:name="_Toc53946168"/>
      <w:bookmarkStart w:id="1605" w:name="_Toc54291510"/>
      <w:bookmarkStart w:id="1606" w:name="_Toc53949565"/>
      <w:bookmarkStart w:id="1607" w:name="_Toc54281606"/>
      <w:bookmarkStart w:id="1608" w:name="_Toc53949144"/>
      <w:bookmarkStart w:id="1609" w:name="_Toc144872164"/>
      <w:bookmarkStart w:id="1610" w:name="_Toc54280328"/>
      <w:bookmarkStart w:id="1611" w:name="_Toc54278945"/>
      <w:bookmarkStart w:id="1612" w:name="_Toc54280754"/>
      <w:bookmarkStart w:id="1613" w:name="_Toc53948723"/>
      <w:bookmarkStart w:id="1614" w:name="_Toc145499818"/>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4</w:t>
      </w:r>
      <w:r>
        <w:rPr>
          <w:rStyle w:val="46"/>
          <w:rFonts w:ascii="Times New Roman" w:hAnsi="Times New Roman" w:eastAsia="宋体" w:cs="Times New Roman"/>
          <w:b/>
          <w:bCs w:val="0"/>
          <w:color w:val="000000" w:themeColor="text1"/>
          <w:szCs w:val="24"/>
          <w:highlight w:val="none"/>
          <w14:textFill>
            <w14:solidFill>
              <w14:schemeClr w14:val="tx1"/>
            </w14:solidFill>
          </w14:textFill>
        </w:rPr>
        <w:t>.计量精度</w:t>
      </w:r>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p>
    <w:p w14:paraId="4CA0F692">
      <w:pPr>
        <w:spacing w:line="360" w:lineRule="auto"/>
        <w:ind w:left="735" w:leftChars="200" w:hanging="315" w:hangingChars="150"/>
        <w:rPr>
          <w:color w:val="000000" w:themeColor="text1"/>
          <w:szCs w:val="21"/>
          <w:highlight w:val="none"/>
          <w14:textFill>
            <w14:solidFill>
              <w14:schemeClr w14:val="tx1"/>
            </w14:solidFill>
          </w14:textFill>
        </w:rPr>
      </w:pPr>
      <w:bookmarkStart w:id="1615" w:name="_Toc284135619"/>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单价精确到人民币“分”。</w:t>
      </w:r>
    </w:p>
    <w:p w14:paraId="49775B0B">
      <w:pPr>
        <w:spacing w:line="360" w:lineRule="auto"/>
        <w:ind w:left="735" w:leftChars="200" w:hanging="315" w:hangingChars="150"/>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4.2工程量精确到两位小数。</w:t>
      </w:r>
    </w:p>
    <w:p w14:paraId="14672FBC">
      <w:pPr>
        <w:spacing w:line="360" w:lineRule="auto"/>
        <w:ind w:left="735" w:leftChars="200" w:hanging="315" w:hangingChars="15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3</w:t>
      </w:r>
      <w:r>
        <w:rPr>
          <w:color w:val="000000" w:themeColor="text1"/>
          <w:szCs w:val="21"/>
          <w:highlight w:val="none"/>
          <w14:textFill>
            <w14:solidFill>
              <w14:schemeClr w14:val="tx1"/>
            </w14:solidFill>
          </w14:textFill>
        </w:rPr>
        <w:t>合价</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工程数量与单价的乘积</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精确到人民币“元”。</w:t>
      </w:r>
    </w:p>
    <w:p w14:paraId="10814965">
      <w:pPr>
        <w:pStyle w:val="3"/>
        <w:spacing w:before="240" w:beforeLines="100" w:after="120" w:afterLines="50" w:line="360" w:lineRule="auto"/>
        <w:jc w:val="center"/>
        <w:rPr>
          <w:rStyle w:val="46"/>
          <w:rFonts w:ascii="Times New Roman" w:hAnsi="Times New Roman" w:eastAsia="宋体"/>
          <w:b/>
          <w:bCs/>
          <w:color w:val="000000" w:themeColor="text1"/>
          <w:sz w:val="28"/>
          <w:szCs w:val="28"/>
          <w:highlight w:val="none"/>
          <w14:textFill>
            <w14:solidFill>
              <w14:schemeClr w14:val="tx1"/>
            </w14:solidFill>
          </w14:textFill>
        </w:rPr>
        <w:sectPr>
          <w:headerReference r:id="rId10" w:type="default"/>
          <w:pgSz w:w="11907" w:h="16840"/>
          <w:pgMar w:top="1417" w:right="1701" w:bottom="1417" w:left="1701" w:header="850" w:footer="1134" w:gutter="0"/>
          <w:pgNumType w:fmt="decimal"/>
          <w:cols w:space="0" w:num="1"/>
          <w:rtlGutter w:val="0"/>
          <w:docGrid w:linePitch="312" w:charSpace="0"/>
        </w:sectPr>
      </w:pPr>
    </w:p>
    <w:p w14:paraId="3E477CAE">
      <w:pPr>
        <w:pStyle w:val="3"/>
        <w:spacing w:before="240" w:beforeLines="100" w:after="120" w:afterLines="50" w:line="360" w:lineRule="auto"/>
        <w:jc w:val="center"/>
        <w:rPr>
          <w:rStyle w:val="46"/>
          <w:rFonts w:ascii="Times New Roman" w:hAnsi="Times New Roman" w:eastAsia="宋体"/>
          <w:b/>
          <w:bCs w:val="0"/>
          <w:color w:val="000000" w:themeColor="text1"/>
          <w:sz w:val="32"/>
          <w:highlight w:val="none"/>
          <w14:textFill>
            <w14:solidFill>
              <w14:schemeClr w14:val="tx1"/>
            </w14:solidFill>
          </w14:textFill>
        </w:rPr>
      </w:pPr>
      <w:r>
        <w:rPr>
          <w:rStyle w:val="46"/>
          <w:rFonts w:ascii="Times New Roman" w:hAnsi="Times New Roman" w:eastAsia="宋体"/>
          <w:b/>
          <w:bCs w:val="0"/>
          <w:color w:val="000000" w:themeColor="text1"/>
          <w:sz w:val="32"/>
          <w:highlight w:val="none"/>
          <w14:textFill>
            <w14:solidFill>
              <w14:schemeClr w14:val="tx1"/>
            </w14:solidFill>
          </w14:textFill>
        </w:rPr>
        <w:t>第</w:t>
      </w:r>
      <w:r>
        <w:rPr>
          <w:rStyle w:val="46"/>
          <w:rFonts w:hint="eastAsia" w:ascii="Times New Roman" w:hAnsi="Times New Roman" w:eastAsia="宋体"/>
          <w:b/>
          <w:bCs w:val="0"/>
          <w:color w:val="000000" w:themeColor="text1"/>
          <w:sz w:val="32"/>
          <w:highlight w:val="none"/>
          <w14:textFill>
            <w14:solidFill>
              <w14:schemeClr w14:val="tx1"/>
            </w14:solidFill>
          </w14:textFill>
        </w:rPr>
        <w:t>二</w:t>
      </w:r>
      <w:r>
        <w:rPr>
          <w:rStyle w:val="46"/>
          <w:rFonts w:ascii="Times New Roman" w:hAnsi="Times New Roman" w:eastAsia="宋体"/>
          <w:b/>
          <w:bCs w:val="0"/>
          <w:color w:val="000000" w:themeColor="text1"/>
          <w:sz w:val="32"/>
          <w:highlight w:val="none"/>
          <w14:textFill>
            <w14:solidFill>
              <w14:schemeClr w14:val="tx1"/>
            </w14:solidFill>
          </w14:textFill>
        </w:rPr>
        <w:t>章  工程量清单</w:t>
      </w:r>
      <w:bookmarkEnd w:id="1615"/>
    </w:p>
    <w:p w14:paraId="5786E75E">
      <w:pPr>
        <w:pStyle w:val="3"/>
        <w:spacing w:before="240" w:beforeLines="100" w:after="120" w:afterLines="50" w:line="360" w:lineRule="auto"/>
        <w:rPr>
          <w:rStyle w:val="46"/>
          <w:rFonts w:ascii="Times New Roman" w:hAnsi="Times New Roman" w:eastAsia="宋体"/>
          <w:b w:val="0"/>
          <w:bCs w:val="0"/>
          <w:color w:val="000000" w:themeColor="text1"/>
          <w:szCs w:val="24"/>
          <w:highlight w:val="none"/>
          <w14:textFill>
            <w14:solidFill>
              <w14:schemeClr w14:val="tx1"/>
            </w14:solidFill>
          </w14:textFill>
        </w:rPr>
      </w:pPr>
      <w:bookmarkStart w:id="1616" w:name="OLE_LINK3"/>
      <w:r>
        <w:rPr>
          <w:rStyle w:val="46"/>
          <w:rFonts w:hint="eastAsia" w:ascii="Times New Roman" w:hAnsi="Times New Roman" w:eastAsia="宋体"/>
          <w:b/>
          <w:bCs w:val="0"/>
          <w:color w:val="000000" w:themeColor="text1"/>
          <w:szCs w:val="24"/>
          <w:highlight w:val="none"/>
          <w14:textFill>
            <w14:solidFill>
              <w14:schemeClr w14:val="tx1"/>
            </w14:solidFill>
          </w14:textFill>
        </w:rPr>
        <w:t>5</w:t>
      </w:r>
      <w:r>
        <w:rPr>
          <w:rStyle w:val="46"/>
          <w:rFonts w:ascii="Times New Roman" w:hAnsi="Times New Roman" w:eastAsia="宋体"/>
          <w:b/>
          <w:bCs w:val="0"/>
          <w:color w:val="000000" w:themeColor="text1"/>
          <w:szCs w:val="24"/>
          <w:highlight w:val="none"/>
          <w14:textFill>
            <w14:solidFill>
              <w14:schemeClr w14:val="tx1"/>
            </w14:solidFill>
          </w14:textFill>
        </w:rPr>
        <w:t>.工程量清单</w:t>
      </w:r>
      <w:r>
        <w:rPr>
          <w:rStyle w:val="46"/>
          <w:rFonts w:hint="eastAsia" w:ascii="Times New Roman" w:hAnsi="Times New Roman" w:eastAsia="宋体"/>
          <w:b w:val="0"/>
          <w:bCs w:val="0"/>
          <w:color w:val="000000" w:themeColor="text1"/>
          <w:szCs w:val="24"/>
          <w:highlight w:val="none"/>
          <w14:textFill>
            <w14:solidFill>
              <w14:schemeClr w14:val="tx1"/>
            </w14:solidFill>
          </w14:textFill>
        </w:rPr>
        <w:t>（必须为excel格式）</w:t>
      </w:r>
    </w:p>
    <w:p w14:paraId="6D66D7EA">
      <w:pPr>
        <w:spacing w:line="360" w:lineRule="auto"/>
        <w:ind w:left="422" w:hanging="422" w:hangingChars="150"/>
        <w:jc w:val="center"/>
        <w:rPr>
          <w:b/>
          <w:bCs/>
          <w:color w:val="000000" w:themeColor="text1"/>
          <w:sz w:val="28"/>
          <w:szCs w:val="28"/>
          <w:highlight w:val="none"/>
          <w14:textFill>
            <w14:solidFill>
              <w14:schemeClr w14:val="tx1"/>
            </w14:solidFill>
          </w14:textFill>
        </w:rPr>
      </w:pPr>
      <w:r>
        <w:rPr>
          <w:rFonts w:hint="eastAsia"/>
          <w:b/>
          <w:bCs/>
          <w:color w:val="000000" w:themeColor="text1"/>
          <w:sz w:val="28"/>
          <w:szCs w:val="28"/>
          <w:highlight w:val="none"/>
          <w14:textFill>
            <w14:solidFill>
              <w14:schemeClr w14:val="tx1"/>
            </w14:solidFill>
          </w14:textFill>
        </w:rPr>
        <w:t>XX工程量清单</w:t>
      </w:r>
    </w:p>
    <w:p w14:paraId="1D7612E3">
      <w:pPr>
        <w:spacing w:line="360" w:lineRule="auto"/>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工程名称：</w:t>
      </w:r>
    </w:p>
    <w:bookmarkEnd w:id="1616"/>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
        <w:gridCol w:w="549"/>
        <w:gridCol w:w="607"/>
        <w:gridCol w:w="549"/>
        <w:gridCol w:w="411"/>
        <w:gridCol w:w="411"/>
        <w:gridCol w:w="607"/>
        <w:gridCol w:w="802"/>
        <w:gridCol w:w="411"/>
        <w:gridCol w:w="411"/>
        <w:gridCol w:w="802"/>
        <w:gridCol w:w="803"/>
        <w:gridCol w:w="608"/>
        <w:gridCol w:w="608"/>
        <w:gridCol w:w="731"/>
      </w:tblGrid>
      <w:tr w14:paraId="18625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3" w:type="pct"/>
            <w:vMerge w:val="restart"/>
            <w:vAlign w:val="center"/>
          </w:tcPr>
          <w:p w14:paraId="55BF5113">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序号</w:t>
            </w:r>
          </w:p>
        </w:tc>
        <w:tc>
          <w:tcPr>
            <w:tcW w:w="365" w:type="pct"/>
            <w:vMerge w:val="restart"/>
            <w:vAlign w:val="center"/>
          </w:tcPr>
          <w:p w14:paraId="2796321A">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清单项目</w:t>
            </w:r>
          </w:p>
        </w:tc>
        <w:tc>
          <w:tcPr>
            <w:tcW w:w="470" w:type="pct"/>
            <w:vMerge w:val="restart"/>
            <w:vAlign w:val="center"/>
          </w:tcPr>
          <w:p w14:paraId="480CCE03">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项目特征（按需填写）</w:t>
            </w:r>
          </w:p>
        </w:tc>
        <w:tc>
          <w:tcPr>
            <w:tcW w:w="472" w:type="pct"/>
            <w:vMerge w:val="restart"/>
            <w:vAlign w:val="center"/>
          </w:tcPr>
          <w:p w14:paraId="2E481644">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工作内容</w:t>
            </w:r>
          </w:p>
        </w:tc>
        <w:tc>
          <w:tcPr>
            <w:tcW w:w="280" w:type="pct"/>
            <w:vMerge w:val="restart"/>
            <w:vAlign w:val="center"/>
          </w:tcPr>
          <w:p w14:paraId="1E8B0BFE">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工程量计算规则</w:t>
            </w:r>
          </w:p>
        </w:tc>
        <w:tc>
          <w:tcPr>
            <w:tcW w:w="233" w:type="pct"/>
            <w:vMerge w:val="restart"/>
            <w:vAlign w:val="center"/>
          </w:tcPr>
          <w:p w14:paraId="5757C838">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计量单位</w:t>
            </w:r>
          </w:p>
        </w:tc>
        <w:tc>
          <w:tcPr>
            <w:tcW w:w="277" w:type="pct"/>
            <w:vMerge w:val="restart"/>
            <w:vAlign w:val="center"/>
          </w:tcPr>
          <w:p w14:paraId="5DA8E7FB">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工程量</w:t>
            </w:r>
          </w:p>
          <w:p w14:paraId="33D867A5">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（暂估）</w:t>
            </w:r>
          </w:p>
        </w:tc>
        <w:tc>
          <w:tcPr>
            <w:tcW w:w="778" w:type="pct"/>
            <w:gridSpan w:val="3"/>
            <w:vAlign w:val="center"/>
          </w:tcPr>
          <w:p w14:paraId="100CE828">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单价</w:t>
            </w:r>
          </w:p>
        </w:tc>
        <w:tc>
          <w:tcPr>
            <w:tcW w:w="299" w:type="pct"/>
            <w:vMerge w:val="restart"/>
            <w:vAlign w:val="center"/>
          </w:tcPr>
          <w:p w14:paraId="5A32F762">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不含增值税合价</w:t>
            </w:r>
          </w:p>
          <w:p w14:paraId="704954EC">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（元）</w:t>
            </w:r>
          </w:p>
        </w:tc>
        <w:tc>
          <w:tcPr>
            <w:tcW w:w="314" w:type="pct"/>
            <w:vMerge w:val="restart"/>
            <w:vAlign w:val="center"/>
          </w:tcPr>
          <w:p w14:paraId="484BD845">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含增值税合价</w:t>
            </w:r>
          </w:p>
          <w:p w14:paraId="20B4B6B2">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（元）</w:t>
            </w:r>
          </w:p>
        </w:tc>
        <w:tc>
          <w:tcPr>
            <w:tcW w:w="431" w:type="pct"/>
            <w:vMerge w:val="restart"/>
            <w:vAlign w:val="center"/>
          </w:tcPr>
          <w:p w14:paraId="4FD18628">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其中人工费单价（含税）</w:t>
            </w:r>
          </w:p>
        </w:tc>
        <w:tc>
          <w:tcPr>
            <w:tcW w:w="431" w:type="pct"/>
            <w:vMerge w:val="restart"/>
            <w:vAlign w:val="center"/>
          </w:tcPr>
          <w:p w14:paraId="34148EEA">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其中人工费合价（含税）</w:t>
            </w:r>
          </w:p>
        </w:tc>
        <w:tc>
          <w:tcPr>
            <w:tcW w:w="458" w:type="pct"/>
            <w:vMerge w:val="restart"/>
            <w:vAlign w:val="center"/>
          </w:tcPr>
          <w:p w14:paraId="13BB6D72">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备注</w:t>
            </w:r>
          </w:p>
        </w:tc>
      </w:tr>
      <w:tr w14:paraId="1931A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93" w:type="pct"/>
            <w:vMerge w:val="continue"/>
            <w:vAlign w:val="center"/>
          </w:tcPr>
          <w:p w14:paraId="0FD6CA93">
            <w:pPr>
              <w:jc w:val="center"/>
              <w:rPr>
                <w:color w:val="000000" w:themeColor="text1"/>
                <w:szCs w:val="21"/>
                <w:highlight w:val="none"/>
                <w14:textFill>
                  <w14:solidFill>
                    <w14:schemeClr w14:val="tx1"/>
                  </w14:solidFill>
                </w14:textFill>
              </w:rPr>
            </w:pPr>
          </w:p>
        </w:tc>
        <w:tc>
          <w:tcPr>
            <w:tcW w:w="365" w:type="pct"/>
            <w:vMerge w:val="continue"/>
            <w:vAlign w:val="center"/>
          </w:tcPr>
          <w:p w14:paraId="3E262353">
            <w:pPr>
              <w:jc w:val="center"/>
              <w:rPr>
                <w:color w:val="000000" w:themeColor="text1"/>
                <w:szCs w:val="21"/>
                <w:highlight w:val="none"/>
                <w14:textFill>
                  <w14:solidFill>
                    <w14:schemeClr w14:val="tx1"/>
                  </w14:solidFill>
                </w14:textFill>
              </w:rPr>
            </w:pPr>
          </w:p>
        </w:tc>
        <w:tc>
          <w:tcPr>
            <w:tcW w:w="470" w:type="pct"/>
            <w:vMerge w:val="continue"/>
            <w:vAlign w:val="center"/>
          </w:tcPr>
          <w:p w14:paraId="5825EA49">
            <w:pPr>
              <w:jc w:val="center"/>
              <w:rPr>
                <w:color w:val="000000" w:themeColor="text1"/>
                <w:szCs w:val="21"/>
                <w:highlight w:val="none"/>
                <w14:textFill>
                  <w14:solidFill>
                    <w14:schemeClr w14:val="tx1"/>
                  </w14:solidFill>
                </w14:textFill>
              </w:rPr>
            </w:pPr>
          </w:p>
        </w:tc>
        <w:tc>
          <w:tcPr>
            <w:tcW w:w="472" w:type="pct"/>
            <w:vMerge w:val="continue"/>
            <w:vAlign w:val="center"/>
          </w:tcPr>
          <w:p w14:paraId="4199E922">
            <w:pPr>
              <w:jc w:val="center"/>
              <w:rPr>
                <w:color w:val="000000" w:themeColor="text1"/>
                <w:szCs w:val="21"/>
                <w:highlight w:val="none"/>
                <w14:textFill>
                  <w14:solidFill>
                    <w14:schemeClr w14:val="tx1"/>
                  </w14:solidFill>
                </w14:textFill>
              </w:rPr>
            </w:pPr>
          </w:p>
        </w:tc>
        <w:tc>
          <w:tcPr>
            <w:tcW w:w="280" w:type="pct"/>
            <w:vMerge w:val="continue"/>
          </w:tcPr>
          <w:p w14:paraId="4891856F">
            <w:pPr>
              <w:jc w:val="center"/>
              <w:rPr>
                <w:color w:val="000000" w:themeColor="text1"/>
                <w:szCs w:val="21"/>
                <w:highlight w:val="none"/>
                <w14:textFill>
                  <w14:solidFill>
                    <w14:schemeClr w14:val="tx1"/>
                  </w14:solidFill>
                </w14:textFill>
              </w:rPr>
            </w:pPr>
          </w:p>
        </w:tc>
        <w:tc>
          <w:tcPr>
            <w:tcW w:w="233" w:type="pct"/>
            <w:vMerge w:val="continue"/>
            <w:vAlign w:val="center"/>
          </w:tcPr>
          <w:p w14:paraId="11B8C320">
            <w:pPr>
              <w:jc w:val="center"/>
              <w:rPr>
                <w:color w:val="000000" w:themeColor="text1"/>
                <w:szCs w:val="21"/>
                <w:highlight w:val="none"/>
                <w14:textFill>
                  <w14:solidFill>
                    <w14:schemeClr w14:val="tx1"/>
                  </w14:solidFill>
                </w14:textFill>
              </w:rPr>
            </w:pPr>
          </w:p>
        </w:tc>
        <w:tc>
          <w:tcPr>
            <w:tcW w:w="277" w:type="pct"/>
            <w:vMerge w:val="continue"/>
            <w:vAlign w:val="center"/>
          </w:tcPr>
          <w:p w14:paraId="78226742">
            <w:pPr>
              <w:jc w:val="center"/>
              <w:rPr>
                <w:color w:val="000000" w:themeColor="text1"/>
                <w:szCs w:val="21"/>
                <w:highlight w:val="none"/>
                <w14:textFill>
                  <w14:solidFill>
                    <w14:schemeClr w14:val="tx1"/>
                  </w14:solidFill>
                </w14:textFill>
              </w:rPr>
            </w:pPr>
          </w:p>
        </w:tc>
        <w:tc>
          <w:tcPr>
            <w:tcW w:w="333" w:type="pct"/>
            <w:vAlign w:val="center"/>
          </w:tcPr>
          <w:p w14:paraId="5AE03780">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不含增值税单价</w:t>
            </w:r>
          </w:p>
          <w:p w14:paraId="66BE1253">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（元）</w:t>
            </w:r>
          </w:p>
        </w:tc>
        <w:tc>
          <w:tcPr>
            <w:tcW w:w="212" w:type="pct"/>
            <w:vAlign w:val="center"/>
          </w:tcPr>
          <w:p w14:paraId="24D1D86A">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增值税</w:t>
            </w:r>
          </w:p>
        </w:tc>
        <w:tc>
          <w:tcPr>
            <w:tcW w:w="233" w:type="pct"/>
            <w:vAlign w:val="center"/>
          </w:tcPr>
          <w:p w14:paraId="21682151">
            <w:pPr>
              <w:widowControl/>
              <w:jc w:val="left"/>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合计</w:t>
            </w:r>
          </w:p>
        </w:tc>
        <w:tc>
          <w:tcPr>
            <w:tcW w:w="299" w:type="pct"/>
            <w:vMerge w:val="continue"/>
            <w:vAlign w:val="center"/>
          </w:tcPr>
          <w:p w14:paraId="32D2ECDB">
            <w:pPr>
              <w:jc w:val="center"/>
              <w:rPr>
                <w:color w:val="000000" w:themeColor="text1"/>
                <w:szCs w:val="21"/>
                <w:highlight w:val="none"/>
                <w14:textFill>
                  <w14:solidFill>
                    <w14:schemeClr w14:val="tx1"/>
                  </w14:solidFill>
                </w14:textFill>
              </w:rPr>
            </w:pPr>
          </w:p>
        </w:tc>
        <w:tc>
          <w:tcPr>
            <w:tcW w:w="314" w:type="pct"/>
            <w:vMerge w:val="continue"/>
            <w:vAlign w:val="center"/>
          </w:tcPr>
          <w:p w14:paraId="60D54B86">
            <w:pPr>
              <w:jc w:val="center"/>
              <w:rPr>
                <w:color w:val="000000" w:themeColor="text1"/>
                <w:szCs w:val="21"/>
                <w:highlight w:val="none"/>
                <w14:textFill>
                  <w14:solidFill>
                    <w14:schemeClr w14:val="tx1"/>
                  </w14:solidFill>
                </w14:textFill>
              </w:rPr>
            </w:pPr>
          </w:p>
        </w:tc>
        <w:tc>
          <w:tcPr>
            <w:tcW w:w="431" w:type="pct"/>
            <w:vMerge w:val="continue"/>
            <w:vAlign w:val="center"/>
          </w:tcPr>
          <w:p w14:paraId="71BF35D5">
            <w:pPr>
              <w:jc w:val="center"/>
              <w:rPr>
                <w:color w:val="000000" w:themeColor="text1"/>
                <w:szCs w:val="21"/>
                <w:highlight w:val="none"/>
                <w14:textFill>
                  <w14:solidFill>
                    <w14:schemeClr w14:val="tx1"/>
                  </w14:solidFill>
                </w14:textFill>
              </w:rPr>
            </w:pPr>
          </w:p>
        </w:tc>
        <w:tc>
          <w:tcPr>
            <w:tcW w:w="431" w:type="pct"/>
            <w:vMerge w:val="continue"/>
          </w:tcPr>
          <w:p w14:paraId="4F812AA2">
            <w:pPr>
              <w:jc w:val="center"/>
              <w:rPr>
                <w:color w:val="000000" w:themeColor="text1"/>
                <w:szCs w:val="21"/>
                <w:highlight w:val="none"/>
                <w14:textFill>
                  <w14:solidFill>
                    <w14:schemeClr w14:val="tx1"/>
                  </w14:solidFill>
                </w14:textFill>
              </w:rPr>
            </w:pPr>
          </w:p>
        </w:tc>
        <w:tc>
          <w:tcPr>
            <w:tcW w:w="458" w:type="pct"/>
            <w:vMerge w:val="continue"/>
            <w:vAlign w:val="center"/>
          </w:tcPr>
          <w:p w14:paraId="294D653D">
            <w:pPr>
              <w:jc w:val="center"/>
              <w:rPr>
                <w:color w:val="000000" w:themeColor="text1"/>
                <w:szCs w:val="21"/>
                <w:highlight w:val="none"/>
                <w14:textFill>
                  <w14:solidFill>
                    <w14:schemeClr w14:val="tx1"/>
                  </w14:solidFill>
                </w14:textFill>
              </w:rPr>
            </w:pPr>
          </w:p>
        </w:tc>
      </w:tr>
      <w:tr w14:paraId="3689B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93" w:type="pct"/>
            <w:vAlign w:val="center"/>
          </w:tcPr>
          <w:p w14:paraId="21DCC722">
            <w:pPr>
              <w:jc w:val="center"/>
              <w:rPr>
                <w:color w:val="000000" w:themeColor="text1"/>
                <w:szCs w:val="21"/>
                <w:highlight w:val="none"/>
                <w14:textFill>
                  <w14:solidFill>
                    <w14:schemeClr w14:val="tx1"/>
                  </w14:solidFill>
                </w14:textFill>
              </w:rPr>
            </w:pPr>
          </w:p>
        </w:tc>
        <w:tc>
          <w:tcPr>
            <w:tcW w:w="365" w:type="pct"/>
            <w:vAlign w:val="center"/>
          </w:tcPr>
          <w:p w14:paraId="2DD017F4">
            <w:pPr>
              <w:jc w:val="center"/>
              <w:rPr>
                <w:color w:val="000000" w:themeColor="text1"/>
                <w:szCs w:val="21"/>
                <w:highlight w:val="none"/>
                <w14:textFill>
                  <w14:solidFill>
                    <w14:schemeClr w14:val="tx1"/>
                  </w14:solidFill>
                </w14:textFill>
              </w:rPr>
            </w:pPr>
          </w:p>
        </w:tc>
        <w:tc>
          <w:tcPr>
            <w:tcW w:w="470" w:type="pct"/>
          </w:tcPr>
          <w:p w14:paraId="2333B2C0">
            <w:pPr>
              <w:jc w:val="center"/>
              <w:rPr>
                <w:color w:val="000000" w:themeColor="text1"/>
                <w:szCs w:val="21"/>
                <w:highlight w:val="none"/>
                <w14:textFill>
                  <w14:solidFill>
                    <w14:schemeClr w14:val="tx1"/>
                  </w14:solidFill>
                </w14:textFill>
              </w:rPr>
            </w:pPr>
          </w:p>
        </w:tc>
        <w:tc>
          <w:tcPr>
            <w:tcW w:w="472" w:type="pct"/>
            <w:vAlign w:val="center"/>
          </w:tcPr>
          <w:p w14:paraId="115D31B1">
            <w:pPr>
              <w:jc w:val="center"/>
              <w:rPr>
                <w:color w:val="000000" w:themeColor="text1"/>
                <w:szCs w:val="21"/>
                <w:highlight w:val="none"/>
                <w14:textFill>
                  <w14:solidFill>
                    <w14:schemeClr w14:val="tx1"/>
                  </w14:solidFill>
                </w14:textFill>
              </w:rPr>
            </w:pPr>
          </w:p>
        </w:tc>
        <w:tc>
          <w:tcPr>
            <w:tcW w:w="280" w:type="pct"/>
          </w:tcPr>
          <w:p w14:paraId="3F4800C8">
            <w:pPr>
              <w:jc w:val="center"/>
              <w:rPr>
                <w:color w:val="000000" w:themeColor="text1"/>
                <w:szCs w:val="21"/>
                <w:highlight w:val="none"/>
                <w14:textFill>
                  <w14:solidFill>
                    <w14:schemeClr w14:val="tx1"/>
                  </w14:solidFill>
                </w14:textFill>
              </w:rPr>
            </w:pPr>
          </w:p>
        </w:tc>
        <w:tc>
          <w:tcPr>
            <w:tcW w:w="233" w:type="pct"/>
            <w:vAlign w:val="center"/>
          </w:tcPr>
          <w:p w14:paraId="4852DC50">
            <w:pPr>
              <w:jc w:val="center"/>
              <w:rPr>
                <w:color w:val="000000" w:themeColor="text1"/>
                <w:szCs w:val="21"/>
                <w:highlight w:val="none"/>
                <w14:textFill>
                  <w14:solidFill>
                    <w14:schemeClr w14:val="tx1"/>
                  </w14:solidFill>
                </w14:textFill>
              </w:rPr>
            </w:pPr>
          </w:p>
        </w:tc>
        <w:tc>
          <w:tcPr>
            <w:tcW w:w="277" w:type="pct"/>
            <w:vAlign w:val="center"/>
          </w:tcPr>
          <w:p w14:paraId="2DDAB2DE">
            <w:pPr>
              <w:jc w:val="center"/>
              <w:rPr>
                <w:color w:val="000000" w:themeColor="text1"/>
                <w:szCs w:val="21"/>
                <w:highlight w:val="none"/>
                <w14:textFill>
                  <w14:solidFill>
                    <w14:schemeClr w14:val="tx1"/>
                  </w14:solidFill>
                </w14:textFill>
              </w:rPr>
            </w:pPr>
          </w:p>
        </w:tc>
        <w:tc>
          <w:tcPr>
            <w:tcW w:w="333" w:type="pct"/>
            <w:vAlign w:val="center"/>
          </w:tcPr>
          <w:p w14:paraId="3A0CC544">
            <w:pPr>
              <w:jc w:val="center"/>
              <w:rPr>
                <w:color w:val="000000" w:themeColor="text1"/>
                <w:szCs w:val="21"/>
                <w:highlight w:val="none"/>
                <w14:textFill>
                  <w14:solidFill>
                    <w14:schemeClr w14:val="tx1"/>
                  </w14:solidFill>
                </w14:textFill>
              </w:rPr>
            </w:pPr>
          </w:p>
        </w:tc>
        <w:tc>
          <w:tcPr>
            <w:tcW w:w="212" w:type="pct"/>
            <w:vAlign w:val="center"/>
          </w:tcPr>
          <w:p w14:paraId="16F89AA5">
            <w:pPr>
              <w:jc w:val="center"/>
              <w:rPr>
                <w:color w:val="000000" w:themeColor="text1"/>
                <w:szCs w:val="21"/>
                <w:highlight w:val="none"/>
                <w14:textFill>
                  <w14:solidFill>
                    <w14:schemeClr w14:val="tx1"/>
                  </w14:solidFill>
                </w14:textFill>
              </w:rPr>
            </w:pPr>
          </w:p>
        </w:tc>
        <w:tc>
          <w:tcPr>
            <w:tcW w:w="233" w:type="pct"/>
            <w:vAlign w:val="center"/>
          </w:tcPr>
          <w:p w14:paraId="5A5176B8">
            <w:pPr>
              <w:jc w:val="center"/>
              <w:rPr>
                <w:color w:val="000000" w:themeColor="text1"/>
                <w:szCs w:val="21"/>
                <w:highlight w:val="none"/>
                <w14:textFill>
                  <w14:solidFill>
                    <w14:schemeClr w14:val="tx1"/>
                  </w14:solidFill>
                </w14:textFill>
              </w:rPr>
            </w:pPr>
          </w:p>
        </w:tc>
        <w:tc>
          <w:tcPr>
            <w:tcW w:w="299" w:type="pct"/>
            <w:vAlign w:val="center"/>
          </w:tcPr>
          <w:p w14:paraId="02445554">
            <w:pPr>
              <w:jc w:val="center"/>
              <w:rPr>
                <w:color w:val="000000" w:themeColor="text1"/>
                <w:szCs w:val="21"/>
                <w:highlight w:val="none"/>
                <w14:textFill>
                  <w14:solidFill>
                    <w14:schemeClr w14:val="tx1"/>
                  </w14:solidFill>
                </w14:textFill>
              </w:rPr>
            </w:pPr>
          </w:p>
        </w:tc>
        <w:tc>
          <w:tcPr>
            <w:tcW w:w="314" w:type="pct"/>
            <w:vAlign w:val="center"/>
          </w:tcPr>
          <w:p w14:paraId="128A1AE3">
            <w:pPr>
              <w:jc w:val="center"/>
              <w:rPr>
                <w:color w:val="000000" w:themeColor="text1"/>
                <w:szCs w:val="21"/>
                <w:highlight w:val="none"/>
                <w14:textFill>
                  <w14:solidFill>
                    <w14:schemeClr w14:val="tx1"/>
                  </w14:solidFill>
                </w14:textFill>
              </w:rPr>
            </w:pPr>
          </w:p>
        </w:tc>
        <w:tc>
          <w:tcPr>
            <w:tcW w:w="431" w:type="pct"/>
          </w:tcPr>
          <w:p w14:paraId="57361FC0">
            <w:pPr>
              <w:jc w:val="center"/>
              <w:rPr>
                <w:color w:val="000000" w:themeColor="text1"/>
                <w:szCs w:val="21"/>
                <w:highlight w:val="none"/>
                <w14:textFill>
                  <w14:solidFill>
                    <w14:schemeClr w14:val="tx1"/>
                  </w14:solidFill>
                </w14:textFill>
              </w:rPr>
            </w:pPr>
          </w:p>
        </w:tc>
        <w:tc>
          <w:tcPr>
            <w:tcW w:w="431" w:type="pct"/>
          </w:tcPr>
          <w:p w14:paraId="526CFCD0">
            <w:pPr>
              <w:jc w:val="center"/>
              <w:rPr>
                <w:color w:val="000000" w:themeColor="text1"/>
                <w:szCs w:val="21"/>
                <w:highlight w:val="none"/>
                <w14:textFill>
                  <w14:solidFill>
                    <w14:schemeClr w14:val="tx1"/>
                  </w14:solidFill>
                </w14:textFill>
              </w:rPr>
            </w:pPr>
          </w:p>
        </w:tc>
        <w:tc>
          <w:tcPr>
            <w:tcW w:w="458" w:type="pct"/>
            <w:vAlign w:val="center"/>
          </w:tcPr>
          <w:p w14:paraId="3A2B9F44">
            <w:pPr>
              <w:jc w:val="center"/>
              <w:rPr>
                <w:color w:val="000000" w:themeColor="text1"/>
                <w:szCs w:val="21"/>
                <w:highlight w:val="none"/>
                <w14:textFill>
                  <w14:solidFill>
                    <w14:schemeClr w14:val="tx1"/>
                  </w14:solidFill>
                </w14:textFill>
              </w:rPr>
            </w:pPr>
          </w:p>
        </w:tc>
      </w:tr>
      <w:tr w14:paraId="6AFA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93" w:type="pct"/>
            <w:vAlign w:val="center"/>
          </w:tcPr>
          <w:p w14:paraId="5C1E4784">
            <w:pPr>
              <w:jc w:val="center"/>
              <w:rPr>
                <w:color w:val="000000" w:themeColor="text1"/>
                <w:szCs w:val="21"/>
                <w:highlight w:val="none"/>
                <w14:textFill>
                  <w14:solidFill>
                    <w14:schemeClr w14:val="tx1"/>
                  </w14:solidFill>
                </w14:textFill>
              </w:rPr>
            </w:pPr>
          </w:p>
        </w:tc>
        <w:tc>
          <w:tcPr>
            <w:tcW w:w="365" w:type="pct"/>
            <w:vAlign w:val="center"/>
          </w:tcPr>
          <w:p w14:paraId="10AA8020">
            <w:pPr>
              <w:jc w:val="center"/>
              <w:rPr>
                <w:color w:val="000000" w:themeColor="text1"/>
                <w:szCs w:val="21"/>
                <w:highlight w:val="none"/>
                <w14:textFill>
                  <w14:solidFill>
                    <w14:schemeClr w14:val="tx1"/>
                  </w14:solidFill>
                </w14:textFill>
              </w:rPr>
            </w:pPr>
          </w:p>
        </w:tc>
        <w:tc>
          <w:tcPr>
            <w:tcW w:w="470" w:type="pct"/>
          </w:tcPr>
          <w:p w14:paraId="7802180C">
            <w:pPr>
              <w:jc w:val="center"/>
              <w:rPr>
                <w:color w:val="000000" w:themeColor="text1"/>
                <w:szCs w:val="21"/>
                <w:highlight w:val="none"/>
                <w14:textFill>
                  <w14:solidFill>
                    <w14:schemeClr w14:val="tx1"/>
                  </w14:solidFill>
                </w14:textFill>
              </w:rPr>
            </w:pPr>
          </w:p>
        </w:tc>
        <w:tc>
          <w:tcPr>
            <w:tcW w:w="472" w:type="pct"/>
            <w:vAlign w:val="center"/>
          </w:tcPr>
          <w:p w14:paraId="03618F0E">
            <w:pPr>
              <w:jc w:val="center"/>
              <w:rPr>
                <w:color w:val="000000" w:themeColor="text1"/>
                <w:szCs w:val="21"/>
                <w:highlight w:val="none"/>
                <w14:textFill>
                  <w14:solidFill>
                    <w14:schemeClr w14:val="tx1"/>
                  </w14:solidFill>
                </w14:textFill>
              </w:rPr>
            </w:pPr>
          </w:p>
        </w:tc>
        <w:tc>
          <w:tcPr>
            <w:tcW w:w="280" w:type="pct"/>
          </w:tcPr>
          <w:p w14:paraId="50B9C7F4">
            <w:pPr>
              <w:jc w:val="center"/>
              <w:rPr>
                <w:color w:val="000000" w:themeColor="text1"/>
                <w:szCs w:val="21"/>
                <w:highlight w:val="none"/>
                <w14:textFill>
                  <w14:solidFill>
                    <w14:schemeClr w14:val="tx1"/>
                  </w14:solidFill>
                </w14:textFill>
              </w:rPr>
            </w:pPr>
          </w:p>
        </w:tc>
        <w:tc>
          <w:tcPr>
            <w:tcW w:w="233" w:type="pct"/>
            <w:vAlign w:val="center"/>
          </w:tcPr>
          <w:p w14:paraId="0238BA81">
            <w:pPr>
              <w:jc w:val="center"/>
              <w:rPr>
                <w:color w:val="000000" w:themeColor="text1"/>
                <w:szCs w:val="21"/>
                <w:highlight w:val="none"/>
                <w14:textFill>
                  <w14:solidFill>
                    <w14:schemeClr w14:val="tx1"/>
                  </w14:solidFill>
                </w14:textFill>
              </w:rPr>
            </w:pPr>
          </w:p>
        </w:tc>
        <w:tc>
          <w:tcPr>
            <w:tcW w:w="277" w:type="pct"/>
            <w:vAlign w:val="center"/>
          </w:tcPr>
          <w:p w14:paraId="555798B1">
            <w:pPr>
              <w:jc w:val="center"/>
              <w:rPr>
                <w:color w:val="000000" w:themeColor="text1"/>
                <w:szCs w:val="21"/>
                <w:highlight w:val="none"/>
                <w14:textFill>
                  <w14:solidFill>
                    <w14:schemeClr w14:val="tx1"/>
                  </w14:solidFill>
                </w14:textFill>
              </w:rPr>
            </w:pPr>
          </w:p>
        </w:tc>
        <w:tc>
          <w:tcPr>
            <w:tcW w:w="333" w:type="pct"/>
            <w:vAlign w:val="center"/>
          </w:tcPr>
          <w:p w14:paraId="1C899021">
            <w:pPr>
              <w:jc w:val="center"/>
              <w:rPr>
                <w:color w:val="000000" w:themeColor="text1"/>
                <w:szCs w:val="21"/>
                <w:highlight w:val="none"/>
                <w14:textFill>
                  <w14:solidFill>
                    <w14:schemeClr w14:val="tx1"/>
                  </w14:solidFill>
                </w14:textFill>
              </w:rPr>
            </w:pPr>
          </w:p>
        </w:tc>
        <w:tc>
          <w:tcPr>
            <w:tcW w:w="212" w:type="pct"/>
            <w:vAlign w:val="center"/>
          </w:tcPr>
          <w:p w14:paraId="646AF397">
            <w:pPr>
              <w:jc w:val="center"/>
              <w:rPr>
                <w:color w:val="000000" w:themeColor="text1"/>
                <w:szCs w:val="21"/>
                <w:highlight w:val="none"/>
                <w14:textFill>
                  <w14:solidFill>
                    <w14:schemeClr w14:val="tx1"/>
                  </w14:solidFill>
                </w14:textFill>
              </w:rPr>
            </w:pPr>
          </w:p>
        </w:tc>
        <w:tc>
          <w:tcPr>
            <w:tcW w:w="233" w:type="pct"/>
            <w:vAlign w:val="center"/>
          </w:tcPr>
          <w:p w14:paraId="760FCB22">
            <w:pPr>
              <w:jc w:val="center"/>
              <w:rPr>
                <w:color w:val="000000" w:themeColor="text1"/>
                <w:szCs w:val="21"/>
                <w:highlight w:val="none"/>
                <w14:textFill>
                  <w14:solidFill>
                    <w14:schemeClr w14:val="tx1"/>
                  </w14:solidFill>
                </w14:textFill>
              </w:rPr>
            </w:pPr>
          </w:p>
        </w:tc>
        <w:tc>
          <w:tcPr>
            <w:tcW w:w="299" w:type="pct"/>
            <w:vAlign w:val="center"/>
          </w:tcPr>
          <w:p w14:paraId="56F0CB0A">
            <w:pPr>
              <w:jc w:val="center"/>
              <w:rPr>
                <w:color w:val="000000" w:themeColor="text1"/>
                <w:szCs w:val="21"/>
                <w:highlight w:val="none"/>
                <w14:textFill>
                  <w14:solidFill>
                    <w14:schemeClr w14:val="tx1"/>
                  </w14:solidFill>
                </w14:textFill>
              </w:rPr>
            </w:pPr>
          </w:p>
        </w:tc>
        <w:tc>
          <w:tcPr>
            <w:tcW w:w="314" w:type="pct"/>
            <w:vAlign w:val="center"/>
          </w:tcPr>
          <w:p w14:paraId="6EAA29DA">
            <w:pPr>
              <w:jc w:val="center"/>
              <w:rPr>
                <w:color w:val="000000" w:themeColor="text1"/>
                <w:szCs w:val="21"/>
                <w:highlight w:val="none"/>
                <w14:textFill>
                  <w14:solidFill>
                    <w14:schemeClr w14:val="tx1"/>
                  </w14:solidFill>
                </w14:textFill>
              </w:rPr>
            </w:pPr>
          </w:p>
        </w:tc>
        <w:tc>
          <w:tcPr>
            <w:tcW w:w="431" w:type="pct"/>
          </w:tcPr>
          <w:p w14:paraId="11148DA1">
            <w:pPr>
              <w:jc w:val="center"/>
              <w:rPr>
                <w:color w:val="000000" w:themeColor="text1"/>
                <w:szCs w:val="21"/>
                <w:highlight w:val="none"/>
                <w14:textFill>
                  <w14:solidFill>
                    <w14:schemeClr w14:val="tx1"/>
                  </w14:solidFill>
                </w14:textFill>
              </w:rPr>
            </w:pPr>
          </w:p>
        </w:tc>
        <w:tc>
          <w:tcPr>
            <w:tcW w:w="431" w:type="pct"/>
          </w:tcPr>
          <w:p w14:paraId="5C8A0FA9">
            <w:pPr>
              <w:jc w:val="center"/>
              <w:rPr>
                <w:color w:val="000000" w:themeColor="text1"/>
                <w:szCs w:val="21"/>
                <w:highlight w:val="none"/>
                <w14:textFill>
                  <w14:solidFill>
                    <w14:schemeClr w14:val="tx1"/>
                  </w14:solidFill>
                </w14:textFill>
              </w:rPr>
            </w:pPr>
          </w:p>
        </w:tc>
        <w:tc>
          <w:tcPr>
            <w:tcW w:w="458" w:type="pct"/>
            <w:vAlign w:val="center"/>
          </w:tcPr>
          <w:p w14:paraId="3787ACBF">
            <w:pPr>
              <w:jc w:val="center"/>
              <w:rPr>
                <w:color w:val="000000" w:themeColor="text1"/>
                <w:szCs w:val="21"/>
                <w:highlight w:val="none"/>
                <w14:textFill>
                  <w14:solidFill>
                    <w14:schemeClr w14:val="tx1"/>
                  </w14:solidFill>
                </w14:textFill>
              </w:rPr>
            </w:pPr>
          </w:p>
        </w:tc>
      </w:tr>
      <w:tr w14:paraId="5D7B5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3" w:type="pct"/>
            <w:vAlign w:val="center"/>
          </w:tcPr>
          <w:p w14:paraId="3950BBBA">
            <w:pPr>
              <w:jc w:val="center"/>
              <w:rPr>
                <w:color w:val="000000" w:themeColor="text1"/>
                <w:szCs w:val="21"/>
                <w:highlight w:val="none"/>
                <w14:textFill>
                  <w14:solidFill>
                    <w14:schemeClr w14:val="tx1"/>
                  </w14:solidFill>
                </w14:textFill>
              </w:rPr>
            </w:pPr>
          </w:p>
        </w:tc>
        <w:tc>
          <w:tcPr>
            <w:tcW w:w="365" w:type="pct"/>
            <w:vAlign w:val="center"/>
          </w:tcPr>
          <w:p w14:paraId="693E8EA2">
            <w:pPr>
              <w:jc w:val="center"/>
              <w:rPr>
                <w:color w:val="000000" w:themeColor="text1"/>
                <w:sz w:val="18"/>
                <w:szCs w:val="18"/>
                <w:highlight w:val="none"/>
                <w14:textFill>
                  <w14:solidFill>
                    <w14:schemeClr w14:val="tx1"/>
                  </w14:solidFill>
                </w14:textFill>
              </w:rPr>
            </w:pPr>
            <w:r>
              <w:rPr>
                <w:color w:val="000000" w:themeColor="text1"/>
                <w:sz w:val="18"/>
                <w:szCs w:val="18"/>
                <w:highlight w:val="none"/>
                <w14:textFill>
                  <w14:solidFill>
                    <w14:schemeClr w14:val="tx1"/>
                  </w14:solidFill>
                </w14:textFill>
              </w:rPr>
              <w:t>安全防护、文明施工措施费</w:t>
            </w:r>
          </w:p>
        </w:tc>
        <w:tc>
          <w:tcPr>
            <w:tcW w:w="470" w:type="pct"/>
          </w:tcPr>
          <w:p w14:paraId="1FF2C24F">
            <w:pPr>
              <w:jc w:val="center"/>
              <w:rPr>
                <w:color w:val="000000" w:themeColor="text1"/>
                <w:sz w:val="18"/>
                <w:szCs w:val="18"/>
                <w:highlight w:val="none"/>
                <w14:textFill>
                  <w14:solidFill>
                    <w14:schemeClr w14:val="tx1"/>
                  </w14:solidFill>
                </w14:textFill>
              </w:rPr>
            </w:pPr>
          </w:p>
        </w:tc>
        <w:tc>
          <w:tcPr>
            <w:tcW w:w="472" w:type="pct"/>
            <w:vAlign w:val="center"/>
          </w:tcPr>
          <w:p w14:paraId="3F1501ED">
            <w:pPr>
              <w:jc w:val="center"/>
              <w:rPr>
                <w:color w:val="000000" w:themeColor="text1"/>
                <w:sz w:val="18"/>
                <w:szCs w:val="18"/>
                <w:highlight w:val="none"/>
                <w14:textFill>
                  <w14:solidFill>
                    <w14:schemeClr w14:val="tx1"/>
                  </w14:solidFill>
                </w14:textFill>
              </w:rPr>
            </w:pPr>
            <w:r>
              <w:rPr>
                <w:color w:val="000000" w:themeColor="text1"/>
                <w:sz w:val="18"/>
                <w:szCs w:val="18"/>
                <w:highlight w:val="none"/>
                <w14:textFill>
                  <w14:solidFill>
                    <w14:schemeClr w14:val="tx1"/>
                  </w14:solidFill>
                </w14:textFill>
              </w:rPr>
              <w:t>环境保护、文明施工、安全施工、临时设施</w:t>
            </w:r>
            <w:r>
              <w:rPr>
                <w:rFonts w:hint="eastAsia"/>
                <w:color w:val="000000" w:themeColor="text1"/>
                <w:sz w:val="18"/>
                <w:szCs w:val="18"/>
                <w:highlight w:val="none"/>
                <w14:textFill>
                  <w14:solidFill>
                    <w14:schemeClr w14:val="tx1"/>
                  </w14:solidFill>
                </w14:textFill>
              </w:rPr>
              <w:t>和施工围挡</w:t>
            </w:r>
          </w:p>
        </w:tc>
        <w:tc>
          <w:tcPr>
            <w:tcW w:w="280" w:type="pct"/>
          </w:tcPr>
          <w:p w14:paraId="23F7C7E7">
            <w:pPr>
              <w:jc w:val="center"/>
              <w:rPr>
                <w:color w:val="000000" w:themeColor="text1"/>
                <w:szCs w:val="21"/>
                <w:highlight w:val="none"/>
                <w14:textFill>
                  <w14:solidFill>
                    <w14:schemeClr w14:val="tx1"/>
                  </w14:solidFill>
                </w14:textFill>
              </w:rPr>
            </w:pPr>
          </w:p>
        </w:tc>
        <w:tc>
          <w:tcPr>
            <w:tcW w:w="233" w:type="pct"/>
            <w:vAlign w:val="center"/>
          </w:tcPr>
          <w:p w14:paraId="73BCA47C">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总额</w:t>
            </w:r>
          </w:p>
        </w:tc>
        <w:tc>
          <w:tcPr>
            <w:tcW w:w="277" w:type="pct"/>
            <w:vAlign w:val="center"/>
          </w:tcPr>
          <w:p w14:paraId="26FF1266">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w:t>
            </w:r>
          </w:p>
        </w:tc>
        <w:tc>
          <w:tcPr>
            <w:tcW w:w="333" w:type="pct"/>
            <w:vAlign w:val="center"/>
          </w:tcPr>
          <w:p w14:paraId="22719585">
            <w:pPr>
              <w:jc w:val="center"/>
              <w:rPr>
                <w:color w:val="000000" w:themeColor="text1"/>
                <w:szCs w:val="21"/>
                <w:highlight w:val="none"/>
                <w14:textFill>
                  <w14:solidFill>
                    <w14:schemeClr w14:val="tx1"/>
                  </w14:solidFill>
                </w14:textFill>
              </w:rPr>
            </w:pPr>
          </w:p>
        </w:tc>
        <w:tc>
          <w:tcPr>
            <w:tcW w:w="212" w:type="pct"/>
            <w:vAlign w:val="center"/>
          </w:tcPr>
          <w:p w14:paraId="7A81C736">
            <w:pPr>
              <w:jc w:val="center"/>
              <w:rPr>
                <w:color w:val="000000" w:themeColor="text1"/>
                <w:szCs w:val="21"/>
                <w:highlight w:val="none"/>
                <w14:textFill>
                  <w14:solidFill>
                    <w14:schemeClr w14:val="tx1"/>
                  </w14:solidFill>
                </w14:textFill>
              </w:rPr>
            </w:pPr>
          </w:p>
        </w:tc>
        <w:tc>
          <w:tcPr>
            <w:tcW w:w="233" w:type="pct"/>
            <w:vAlign w:val="center"/>
          </w:tcPr>
          <w:p w14:paraId="5FC44FC9">
            <w:pPr>
              <w:jc w:val="center"/>
              <w:rPr>
                <w:color w:val="000000" w:themeColor="text1"/>
                <w:szCs w:val="21"/>
                <w:highlight w:val="none"/>
                <w14:textFill>
                  <w14:solidFill>
                    <w14:schemeClr w14:val="tx1"/>
                  </w14:solidFill>
                </w14:textFill>
              </w:rPr>
            </w:pPr>
          </w:p>
        </w:tc>
        <w:tc>
          <w:tcPr>
            <w:tcW w:w="299" w:type="pct"/>
            <w:vAlign w:val="center"/>
          </w:tcPr>
          <w:p w14:paraId="0935C4E3">
            <w:pPr>
              <w:jc w:val="center"/>
              <w:rPr>
                <w:color w:val="000000" w:themeColor="text1"/>
                <w:szCs w:val="21"/>
                <w:highlight w:val="none"/>
                <w14:textFill>
                  <w14:solidFill>
                    <w14:schemeClr w14:val="tx1"/>
                  </w14:solidFill>
                </w14:textFill>
              </w:rPr>
            </w:pPr>
          </w:p>
        </w:tc>
        <w:tc>
          <w:tcPr>
            <w:tcW w:w="314" w:type="pct"/>
            <w:vAlign w:val="center"/>
          </w:tcPr>
          <w:p w14:paraId="6ECEFD65">
            <w:pPr>
              <w:jc w:val="center"/>
              <w:rPr>
                <w:color w:val="000000" w:themeColor="text1"/>
                <w:szCs w:val="21"/>
                <w:highlight w:val="none"/>
                <w14:textFill>
                  <w14:solidFill>
                    <w14:schemeClr w14:val="tx1"/>
                  </w14:solidFill>
                </w14:textFill>
              </w:rPr>
            </w:pPr>
          </w:p>
        </w:tc>
        <w:tc>
          <w:tcPr>
            <w:tcW w:w="431" w:type="pct"/>
          </w:tcPr>
          <w:p w14:paraId="15DC1018">
            <w:pPr>
              <w:jc w:val="center"/>
              <w:rPr>
                <w:color w:val="000000" w:themeColor="text1"/>
                <w:szCs w:val="21"/>
                <w:highlight w:val="none"/>
                <w14:textFill>
                  <w14:solidFill>
                    <w14:schemeClr w14:val="tx1"/>
                  </w14:solidFill>
                </w14:textFill>
              </w:rPr>
            </w:pPr>
          </w:p>
        </w:tc>
        <w:tc>
          <w:tcPr>
            <w:tcW w:w="431" w:type="pct"/>
          </w:tcPr>
          <w:p w14:paraId="36621AB2">
            <w:pPr>
              <w:jc w:val="center"/>
              <w:rPr>
                <w:color w:val="000000" w:themeColor="text1"/>
                <w:szCs w:val="21"/>
                <w:highlight w:val="none"/>
                <w14:textFill>
                  <w14:solidFill>
                    <w14:schemeClr w14:val="tx1"/>
                  </w14:solidFill>
                </w14:textFill>
              </w:rPr>
            </w:pPr>
          </w:p>
        </w:tc>
        <w:tc>
          <w:tcPr>
            <w:tcW w:w="458" w:type="pct"/>
            <w:vAlign w:val="center"/>
          </w:tcPr>
          <w:p w14:paraId="6CA6FE6C">
            <w:pPr>
              <w:jc w:val="center"/>
              <w:rPr>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以完成工作量的</w:t>
            </w:r>
            <w:r>
              <w:rPr>
                <w:rFonts w:hint="eastAsia"/>
                <w:color w:val="000000" w:themeColor="text1"/>
                <w:sz w:val="18"/>
                <w:szCs w:val="18"/>
                <w:highlight w:val="none"/>
                <w:u w:val="single"/>
                <w:lang w:val="en-US" w:eastAsia="zh-CN"/>
                <w14:textFill>
                  <w14:solidFill>
                    <w14:schemeClr w14:val="tx1"/>
                  </w14:solidFill>
                </w14:textFill>
              </w:rPr>
              <w:t>1.5</w:t>
            </w:r>
            <w:r>
              <w:rPr>
                <w:rFonts w:hint="eastAsia"/>
                <w:color w:val="000000" w:themeColor="text1"/>
                <w:sz w:val="18"/>
                <w:szCs w:val="18"/>
                <w:highlight w:val="none"/>
                <w:u w:val="single"/>
                <w14:textFill>
                  <w14:solidFill>
                    <w14:schemeClr w14:val="tx1"/>
                  </w14:solidFill>
                </w14:textFill>
              </w:rPr>
              <w:t xml:space="preserve">  </w:t>
            </w:r>
            <w:r>
              <w:rPr>
                <w:rFonts w:hint="eastAsia"/>
                <w:color w:val="000000" w:themeColor="text1"/>
                <w:sz w:val="18"/>
                <w:szCs w:val="18"/>
                <w:highlight w:val="none"/>
                <w14:textFill>
                  <w14:solidFill>
                    <w14:schemeClr w14:val="tx1"/>
                  </w14:solidFill>
                </w14:textFill>
              </w:rPr>
              <w:t>%作为最高限计算</w:t>
            </w:r>
          </w:p>
        </w:tc>
      </w:tr>
      <w:tr w14:paraId="02610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 w:type="pct"/>
            <w:vAlign w:val="center"/>
          </w:tcPr>
          <w:p w14:paraId="5F5E9498">
            <w:pPr>
              <w:jc w:val="center"/>
              <w:rPr>
                <w:color w:val="000000" w:themeColor="text1"/>
                <w:szCs w:val="21"/>
                <w:highlight w:val="none"/>
                <w14:textFill>
                  <w14:solidFill>
                    <w14:schemeClr w14:val="tx1"/>
                  </w14:solidFill>
                </w14:textFill>
              </w:rPr>
            </w:pPr>
          </w:p>
        </w:tc>
        <w:tc>
          <w:tcPr>
            <w:tcW w:w="365" w:type="pct"/>
          </w:tcPr>
          <w:p w14:paraId="4A777E02">
            <w:pPr>
              <w:jc w:val="center"/>
              <w:rPr>
                <w:b/>
                <w:color w:val="000000" w:themeColor="text1"/>
                <w:szCs w:val="21"/>
                <w:highlight w:val="none"/>
                <w14:textFill>
                  <w14:solidFill>
                    <w14:schemeClr w14:val="tx1"/>
                  </w14:solidFill>
                </w14:textFill>
              </w:rPr>
            </w:pPr>
          </w:p>
        </w:tc>
        <w:tc>
          <w:tcPr>
            <w:tcW w:w="941" w:type="pct"/>
            <w:gridSpan w:val="2"/>
            <w:vAlign w:val="center"/>
          </w:tcPr>
          <w:p w14:paraId="6529F70E">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不含增值税造价</w:t>
            </w:r>
          </w:p>
        </w:tc>
        <w:tc>
          <w:tcPr>
            <w:tcW w:w="280" w:type="pct"/>
            <w:vAlign w:val="center"/>
          </w:tcPr>
          <w:p w14:paraId="15F7B63F">
            <w:pPr>
              <w:jc w:val="center"/>
              <w:rPr>
                <w:b/>
                <w:color w:val="000000" w:themeColor="text1"/>
                <w:szCs w:val="21"/>
                <w:highlight w:val="none"/>
                <w14:textFill>
                  <w14:solidFill>
                    <w14:schemeClr w14:val="tx1"/>
                  </w14:solidFill>
                </w14:textFill>
              </w:rPr>
            </w:pPr>
          </w:p>
        </w:tc>
        <w:tc>
          <w:tcPr>
            <w:tcW w:w="233" w:type="pct"/>
            <w:vAlign w:val="center"/>
          </w:tcPr>
          <w:p w14:paraId="5B17406A">
            <w:pPr>
              <w:jc w:val="center"/>
              <w:rPr>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元</w:t>
            </w:r>
          </w:p>
        </w:tc>
        <w:tc>
          <w:tcPr>
            <w:tcW w:w="1668" w:type="pct"/>
            <w:gridSpan w:val="6"/>
            <w:vAlign w:val="center"/>
          </w:tcPr>
          <w:p w14:paraId="260EFED2">
            <w:pPr>
              <w:jc w:val="center"/>
              <w:rPr>
                <w:color w:val="000000" w:themeColor="text1"/>
                <w:szCs w:val="21"/>
                <w:highlight w:val="none"/>
                <w14:textFill>
                  <w14:solidFill>
                    <w14:schemeClr w14:val="tx1"/>
                  </w14:solidFill>
                </w14:textFill>
              </w:rPr>
            </w:pPr>
          </w:p>
        </w:tc>
        <w:tc>
          <w:tcPr>
            <w:tcW w:w="1320" w:type="pct"/>
            <w:gridSpan w:val="3"/>
            <w:vAlign w:val="center"/>
          </w:tcPr>
          <w:p w14:paraId="28528FBD">
            <w:pPr>
              <w:jc w:val="center"/>
              <w:rPr>
                <w:color w:val="000000" w:themeColor="text1"/>
                <w:szCs w:val="21"/>
                <w:highlight w:val="none"/>
                <w14:textFill>
                  <w14:solidFill>
                    <w14:schemeClr w14:val="tx1"/>
                  </w14:solidFill>
                </w14:textFill>
              </w:rPr>
            </w:pPr>
          </w:p>
        </w:tc>
      </w:tr>
      <w:tr w14:paraId="066CD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 w:type="pct"/>
            <w:vAlign w:val="center"/>
          </w:tcPr>
          <w:p w14:paraId="5FCF0807">
            <w:pPr>
              <w:jc w:val="center"/>
              <w:rPr>
                <w:color w:val="000000" w:themeColor="text1"/>
                <w:szCs w:val="21"/>
                <w:highlight w:val="none"/>
                <w14:textFill>
                  <w14:solidFill>
                    <w14:schemeClr w14:val="tx1"/>
                  </w14:solidFill>
                </w14:textFill>
              </w:rPr>
            </w:pPr>
          </w:p>
        </w:tc>
        <w:tc>
          <w:tcPr>
            <w:tcW w:w="365" w:type="pct"/>
          </w:tcPr>
          <w:p w14:paraId="2473E58A">
            <w:pPr>
              <w:jc w:val="center"/>
              <w:rPr>
                <w:b/>
                <w:color w:val="000000" w:themeColor="text1"/>
                <w:szCs w:val="21"/>
                <w:highlight w:val="none"/>
                <w14:textFill>
                  <w14:solidFill>
                    <w14:schemeClr w14:val="tx1"/>
                  </w14:solidFill>
                </w14:textFill>
              </w:rPr>
            </w:pPr>
          </w:p>
        </w:tc>
        <w:tc>
          <w:tcPr>
            <w:tcW w:w="941" w:type="pct"/>
            <w:gridSpan w:val="2"/>
            <w:vAlign w:val="center"/>
          </w:tcPr>
          <w:p w14:paraId="0D39A651">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增值税</w:t>
            </w:r>
          </w:p>
        </w:tc>
        <w:tc>
          <w:tcPr>
            <w:tcW w:w="280" w:type="pct"/>
            <w:vAlign w:val="center"/>
          </w:tcPr>
          <w:p w14:paraId="77AE3A54">
            <w:pPr>
              <w:jc w:val="center"/>
              <w:rPr>
                <w:b/>
                <w:color w:val="000000" w:themeColor="text1"/>
                <w:szCs w:val="21"/>
                <w:highlight w:val="none"/>
                <w14:textFill>
                  <w14:solidFill>
                    <w14:schemeClr w14:val="tx1"/>
                  </w14:solidFill>
                </w14:textFill>
              </w:rPr>
            </w:pPr>
          </w:p>
        </w:tc>
        <w:tc>
          <w:tcPr>
            <w:tcW w:w="233" w:type="pct"/>
            <w:vAlign w:val="center"/>
          </w:tcPr>
          <w:p w14:paraId="72009E9A">
            <w:pPr>
              <w:jc w:val="center"/>
              <w:rPr>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元</w:t>
            </w:r>
          </w:p>
        </w:tc>
        <w:tc>
          <w:tcPr>
            <w:tcW w:w="1670" w:type="pct"/>
            <w:gridSpan w:val="6"/>
            <w:vAlign w:val="center"/>
          </w:tcPr>
          <w:p w14:paraId="1CD15DFA">
            <w:pPr>
              <w:jc w:val="center"/>
              <w:rPr>
                <w:color w:val="000000" w:themeColor="text1"/>
                <w:szCs w:val="21"/>
                <w:highlight w:val="none"/>
                <w14:textFill>
                  <w14:solidFill>
                    <w14:schemeClr w14:val="tx1"/>
                  </w14:solidFill>
                </w14:textFill>
              </w:rPr>
            </w:pPr>
          </w:p>
        </w:tc>
        <w:tc>
          <w:tcPr>
            <w:tcW w:w="1318" w:type="pct"/>
            <w:gridSpan w:val="3"/>
            <w:vAlign w:val="center"/>
          </w:tcPr>
          <w:p w14:paraId="270F062E">
            <w:pPr>
              <w:jc w:val="center"/>
              <w:rPr>
                <w:color w:val="000000" w:themeColor="text1"/>
                <w:szCs w:val="21"/>
                <w:highlight w:val="none"/>
                <w14:textFill>
                  <w14:solidFill>
                    <w14:schemeClr w14:val="tx1"/>
                  </w14:solidFill>
                </w14:textFill>
              </w:rPr>
            </w:pPr>
          </w:p>
        </w:tc>
      </w:tr>
      <w:tr w14:paraId="34C7F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 w:type="pct"/>
            <w:vAlign w:val="center"/>
          </w:tcPr>
          <w:p w14:paraId="1934EBFF">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w:t>
            </w:r>
          </w:p>
        </w:tc>
        <w:tc>
          <w:tcPr>
            <w:tcW w:w="365" w:type="pct"/>
          </w:tcPr>
          <w:p w14:paraId="1E4E4F2F">
            <w:pPr>
              <w:jc w:val="center"/>
              <w:rPr>
                <w:b/>
                <w:color w:val="000000" w:themeColor="text1"/>
                <w:szCs w:val="21"/>
                <w:highlight w:val="none"/>
                <w14:textFill>
                  <w14:solidFill>
                    <w14:schemeClr w14:val="tx1"/>
                  </w14:solidFill>
                </w14:textFill>
              </w:rPr>
            </w:pPr>
          </w:p>
        </w:tc>
        <w:tc>
          <w:tcPr>
            <w:tcW w:w="941" w:type="pct"/>
            <w:gridSpan w:val="2"/>
            <w:vAlign w:val="center"/>
          </w:tcPr>
          <w:p w14:paraId="3D4084BB">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合计</w:t>
            </w:r>
          </w:p>
        </w:tc>
        <w:tc>
          <w:tcPr>
            <w:tcW w:w="280" w:type="pct"/>
            <w:vAlign w:val="center"/>
          </w:tcPr>
          <w:p w14:paraId="6F30DEC9">
            <w:pPr>
              <w:jc w:val="center"/>
              <w:rPr>
                <w:b/>
                <w:color w:val="000000" w:themeColor="text1"/>
                <w:szCs w:val="21"/>
                <w:highlight w:val="none"/>
                <w14:textFill>
                  <w14:solidFill>
                    <w14:schemeClr w14:val="tx1"/>
                  </w14:solidFill>
                </w14:textFill>
              </w:rPr>
            </w:pPr>
          </w:p>
        </w:tc>
        <w:tc>
          <w:tcPr>
            <w:tcW w:w="233" w:type="pct"/>
            <w:vAlign w:val="center"/>
          </w:tcPr>
          <w:p w14:paraId="40DFB197">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元</w:t>
            </w:r>
          </w:p>
        </w:tc>
        <w:tc>
          <w:tcPr>
            <w:tcW w:w="1670" w:type="pct"/>
            <w:gridSpan w:val="6"/>
            <w:vAlign w:val="center"/>
          </w:tcPr>
          <w:p w14:paraId="60ACCF56">
            <w:pPr>
              <w:jc w:val="center"/>
              <w:rPr>
                <w:b/>
                <w:color w:val="000000" w:themeColor="text1"/>
                <w:szCs w:val="21"/>
                <w:highlight w:val="none"/>
                <w14:textFill>
                  <w14:solidFill>
                    <w14:schemeClr w14:val="tx1"/>
                  </w14:solidFill>
                </w14:textFill>
              </w:rPr>
            </w:pPr>
          </w:p>
        </w:tc>
        <w:tc>
          <w:tcPr>
            <w:tcW w:w="1318" w:type="pct"/>
            <w:gridSpan w:val="3"/>
            <w:vAlign w:val="center"/>
          </w:tcPr>
          <w:p w14:paraId="609AFC25">
            <w:pPr>
              <w:jc w:val="center"/>
              <w:rPr>
                <w:b/>
                <w:color w:val="000000" w:themeColor="text1"/>
                <w:szCs w:val="21"/>
                <w:highlight w:val="none"/>
                <w14:textFill>
                  <w14:solidFill>
                    <w14:schemeClr w14:val="tx1"/>
                  </w14:solidFill>
                </w14:textFill>
              </w:rPr>
            </w:pPr>
          </w:p>
        </w:tc>
      </w:tr>
    </w:tbl>
    <w:p w14:paraId="75AE26C2">
      <w:pPr>
        <w:spacing w:line="360" w:lineRule="auto"/>
        <w:rPr>
          <w:color w:val="000000" w:themeColor="text1"/>
          <w:szCs w:val="21"/>
          <w:highlight w:val="none"/>
          <w14:textFill>
            <w14:solidFill>
              <w14:schemeClr w14:val="tx1"/>
            </w14:solidFill>
          </w14:textFill>
        </w:rPr>
      </w:pPr>
    </w:p>
    <w:p w14:paraId="391B408B">
      <w:pPr>
        <w:pStyle w:val="53"/>
        <w:spacing w:before="120"/>
        <w:rPr>
          <w:rStyle w:val="46"/>
          <w:rFonts w:ascii="Times New Roman" w:hAnsi="Times New Roman" w:eastAsia="宋体" w:cs="Times New Roman"/>
          <w:b/>
          <w:bCs/>
          <w:color w:val="000000" w:themeColor="text1"/>
          <w:szCs w:val="24"/>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bookmarkStart w:id="1617" w:name="_Toc284135594"/>
    </w:p>
    <w:p w14:paraId="05B23554">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6.综合单价分析表</w:t>
      </w:r>
    </w:p>
    <w:p w14:paraId="20B49842">
      <w:pPr>
        <w:spacing w:line="360" w:lineRule="auto"/>
        <w:ind w:left="842" w:leftChars="200" w:hanging="422" w:hangingChars="150"/>
        <w:jc w:val="center"/>
        <w:rPr>
          <w:b/>
          <w:bCs/>
          <w:color w:val="000000" w:themeColor="text1"/>
          <w:sz w:val="28"/>
          <w:szCs w:val="28"/>
          <w:highlight w:val="none"/>
          <w14:textFill>
            <w14:solidFill>
              <w14:schemeClr w14:val="tx1"/>
            </w14:solidFill>
          </w14:textFill>
        </w:rPr>
      </w:pPr>
    </w:p>
    <w:p w14:paraId="4B41CD0E">
      <w:pPr>
        <w:spacing w:line="360" w:lineRule="auto"/>
        <w:ind w:left="842" w:leftChars="200" w:hanging="422" w:hangingChars="150"/>
        <w:jc w:val="center"/>
        <w:rPr>
          <w:b/>
          <w:bCs/>
          <w:color w:val="000000" w:themeColor="text1"/>
          <w:sz w:val="28"/>
          <w:szCs w:val="28"/>
          <w:highlight w:val="none"/>
          <w14:textFill>
            <w14:solidFill>
              <w14:schemeClr w14:val="tx1"/>
            </w14:solidFill>
          </w14:textFill>
        </w:rPr>
      </w:pPr>
      <w:r>
        <w:rPr>
          <w:rFonts w:hint="eastAsia"/>
          <w:b/>
          <w:bCs/>
          <w:color w:val="000000" w:themeColor="text1"/>
          <w:sz w:val="28"/>
          <w:szCs w:val="28"/>
          <w:highlight w:val="none"/>
          <w14:textFill>
            <w14:solidFill>
              <w14:schemeClr w14:val="tx1"/>
            </w14:solidFill>
          </w14:textFill>
        </w:rPr>
        <w:t>XX不含增值税综合单价分析表</w:t>
      </w:r>
    </w:p>
    <w:p w14:paraId="36646AF4">
      <w:pPr>
        <w:spacing w:line="360" w:lineRule="auto"/>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工程名称：</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1455"/>
        <w:gridCol w:w="851"/>
        <w:gridCol w:w="851"/>
        <w:gridCol w:w="851"/>
        <w:gridCol w:w="1134"/>
        <w:gridCol w:w="808"/>
        <w:gridCol w:w="956"/>
        <w:gridCol w:w="959"/>
      </w:tblGrid>
      <w:tr w14:paraId="45B1D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pct"/>
            <w:vMerge w:val="restart"/>
            <w:vAlign w:val="center"/>
          </w:tcPr>
          <w:p w14:paraId="4567D673">
            <w:pPr>
              <w:jc w:val="center"/>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序号</w:t>
            </w:r>
          </w:p>
        </w:tc>
        <w:tc>
          <w:tcPr>
            <w:tcW w:w="834" w:type="pct"/>
            <w:vMerge w:val="restart"/>
            <w:vAlign w:val="center"/>
          </w:tcPr>
          <w:p w14:paraId="3B9AE261">
            <w:pPr>
              <w:jc w:val="center"/>
              <w:rPr>
                <w:b/>
                <w:bCs/>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清单项目</w:t>
            </w:r>
          </w:p>
        </w:tc>
        <w:tc>
          <w:tcPr>
            <w:tcW w:w="3675" w:type="pct"/>
            <w:gridSpan w:val="7"/>
            <w:vAlign w:val="center"/>
          </w:tcPr>
          <w:p w14:paraId="3FEB6C98">
            <w:pPr>
              <w:jc w:val="center"/>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不含增值税综合单价（元）</w:t>
            </w:r>
          </w:p>
        </w:tc>
      </w:tr>
      <w:tr w14:paraId="22A22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pct"/>
            <w:vMerge w:val="continue"/>
            <w:vAlign w:val="center"/>
          </w:tcPr>
          <w:p w14:paraId="527A85A1">
            <w:pPr>
              <w:jc w:val="center"/>
              <w:rPr>
                <w:bCs/>
                <w:color w:val="000000" w:themeColor="text1"/>
                <w:szCs w:val="21"/>
                <w:highlight w:val="none"/>
                <w14:textFill>
                  <w14:solidFill>
                    <w14:schemeClr w14:val="tx1"/>
                  </w14:solidFill>
                </w14:textFill>
              </w:rPr>
            </w:pPr>
          </w:p>
        </w:tc>
        <w:tc>
          <w:tcPr>
            <w:tcW w:w="834" w:type="pct"/>
            <w:vMerge w:val="continue"/>
            <w:vAlign w:val="center"/>
          </w:tcPr>
          <w:p w14:paraId="41656062">
            <w:pPr>
              <w:jc w:val="center"/>
              <w:rPr>
                <w:bCs/>
                <w:color w:val="000000" w:themeColor="text1"/>
                <w:szCs w:val="21"/>
                <w:highlight w:val="none"/>
                <w14:textFill>
                  <w14:solidFill>
                    <w14:schemeClr w14:val="tx1"/>
                  </w14:solidFill>
                </w14:textFill>
              </w:rPr>
            </w:pPr>
          </w:p>
        </w:tc>
        <w:tc>
          <w:tcPr>
            <w:tcW w:w="488" w:type="pct"/>
            <w:vAlign w:val="center"/>
          </w:tcPr>
          <w:p w14:paraId="692F62D8">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人工</w:t>
            </w:r>
          </w:p>
        </w:tc>
        <w:tc>
          <w:tcPr>
            <w:tcW w:w="488" w:type="pct"/>
            <w:vAlign w:val="center"/>
          </w:tcPr>
          <w:p w14:paraId="59EFF11A">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材料</w:t>
            </w:r>
          </w:p>
        </w:tc>
        <w:tc>
          <w:tcPr>
            <w:tcW w:w="488" w:type="pct"/>
            <w:vAlign w:val="center"/>
          </w:tcPr>
          <w:p w14:paraId="65015D37">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机械</w:t>
            </w:r>
          </w:p>
        </w:tc>
        <w:tc>
          <w:tcPr>
            <w:tcW w:w="650" w:type="pct"/>
            <w:vAlign w:val="center"/>
          </w:tcPr>
          <w:p w14:paraId="006200F8">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管理费</w:t>
            </w:r>
          </w:p>
        </w:tc>
        <w:tc>
          <w:tcPr>
            <w:tcW w:w="463" w:type="pct"/>
            <w:vAlign w:val="center"/>
          </w:tcPr>
          <w:p w14:paraId="4ACBD27B">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利润</w:t>
            </w:r>
          </w:p>
        </w:tc>
        <w:tc>
          <w:tcPr>
            <w:tcW w:w="548" w:type="pct"/>
            <w:vAlign w:val="center"/>
          </w:tcPr>
          <w:p w14:paraId="08568EDB">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规费</w:t>
            </w:r>
          </w:p>
        </w:tc>
        <w:tc>
          <w:tcPr>
            <w:tcW w:w="550" w:type="pct"/>
            <w:vAlign w:val="center"/>
          </w:tcPr>
          <w:p w14:paraId="7BB32512">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小计</w:t>
            </w:r>
          </w:p>
        </w:tc>
      </w:tr>
      <w:tr w14:paraId="01D80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491" w:type="pct"/>
            <w:vAlign w:val="center"/>
          </w:tcPr>
          <w:p w14:paraId="41FCD94A">
            <w:pPr>
              <w:jc w:val="center"/>
              <w:rPr>
                <w:bCs/>
                <w:color w:val="000000" w:themeColor="text1"/>
                <w:szCs w:val="21"/>
                <w:highlight w:val="none"/>
                <w14:textFill>
                  <w14:solidFill>
                    <w14:schemeClr w14:val="tx1"/>
                  </w14:solidFill>
                </w14:textFill>
              </w:rPr>
            </w:pPr>
          </w:p>
        </w:tc>
        <w:tc>
          <w:tcPr>
            <w:tcW w:w="834" w:type="pct"/>
            <w:vAlign w:val="center"/>
          </w:tcPr>
          <w:p w14:paraId="1C28C5F3">
            <w:pPr>
              <w:jc w:val="center"/>
              <w:rPr>
                <w:bCs/>
                <w:color w:val="000000" w:themeColor="text1"/>
                <w:szCs w:val="21"/>
                <w:highlight w:val="none"/>
                <w14:textFill>
                  <w14:solidFill>
                    <w14:schemeClr w14:val="tx1"/>
                  </w14:solidFill>
                </w14:textFill>
              </w:rPr>
            </w:pPr>
          </w:p>
        </w:tc>
        <w:tc>
          <w:tcPr>
            <w:tcW w:w="488" w:type="pct"/>
            <w:vAlign w:val="center"/>
          </w:tcPr>
          <w:p w14:paraId="633EBB7D">
            <w:pPr>
              <w:jc w:val="center"/>
              <w:rPr>
                <w:bCs/>
                <w:color w:val="000000" w:themeColor="text1"/>
                <w:szCs w:val="21"/>
                <w:highlight w:val="none"/>
                <w14:textFill>
                  <w14:solidFill>
                    <w14:schemeClr w14:val="tx1"/>
                  </w14:solidFill>
                </w14:textFill>
              </w:rPr>
            </w:pPr>
          </w:p>
        </w:tc>
        <w:tc>
          <w:tcPr>
            <w:tcW w:w="488" w:type="pct"/>
            <w:vAlign w:val="center"/>
          </w:tcPr>
          <w:p w14:paraId="78AB9DCC">
            <w:pPr>
              <w:jc w:val="center"/>
              <w:rPr>
                <w:bCs/>
                <w:color w:val="000000" w:themeColor="text1"/>
                <w:szCs w:val="21"/>
                <w:highlight w:val="none"/>
                <w14:textFill>
                  <w14:solidFill>
                    <w14:schemeClr w14:val="tx1"/>
                  </w14:solidFill>
                </w14:textFill>
              </w:rPr>
            </w:pPr>
          </w:p>
        </w:tc>
        <w:tc>
          <w:tcPr>
            <w:tcW w:w="488" w:type="pct"/>
            <w:vAlign w:val="center"/>
          </w:tcPr>
          <w:p w14:paraId="6AD190D2">
            <w:pPr>
              <w:jc w:val="center"/>
              <w:rPr>
                <w:bCs/>
                <w:color w:val="000000" w:themeColor="text1"/>
                <w:szCs w:val="21"/>
                <w:highlight w:val="none"/>
                <w14:textFill>
                  <w14:solidFill>
                    <w14:schemeClr w14:val="tx1"/>
                  </w14:solidFill>
                </w14:textFill>
              </w:rPr>
            </w:pPr>
          </w:p>
        </w:tc>
        <w:tc>
          <w:tcPr>
            <w:tcW w:w="650" w:type="pct"/>
            <w:vAlign w:val="center"/>
          </w:tcPr>
          <w:p w14:paraId="04ADAFEB">
            <w:pPr>
              <w:jc w:val="center"/>
              <w:rPr>
                <w:bCs/>
                <w:color w:val="000000" w:themeColor="text1"/>
                <w:szCs w:val="21"/>
                <w:highlight w:val="none"/>
                <w14:textFill>
                  <w14:solidFill>
                    <w14:schemeClr w14:val="tx1"/>
                  </w14:solidFill>
                </w14:textFill>
              </w:rPr>
            </w:pPr>
          </w:p>
        </w:tc>
        <w:tc>
          <w:tcPr>
            <w:tcW w:w="463" w:type="pct"/>
            <w:vAlign w:val="center"/>
          </w:tcPr>
          <w:p w14:paraId="164285F1">
            <w:pPr>
              <w:jc w:val="center"/>
              <w:rPr>
                <w:bCs/>
                <w:color w:val="000000" w:themeColor="text1"/>
                <w:szCs w:val="21"/>
                <w:highlight w:val="none"/>
                <w14:textFill>
                  <w14:solidFill>
                    <w14:schemeClr w14:val="tx1"/>
                  </w14:solidFill>
                </w14:textFill>
              </w:rPr>
            </w:pPr>
          </w:p>
        </w:tc>
        <w:tc>
          <w:tcPr>
            <w:tcW w:w="548" w:type="pct"/>
            <w:vAlign w:val="center"/>
          </w:tcPr>
          <w:p w14:paraId="1119318A">
            <w:pPr>
              <w:jc w:val="center"/>
              <w:rPr>
                <w:bCs/>
                <w:color w:val="000000" w:themeColor="text1"/>
                <w:szCs w:val="21"/>
                <w:highlight w:val="none"/>
                <w14:textFill>
                  <w14:solidFill>
                    <w14:schemeClr w14:val="tx1"/>
                  </w14:solidFill>
                </w14:textFill>
              </w:rPr>
            </w:pPr>
          </w:p>
        </w:tc>
        <w:tc>
          <w:tcPr>
            <w:tcW w:w="550" w:type="pct"/>
            <w:vAlign w:val="center"/>
          </w:tcPr>
          <w:p w14:paraId="0E8E3D73">
            <w:pPr>
              <w:jc w:val="center"/>
              <w:rPr>
                <w:bCs/>
                <w:color w:val="000000" w:themeColor="text1"/>
                <w:szCs w:val="21"/>
                <w:highlight w:val="none"/>
                <w14:textFill>
                  <w14:solidFill>
                    <w14:schemeClr w14:val="tx1"/>
                  </w14:solidFill>
                </w14:textFill>
              </w:rPr>
            </w:pPr>
          </w:p>
        </w:tc>
      </w:tr>
      <w:tr w14:paraId="2C39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91" w:type="pct"/>
            <w:vAlign w:val="center"/>
          </w:tcPr>
          <w:p w14:paraId="58BA37B5">
            <w:pPr>
              <w:jc w:val="center"/>
              <w:rPr>
                <w:bCs/>
                <w:color w:val="000000" w:themeColor="text1"/>
                <w:szCs w:val="21"/>
                <w:highlight w:val="none"/>
                <w14:textFill>
                  <w14:solidFill>
                    <w14:schemeClr w14:val="tx1"/>
                  </w14:solidFill>
                </w14:textFill>
              </w:rPr>
            </w:pPr>
          </w:p>
        </w:tc>
        <w:tc>
          <w:tcPr>
            <w:tcW w:w="834" w:type="pct"/>
            <w:vAlign w:val="center"/>
          </w:tcPr>
          <w:p w14:paraId="7AF80CCB">
            <w:pPr>
              <w:jc w:val="center"/>
              <w:rPr>
                <w:bCs/>
                <w:color w:val="000000" w:themeColor="text1"/>
                <w:szCs w:val="21"/>
                <w:highlight w:val="none"/>
                <w14:textFill>
                  <w14:solidFill>
                    <w14:schemeClr w14:val="tx1"/>
                  </w14:solidFill>
                </w14:textFill>
              </w:rPr>
            </w:pPr>
          </w:p>
        </w:tc>
        <w:tc>
          <w:tcPr>
            <w:tcW w:w="488" w:type="pct"/>
            <w:vAlign w:val="center"/>
          </w:tcPr>
          <w:p w14:paraId="190FCA20">
            <w:pPr>
              <w:jc w:val="center"/>
              <w:rPr>
                <w:bCs/>
                <w:color w:val="000000" w:themeColor="text1"/>
                <w:szCs w:val="21"/>
                <w:highlight w:val="none"/>
                <w14:textFill>
                  <w14:solidFill>
                    <w14:schemeClr w14:val="tx1"/>
                  </w14:solidFill>
                </w14:textFill>
              </w:rPr>
            </w:pPr>
          </w:p>
        </w:tc>
        <w:tc>
          <w:tcPr>
            <w:tcW w:w="488" w:type="pct"/>
            <w:vAlign w:val="center"/>
          </w:tcPr>
          <w:p w14:paraId="0DC9E334">
            <w:pPr>
              <w:jc w:val="center"/>
              <w:rPr>
                <w:bCs/>
                <w:color w:val="000000" w:themeColor="text1"/>
                <w:szCs w:val="21"/>
                <w:highlight w:val="none"/>
                <w14:textFill>
                  <w14:solidFill>
                    <w14:schemeClr w14:val="tx1"/>
                  </w14:solidFill>
                </w14:textFill>
              </w:rPr>
            </w:pPr>
          </w:p>
        </w:tc>
        <w:tc>
          <w:tcPr>
            <w:tcW w:w="488" w:type="pct"/>
            <w:vAlign w:val="center"/>
          </w:tcPr>
          <w:p w14:paraId="151DF080">
            <w:pPr>
              <w:jc w:val="center"/>
              <w:rPr>
                <w:bCs/>
                <w:color w:val="000000" w:themeColor="text1"/>
                <w:szCs w:val="21"/>
                <w:highlight w:val="none"/>
                <w14:textFill>
                  <w14:solidFill>
                    <w14:schemeClr w14:val="tx1"/>
                  </w14:solidFill>
                </w14:textFill>
              </w:rPr>
            </w:pPr>
          </w:p>
        </w:tc>
        <w:tc>
          <w:tcPr>
            <w:tcW w:w="650" w:type="pct"/>
            <w:vAlign w:val="center"/>
          </w:tcPr>
          <w:p w14:paraId="38A0113A">
            <w:pPr>
              <w:jc w:val="center"/>
              <w:rPr>
                <w:bCs/>
                <w:color w:val="000000" w:themeColor="text1"/>
                <w:szCs w:val="21"/>
                <w:highlight w:val="none"/>
                <w14:textFill>
                  <w14:solidFill>
                    <w14:schemeClr w14:val="tx1"/>
                  </w14:solidFill>
                </w14:textFill>
              </w:rPr>
            </w:pPr>
          </w:p>
        </w:tc>
        <w:tc>
          <w:tcPr>
            <w:tcW w:w="463" w:type="pct"/>
            <w:vAlign w:val="center"/>
          </w:tcPr>
          <w:p w14:paraId="6FC1B6C8">
            <w:pPr>
              <w:jc w:val="center"/>
              <w:rPr>
                <w:bCs/>
                <w:color w:val="000000" w:themeColor="text1"/>
                <w:szCs w:val="21"/>
                <w:highlight w:val="none"/>
                <w14:textFill>
                  <w14:solidFill>
                    <w14:schemeClr w14:val="tx1"/>
                  </w14:solidFill>
                </w14:textFill>
              </w:rPr>
            </w:pPr>
          </w:p>
        </w:tc>
        <w:tc>
          <w:tcPr>
            <w:tcW w:w="548" w:type="pct"/>
            <w:vAlign w:val="center"/>
          </w:tcPr>
          <w:p w14:paraId="758E1941">
            <w:pPr>
              <w:jc w:val="center"/>
              <w:rPr>
                <w:bCs/>
                <w:color w:val="000000" w:themeColor="text1"/>
                <w:szCs w:val="21"/>
                <w:highlight w:val="none"/>
                <w14:textFill>
                  <w14:solidFill>
                    <w14:schemeClr w14:val="tx1"/>
                  </w14:solidFill>
                </w14:textFill>
              </w:rPr>
            </w:pPr>
          </w:p>
        </w:tc>
        <w:tc>
          <w:tcPr>
            <w:tcW w:w="550" w:type="pct"/>
            <w:vAlign w:val="center"/>
          </w:tcPr>
          <w:p w14:paraId="676BC387">
            <w:pPr>
              <w:jc w:val="center"/>
              <w:rPr>
                <w:bCs/>
                <w:color w:val="000000" w:themeColor="text1"/>
                <w:szCs w:val="21"/>
                <w:highlight w:val="none"/>
                <w14:textFill>
                  <w14:solidFill>
                    <w14:schemeClr w14:val="tx1"/>
                  </w14:solidFill>
                </w14:textFill>
              </w:rPr>
            </w:pPr>
          </w:p>
        </w:tc>
      </w:tr>
      <w:tr w14:paraId="44C2D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491" w:type="pct"/>
            <w:vAlign w:val="center"/>
          </w:tcPr>
          <w:p w14:paraId="22F6DE26">
            <w:pPr>
              <w:jc w:val="center"/>
              <w:rPr>
                <w:bCs/>
                <w:color w:val="000000" w:themeColor="text1"/>
                <w:szCs w:val="21"/>
                <w:highlight w:val="none"/>
                <w14:textFill>
                  <w14:solidFill>
                    <w14:schemeClr w14:val="tx1"/>
                  </w14:solidFill>
                </w14:textFill>
              </w:rPr>
            </w:pPr>
          </w:p>
        </w:tc>
        <w:tc>
          <w:tcPr>
            <w:tcW w:w="834" w:type="pct"/>
            <w:vAlign w:val="center"/>
          </w:tcPr>
          <w:p w14:paraId="73B52235">
            <w:pPr>
              <w:jc w:val="center"/>
              <w:rPr>
                <w:bCs/>
                <w:color w:val="000000" w:themeColor="text1"/>
                <w:szCs w:val="21"/>
                <w:highlight w:val="none"/>
                <w14:textFill>
                  <w14:solidFill>
                    <w14:schemeClr w14:val="tx1"/>
                  </w14:solidFill>
                </w14:textFill>
              </w:rPr>
            </w:pPr>
          </w:p>
        </w:tc>
        <w:tc>
          <w:tcPr>
            <w:tcW w:w="488" w:type="pct"/>
            <w:vAlign w:val="center"/>
          </w:tcPr>
          <w:p w14:paraId="06EE3342">
            <w:pPr>
              <w:jc w:val="center"/>
              <w:rPr>
                <w:bCs/>
                <w:color w:val="000000" w:themeColor="text1"/>
                <w:szCs w:val="21"/>
                <w:highlight w:val="none"/>
                <w14:textFill>
                  <w14:solidFill>
                    <w14:schemeClr w14:val="tx1"/>
                  </w14:solidFill>
                </w14:textFill>
              </w:rPr>
            </w:pPr>
          </w:p>
        </w:tc>
        <w:tc>
          <w:tcPr>
            <w:tcW w:w="488" w:type="pct"/>
            <w:vAlign w:val="center"/>
          </w:tcPr>
          <w:p w14:paraId="7B3122F2">
            <w:pPr>
              <w:jc w:val="center"/>
              <w:rPr>
                <w:bCs/>
                <w:color w:val="000000" w:themeColor="text1"/>
                <w:szCs w:val="21"/>
                <w:highlight w:val="none"/>
                <w14:textFill>
                  <w14:solidFill>
                    <w14:schemeClr w14:val="tx1"/>
                  </w14:solidFill>
                </w14:textFill>
              </w:rPr>
            </w:pPr>
          </w:p>
        </w:tc>
        <w:tc>
          <w:tcPr>
            <w:tcW w:w="488" w:type="pct"/>
            <w:vAlign w:val="center"/>
          </w:tcPr>
          <w:p w14:paraId="2716920E">
            <w:pPr>
              <w:jc w:val="center"/>
              <w:rPr>
                <w:bCs/>
                <w:color w:val="000000" w:themeColor="text1"/>
                <w:szCs w:val="21"/>
                <w:highlight w:val="none"/>
                <w14:textFill>
                  <w14:solidFill>
                    <w14:schemeClr w14:val="tx1"/>
                  </w14:solidFill>
                </w14:textFill>
              </w:rPr>
            </w:pPr>
          </w:p>
        </w:tc>
        <w:tc>
          <w:tcPr>
            <w:tcW w:w="650" w:type="pct"/>
            <w:vAlign w:val="center"/>
          </w:tcPr>
          <w:p w14:paraId="27EDEB8B">
            <w:pPr>
              <w:jc w:val="center"/>
              <w:rPr>
                <w:bCs/>
                <w:color w:val="000000" w:themeColor="text1"/>
                <w:szCs w:val="21"/>
                <w:highlight w:val="none"/>
                <w14:textFill>
                  <w14:solidFill>
                    <w14:schemeClr w14:val="tx1"/>
                  </w14:solidFill>
                </w14:textFill>
              </w:rPr>
            </w:pPr>
          </w:p>
        </w:tc>
        <w:tc>
          <w:tcPr>
            <w:tcW w:w="463" w:type="pct"/>
            <w:vAlign w:val="center"/>
          </w:tcPr>
          <w:p w14:paraId="6D71FFC5">
            <w:pPr>
              <w:jc w:val="center"/>
              <w:rPr>
                <w:bCs/>
                <w:color w:val="000000" w:themeColor="text1"/>
                <w:szCs w:val="21"/>
                <w:highlight w:val="none"/>
                <w14:textFill>
                  <w14:solidFill>
                    <w14:schemeClr w14:val="tx1"/>
                  </w14:solidFill>
                </w14:textFill>
              </w:rPr>
            </w:pPr>
          </w:p>
        </w:tc>
        <w:tc>
          <w:tcPr>
            <w:tcW w:w="548" w:type="pct"/>
            <w:vAlign w:val="center"/>
          </w:tcPr>
          <w:p w14:paraId="496E2552">
            <w:pPr>
              <w:jc w:val="center"/>
              <w:rPr>
                <w:bCs/>
                <w:color w:val="000000" w:themeColor="text1"/>
                <w:szCs w:val="21"/>
                <w:highlight w:val="none"/>
                <w14:textFill>
                  <w14:solidFill>
                    <w14:schemeClr w14:val="tx1"/>
                  </w14:solidFill>
                </w14:textFill>
              </w:rPr>
            </w:pPr>
          </w:p>
        </w:tc>
        <w:tc>
          <w:tcPr>
            <w:tcW w:w="550" w:type="pct"/>
            <w:vAlign w:val="center"/>
          </w:tcPr>
          <w:p w14:paraId="219AA544">
            <w:pPr>
              <w:jc w:val="center"/>
              <w:rPr>
                <w:bCs/>
                <w:color w:val="000000" w:themeColor="text1"/>
                <w:szCs w:val="21"/>
                <w:highlight w:val="none"/>
                <w14:textFill>
                  <w14:solidFill>
                    <w14:schemeClr w14:val="tx1"/>
                  </w14:solidFill>
                </w14:textFill>
              </w:rPr>
            </w:pPr>
          </w:p>
        </w:tc>
      </w:tr>
      <w:tr w14:paraId="12EEE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021CF004">
            <w:pPr>
              <w:jc w:val="center"/>
              <w:rPr>
                <w:bCs/>
                <w:color w:val="000000" w:themeColor="text1"/>
                <w:szCs w:val="21"/>
                <w:highlight w:val="none"/>
                <w14:textFill>
                  <w14:solidFill>
                    <w14:schemeClr w14:val="tx1"/>
                  </w14:solidFill>
                </w14:textFill>
              </w:rPr>
            </w:pPr>
          </w:p>
        </w:tc>
        <w:tc>
          <w:tcPr>
            <w:tcW w:w="834" w:type="pct"/>
            <w:vAlign w:val="center"/>
          </w:tcPr>
          <w:p w14:paraId="2B3077C3">
            <w:pPr>
              <w:jc w:val="center"/>
              <w:rPr>
                <w:bCs/>
                <w:color w:val="000000" w:themeColor="text1"/>
                <w:szCs w:val="21"/>
                <w:highlight w:val="none"/>
                <w14:textFill>
                  <w14:solidFill>
                    <w14:schemeClr w14:val="tx1"/>
                  </w14:solidFill>
                </w14:textFill>
              </w:rPr>
            </w:pPr>
          </w:p>
        </w:tc>
        <w:tc>
          <w:tcPr>
            <w:tcW w:w="488" w:type="pct"/>
            <w:vAlign w:val="center"/>
          </w:tcPr>
          <w:p w14:paraId="7D6F310E">
            <w:pPr>
              <w:jc w:val="center"/>
              <w:rPr>
                <w:bCs/>
                <w:color w:val="000000" w:themeColor="text1"/>
                <w:szCs w:val="21"/>
                <w:highlight w:val="none"/>
                <w14:textFill>
                  <w14:solidFill>
                    <w14:schemeClr w14:val="tx1"/>
                  </w14:solidFill>
                </w14:textFill>
              </w:rPr>
            </w:pPr>
          </w:p>
        </w:tc>
        <w:tc>
          <w:tcPr>
            <w:tcW w:w="488" w:type="pct"/>
            <w:vAlign w:val="center"/>
          </w:tcPr>
          <w:p w14:paraId="2DB9E64A">
            <w:pPr>
              <w:jc w:val="center"/>
              <w:rPr>
                <w:bCs/>
                <w:color w:val="000000" w:themeColor="text1"/>
                <w:szCs w:val="21"/>
                <w:highlight w:val="none"/>
                <w14:textFill>
                  <w14:solidFill>
                    <w14:schemeClr w14:val="tx1"/>
                  </w14:solidFill>
                </w14:textFill>
              </w:rPr>
            </w:pPr>
          </w:p>
        </w:tc>
        <w:tc>
          <w:tcPr>
            <w:tcW w:w="488" w:type="pct"/>
            <w:vAlign w:val="center"/>
          </w:tcPr>
          <w:p w14:paraId="4FC476A1">
            <w:pPr>
              <w:jc w:val="center"/>
              <w:rPr>
                <w:bCs/>
                <w:color w:val="000000" w:themeColor="text1"/>
                <w:szCs w:val="21"/>
                <w:highlight w:val="none"/>
                <w14:textFill>
                  <w14:solidFill>
                    <w14:schemeClr w14:val="tx1"/>
                  </w14:solidFill>
                </w14:textFill>
              </w:rPr>
            </w:pPr>
          </w:p>
        </w:tc>
        <w:tc>
          <w:tcPr>
            <w:tcW w:w="650" w:type="pct"/>
            <w:vAlign w:val="center"/>
          </w:tcPr>
          <w:p w14:paraId="3F07DED9">
            <w:pPr>
              <w:jc w:val="center"/>
              <w:rPr>
                <w:bCs/>
                <w:color w:val="000000" w:themeColor="text1"/>
                <w:szCs w:val="21"/>
                <w:highlight w:val="none"/>
                <w14:textFill>
                  <w14:solidFill>
                    <w14:schemeClr w14:val="tx1"/>
                  </w14:solidFill>
                </w14:textFill>
              </w:rPr>
            </w:pPr>
          </w:p>
        </w:tc>
        <w:tc>
          <w:tcPr>
            <w:tcW w:w="463" w:type="pct"/>
            <w:vAlign w:val="center"/>
          </w:tcPr>
          <w:p w14:paraId="2BFCF4F0">
            <w:pPr>
              <w:jc w:val="center"/>
              <w:rPr>
                <w:bCs/>
                <w:color w:val="000000" w:themeColor="text1"/>
                <w:szCs w:val="21"/>
                <w:highlight w:val="none"/>
                <w14:textFill>
                  <w14:solidFill>
                    <w14:schemeClr w14:val="tx1"/>
                  </w14:solidFill>
                </w14:textFill>
              </w:rPr>
            </w:pPr>
          </w:p>
        </w:tc>
        <w:tc>
          <w:tcPr>
            <w:tcW w:w="548" w:type="pct"/>
            <w:vAlign w:val="center"/>
          </w:tcPr>
          <w:p w14:paraId="224D6751">
            <w:pPr>
              <w:jc w:val="center"/>
              <w:rPr>
                <w:bCs/>
                <w:color w:val="000000" w:themeColor="text1"/>
                <w:szCs w:val="21"/>
                <w:highlight w:val="none"/>
                <w14:textFill>
                  <w14:solidFill>
                    <w14:schemeClr w14:val="tx1"/>
                  </w14:solidFill>
                </w14:textFill>
              </w:rPr>
            </w:pPr>
          </w:p>
        </w:tc>
        <w:tc>
          <w:tcPr>
            <w:tcW w:w="550" w:type="pct"/>
            <w:vAlign w:val="center"/>
          </w:tcPr>
          <w:p w14:paraId="0E8156E3">
            <w:pPr>
              <w:jc w:val="center"/>
              <w:rPr>
                <w:bCs/>
                <w:color w:val="000000" w:themeColor="text1"/>
                <w:szCs w:val="21"/>
                <w:highlight w:val="none"/>
                <w14:textFill>
                  <w14:solidFill>
                    <w14:schemeClr w14:val="tx1"/>
                  </w14:solidFill>
                </w14:textFill>
              </w:rPr>
            </w:pPr>
          </w:p>
        </w:tc>
      </w:tr>
      <w:tr w14:paraId="792A6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7255A7A1">
            <w:pPr>
              <w:jc w:val="center"/>
              <w:rPr>
                <w:bCs/>
                <w:color w:val="000000" w:themeColor="text1"/>
                <w:szCs w:val="21"/>
                <w:highlight w:val="none"/>
                <w14:textFill>
                  <w14:solidFill>
                    <w14:schemeClr w14:val="tx1"/>
                  </w14:solidFill>
                </w14:textFill>
              </w:rPr>
            </w:pPr>
          </w:p>
        </w:tc>
        <w:tc>
          <w:tcPr>
            <w:tcW w:w="834" w:type="pct"/>
            <w:vAlign w:val="center"/>
          </w:tcPr>
          <w:p w14:paraId="5B0CB5E3">
            <w:pPr>
              <w:jc w:val="center"/>
              <w:rPr>
                <w:bCs/>
                <w:color w:val="000000" w:themeColor="text1"/>
                <w:szCs w:val="21"/>
                <w:highlight w:val="none"/>
                <w14:textFill>
                  <w14:solidFill>
                    <w14:schemeClr w14:val="tx1"/>
                  </w14:solidFill>
                </w14:textFill>
              </w:rPr>
            </w:pPr>
          </w:p>
        </w:tc>
        <w:tc>
          <w:tcPr>
            <w:tcW w:w="488" w:type="pct"/>
            <w:vAlign w:val="center"/>
          </w:tcPr>
          <w:p w14:paraId="11AA9C9C">
            <w:pPr>
              <w:jc w:val="center"/>
              <w:rPr>
                <w:bCs/>
                <w:color w:val="000000" w:themeColor="text1"/>
                <w:szCs w:val="21"/>
                <w:highlight w:val="none"/>
                <w14:textFill>
                  <w14:solidFill>
                    <w14:schemeClr w14:val="tx1"/>
                  </w14:solidFill>
                </w14:textFill>
              </w:rPr>
            </w:pPr>
          </w:p>
        </w:tc>
        <w:tc>
          <w:tcPr>
            <w:tcW w:w="488" w:type="pct"/>
            <w:vAlign w:val="center"/>
          </w:tcPr>
          <w:p w14:paraId="5946C9AA">
            <w:pPr>
              <w:jc w:val="center"/>
              <w:rPr>
                <w:bCs/>
                <w:color w:val="000000" w:themeColor="text1"/>
                <w:szCs w:val="21"/>
                <w:highlight w:val="none"/>
                <w14:textFill>
                  <w14:solidFill>
                    <w14:schemeClr w14:val="tx1"/>
                  </w14:solidFill>
                </w14:textFill>
              </w:rPr>
            </w:pPr>
          </w:p>
        </w:tc>
        <w:tc>
          <w:tcPr>
            <w:tcW w:w="488" w:type="pct"/>
            <w:vAlign w:val="center"/>
          </w:tcPr>
          <w:p w14:paraId="0BB3530E">
            <w:pPr>
              <w:jc w:val="center"/>
              <w:rPr>
                <w:bCs/>
                <w:color w:val="000000" w:themeColor="text1"/>
                <w:szCs w:val="21"/>
                <w:highlight w:val="none"/>
                <w14:textFill>
                  <w14:solidFill>
                    <w14:schemeClr w14:val="tx1"/>
                  </w14:solidFill>
                </w14:textFill>
              </w:rPr>
            </w:pPr>
          </w:p>
        </w:tc>
        <w:tc>
          <w:tcPr>
            <w:tcW w:w="650" w:type="pct"/>
            <w:vAlign w:val="center"/>
          </w:tcPr>
          <w:p w14:paraId="798600D2">
            <w:pPr>
              <w:jc w:val="center"/>
              <w:rPr>
                <w:bCs/>
                <w:color w:val="000000" w:themeColor="text1"/>
                <w:szCs w:val="21"/>
                <w:highlight w:val="none"/>
                <w14:textFill>
                  <w14:solidFill>
                    <w14:schemeClr w14:val="tx1"/>
                  </w14:solidFill>
                </w14:textFill>
              </w:rPr>
            </w:pPr>
          </w:p>
        </w:tc>
        <w:tc>
          <w:tcPr>
            <w:tcW w:w="463" w:type="pct"/>
            <w:vAlign w:val="center"/>
          </w:tcPr>
          <w:p w14:paraId="24DA7618">
            <w:pPr>
              <w:jc w:val="center"/>
              <w:rPr>
                <w:bCs/>
                <w:color w:val="000000" w:themeColor="text1"/>
                <w:szCs w:val="21"/>
                <w:highlight w:val="none"/>
                <w14:textFill>
                  <w14:solidFill>
                    <w14:schemeClr w14:val="tx1"/>
                  </w14:solidFill>
                </w14:textFill>
              </w:rPr>
            </w:pPr>
          </w:p>
        </w:tc>
        <w:tc>
          <w:tcPr>
            <w:tcW w:w="548" w:type="pct"/>
            <w:vAlign w:val="center"/>
          </w:tcPr>
          <w:p w14:paraId="6BF14FA8">
            <w:pPr>
              <w:jc w:val="center"/>
              <w:rPr>
                <w:bCs/>
                <w:color w:val="000000" w:themeColor="text1"/>
                <w:szCs w:val="21"/>
                <w:highlight w:val="none"/>
                <w14:textFill>
                  <w14:solidFill>
                    <w14:schemeClr w14:val="tx1"/>
                  </w14:solidFill>
                </w14:textFill>
              </w:rPr>
            </w:pPr>
          </w:p>
        </w:tc>
        <w:tc>
          <w:tcPr>
            <w:tcW w:w="550" w:type="pct"/>
            <w:vAlign w:val="center"/>
          </w:tcPr>
          <w:p w14:paraId="2389D12D">
            <w:pPr>
              <w:jc w:val="center"/>
              <w:rPr>
                <w:bCs/>
                <w:color w:val="000000" w:themeColor="text1"/>
                <w:szCs w:val="21"/>
                <w:highlight w:val="none"/>
                <w14:textFill>
                  <w14:solidFill>
                    <w14:schemeClr w14:val="tx1"/>
                  </w14:solidFill>
                </w14:textFill>
              </w:rPr>
            </w:pPr>
          </w:p>
        </w:tc>
      </w:tr>
      <w:tr w14:paraId="71FA0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6B2283B3">
            <w:pPr>
              <w:jc w:val="center"/>
              <w:rPr>
                <w:bCs/>
                <w:color w:val="000000" w:themeColor="text1"/>
                <w:szCs w:val="21"/>
                <w:highlight w:val="none"/>
                <w14:textFill>
                  <w14:solidFill>
                    <w14:schemeClr w14:val="tx1"/>
                  </w14:solidFill>
                </w14:textFill>
              </w:rPr>
            </w:pPr>
          </w:p>
        </w:tc>
        <w:tc>
          <w:tcPr>
            <w:tcW w:w="834" w:type="pct"/>
            <w:vAlign w:val="center"/>
          </w:tcPr>
          <w:p w14:paraId="262357F3">
            <w:pPr>
              <w:jc w:val="center"/>
              <w:rPr>
                <w:bCs/>
                <w:color w:val="000000" w:themeColor="text1"/>
                <w:szCs w:val="21"/>
                <w:highlight w:val="none"/>
                <w14:textFill>
                  <w14:solidFill>
                    <w14:schemeClr w14:val="tx1"/>
                  </w14:solidFill>
                </w14:textFill>
              </w:rPr>
            </w:pPr>
          </w:p>
        </w:tc>
        <w:tc>
          <w:tcPr>
            <w:tcW w:w="488" w:type="pct"/>
            <w:vAlign w:val="center"/>
          </w:tcPr>
          <w:p w14:paraId="34F1CABD">
            <w:pPr>
              <w:jc w:val="center"/>
              <w:rPr>
                <w:bCs/>
                <w:color w:val="000000" w:themeColor="text1"/>
                <w:szCs w:val="21"/>
                <w:highlight w:val="none"/>
                <w14:textFill>
                  <w14:solidFill>
                    <w14:schemeClr w14:val="tx1"/>
                  </w14:solidFill>
                </w14:textFill>
              </w:rPr>
            </w:pPr>
          </w:p>
        </w:tc>
        <w:tc>
          <w:tcPr>
            <w:tcW w:w="488" w:type="pct"/>
            <w:vAlign w:val="center"/>
          </w:tcPr>
          <w:p w14:paraId="3AFB76BF">
            <w:pPr>
              <w:jc w:val="center"/>
              <w:rPr>
                <w:bCs/>
                <w:color w:val="000000" w:themeColor="text1"/>
                <w:szCs w:val="21"/>
                <w:highlight w:val="none"/>
                <w14:textFill>
                  <w14:solidFill>
                    <w14:schemeClr w14:val="tx1"/>
                  </w14:solidFill>
                </w14:textFill>
              </w:rPr>
            </w:pPr>
          </w:p>
        </w:tc>
        <w:tc>
          <w:tcPr>
            <w:tcW w:w="488" w:type="pct"/>
            <w:vAlign w:val="center"/>
          </w:tcPr>
          <w:p w14:paraId="5C075F2B">
            <w:pPr>
              <w:jc w:val="center"/>
              <w:rPr>
                <w:bCs/>
                <w:color w:val="000000" w:themeColor="text1"/>
                <w:szCs w:val="21"/>
                <w:highlight w:val="none"/>
                <w14:textFill>
                  <w14:solidFill>
                    <w14:schemeClr w14:val="tx1"/>
                  </w14:solidFill>
                </w14:textFill>
              </w:rPr>
            </w:pPr>
          </w:p>
        </w:tc>
        <w:tc>
          <w:tcPr>
            <w:tcW w:w="650" w:type="pct"/>
            <w:vAlign w:val="center"/>
          </w:tcPr>
          <w:p w14:paraId="21DAD009">
            <w:pPr>
              <w:jc w:val="center"/>
              <w:rPr>
                <w:bCs/>
                <w:color w:val="000000" w:themeColor="text1"/>
                <w:szCs w:val="21"/>
                <w:highlight w:val="none"/>
                <w14:textFill>
                  <w14:solidFill>
                    <w14:schemeClr w14:val="tx1"/>
                  </w14:solidFill>
                </w14:textFill>
              </w:rPr>
            </w:pPr>
          </w:p>
        </w:tc>
        <w:tc>
          <w:tcPr>
            <w:tcW w:w="463" w:type="pct"/>
            <w:vAlign w:val="center"/>
          </w:tcPr>
          <w:p w14:paraId="626BB3D2">
            <w:pPr>
              <w:jc w:val="center"/>
              <w:rPr>
                <w:bCs/>
                <w:color w:val="000000" w:themeColor="text1"/>
                <w:szCs w:val="21"/>
                <w:highlight w:val="none"/>
                <w14:textFill>
                  <w14:solidFill>
                    <w14:schemeClr w14:val="tx1"/>
                  </w14:solidFill>
                </w14:textFill>
              </w:rPr>
            </w:pPr>
          </w:p>
        </w:tc>
        <w:tc>
          <w:tcPr>
            <w:tcW w:w="548" w:type="pct"/>
            <w:vAlign w:val="center"/>
          </w:tcPr>
          <w:p w14:paraId="58DE753A">
            <w:pPr>
              <w:jc w:val="center"/>
              <w:rPr>
                <w:bCs/>
                <w:color w:val="000000" w:themeColor="text1"/>
                <w:szCs w:val="21"/>
                <w:highlight w:val="none"/>
                <w14:textFill>
                  <w14:solidFill>
                    <w14:schemeClr w14:val="tx1"/>
                  </w14:solidFill>
                </w14:textFill>
              </w:rPr>
            </w:pPr>
          </w:p>
        </w:tc>
        <w:tc>
          <w:tcPr>
            <w:tcW w:w="550" w:type="pct"/>
            <w:vAlign w:val="center"/>
          </w:tcPr>
          <w:p w14:paraId="69440829">
            <w:pPr>
              <w:jc w:val="center"/>
              <w:rPr>
                <w:bCs/>
                <w:color w:val="000000" w:themeColor="text1"/>
                <w:szCs w:val="21"/>
                <w:highlight w:val="none"/>
                <w14:textFill>
                  <w14:solidFill>
                    <w14:schemeClr w14:val="tx1"/>
                  </w14:solidFill>
                </w14:textFill>
              </w:rPr>
            </w:pPr>
          </w:p>
        </w:tc>
      </w:tr>
      <w:tr w14:paraId="5DF30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1F233D49">
            <w:pPr>
              <w:jc w:val="center"/>
              <w:rPr>
                <w:bCs/>
                <w:color w:val="000000" w:themeColor="text1"/>
                <w:szCs w:val="21"/>
                <w:highlight w:val="none"/>
                <w14:textFill>
                  <w14:solidFill>
                    <w14:schemeClr w14:val="tx1"/>
                  </w14:solidFill>
                </w14:textFill>
              </w:rPr>
            </w:pPr>
          </w:p>
        </w:tc>
        <w:tc>
          <w:tcPr>
            <w:tcW w:w="834" w:type="pct"/>
            <w:vAlign w:val="center"/>
          </w:tcPr>
          <w:p w14:paraId="25F2D517">
            <w:pPr>
              <w:jc w:val="center"/>
              <w:rPr>
                <w:bCs/>
                <w:color w:val="000000" w:themeColor="text1"/>
                <w:szCs w:val="21"/>
                <w:highlight w:val="none"/>
                <w14:textFill>
                  <w14:solidFill>
                    <w14:schemeClr w14:val="tx1"/>
                  </w14:solidFill>
                </w14:textFill>
              </w:rPr>
            </w:pPr>
          </w:p>
        </w:tc>
        <w:tc>
          <w:tcPr>
            <w:tcW w:w="488" w:type="pct"/>
            <w:vAlign w:val="center"/>
          </w:tcPr>
          <w:p w14:paraId="6FE59657">
            <w:pPr>
              <w:jc w:val="center"/>
              <w:rPr>
                <w:bCs/>
                <w:color w:val="000000" w:themeColor="text1"/>
                <w:szCs w:val="21"/>
                <w:highlight w:val="none"/>
                <w14:textFill>
                  <w14:solidFill>
                    <w14:schemeClr w14:val="tx1"/>
                  </w14:solidFill>
                </w14:textFill>
              </w:rPr>
            </w:pPr>
          </w:p>
        </w:tc>
        <w:tc>
          <w:tcPr>
            <w:tcW w:w="488" w:type="pct"/>
            <w:vAlign w:val="center"/>
          </w:tcPr>
          <w:p w14:paraId="55C57047">
            <w:pPr>
              <w:jc w:val="center"/>
              <w:rPr>
                <w:bCs/>
                <w:color w:val="000000" w:themeColor="text1"/>
                <w:szCs w:val="21"/>
                <w:highlight w:val="none"/>
                <w14:textFill>
                  <w14:solidFill>
                    <w14:schemeClr w14:val="tx1"/>
                  </w14:solidFill>
                </w14:textFill>
              </w:rPr>
            </w:pPr>
          </w:p>
        </w:tc>
        <w:tc>
          <w:tcPr>
            <w:tcW w:w="488" w:type="pct"/>
            <w:vAlign w:val="center"/>
          </w:tcPr>
          <w:p w14:paraId="12714A8F">
            <w:pPr>
              <w:jc w:val="center"/>
              <w:rPr>
                <w:bCs/>
                <w:color w:val="000000" w:themeColor="text1"/>
                <w:szCs w:val="21"/>
                <w:highlight w:val="none"/>
                <w14:textFill>
                  <w14:solidFill>
                    <w14:schemeClr w14:val="tx1"/>
                  </w14:solidFill>
                </w14:textFill>
              </w:rPr>
            </w:pPr>
          </w:p>
        </w:tc>
        <w:tc>
          <w:tcPr>
            <w:tcW w:w="650" w:type="pct"/>
            <w:vAlign w:val="center"/>
          </w:tcPr>
          <w:p w14:paraId="1F45FF9B">
            <w:pPr>
              <w:jc w:val="center"/>
              <w:rPr>
                <w:bCs/>
                <w:color w:val="000000" w:themeColor="text1"/>
                <w:szCs w:val="21"/>
                <w:highlight w:val="none"/>
                <w14:textFill>
                  <w14:solidFill>
                    <w14:schemeClr w14:val="tx1"/>
                  </w14:solidFill>
                </w14:textFill>
              </w:rPr>
            </w:pPr>
          </w:p>
        </w:tc>
        <w:tc>
          <w:tcPr>
            <w:tcW w:w="463" w:type="pct"/>
            <w:vAlign w:val="center"/>
          </w:tcPr>
          <w:p w14:paraId="5B6BA4DD">
            <w:pPr>
              <w:jc w:val="center"/>
              <w:rPr>
                <w:bCs/>
                <w:color w:val="000000" w:themeColor="text1"/>
                <w:szCs w:val="21"/>
                <w:highlight w:val="none"/>
                <w14:textFill>
                  <w14:solidFill>
                    <w14:schemeClr w14:val="tx1"/>
                  </w14:solidFill>
                </w14:textFill>
              </w:rPr>
            </w:pPr>
          </w:p>
        </w:tc>
        <w:tc>
          <w:tcPr>
            <w:tcW w:w="548" w:type="pct"/>
            <w:vAlign w:val="center"/>
          </w:tcPr>
          <w:p w14:paraId="4BA09E08">
            <w:pPr>
              <w:jc w:val="center"/>
              <w:rPr>
                <w:bCs/>
                <w:color w:val="000000" w:themeColor="text1"/>
                <w:szCs w:val="21"/>
                <w:highlight w:val="none"/>
                <w14:textFill>
                  <w14:solidFill>
                    <w14:schemeClr w14:val="tx1"/>
                  </w14:solidFill>
                </w14:textFill>
              </w:rPr>
            </w:pPr>
          </w:p>
        </w:tc>
        <w:tc>
          <w:tcPr>
            <w:tcW w:w="550" w:type="pct"/>
            <w:vAlign w:val="center"/>
          </w:tcPr>
          <w:p w14:paraId="6BDB7A63">
            <w:pPr>
              <w:jc w:val="center"/>
              <w:rPr>
                <w:bCs/>
                <w:color w:val="000000" w:themeColor="text1"/>
                <w:szCs w:val="21"/>
                <w:highlight w:val="none"/>
                <w14:textFill>
                  <w14:solidFill>
                    <w14:schemeClr w14:val="tx1"/>
                  </w14:solidFill>
                </w14:textFill>
              </w:rPr>
            </w:pPr>
          </w:p>
        </w:tc>
      </w:tr>
      <w:tr w14:paraId="0BA08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5067D8B0">
            <w:pPr>
              <w:jc w:val="center"/>
              <w:rPr>
                <w:bCs/>
                <w:color w:val="000000" w:themeColor="text1"/>
                <w:szCs w:val="21"/>
                <w:highlight w:val="none"/>
                <w14:textFill>
                  <w14:solidFill>
                    <w14:schemeClr w14:val="tx1"/>
                  </w14:solidFill>
                </w14:textFill>
              </w:rPr>
            </w:pPr>
          </w:p>
        </w:tc>
        <w:tc>
          <w:tcPr>
            <w:tcW w:w="834" w:type="pct"/>
            <w:vAlign w:val="center"/>
          </w:tcPr>
          <w:p w14:paraId="3AF0A603">
            <w:pPr>
              <w:jc w:val="center"/>
              <w:rPr>
                <w:bCs/>
                <w:color w:val="000000" w:themeColor="text1"/>
                <w:szCs w:val="21"/>
                <w:highlight w:val="none"/>
                <w14:textFill>
                  <w14:solidFill>
                    <w14:schemeClr w14:val="tx1"/>
                  </w14:solidFill>
                </w14:textFill>
              </w:rPr>
            </w:pPr>
          </w:p>
        </w:tc>
        <w:tc>
          <w:tcPr>
            <w:tcW w:w="488" w:type="pct"/>
            <w:vAlign w:val="center"/>
          </w:tcPr>
          <w:p w14:paraId="3D1DA545">
            <w:pPr>
              <w:jc w:val="center"/>
              <w:rPr>
                <w:bCs/>
                <w:color w:val="000000" w:themeColor="text1"/>
                <w:szCs w:val="21"/>
                <w:highlight w:val="none"/>
                <w14:textFill>
                  <w14:solidFill>
                    <w14:schemeClr w14:val="tx1"/>
                  </w14:solidFill>
                </w14:textFill>
              </w:rPr>
            </w:pPr>
          </w:p>
        </w:tc>
        <w:tc>
          <w:tcPr>
            <w:tcW w:w="488" w:type="pct"/>
            <w:vAlign w:val="center"/>
          </w:tcPr>
          <w:p w14:paraId="355A1C49">
            <w:pPr>
              <w:jc w:val="center"/>
              <w:rPr>
                <w:bCs/>
                <w:color w:val="000000" w:themeColor="text1"/>
                <w:szCs w:val="21"/>
                <w:highlight w:val="none"/>
                <w14:textFill>
                  <w14:solidFill>
                    <w14:schemeClr w14:val="tx1"/>
                  </w14:solidFill>
                </w14:textFill>
              </w:rPr>
            </w:pPr>
          </w:p>
        </w:tc>
        <w:tc>
          <w:tcPr>
            <w:tcW w:w="488" w:type="pct"/>
            <w:vAlign w:val="center"/>
          </w:tcPr>
          <w:p w14:paraId="5CFBFCA7">
            <w:pPr>
              <w:jc w:val="center"/>
              <w:rPr>
                <w:bCs/>
                <w:color w:val="000000" w:themeColor="text1"/>
                <w:szCs w:val="21"/>
                <w:highlight w:val="none"/>
                <w14:textFill>
                  <w14:solidFill>
                    <w14:schemeClr w14:val="tx1"/>
                  </w14:solidFill>
                </w14:textFill>
              </w:rPr>
            </w:pPr>
          </w:p>
        </w:tc>
        <w:tc>
          <w:tcPr>
            <w:tcW w:w="650" w:type="pct"/>
            <w:vAlign w:val="center"/>
          </w:tcPr>
          <w:p w14:paraId="4A186E3B">
            <w:pPr>
              <w:jc w:val="center"/>
              <w:rPr>
                <w:bCs/>
                <w:color w:val="000000" w:themeColor="text1"/>
                <w:szCs w:val="21"/>
                <w:highlight w:val="none"/>
                <w14:textFill>
                  <w14:solidFill>
                    <w14:schemeClr w14:val="tx1"/>
                  </w14:solidFill>
                </w14:textFill>
              </w:rPr>
            </w:pPr>
          </w:p>
        </w:tc>
        <w:tc>
          <w:tcPr>
            <w:tcW w:w="463" w:type="pct"/>
            <w:vAlign w:val="center"/>
          </w:tcPr>
          <w:p w14:paraId="2649A5ED">
            <w:pPr>
              <w:jc w:val="center"/>
              <w:rPr>
                <w:bCs/>
                <w:color w:val="000000" w:themeColor="text1"/>
                <w:szCs w:val="21"/>
                <w:highlight w:val="none"/>
                <w14:textFill>
                  <w14:solidFill>
                    <w14:schemeClr w14:val="tx1"/>
                  </w14:solidFill>
                </w14:textFill>
              </w:rPr>
            </w:pPr>
          </w:p>
        </w:tc>
        <w:tc>
          <w:tcPr>
            <w:tcW w:w="548" w:type="pct"/>
            <w:vAlign w:val="center"/>
          </w:tcPr>
          <w:p w14:paraId="726F3C6D">
            <w:pPr>
              <w:jc w:val="center"/>
              <w:rPr>
                <w:bCs/>
                <w:color w:val="000000" w:themeColor="text1"/>
                <w:szCs w:val="21"/>
                <w:highlight w:val="none"/>
                <w14:textFill>
                  <w14:solidFill>
                    <w14:schemeClr w14:val="tx1"/>
                  </w14:solidFill>
                </w14:textFill>
              </w:rPr>
            </w:pPr>
          </w:p>
        </w:tc>
        <w:tc>
          <w:tcPr>
            <w:tcW w:w="550" w:type="pct"/>
            <w:vAlign w:val="center"/>
          </w:tcPr>
          <w:p w14:paraId="306E1ECE">
            <w:pPr>
              <w:jc w:val="center"/>
              <w:rPr>
                <w:bCs/>
                <w:color w:val="000000" w:themeColor="text1"/>
                <w:szCs w:val="21"/>
                <w:highlight w:val="none"/>
                <w14:textFill>
                  <w14:solidFill>
                    <w14:schemeClr w14:val="tx1"/>
                  </w14:solidFill>
                </w14:textFill>
              </w:rPr>
            </w:pPr>
          </w:p>
        </w:tc>
      </w:tr>
      <w:tr w14:paraId="1CE9C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2936C414">
            <w:pPr>
              <w:jc w:val="center"/>
              <w:rPr>
                <w:bCs/>
                <w:color w:val="000000" w:themeColor="text1"/>
                <w:szCs w:val="21"/>
                <w:highlight w:val="none"/>
                <w14:textFill>
                  <w14:solidFill>
                    <w14:schemeClr w14:val="tx1"/>
                  </w14:solidFill>
                </w14:textFill>
              </w:rPr>
            </w:pPr>
          </w:p>
        </w:tc>
        <w:tc>
          <w:tcPr>
            <w:tcW w:w="834" w:type="pct"/>
            <w:vAlign w:val="center"/>
          </w:tcPr>
          <w:p w14:paraId="350CEE63">
            <w:pPr>
              <w:jc w:val="center"/>
              <w:rPr>
                <w:bCs/>
                <w:color w:val="000000" w:themeColor="text1"/>
                <w:szCs w:val="21"/>
                <w:highlight w:val="none"/>
                <w14:textFill>
                  <w14:solidFill>
                    <w14:schemeClr w14:val="tx1"/>
                  </w14:solidFill>
                </w14:textFill>
              </w:rPr>
            </w:pPr>
          </w:p>
        </w:tc>
        <w:tc>
          <w:tcPr>
            <w:tcW w:w="488" w:type="pct"/>
            <w:vAlign w:val="center"/>
          </w:tcPr>
          <w:p w14:paraId="4C220B81">
            <w:pPr>
              <w:jc w:val="center"/>
              <w:rPr>
                <w:bCs/>
                <w:color w:val="000000" w:themeColor="text1"/>
                <w:szCs w:val="21"/>
                <w:highlight w:val="none"/>
                <w14:textFill>
                  <w14:solidFill>
                    <w14:schemeClr w14:val="tx1"/>
                  </w14:solidFill>
                </w14:textFill>
              </w:rPr>
            </w:pPr>
          </w:p>
        </w:tc>
        <w:tc>
          <w:tcPr>
            <w:tcW w:w="488" w:type="pct"/>
            <w:vAlign w:val="center"/>
          </w:tcPr>
          <w:p w14:paraId="51202EE7">
            <w:pPr>
              <w:jc w:val="center"/>
              <w:rPr>
                <w:bCs/>
                <w:color w:val="000000" w:themeColor="text1"/>
                <w:szCs w:val="21"/>
                <w:highlight w:val="none"/>
                <w14:textFill>
                  <w14:solidFill>
                    <w14:schemeClr w14:val="tx1"/>
                  </w14:solidFill>
                </w14:textFill>
              </w:rPr>
            </w:pPr>
          </w:p>
        </w:tc>
        <w:tc>
          <w:tcPr>
            <w:tcW w:w="488" w:type="pct"/>
            <w:vAlign w:val="center"/>
          </w:tcPr>
          <w:p w14:paraId="5AB421FE">
            <w:pPr>
              <w:jc w:val="center"/>
              <w:rPr>
                <w:bCs/>
                <w:color w:val="000000" w:themeColor="text1"/>
                <w:szCs w:val="21"/>
                <w:highlight w:val="none"/>
                <w14:textFill>
                  <w14:solidFill>
                    <w14:schemeClr w14:val="tx1"/>
                  </w14:solidFill>
                </w14:textFill>
              </w:rPr>
            </w:pPr>
          </w:p>
        </w:tc>
        <w:tc>
          <w:tcPr>
            <w:tcW w:w="650" w:type="pct"/>
            <w:vAlign w:val="center"/>
          </w:tcPr>
          <w:p w14:paraId="4B88F174">
            <w:pPr>
              <w:jc w:val="center"/>
              <w:rPr>
                <w:bCs/>
                <w:color w:val="000000" w:themeColor="text1"/>
                <w:szCs w:val="21"/>
                <w:highlight w:val="none"/>
                <w14:textFill>
                  <w14:solidFill>
                    <w14:schemeClr w14:val="tx1"/>
                  </w14:solidFill>
                </w14:textFill>
              </w:rPr>
            </w:pPr>
          </w:p>
        </w:tc>
        <w:tc>
          <w:tcPr>
            <w:tcW w:w="463" w:type="pct"/>
            <w:vAlign w:val="center"/>
          </w:tcPr>
          <w:p w14:paraId="5FA3C35C">
            <w:pPr>
              <w:jc w:val="center"/>
              <w:rPr>
                <w:bCs/>
                <w:color w:val="000000" w:themeColor="text1"/>
                <w:szCs w:val="21"/>
                <w:highlight w:val="none"/>
                <w14:textFill>
                  <w14:solidFill>
                    <w14:schemeClr w14:val="tx1"/>
                  </w14:solidFill>
                </w14:textFill>
              </w:rPr>
            </w:pPr>
          </w:p>
        </w:tc>
        <w:tc>
          <w:tcPr>
            <w:tcW w:w="548" w:type="pct"/>
            <w:vAlign w:val="center"/>
          </w:tcPr>
          <w:p w14:paraId="288A808E">
            <w:pPr>
              <w:jc w:val="center"/>
              <w:rPr>
                <w:bCs/>
                <w:color w:val="000000" w:themeColor="text1"/>
                <w:szCs w:val="21"/>
                <w:highlight w:val="none"/>
                <w14:textFill>
                  <w14:solidFill>
                    <w14:schemeClr w14:val="tx1"/>
                  </w14:solidFill>
                </w14:textFill>
              </w:rPr>
            </w:pPr>
          </w:p>
        </w:tc>
        <w:tc>
          <w:tcPr>
            <w:tcW w:w="550" w:type="pct"/>
            <w:vAlign w:val="center"/>
          </w:tcPr>
          <w:p w14:paraId="6472A325">
            <w:pPr>
              <w:jc w:val="center"/>
              <w:rPr>
                <w:bCs/>
                <w:color w:val="000000" w:themeColor="text1"/>
                <w:szCs w:val="21"/>
                <w:highlight w:val="none"/>
                <w14:textFill>
                  <w14:solidFill>
                    <w14:schemeClr w14:val="tx1"/>
                  </w14:solidFill>
                </w14:textFill>
              </w:rPr>
            </w:pPr>
          </w:p>
        </w:tc>
      </w:tr>
      <w:tr w14:paraId="2EA99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4EA947F1">
            <w:pPr>
              <w:jc w:val="center"/>
              <w:rPr>
                <w:bCs/>
                <w:color w:val="000000" w:themeColor="text1"/>
                <w:szCs w:val="21"/>
                <w:highlight w:val="none"/>
                <w14:textFill>
                  <w14:solidFill>
                    <w14:schemeClr w14:val="tx1"/>
                  </w14:solidFill>
                </w14:textFill>
              </w:rPr>
            </w:pPr>
          </w:p>
        </w:tc>
        <w:tc>
          <w:tcPr>
            <w:tcW w:w="834" w:type="pct"/>
            <w:vAlign w:val="center"/>
          </w:tcPr>
          <w:p w14:paraId="4F39BF64">
            <w:pPr>
              <w:jc w:val="center"/>
              <w:rPr>
                <w:bCs/>
                <w:color w:val="000000" w:themeColor="text1"/>
                <w:szCs w:val="21"/>
                <w:highlight w:val="none"/>
                <w14:textFill>
                  <w14:solidFill>
                    <w14:schemeClr w14:val="tx1"/>
                  </w14:solidFill>
                </w14:textFill>
              </w:rPr>
            </w:pPr>
          </w:p>
        </w:tc>
        <w:tc>
          <w:tcPr>
            <w:tcW w:w="488" w:type="pct"/>
            <w:vAlign w:val="center"/>
          </w:tcPr>
          <w:p w14:paraId="75704D2C">
            <w:pPr>
              <w:jc w:val="center"/>
              <w:rPr>
                <w:bCs/>
                <w:color w:val="000000" w:themeColor="text1"/>
                <w:szCs w:val="21"/>
                <w:highlight w:val="none"/>
                <w14:textFill>
                  <w14:solidFill>
                    <w14:schemeClr w14:val="tx1"/>
                  </w14:solidFill>
                </w14:textFill>
              </w:rPr>
            </w:pPr>
          </w:p>
        </w:tc>
        <w:tc>
          <w:tcPr>
            <w:tcW w:w="488" w:type="pct"/>
            <w:vAlign w:val="center"/>
          </w:tcPr>
          <w:p w14:paraId="704D75C3">
            <w:pPr>
              <w:jc w:val="center"/>
              <w:rPr>
                <w:bCs/>
                <w:color w:val="000000" w:themeColor="text1"/>
                <w:szCs w:val="21"/>
                <w:highlight w:val="none"/>
                <w14:textFill>
                  <w14:solidFill>
                    <w14:schemeClr w14:val="tx1"/>
                  </w14:solidFill>
                </w14:textFill>
              </w:rPr>
            </w:pPr>
          </w:p>
        </w:tc>
        <w:tc>
          <w:tcPr>
            <w:tcW w:w="488" w:type="pct"/>
            <w:vAlign w:val="center"/>
          </w:tcPr>
          <w:p w14:paraId="66AB9F84">
            <w:pPr>
              <w:jc w:val="center"/>
              <w:rPr>
                <w:bCs/>
                <w:color w:val="000000" w:themeColor="text1"/>
                <w:szCs w:val="21"/>
                <w:highlight w:val="none"/>
                <w14:textFill>
                  <w14:solidFill>
                    <w14:schemeClr w14:val="tx1"/>
                  </w14:solidFill>
                </w14:textFill>
              </w:rPr>
            </w:pPr>
          </w:p>
        </w:tc>
        <w:tc>
          <w:tcPr>
            <w:tcW w:w="650" w:type="pct"/>
            <w:vAlign w:val="center"/>
          </w:tcPr>
          <w:p w14:paraId="61137786">
            <w:pPr>
              <w:jc w:val="center"/>
              <w:rPr>
                <w:bCs/>
                <w:color w:val="000000" w:themeColor="text1"/>
                <w:szCs w:val="21"/>
                <w:highlight w:val="none"/>
                <w14:textFill>
                  <w14:solidFill>
                    <w14:schemeClr w14:val="tx1"/>
                  </w14:solidFill>
                </w14:textFill>
              </w:rPr>
            </w:pPr>
          </w:p>
        </w:tc>
        <w:tc>
          <w:tcPr>
            <w:tcW w:w="463" w:type="pct"/>
            <w:vAlign w:val="center"/>
          </w:tcPr>
          <w:p w14:paraId="42DD3116">
            <w:pPr>
              <w:jc w:val="center"/>
              <w:rPr>
                <w:bCs/>
                <w:color w:val="000000" w:themeColor="text1"/>
                <w:szCs w:val="21"/>
                <w:highlight w:val="none"/>
                <w14:textFill>
                  <w14:solidFill>
                    <w14:schemeClr w14:val="tx1"/>
                  </w14:solidFill>
                </w14:textFill>
              </w:rPr>
            </w:pPr>
          </w:p>
        </w:tc>
        <w:tc>
          <w:tcPr>
            <w:tcW w:w="548" w:type="pct"/>
            <w:vAlign w:val="center"/>
          </w:tcPr>
          <w:p w14:paraId="3AB0F7ED">
            <w:pPr>
              <w:jc w:val="center"/>
              <w:rPr>
                <w:bCs/>
                <w:color w:val="000000" w:themeColor="text1"/>
                <w:szCs w:val="21"/>
                <w:highlight w:val="none"/>
                <w14:textFill>
                  <w14:solidFill>
                    <w14:schemeClr w14:val="tx1"/>
                  </w14:solidFill>
                </w14:textFill>
              </w:rPr>
            </w:pPr>
          </w:p>
        </w:tc>
        <w:tc>
          <w:tcPr>
            <w:tcW w:w="550" w:type="pct"/>
            <w:vAlign w:val="center"/>
          </w:tcPr>
          <w:p w14:paraId="32241E42">
            <w:pPr>
              <w:jc w:val="center"/>
              <w:rPr>
                <w:bCs/>
                <w:color w:val="000000" w:themeColor="text1"/>
                <w:szCs w:val="21"/>
                <w:highlight w:val="none"/>
                <w14:textFill>
                  <w14:solidFill>
                    <w14:schemeClr w14:val="tx1"/>
                  </w14:solidFill>
                </w14:textFill>
              </w:rPr>
            </w:pPr>
          </w:p>
        </w:tc>
      </w:tr>
      <w:tr w14:paraId="5632D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3B2CAF8D">
            <w:pPr>
              <w:jc w:val="center"/>
              <w:rPr>
                <w:bCs/>
                <w:color w:val="000000" w:themeColor="text1"/>
                <w:szCs w:val="21"/>
                <w:highlight w:val="none"/>
                <w14:textFill>
                  <w14:solidFill>
                    <w14:schemeClr w14:val="tx1"/>
                  </w14:solidFill>
                </w14:textFill>
              </w:rPr>
            </w:pPr>
          </w:p>
        </w:tc>
        <w:tc>
          <w:tcPr>
            <w:tcW w:w="834" w:type="pct"/>
            <w:vAlign w:val="center"/>
          </w:tcPr>
          <w:p w14:paraId="3C5776AF">
            <w:pPr>
              <w:jc w:val="center"/>
              <w:rPr>
                <w:bCs/>
                <w:color w:val="000000" w:themeColor="text1"/>
                <w:szCs w:val="21"/>
                <w:highlight w:val="none"/>
                <w14:textFill>
                  <w14:solidFill>
                    <w14:schemeClr w14:val="tx1"/>
                  </w14:solidFill>
                </w14:textFill>
              </w:rPr>
            </w:pPr>
          </w:p>
        </w:tc>
        <w:tc>
          <w:tcPr>
            <w:tcW w:w="488" w:type="pct"/>
            <w:vAlign w:val="center"/>
          </w:tcPr>
          <w:p w14:paraId="0270F5D7">
            <w:pPr>
              <w:jc w:val="center"/>
              <w:rPr>
                <w:bCs/>
                <w:color w:val="000000" w:themeColor="text1"/>
                <w:szCs w:val="21"/>
                <w:highlight w:val="none"/>
                <w14:textFill>
                  <w14:solidFill>
                    <w14:schemeClr w14:val="tx1"/>
                  </w14:solidFill>
                </w14:textFill>
              </w:rPr>
            </w:pPr>
          </w:p>
        </w:tc>
        <w:tc>
          <w:tcPr>
            <w:tcW w:w="488" w:type="pct"/>
            <w:vAlign w:val="center"/>
          </w:tcPr>
          <w:p w14:paraId="4293D98D">
            <w:pPr>
              <w:jc w:val="center"/>
              <w:rPr>
                <w:bCs/>
                <w:color w:val="000000" w:themeColor="text1"/>
                <w:szCs w:val="21"/>
                <w:highlight w:val="none"/>
                <w14:textFill>
                  <w14:solidFill>
                    <w14:schemeClr w14:val="tx1"/>
                  </w14:solidFill>
                </w14:textFill>
              </w:rPr>
            </w:pPr>
          </w:p>
        </w:tc>
        <w:tc>
          <w:tcPr>
            <w:tcW w:w="488" w:type="pct"/>
            <w:vAlign w:val="center"/>
          </w:tcPr>
          <w:p w14:paraId="3D0DC2A7">
            <w:pPr>
              <w:jc w:val="center"/>
              <w:rPr>
                <w:bCs/>
                <w:color w:val="000000" w:themeColor="text1"/>
                <w:szCs w:val="21"/>
                <w:highlight w:val="none"/>
                <w14:textFill>
                  <w14:solidFill>
                    <w14:schemeClr w14:val="tx1"/>
                  </w14:solidFill>
                </w14:textFill>
              </w:rPr>
            </w:pPr>
          </w:p>
        </w:tc>
        <w:tc>
          <w:tcPr>
            <w:tcW w:w="650" w:type="pct"/>
            <w:vAlign w:val="center"/>
          </w:tcPr>
          <w:p w14:paraId="53F155A3">
            <w:pPr>
              <w:jc w:val="center"/>
              <w:rPr>
                <w:bCs/>
                <w:color w:val="000000" w:themeColor="text1"/>
                <w:szCs w:val="21"/>
                <w:highlight w:val="none"/>
                <w14:textFill>
                  <w14:solidFill>
                    <w14:schemeClr w14:val="tx1"/>
                  </w14:solidFill>
                </w14:textFill>
              </w:rPr>
            </w:pPr>
          </w:p>
        </w:tc>
        <w:tc>
          <w:tcPr>
            <w:tcW w:w="463" w:type="pct"/>
            <w:vAlign w:val="center"/>
          </w:tcPr>
          <w:p w14:paraId="6C6F274D">
            <w:pPr>
              <w:jc w:val="center"/>
              <w:rPr>
                <w:bCs/>
                <w:color w:val="000000" w:themeColor="text1"/>
                <w:szCs w:val="21"/>
                <w:highlight w:val="none"/>
                <w14:textFill>
                  <w14:solidFill>
                    <w14:schemeClr w14:val="tx1"/>
                  </w14:solidFill>
                </w14:textFill>
              </w:rPr>
            </w:pPr>
          </w:p>
        </w:tc>
        <w:tc>
          <w:tcPr>
            <w:tcW w:w="548" w:type="pct"/>
            <w:vAlign w:val="center"/>
          </w:tcPr>
          <w:p w14:paraId="7F43B40C">
            <w:pPr>
              <w:jc w:val="center"/>
              <w:rPr>
                <w:bCs/>
                <w:color w:val="000000" w:themeColor="text1"/>
                <w:szCs w:val="21"/>
                <w:highlight w:val="none"/>
                <w14:textFill>
                  <w14:solidFill>
                    <w14:schemeClr w14:val="tx1"/>
                  </w14:solidFill>
                </w14:textFill>
              </w:rPr>
            </w:pPr>
          </w:p>
        </w:tc>
        <w:tc>
          <w:tcPr>
            <w:tcW w:w="550" w:type="pct"/>
            <w:vAlign w:val="center"/>
          </w:tcPr>
          <w:p w14:paraId="635F32F5">
            <w:pPr>
              <w:jc w:val="center"/>
              <w:rPr>
                <w:bCs/>
                <w:color w:val="000000" w:themeColor="text1"/>
                <w:szCs w:val="21"/>
                <w:highlight w:val="none"/>
                <w14:textFill>
                  <w14:solidFill>
                    <w14:schemeClr w14:val="tx1"/>
                  </w14:solidFill>
                </w14:textFill>
              </w:rPr>
            </w:pPr>
          </w:p>
        </w:tc>
      </w:tr>
      <w:tr w14:paraId="2BE3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76AC1A4E">
            <w:pPr>
              <w:jc w:val="center"/>
              <w:rPr>
                <w:bCs/>
                <w:color w:val="000000" w:themeColor="text1"/>
                <w:szCs w:val="21"/>
                <w:highlight w:val="none"/>
                <w14:textFill>
                  <w14:solidFill>
                    <w14:schemeClr w14:val="tx1"/>
                  </w14:solidFill>
                </w14:textFill>
              </w:rPr>
            </w:pPr>
          </w:p>
        </w:tc>
        <w:tc>
          <w:tcPr>
            <w:tcW w:w="834" w:type="pct"/>
            <w:vAlign w:val="center"/>
          </w:tcPr>
          <w:p w14:paraId="437A1ECB">
            <w:pPr>
              <w:jc w:val="center"/>
              <w:rPr>
                <w:bCs/>
                <w:color w:val="000000" w:themeColor="text1"/>
                <w:szCs w:val="21"/>
                <w:highlight w:val="none"/>
                <w14:textFill>
                  <w14:solidFill>
                    <w14:schemeClr w14:val="tx1"/>
                  </w14:solidFill>
                </w14:textFill>
              </w:rPr>
            </w:pPr>
          </w:p>
        </w:tc>
        <w:tc>
          <w:tcPr>
            <w:tcW w:w="488" w:type="pct"/>
            <w:vAlign w:val="center"/>
          </w:tcPr>
          <w:p w14:paraId="3EFC2059">
            <w:pPr>
              <w:jc w:val="center"/>
              <w:rPr>
                <w:bCs/>
                <w:color w:val="000000" w:themeColor="text1"/>
                <w:szCs w:val="21"/>
                <w:highlight w:val="none"/>
                <w14:textFill>
                  <w14:solidFill>
                    <w14:schemeClr w14:val="tx1"/>
                  </w14:solidFill>
                </w14:textFill>
              </w:rPr>
            </w:pPr>
          </w:p>
        </w:tc>
        <w:tc>
          <w:tcPr>
            <w:tcW w:w="488" w:type="pct"/>
            <w:vAlign w:val="center"/>
          </w:tcPr>
          <w:p w14:paraId="6971BE90">
            <w:pPr>
              <w:jc w:val="center"/>
              <w:rPr>
                <w:bCs/>
                <w:color w:val="000000" w:themeColor="text1"/>
                <w:szCs w:val="21"/>
                <w:highlight w:val="none"/>
                <w14:textFill>
                  <w14:solidFill>
                    <w14:schemeClr w14:val="tx1"/>
                  </w14:solidFill>
                </w14:textFill>
              </w:rPr>
            </w:pPr>
          </w:p>
        </w:tc>
        <w:tc>
          <w:tcPr>
            <w:tcW w:w="488" w:type="pct"/>
            <w:vAlign w:val="center"/>
          </w:tcPr>
          <w:p w14:paraId="4BA8780C">
            <w:pPr>
              <w:jc w:val="center"/>
              <w:rPr>
                <w:bCs/>
                <w:color w:val="000000" w:themeColor="text1"/>
                <w:szCs w:val="21"/>
                <w:highlight w:val="none"/>
                <w14:textFill>
                  <w14:solidFill>
                    <w14:schemeClr w14:val="tx1"/>
                  </w14:solidFill>
                </w14:textFill>
              </w:rPr>
            </w:pPr>
          </w:p>
        </w:tc>
        <w:tc>
          <w:tcPr>
            <w:tcW w:w="650" w:type="pct"/>
            <w:vAlign w:val="center"/>
          </w:tcPr>
          <w:p w14:paraId="1912471E">
            <w:pPr>
              <w:jc w:val="center"/>
              <w:rPr>
                <w:bCs/>
                <w:color w:val="000000" w:themeColor="text1"/>
                <w:szCs w:val="21"/>
                <w:highlight w:val="none"/>
                <w14:textFill>
                  <w14:solidFill>
                    <w14:schemeClr w14:val="tx1"/>
                  </w14:solidFill>
                </w14:textFill>
              </w:rPr>
            </w:pPr>
          </w:p>
        </w:tc>
        <w:tc>
          <w:tcPr>
            <w:tcW w:w="463" w:type="pct"/>
            <w:vAlign w:val="center"/>
          </w:tcPr>
          <w:p w14:paraId="6D3F0CCF">
            <w:pPr>
              <w:jc w:val="center"/>
              <w:rPr>
                <w:bCs/>
                <w:color w:val="000000" w:themeColor="text1"/>
                <w:szCs w:val="21"/>
                <w:highlight w:val="none"/>
                <w14:textFill>
                  <w14:solidFill>
                    <w14:schemeClr w14:val="tx1"/>
                  </w14:solidFill>
                </w14:textFill>
              </w:rPr>
            </w:pPr>
          </w:p>
        </w:tc>
        <w:tc>
          <w:tcPr>
            <w:tcW w:w="548" w:type="pct"/>
            <w:vAlign w:val="center"/>
          </w:tcPr>
          <w:p w14:paraId="26DB42E8">
            <w:pPr>
              <w:jc w:val="center"/>
              <w:rPr>
                <w:bCs/>
                <w:color w:val="000000" w:themeColor="text1"/>
                <w:szCs w:val="21"/>
                <w:highlight w:val="none"/>
                <w14:textFill>
                  <w14:solidFill>
                    <w14:schemeClr w14:val="tx1"/>
                  </w14:solidFill>
                </w14:textFill>
              </w:rPr>
            </w:pPr>
          </w:p>
        </w:tc>
        <w:tc>
          <w:tcPr>
            <w:tcW w:w="550" w:type="pct"/>
            <w:vAlign w:val="center"/>
          </w:tcPr>
          <w:p w14:paraId="44A292BA">
            <w:pPr>
              <w:jc w:val="center"/>
              <w:rPr>
                <w:bCs/>
                <w:color w:val="000000" w:themeColor="text1"/>
                <w:szCs w:val="21"/>
                <w:highlight w:val="none"/>
                <w14:textFill>
                  <w14:solidFill>
                    <w14:schemeClr w14:val="tx1"/>
                  </w14:solidFill>
                </w14:textFill>
              </w:rPr>
            </w:pPr>
          </w:p>
        </w:tc>
      </w:tr>
      <w:tr w14:paraId="5400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5A201816">
            <w:pPr>
              <w:jc w:val="center"/>
              <w:rPr>
                <w:bCs/>
                <w:color w:val="000000" w:themeColor="text1"/>
                <w:szCs w:val="21"/>
                <w:highlight w:val="none"/>
                <w14:textFill>
                  <w14:solidFill>
                    <w14:schemeClr w14:val="tx1"/>
                  </w14:solidFill>
                </w14:textFill>
              </w:rPr>
            </w:pPr>
          </w:p>
        </w:tc>
        <w:tc>
          <w:tcPr>
            <w:tcW w:w="834" w:type="pct"/>
            <w:vAlign w:val="center"/>
          </w:tcPr>
          <w:p w14:paraId="1C48DD9C">
            <w:pPr>
              <w:jc w:val="center"/>
              <w:rPr>
                <w:bCs/>
                <w:color w:val="000000" w:themeColor="text1"/>
                <w:szCs w:val="21"/>
                <w:highlight w:val="none"/>
                <w14:textFill>
                  <w14:solidFill>
                    <w14:schemeClr w14:val="tx1"/>
                  </w14:solidFill>
                </w14:textFill>
              </w:rPr>
            </w:pPr>
          </w:p>
        </w:tc>
        <w:tc>
          <w:tcPr>
            <w:tcW w:w="488" w:type="pct"/>
            <w:vAlign w:val="center"/>
          </w:tcPr>
          <w:p w14:paraId="326A6671">
            <w:pPr>
              <w:jc w:val="center"/>
              <w:rPr>
                <w:bCs/>
                <w:color w:val="000000" w:themeColor="text1"/>
                <w:szCs w:val="21"/>
                <w:highlight w:val="none"/>
                <w14:textFill>
                  <w14:solidFill>
                    <w14:schemeClr w14:val="tx1"/>
                  </w14:solidFill>
                </w14:textFill>
              </w:rPr>
            </w:pPr>
          </w:p>
        </w:tc>
        <w:tc>
          <w:tcPr>
            <w:tcW w:w="488" w:type="pct"/>
            <w:vAlign w:val="center"/>
          </w:tcPr>
          <w:p w14:paraId="36E8BC71">
            <w:pPr>
              <w:jc w:val="center"/>
              <w:rPr>
                <w:bCs/>
                <w:color w:val="000000" w:themeColor="text1"/>
                <w:szCs w:val="21"/>
                <w:highlight w:val="none"/>
                <w14:textFill>
                  <w14:solidFill>
                    <w14:schemeClr w14:val="tx1"/>
                  </w14:solidFill>
                </w14:textFill>
              </w:rPr>
            </w:pPr>
          </w:p>
        </w:tc>
        <w:tc>
          <w:tcPr>
            <w:tcW w:w="488" w:type="pct"/>
            <w:vAlign w:val="center"/>
          </w:tcPr>
          <w:p w14:paraId="19920828">
            <w:pPr>
              <w:jc w:val="center"/>
              <w:rPr>
                <w:bCs/>
                <w:color w:val="000000" w:themeColor="text1"/>
                <w:szCs w:val="21"/>
                <w:highlight w:val="none"/>
                <w14:textFill>
                  <w14:solidFill>
                    <w14:schemeClr w14:val="tx1"/>
                  </w14:solidFill>
                </w14:textFill>
              </w:rPr>
            </w:pPr>
          </w:p>
        </w:tc>
        <w:tc>
          <w:tcPr>
            <w:tcW w:w="650" w:type="pct"/>
            <w:vAlign w:val="center"/>
          </w:tcPr>
          <w:p w14:paraId="124F967D">
            <w:pPr>
              <w:jc w:val="center"/>
              <w:rPr>
                <w:bCs/>
                <w:color w:val="000000" w:themeColor="text1"/>
                <w:szCs w:val="21"/>
                <w:highlight w:val="none"/>
                <w14:textFill>
                  <w14:solidFill>
                    <w14:schemeClr w14:val="tx1"/>
                  </w14:solidFill>
                </w14:textFill>
              </w:rPr>
            </w:pPr>
          </w:p>
        </w:tc>
        <w:tc>
          <w:tcPr>
            <w:tcW w:w="463" w:type="pct"/>
            <w:vAlign w:val="center"/>
          </w:tcPr>
          <w:p w14:paraId="124CF67B">
            <w:pPr>
              <w:jc w:val="center"/>
              <w:rPr>
                <w:bCs/>
                <w:color w:val="000000" w:themeColor="text1"/>
                <w:szCs w:val="21"/>
                <w:highlight w:val="none"/>
                <w14:textFill>
                  <w14:solidFill>
                    <w14:schemeClr w14:val="tx1"/>
                  </w14:solidFill>
                </w14:textFill>
              </w:rPr>
            </w:pPr>
          </w:p>
        </w:tc>
        <w:tc>
          <w:tcPr>
            <w:tcW w:w="548" w:type="pct"/>
            <w:vAlign w:val="center"/>
          </w:tcPr>
          <w:p w14:paraId="2D988196">
            <w:pPr>
              <w:jc w:val="center"/>
              <w:rPr>
                <w:bCs/>
                <w:color w:val="000000" w:themeColor="text1"/>
                <w:szCs w:val="21"/>
                <w:highlight w:val="none"/>
                <w14:textFill>
                  <w14:solidFill>
                    <w14:schemeClr w14:val="tx1"/>
                  </w14:solidFill>
                </w14:textFill>
              </w:rPr>
            </w:pPr>
          </w:p>
        </w:tc>
        <w:tc>
          <w:tcPr>
            <w:tcW w:w="550" w:type="pct"/>
            <w:vAlign w:val="center"/>
          </w:tcPr>
          <w:p w14:paraId="4EB0141C">
            <w:pPr>
              <w:jc w:val="center"/>
              <w:rPr>
                <w:bCs/>
                <w:color w:val="000000" w:themeColor="text1"/>
                <w:szCs w:val="21"/>
                <w:highlight w:val="none"/>
                <w14:textFill>
                  <w14:solidFill>
                    <w14:schemeClr w14:val="tx1"/>
                  </w14:solidFill>
                </w14:textFill>
              </w:rPr>
            </w:pPr>
          </w:p>
        </w:tc>
      </w:tr>
      <w:tr w14:paraId="27B56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2ABCB841">
            <w:pPr>
              <w:jc w:val="center"/>
              <w:rPr>
                <w:bCs/>
                <w:color w:val="000000" w:themeColor="text1"/>
                <w:szCs w:val="21"/>
                <w:highlight w:val="none"/>
                <w14:textFill>
                  <w14:solidFill>
                    <w14:schemeClr w14:val="tx1"/>
                  </w14:solidFill>
                </w14:textFill>
              </w:rPr>
            </w:pPr>
          </w:p>
        </w:tc>
        <w:tc>
          <w:tcPr>
            <w:tcW w:w="834" w:type="pct"/>
            <w:vAlign w:val="center"/>
          </w:tcPr>
          <w:p w14:paraId="24F56B2F">
            <w:pPr>
              <w:jc w:val="center"/>
              <w:rPr>
                <w:bCs/>
                <w:color w:val="000000" w:themeColor="text1"/>
                <w:szCs w:val="21"/>
                <w:highlight w:val="none"/>
                <w14:textFill>
                  <w14:solidFill>
                    <w14:schemeClr w14:val="tx1"/>
                  </w14:solidFill>
                </w14:textFill>
              </w:rPr>
            </w:pPr>
          </w:p>
        </w:tc>
        <w:tc>
          <w:tcPr>
            <w:tcW w:w="488" w:type="pct"/>
            <w:vAlign w:val="center"/>
          </w:tcPr>
          <w:p w14:paraId="761DAE2E">
            <w:pPr>
              <w:jc w:val="center"/>
              <w:rPr>
                <w:bCs/>
                <w:color w:val="000000" w:themeColor="text1"/>
                <w:szCs w:val="21"/>
                <w:highlight w:val="none"/>
                <w14:textFill>
                  <w14:solidFill>
                    <w14:schemeClr w14:val="tx1"/>
                  </w14:solidFill>
                </w14:textFill>
              </w:rPr>
            </w:pPr>
          </w:p>
        </w:tc>
        <w:tc>
          <w:tcPr>
            <w:tcW w:w="488" w:type="pct"/>
            <w:vAlign w:val="center"/>
          </w:tcPr>
          <w:p w14:paraId="6BB01F2F">
            <w:pPr>
              <w:jc w:val="center"/>
              <w:rPr>
                <w:bCs/>
                <w:color w:val="000000" w:themeColor="text1"/>
                <w:szCs w:val="21"/>
                <w:highlight w:val="none"/>
                <w14:textFill>
                  <w14:solidFill>
                    <w14:schemeClr w14:val="tx1"/>
                  </w14:solidFill>
                </w14:textFill>
              </w:rPr>
            </w:pPr>
          </w:p>
        </w:tc>
        <w:tc>
          <w:tcPr>
            <w:tcW w:w="488" w:type="pct"/>
            <w:vAlign w:val="center"/>
          </w:tcPr>
          <w:p w14:paraId="5EA92D4E">
            <w:pPr>
              <w:jc w:val="center"/>
              <w:rPr>
                <w:bCs/>
                <w:color w:val="000000" w:themeColor="text1"/>
                <w:szCs w:val="21"/>
                <w:highlight w:val="none"/>
                <w14:textFill>
                  <w14:solidFill>
                    <w14:schemeClr w14:val="tx1"/>
                  </w14:solidFill>
                </w14:textFill>
              </w:rPr>
            </w:pPr>
          </w:p>
        </w:tc>
        <w:tc>
          <w:tcPr>
            <w:tcW w:w="650" w:type="pct"/>
            <w:vAlign w:val="center"/>
          </w:tcPr>
          <w:p w14:paraId="1B3C0472">
            <w:pPr>
              <w:jc w:val="center"/>
              <w:rPr>
                <w:bCs/>
                <w:color w:val="000000" w:themeColor="text1"/>
                <w:szCs w:val="21"/>
                <w:highlight w:val="none"/>
                <w14:textFill>
                  <w14:solidFill>
                    <w14:schemeClr w14:val="tx1"/>
                  </w14:solidFill>
                </w14:textFill>
              </w:rPr>
            </w:pPr>
          </w:p>
        </w:tc>
        <w:tc>
          <w:tcPr>
            <w:tcW w:w="463" w:type="pct"/>
            <w:vAlign w:val="center"/>
          </w:tcPr>
          <w:p w14:paraId="68834D99">
            <w:pPr>
              <w:jc w:val="center"/>
              <w:rPr>
                <w:bCs/>
                <w:color w:val="000000" w:themeColor="text1"/>
                <w:szCs w:val="21"/>
                <w:highlight w:val="none"/>
                <w14:textFill>
                  <w14:solidFill>
                    <w14:schemeClr w14:val="tx1"/>
                  </w14:solidFill>
                </w14:textFill>
              </w:rPr>
            </w:pPr>
          </w:p>
        </w:tc>
        <w:tc>
          <w:tcPr>
            <w:tcW w:w="548" w:type="pct"/>
            <w:vAlign w:val="center"/>
          </w:tcPr>
          <w:p w14:paraId="1044CBAA">
            <w:pPr>
              <w:jc w:val="center"/>
              <w:rPr>
                <w:bCs/>
                <w:color w:val="000000" w:themeColor="text1"/>
                <w:szCs w:val="21"/>
                <w:highlight w:val="none"/>
                <w14:textFill>
                  <w14:solidFill>
                    <w14:schemeClr w14:val="tx1"/>
                  </w14:solidFill>
                </w14:textFill>
              </w:rPr>
            </w:pPr>
          </w:p>
        </w:tc>
        <w:tc>
          <w:tcPr>
            <w:tcW w:w="550" w:type="pct"/>
            <w:vAlign w:val="center"/>
          </w:tcPr>
          <w:p w14:paraId="3A45ED82">
            <w:pPr>
              <w:jc w:val="center"/>
              <w:rPr>
                <w:bCs/>
                <w:color w:val="000000" w:themeColor="text1"/>
                <w:szCs w:val="21"/>
                <w:highlight w:val="none"/>
                <w14:textFill>
                  <w14:solidFill>
                    <w14:schemeClr w14:val="tx1"/>
                  </w14:solidFill>
                </w14:textFill>
              </w:rPr>
            </w:pPr>
          </w:p>
        </w:tc>
      </w:tr>
    </w:tbl>
    <w:p w14:paraId="75945C1F">
      <w:pPr>
        <w:spacing w:line="360" w:lineRule="auto"/>
        <w:ind w:left="735" w:leftChars="200" w:hanging="315" w:hangingChars="150"/>
        <w:rPr>
          <w:bCs/>
          <w:color w:val="000000" w:themeColor="text1"/>
          <w:szCs w:val="21"/>
          <w:highlight w:val="none"/>
          <w14:textFill>
            <w14:solidFill>
              <w14:schemeClr w14:val="tx1"/>
            </w14:solidFill>
          </w14:textFill>
        </w:rPr>
      </w:pPr>
    </w:p>
    <w:bookmarkEnd w:id="1617"/>
    <w:p w14:paraId="579F0C38">
      <w:pPr>
        <w:spacing w:line="360" w:lineRule="auto"/>
        <w:ind w:left="735" w:leftChars="200" w:hanging="315" w:hangingChars="150"/>
        <w:rPr>
          <w:bCs/>
          <w:color w:val="000000" w:themeColor="text1"/>
          <w:szCs w:val="21"/>
          <w:highlight w:val="none"/>
          <w14:textFill>
            <w14:solidFill>
              <w14:schemeClr w14:val="tx1"/>
            </w14:solidFill>
          </w14:textFill>
        </w:rPr>
      </w:pPr>
    </w:p>
    <w:p w14:paraId="7D06B0DB">
      <w:pPr>
        <w:spacing w:line="360" w:lineRule="auto"/>
        <w:ind w:left="735" w:leftChars="200" w:hanging="315" w:hangingChars="150"/>
        <w:rPr>
          <w:color w:val="000000" w:themeColor="text1"/>
          <w:szCs w:val="21"/>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452909D5">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7.</w:t>
      </w:r>
      <w:r>
        <w:rPr>
          <w:color w:val="000000" w:themeColor="text1"/>
          <w:sz w:val="21"/>
          <w:szCs w:val="21"/>
          <w:highlight w:val="none"/>
          <w14:textFill>
            <w14:solidFill>
              <w14:schemeClr w14:val="tx1"/>
            </w14:solidFill>
          </w14:textFill>
        </w:rPr>
        <w:t xml:space="preserve"> </w:t>
      </w:r>
      <w:r>
        <w:rPr>
          <w:rStyle w:val="46"/>
          <w:rFonts w:ascii="Times New Roman" w:hAnsi="Times New Roman" w:eastAsia="宋体" w:cs="Times New Roman"/>
          <w:b/>
          <w:bCs w:val="0"/>
          <w:color w:val="000000" w:themeColor="text1"/>
          <w:szCs w:val="24"/>
          <w:highlight w:val="none"/>
          <w14:textFill>
            <w14:solidFill>
              <w14:schemeClr w14:val="tx1"/>
            </w14:solidFill>
          </w14:textFill>
        </w:rPr>
        <w:t>甲供材料、构件</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、设备</w:t>
      </w:r>
      <w:r>
        <w:rPr>
          <w:rStyle w:val="46"/>
          <w:rFonts w:ascii="Times New Roman" w:hAnsi="Times New Roman" w:eastAsia="宋体" w:cs="Times New Roman"/>
          <w:b/>
          <w:bCs w:val="0"/>
          <w:color w:val="000000" w:themeColor="text1"/>
          <w:szCs w:val="24"/>
          <w:highlight w:val="none"/>
          <w14:textFill>
            <w14:solidFill>
              <w14:schemeClr w14:val="tx1"/>
            </w14:solidFill>
          </w14:textFill>
        </w:rPr>
        <w:t>清单</w:t>
      </w:r>
    </w:p>
    <w:p w14:paraId="526B069F">
      <w:pPr>
        <w:spacing w:line="360" w:lineRule="auto"/>
        <w:jc w:val="center"/>
        <w:rPr>
          <w:b/>
          <w:color w:val="000000" w:themeColor="text1"/>
          <w:szCs w:val="21"/>
          <w:highlight w:val="none"/>
          <w14:textFill>
            <w14:solidFill>
              <w14:schemeClr w14:val="tx1"/>
            </w14:solidFill>
          </w14:textFill>
        </w:rPr>
      </w:pPr>
    </w:p>
    <w:p w14:paraId="6EE9DE38">
      <w:pPr>
        <w:spacing w:line="360" w:lineRule="auto"/>
        <w:jc w:val="center"/>
        <w:rPr>
          <w:b/>
          <w:color w:val="000000" w:themeColor="text1"/>
          <w:sz w:val="28"/>
          <w:szCs w:val="28"/>
          <w:highlight w:val="none"/>
          <w14:textFill>
            <w14:solidFill>
              <w14:schemeClr w14:val="tx1"/>
            </w14:solidFill>
          </w14:textFill>
        </w:rPr>
      </w:pPr>
      <w:r>
        <w:rPr>
          <w:b/>
          <w:color w:val="000000" w:themeColor="text1"/>
          <w:sz w:val="28"/>
          <w:szCs w:val="28"/>
          <w:highlight w:val="none"/>
          <w14:textFill>
            <w14:solidFill>
              <w14:schemeClr w14:val="tx1"/>
            </w14:solidFill>
          </w14:textFill>
        </w:rPr>
        <w:t>甲供材料、构件</w:t>
      </w:r>
      <w:r>
        <w:rPr>
          <w:rFonts w:hint="eastAsia"/>
          <w:b/>
          <w:color w:val="000000" w:themeColor="text1"/>
          <w:sz w:val="28"/>
          <w:szCs w:val="28"/>
          <w:highlight w:val="none"/>
          <w14:textFill>
            <w14:solidFill>
              <w14:schemeClr w14:val="tx1"/>
            </w14:solidFill>
          </w14:textFill>
        </w:rPr>
        <w:t>、设备</w:t>
      </w:r>
      <w:r>
        <w:rPr>
          <w:b/>
          <w:color w:val="000000" w:themeColor="text1"/>
          <w:sz w:val="28"/>
          <w:szCs w:val="28"/>
          <w:highlight w:val="none"/>
          <w14:textFill>
            <w14:solidFill>
              <w14:schemeClr w14:val="tx1"/>
            </w14:solidFill>
          </w14:textFill>
        </w:rPr>
        <w:t>清单</w:t>
      </w:r>
    </w:p>
    <w:tbl>
      <w:tblPr>
        <w:tblStyle w:val="31"/>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1958"/>
        <w:gridCol w:w="1759"/>
        <w:gridCol w:w="834"/>
        <w:gridCol w:w="1752"/>
        <w:gridCol w:w="1621"/>
      </w:tblGrid>
      <w:tr w14:paraId="067DE6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5" w:hRule="atLeast"/>
          <w:tblHeader/>
          <w:jc w:val="center"/>
        </w:trPr>
        <w:tc>
          <w:tcPr>
            <w:tcW w:w="457" w:type="pct"/>
            <w:vAlign w:val="center"/>
          </w:tcPr>
          <w:p w14:paraId="1CFF1018">
            <w:pPr>
              <w:widowControl/>
              <w:jc w:val="center"/>
              <w:rPr>
                <w:b/>
                <w:color w:val="000000" w:themeColor="text1"/>
                <w:kern w:val="0"/>
                <w:szCs w:val="21"/>
                <w:highlight w:val="none"/>
                <w14:textFill>
                  <w14:solidFill>
                    <w14:schemeClr w14:val="tx1"/>
                  </w14:solidFill>
                </w14:textFill>
              </w:rPr>
            </w:pPr>
            <w:r>
              <w:rPr>
                <w:rFonts w:hAnsi="宋体"/>
                <w:b/>
                <w:color w:val="000000" w:themeColor="text1"/>
                <w:kern w:val="0"/>
                <w:szCs w:val="21"/>
                <w:highlight w:val="none"/>
                <w14:textFill>
                  <w14:solidFill>
                    <w14:schemeClr w14:val="tx1"/>
                  </w14:solidFill>
                </w14:textFill>
              </w:rPr>
              <w:t>序号</w:t>
            </w:r>
          </w:p>
        </w:tc>
        <w:tc>
          <w:tcPr>
            <w:tcW w:w="1122" w:type="pct"/>
            <w:vAlign w:val="center"/>
          </w:tcPr>
          <w:p w14:paraId="0019250A">
            <w:pPr>
              <w:widowControl/>
              <w:jc w:val="center"/>
              <w:rPr>
                <w:b/>
                <w:color w:val="000000" w:themeColor="text1"/>
                <w:kern w:val="0"/>
                <w:szCs w:val="21"/>
                <w:highlight w:val="none"/>
                <w14:textFill>
                  <w14:solidFill>
                    <w14:schemeClr w14:val="tx1"/>
                  </w14:solidFill>
                </w14:textFill>
              </w:rPr>
            </w:pPr>
            <w:r>
              <w:rPr>
                <w:rFonts w:hAnsi="宋体"/>
                <w:b/>
                <w:color w:val="000000" w:themeColor="text1"/>
                <w:kern w:val="0"/>
                <w:szCs w:val="21"/>
                <w:highlight w:val="none"/>
                <w14:textFill>
                  <w14:solidFill>
                    <w14:schemeClr w14:val="tx1"/>
                  </w14:solidFill>
                </w14:textFill>
              </w:rPr>
              <w:t>材料名称</w:t>
            </w:r>
          </w:p>
        </w:tc>
        <w:tc>
          <w:tcPr>
            <w:tcW w:w="1008" w:type="pct"/>
            <w:noWrap/>
            <w:vAlign w:val="center"/>
          </w:tcPr>
          <w:p w14:paraId="5FAEAC93">
            <w:pPr>
              <w:widowControl/>
              <w:jc w:val="center"/>
              <w:rPr>
                <w:b/>
                <w:color w:val="000000" w:themeColor="text1"/>
                <w:kern w:val="0"/>
                <w:szCs w:val="21"/>
                <w:highlight w:val="none"/>
                <w14:textFill>
                  <w14:solidFill>
                    <w14:schemeClr w14:val="tx1"/>
                  </w14:solidFill>
                </w14:textFill>
              </w:rPr>
            </w:pPr>
            <w:r>
              <w:rPr>
                <w:rFonts w:hAnsi="宋体"/>
                <w:b/>
                <w:color w:val="000000" w:themeColor="text1"/>
                <w:kern w:val="0"/>
                <w:szCs w:val="21"/>
                <w:highlight w:val="none"/>
                <w14:textFill>
                  <w14:solidFill>
                    <w14:schemeClr w14:val="tx1"/>
                  </w14:solidFill>
                </w14:textFill>
              </w:rPr>
              <w:t>规格</w:t>
            </w:r>
            <w:r>
              <w:rPr>
                <w:b/>
                <w:color w:val="000000" w:themeColor="text1"/>
                <w:kern w:val="0"/>
                <w:szCs w:val="21"/>
                <w:highlight w:val="none"/>
                <w14:textFill>
                  <w14:solidFill>
                    <w14:schemeClr w14:val="tx1"/>
                  </w14:solidFill>
                </w14:textFill>
              </w:rPr>
              <w:t xml:space="preserve"> / </w:t>
            </w:r>
            <w:r>
              <w:rPr>
                <w:rFonts w:hAnsi="宋体"/>
                <w:b/>
                <w:color w:val="000000" w:themeColor="text1"/>
                <w:kern w:val="0"/>
                <w:szCs w:val="21"/>
                <w:highlight w:val="none"/>
                <w14:textFill>
                  <w14:solidFill>
                    <w14:schemeClr w14:val="tx1"/>
                  </w14:solidFill>
                </w14:textFill>
              </w:rPr>
              <w:t>型号</w:t>
            </w:r>
          </w:p>
        </w:tc>
        <w:tc>
          <w:tcPr>
            <w:tcW w:w="478" w:type="pct"/>
            <w:noWrap/>
            <w:vAlign w:val="center"/>
          </w:tcPr>
          <w:p w14:paraId="4B1F693B">
            <w:pPr>
              <w:widowControl/>
              <w:jc w:val="center"/>
              <w:rPr>
                <w:b/>
                <w:color w:val="000000" w:themeColor="text1"/>
                <w:kern w:val="0"/>
                <w:szCs w:val="21"/>
                <w:highlight w:val="none"/>
                <w14:textFill>
                  <w14:solidFill>
                    <w14:schemeClr w14:val="tx1"/>
                  </w14:solidFill>
                </w14:textFill>
              </w:rPr>
            </w:pPr>
            <w:r>
              <w:rPr>
                <w:rFonts w:hAnsi="宋体"/>
                <w:b/>
                <w:color w:val="000000" w:themeColor="text1"/>
                <w:kern w:val="0"/>
                <w:szCs w:val="21"/>
                <w:highlight w:val="none"/>
                <w14:textFill>
                  <w14:solidFill>
                    <w14:schemeClr w14:val="tx1"/>
                  </w14:solidFill>
                </w14:textFill>
              </w:rPr>
              <w:t>单位</w:t>
            </w:r>
          </w:p>
        </w:tc>
        <w:tc>
          <w:tcPr>
            <w:tcW w:w="1004" w:type="pct"/>
            <w:vAlign w:val="center"/>
          </w:tcPr>
          <w:p w14:paraId="0F14DE25">
            <w:pPr>
              <w:widowControl/>
              <w:rPr>
                <w:b/>
                <w:color w:val="000000" w:themeColor="text1"/>
                <w:kern w:val="0"/>
                <w:szCs w:val="21"/>
                <w:highlight w:val="none"/>
                <w14:textFill>
                  <w14:solidFill>
                    <w14:schemeClr w14:val="tx1"/>
                  </w14:solidFill>
                </w14:textFill>
              </w:rPr>
            </w:pPr>
            <w:r>
              <w:rPr>
                <w:rFonts w:hint="eastAsia" w:hAnsi="宋体"/>
                <w:b/>
                <w:color w:val="000000" w:themeColor="text1"/>
                <w:kern w:val="0"/>
                <w:szCs w:val="21"/>
                <w:highlight w:val="none"/>
                <w14:textFill>
                  <w14:solidFill>
                    <w14:schemeClr w14:val="tx1"/>
                  </w14:solidFill>
                </w14:textFill>
              </w:rPr>
              <w:t>暂定</w:t>
            </w:r>
            <w:r>
              <w:rPr>
                <w:rFonts w:hAnsi="宋体"/>
                <w:b/>
                <w:color w:val="000000" w:themeColor="text1"/>
                <w:kern w:val="0"/>
                <w:szCs w:val="21"/>
                <w:highlight w:val="none"/>
                <w14:textFill>
                  <w14:solidFill>
                    <w14:schemeClr w14:val="tx1"/>
                  </w14:solidFill>
                </w14:textFill>
              </w:rPr>
              <w:t>单价（元）</w:t>
            </w:r>
          </w:p>
        </w:tc>
        <w:tc>
          <w:tcPr>
            <w:tcW w:w="929" w:type="pct"/>
            <w:noWrap/>
            <w:vAlign w:val="center"/>
          </w:tcPr>
          <w:p w14:paraId="2E9ADF86">
            <w:pPr>
              <w:widowControl/>
              <w:jc w:val="center"/>
              <w:rPr>
                <w:b/>
                <w:color w:val="000000" w:themeColor="text1"/>
                <w:kern w:val="0"/>
                <w:szCs w:val="21"/>
                <w:highlight w:val="none"/>
                <w14:textFill>
                  <w14:solidFill>
                    <w14:schemeClr w14:val="tx1"/>
                  </w14:solidFill>
                </w14:textFill>
              </w:rPr>
            </w:pPr>
            <w:r>
              <w:rPr>
                <w:rFonts w:hAnsi="宋体"/>
                <w:b/>
                <w:color w:val="000000" w:themeColor="text1"/>
                <w:kern w:val="0"/>
                <w:szCs w:val="21"/>
                <w:highlight w:val="none"/>
                <w14:textFill>
                  <w14:solidFill>
                    <w14:schemeClr w14:val="tx1"/>
                  </w14:solidFill>
                </w14:textFill>
              </w:rPr>
              <w:t>备注</w:t>
            </w:r>
          </w:p>
        </w:tc>
      </w:tr>
      <w:tr w14:paraId="1F2D6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7" w:type="pct"/>
            <w:shd w:val="clear" w:color="auto" w:fill="auto"/>
            <w:vAlign w:val="center"/>
          </w:tcPr>
          <w:p w14:paraId="26FB0042">
            <w:pPr>
              <w:widowControl/>
              <w:jc w:val="cente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1</w:t>
            </w:r>
          </w:p>
        </w:tc>
        <w:tc>
          <w:tcPr>
            <w:tcW w:w="1122" w:type="pct"/>
            <w:shd w:val="clear" w:color="auto" w:fill="auto"/>
            <w:vAlign w:val="center"/>
          </w:tcPr>
          <w:p w14:paraId="0645BD98">
            <w:pPr>
              <w:widowControl/>
              <w:jc w:val="center"/>
              <w:rPr>
                <w:rFonts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b/>
                <w:bCs/>
                <w:color w:val="000000" w:themeColor="text1"/>
                <w:kern w:val="0"/>
                <w:szCs w:val="21"/>
                <w:highlight w:val="none"/>
                <w14:textFill>
                  <w14:solidFill>
                    <w14:schemeClr w14:val="tx1"/>
                  </w14:solidFill>
                </w14:textFill>
              </w:rPr>
              <w:t>改性沥青</w:t>
            </w:r>
          </w:p>
        </w:tc>
        <w:tc>
          <w:tcPr>
            <w:tcW w:w="1008" w:type="pct"/>
            <w:shd w:val="clear" w:color="auto" w:fill="auto"/>
            <w:noWrap/>
            <w:vAlign w:val="center"/>
          </w:tcPr>
          <w:p w14:paraId="3C872CFC">
            <w:pPr>
              <w:widowControl/>
              <w:jc w:val="cente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w:t>
            </w:r>
          </w:p>
        </w:tc>
        <w:tc>
          <w:tcPr>
            <w:tcW w:w="478" w:type="pct"/>
            <w:shd w:val="clear" w:color="auto" w:fill="auto"/>
            <w:noWrap/>
            <w:vAlign w:val="center"/>
          </w:tcPr>
          <w:p w14:paraId="28D5A54D">
            <w:pPr>
              <w:widowControl/>
              <w:jc w:val="cente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w:t>
            </w:r>
          </w:p>
        </w:tc>
        <w:tc>
          <w:tcPr>
            <w:tcW w:w="1004" w:type="pct"/>
            <w:shd w:val="clear" w:color="auto" w:fill="auto"/>
            <w:vAlign w:val="center"/>
          </w:tcPr>
          <w:p w14:paraId="27334813">
            <w:pPr>
              <w:widowControl/>
              <w:jc w:val="cente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w:t>
            </w:r>
          </w:p>
        </w:tc>
        <w:tc>
          <w:tcPr>
            <w:tcW w:w="929" w:type="pct"/>
            <w:shd w:val="clear" w:color="auto" w:fill="auto"/>
            <w:noWrap/>
            <w:vAlign w:val="center"/>
          </w:tcPr>
          <w:p w14:paraId="7560D738">
            <w:pPr>
              <w:widowControl/>
              <w:jc w:val="center"/>
              <w:rPr>
                <w:rFonts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p>
        </w:tc>
      </w:tr>
      <w:tr w14:paraId="089935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7" w:type="pct"/>
            <w:vAlign w:val="center"/>
          </w:tcPr>
          <w:p w14:paraId="2B332145">
            <w:pPr>
              <w:widowControl/>
              <w:jc w:val="center"/>
              <w:rPr>
                <w:rFonts w:hint="eastAsia" w:eastAsia="宋体"/>
                <w:color w:val="000000" w:themeColor="text1"/>
                <w:kern w:val="0"/>
                <w:szCs w:val="21"/>
                <w:highlight w:val="none"/>
                <w:lang w:val="en-US" w:eastAsia="zh-CN"/>
                <w14:textFill>
                  <w14:solidFill>
                    <w14:schemeClr w14:val="tx1"/>
                  </w14:solidFill>
                </w14:textFill>
              </w:rPr>
            </w:pPr>
          </w:p>
        </w:tc>
        <w:tc>
          <w:tcPr>
            <w:tcW w:w="1122" w:type="pct"/>
            <w:vAlign w:val="center"/>
          </w:tcPr>
          <w:p w14:paraId="639017A6">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29E8355D">
            <w:pPr>
              <w:widowControl/>
              <w:jc w:val="center"/>
              <w:rPr>
                <w:rFonts w:hint="eastAsia" w:eastAsia="宋体"/>
                <w:color w:val="000000" w:themeColor="text1"/>
                <w:kern w:val="0"/>
                <w:szCs w:val="21"/>
                <w:highlight w:val="none"/>
                <w:lang w:val="en-US" w:eastAsia="zh-CN"/>
                <w14:textFill>
                  <w14:solidFill>
                    <w14:schemeClr w14:val="tx1"/>
                  </w14:solidFill>
                </w14:textFill>
              </w:rPr>
            </w:pPr>
          </w:p>
        </w:tc>
        <w:tc>
          <w:tcPr>
            <w:tcW w:w="478" w:type="pct"/>
            <w:noWrap/>
            <w:vAlign w:val="center"/>
          </w:tcPr>
          <w:p w14:paraId="4C540681">
            <w:pPr>
              <w:widowControl/>
              <w:jc w:val="center"/>
              <w:rPr>
                <w:rFonts w:hint="eastAsia" w:eastAsia="宋体"/>
                <w:color w:val="000000" w:themeColor="text1"/>
                <w:kern w:val="0"/>
                <w:szCs w:val="21"/>
                <w:highlight w:val="none"/>
                <w:lang w:val="en-US" w:eastAsia="zh-CN"/>
                <w14:textFill>
                  <w14:solidFill>
                    <w14:schemeClr w14:val="tx1"/>
                  </w14:solidFill>
                </w14:textFill>
              </w:rPr>
            </w:pPr>
          </w:p>
        </w:tc>
        <w:tc>
          <w:tcPr>
            <w:tcW w:w="1004" w:type="pct"/>
            <w:vAlign w:val="center"/>
          </w:tcPr>
          <w:p w14:paraId="4E8A54E9">
            <w:pPr>
              <w:widowControl/>
              <w:jc w:val="center"/>
              <w:rPr>
                <w:rFonts w:hint="eastAsia" w:eastAsia="宋体"/>
                <w:color w:val="000000" w:themeColor="text1"/>
                <w:kern w:val="0"/>
                <w:szCs w:val="21"/>
                <w:highlight w:val="none"/>
                <w:lang w:val="en-US" w:eastAsia="zh-CN"/>
                <w14:textFill>
                  <w14:solidFill>
                    <w14:schemeClr w14:val="tx1"/>
                  </w14:solidFill>
                </w14:textFill>
              </w:rPr>
            </w:pPr>
          </w:p>
        </w:tc>
        <w:tc>
          <w:tcPr>
            <w:tcW w:w="929" w:type="pct"/>
            <w:noWrap/>
            <w:vAlign w:val="center"/>
          </w:tcPr>
          <w:p w14:paraId="2BE84484">
            <w:pPr>
              <w:widowControl/>
              <w:jc w:val="center"/>
              <w:rPr>
                <w:color w:val="000000" w:themeColor="text1"/>
                <w:kern w:val="0"/>
                <w:szCs w:val="21"/>
                <w:highlight w:val="none"/>
                <w14:textFill>
                  <w14:solidFill>
                    <w14:schemeClr w14:val="tx1"/>
                  </w14:solidFill>
                </w14:textFill>
              </w:rPr>
            </w:pPr>
          </w:p>
        </w:tc>
      </w:tr>
      <w:tr w14:paraId="175712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7" w:type="pct"/>
            <w:vAlign w:val="center"/>
          </w:tcPr>
          <w:p w14:paraId="78A91606">
            <w:pPr>
              <w:widowControl/>
              <w:jc w:val="center"/>
              <w:rPr>
                <w:color w:val="000000" w:themeColor="text1"/>
                <w:kern w:val="0"/>
                <w:szCs w:val="21"/>
                <w:highlight w:val="none"/>
                <w14:textFill>
                  <w14:solidFill>
                    <w14:schemeClr w14:val="tx1"/>
                  </w14:solidFill>
                </w14:textFill>
              </w:rPr>
            </w:pPr>
          </w:p>
        </w:tc>
        <w:tc>
          <w:tcPr>
            <w:tcW w:w="1122" w:type="pct"/>
            <w:vAlign w:val="center"/>
          </w:tcPr>
          <w:p w14:paraId="09BEEB47">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7C54C972">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5BC125A1">
            <w:pPr>
              <w:widowControl/>
              <w:jc w:val="center"/>
              <w:rPr>
                <w:color w:val="000000" w:themeColor="text1"/>
                <w:kern w:val="0"/>
                <w:szCs w:val="21"/>
                <w:highlight w:val="none"/>
                <w14:textFill>
                  <w14:solidFill>
                    <w14:schemeClr w14:val="tx1"/>
                  </w14:solidFill>
                </w14:textFill>
              </w:rPr>
            </w:pPr>
          </w:p>
        </w:tc>
        <w:tc>
          <w:tcPr>
            <w:tcW w:w="1004" w:type="pct"/>
            <w:vAlign w:val="center"/>
          </w:tcPr>
          <w:p w14:paraId="1BCD7E36">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356FA699">
            <w:pPr>
              <w:widowControl/>
              <w:jc w:val="center"/>
              <w:rPr>
                <w:color w:val="000000" w:themeColor="text1"/>
                <w:kern w:val="0"/>
                <w:szCs w:val="21"/>
                <w:highlight w:val="none"/>
                <w14:textFill>
                  <w14:solidFill>
                    <w14:schemeClr w14:val="tx1"/>
                  </w14:solidFill>
                </w14:textFill>
              </w:rPr>
            </w:pPr>
          </w:p>
        </w:tc>
      </w:tr>
      <w:tr w14:paraId="4EA89F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7" w:type="pct"/>
            <w:vAlign w:val="center"/>
          </w:tcPr>
          <w:p w14:paraId="0264E758">
            <w:pPr>
              <w:widowControl/>
              <w:jc w:val="center"/>
              <w:rPr>
                <w:color w:val="000000" w:themeColor="text1"/>
                <w:kern w:val="0"/>
                <w:szCs w:val="21"/>
                <w:highlight w:val="none"/>
                <w14:textFill>
                  <w14:solidFill>
                    <w14:schemeClr w14:val="tx1"/>
                  </w14:solidFill>
                </w14:textFill>
              </w:rPr>
            </w:pPr>
          </w:p>
        </w:tc>
        <w:tc>
          <w:tcPr>
            <w:tcW w:w="1122" w:type="pct"/>
            <w:vAlign w:val="center"/>
          </w:tcPr>
          <w:p w14:paraId="740BBB43">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011BDE33">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25280174">
            <w:pPr>
              <w:widowControl/>
              <w:jc w:val="center"/>
              <w:rPr>
                <w:color w:val="000000" w:themeColor="text1"/>
                <w:kern w:val="0"/>
                <w:szCs w:val="21"/>
                <w:highlight w:val="none"/>
                <w14:textFill>
                  <w14:solidFill>
                    <w14:schemeClr w14:val="tx1"/>
                  </w14:solidFill>
                </w14:textFill>
              </w:rPr>
            </w:pPr>
          </w:p>
        </w:tc>
        <w:tc>
          <w:tcPr>
            <w:tcW w:w="1004" w:type="pct"/>
            <w:vAlign w:val="center"/>
          </w:tcPr>
          <w:p w14:paraId="0ACC7817">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6127CB21">
            <w:pPr>
              <w:widowControl/>
              <w:jc w:val="center"/>
              <w:rPr>
                <w:color w:val="000000" w:themeColor="text1"/>
                <w:kern w:val="0"/>
                <w:szCs w:val="21"/>
                <w:highlight w:val="none"/>
                <w14:textFill>
                  <w14:solidFill>
                    <w14:schemeClr w14:val="tx1"/>
                  </w14:solidFill>
                </w14:textFill>
              </w:rPr>
            </w:pPr>
          </w:p>
        </w:tc>
      </w:tr>
      <w:tr w14:paraId="6F673E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7" w:type="pct"/>
            <w:vAlign w:val="center"/>
          </w:tcPr>
          <w:p w14:paraId="35EC45AB">
            <w:pPr>
              <w:widowControl/>
              <w:jc w:val="center"/>
              <w:rPr>
                <w:color w:val="000000" w:themeColor="text1"/>
                <w:kern w:val="0"/>
                <w:szCs w:val="21"/>
                <w:highlight w:val="none"/>
                <w14:textFill>
                  <w14:solidFill>
                    <w14:schemeClr w14:val="tx1"/>
                  </w14:solidFill>
                </w14:textFill>
              </w:rPr>
            </w:pPr>
          </w:p>
        </w:tc>
        <w:tc>
          <w:tcPr>
            <w:tcW w:w="1122" w:type="pct"/>
            <w:vAlign w:val="center"/>
          </w:tcPr>
          <w:p w14:paraId="443984D1">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6DA91BA4">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0B965AFE">
            <w:pPr>
              <w:widowControl/>
              <w:jc w:val="center"/>
              <w:rPr>
                <w:color w:val="000000" w:themeColor="text1"/>
                <w:kern w:val="0"/>
                <w:szCs w:val="21"/>
                <w:highlight w:val="none"/>
                <w14:textFill>
                  <w14:solidFill>
                    <w14:schemeClr w14:val="tx1"/>
                  </w14:solidFill>
                </w14:textFill>
              </w:rPr>
            </w:pPr>
          </w:p>
        </w:tc>
        <w:tc>
          <w:tcPr>
            <w:tcW w:w="1004" w:type="pct"/>
            <w:vAlign w:val="center"/>
          </w:tcPr>
          <w:p w14:paraId="222D71DB">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44759F26">
            <w:pPr>
              <w:widowControl/>
              <w:jc w:val="center"/>
              <w:rPr>
                <w:color w:val="000000" w:themeColor="text1"/>
                <w:kern w:val="0"/>
                <w:szCs w:val="21"/>
                <w:highlight w:val="none"/>
                <w14:textFill>
                  <w14:solidFill>
                    <w14:schemeClr w14:val="tx1"/>
                  </w14:solidFill>
                </w14:textFill>
              </w:rPr>
            </w:pPr>
          </w:p>
        </w:tc>
      </w:tr>
      <w:tr w14:paraId="211BB4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7" w:type="pct"/>
            <w:vAlign w:val="center"/>
          </w:tcPr>
          <w:p w14:paraId="66CE3DCE">
            <w:pPr>
              <w:widowControl/>
              <w:jc w:val="center"/>
              <w:rPr>
                <w:color w:val="000000" w:themeColor="text1"/>
                <w:kern w:val="0"/>
                <w:szCs w:val="21"/>
                <w:highlight w:val="none"/>
                <w14:textFill>
                  <w14:solidFill>
                    <w14:schemeClr w14:val="tx1"/>
                  </w14:solidFill>
                </w14:textFill>
              </w:rPr>
            </w:pPr>
          </w:p>
        </w:tc>
        <w:tc>
          <w:tcPr>
            <w:tcW w:w="1122" w:type="pct"/>
            <w:vAlign w:val="center"/>
          </w:tcPr>
          <w:p w14:paraId="1125F143">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77A5609E">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1E787FF7">
            <w:pPr>
              <w:widowControl/>
              <w:jc w:val="center"/>
              <w:rPr>
                <w:color w:val="000000" w:themeColor="text1"/>
                <w:kern w:val="0"/>
                <w:szCs w:val="21"/>
                <w:highlight w:val="none"/>
                <w14:textFill>
                  <w14:solidFill>
                    <w14:schemeClr w14:val="tx1"/>
                  </w14:solidFill>
                </w14:textFill>
              </w:rPr>
            </w:pPr>
          </w:p>
        </w:tc>
        <w:tc>
          <w:tcPr>
            <w:tcW w:w="1004" w:type="pct"/>
            <w:vAlign w:val="center"/>
          </w:tcPr>
          <w:p w14:paraId="0FD1F63C">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04E00490">
            <w:pPr>
              <w:widowControl/>
              <w:jc w:val="center"/>
              <w:rPr>
                <w:color w:val="000000" w:themeColor="text1"/>
                <w:kern w:val="0"/>
                <w:szCs w:val="21"/>
                <w:highlight w:val="none"/>
                <w14:textFill>
                  <w14:solidFill>
                    <w14:schemeClr w14:val="tx1"/>
                  </w14:solidFill>
                </w14:textFill>
              </w:rPr>
            </w:pPr>
          </w:p>
        </w:tc>
      </w:tr>
      <w:tr w14:paraId="588190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7" w:type="pct"/>
            <w:vAlign w:val="center"/>
          </w:tcPr>
          <w:p w14:paraId="3EEC1278">
            <w:pPr>
              <w:widowControl/>
              <w:jc w:val="center"/>
              <w:rPr>
                <w:color w:val="000000" w:themeColor="text1"/>
                <w:kern w:val="0"/>
                <w:szCs w:val="21"/>
                <w:highlight w:val="none"/>
                <w14:textFill>
                  <w14:solidFill>
                    <w14:schemeClr w14:val="tx1"/>
                  </w14:solidFill>
                </w14:textFill>
              </w:rPr>
            </w:pPr>
          </w:p>
        </w:tc>
        <w:tc>
          <w:tcPr>
            <w:tcW w:w="1122" w:type="pct"/>
            <w:vAlign w:val="center"/>
          </w:tcPr>
          <w:p w14:paraId="018D6AFA">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294DA315">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22762131">
            <w:pPr>
              <w:widowControl/>
              <w:jc w:val="center"/>
              <w:rPr>
                <w:color w:val="000000" w:themeColor="text1"/>
                <w:kern w:val="0"/>
                <w:szCs w:val="21"/>
                <w:highlight w:val="none"/>
                <w14:textFill>
                  <w14:solidFill>
                    <w14:schemeClr w14:val="tx1"/>
                  </w14:solidFill>
                </w14:textFill>
              </w:rPr>
            </w:pPr>
          </w:p>
        </w:tc>
        <w:tc>
          <w:tcPr>
            <w:tcW w:w="1004" w:type="pct"/>
            <w:vAlign w:val="center"/>
          </w:tcPr>
          <w:p w14:paraId="28E41B7F">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51FFAC4B">
            <w:pPr>
              <w:widowControl/>
              <w:jc w:val="center"/>
              <w:rPr>
                <w:color w:val="000000" w:themeColor="text1"/>
                <w:kern w:val="0"/>
                <w:szCs w:val="21"/>
                <w:highlight w:val="none"/>
                <w14:textFill>
                  <w14:solidFill>
                    <w14:schemeClr w14:val="tx1"/>
                  </w14:solidFill>
                </w14:textFill>
              </w:rPr>
            </w:pPr>
          </w:p>
        </w:tc>
      </w:tr>
      <w:tr w14:paraId="607E5E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7" w:type="pct"/>
            <w:vAlign w:val="center"/>
          </w:tcPr>
          <w:p w14:paraId="7D9438F5">
            <w:pPr>
              <w:widowControl/>
              <w:jc w:val="center"/>
              <w:rPr>
                <w:color w:val="000000" w:themeColor="text1"/>
                <w:kern w:val="0"/>
                <w:szCs w:val="21"/>
                <w:highlight w:val="none"/>
                <w14:textFill>
                  <w14:solidFill>
                    <w14:schemeClr w14:val="tx1"/>
                  </w14:solidFill>
                </w14:textFill>
              </w:rPr>
            </w:pPr>
          </w:p>
        </w:tc>
        <w:tc>
          <w:tcPr>
            <w:tcW w:w="1122" w:type="pct"/>
            <w:vAlign w:val="center"/>
          </w:tcPr>
          <w:p w14:paraId="3A59FBE0">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2920975E">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625BC691">
            <w:pPr>
              <w:widowControl/>
              <w:jc w:val="center"/>
              <w:rPr>
                <w:color w:val="000000" w:themeColor="text1"/>
                <w:kern w:val="0"/>
                <w:szCs w:val="21"/>
                <w:highlight w:val="none"/>
                <w14:textFill>
                  <w14:solidFill>
                    <w14:schemeClr w14:val="tx1"/>
                  </w14:solidFill>
                </w14:textFill>
              </w:rPr>
            </w:pPr>
          </w:p>
        </w:tc>
        <w:tc>
          <w:tcPr>
            <w:tcW w:w="1004" w:type="pct"/>
            <w:vAlign w:val="center"/>
          </w:tcPr>
          <w:p w14:paraId="75DD8536">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4E4C4EF8">
            <w:pPr>
              <w:widowControl/>
              <w:jc w:val="center"/>
              <w:rPr>
                <w:color w:val="000000" w:themeColor="text1"/>
                <w:kern w:val="0"/>
                <w:szCs w:val="21"/>
                <w:highlight w:val="none"/>
                <w14:textFill>
                  <w14:solidFill>
                    <w14:schemeClr w14:val="tx1"/>
                  </w14:solidFill>
                </w14:textFill>
              </w:rPr>
            </w:pPr>
          </w:p>
        </w:tc>
      </w:tr>
      <w:tr w14:paraId="4B1A78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7" w:type="pct"/>
            <w:vAlign w:val="center"/>
          </w:tcPr>
          <w:p w14:paraId="6B04EF38">
            <w:pPr>
              <w:widowControl/>
              <w:jc w:val="center"/>
              <w:rPr>
                <w:color w:val="000000" w:themeColor="text1"/>
                <w:kern w:val="0"/>
                <w:szCs w:val="21"/>
                <w:highlight w:val="none"/>
                <w14:textFill>
                  <w14:solidFill>
                    <w14:schemeClr w14:val="tx1"/>
                  </w14:solidFill>
                </w14:textFill>
              </w:rPr>
            </w:pPr>
          </w:p>
        </w:tc>
        <w:tc>
          <w:tcPr>
            <w:tcW w:w="1122" w:type="pct"/>
            <w:vAlign w:val="center"/>
          </w:tcPr>
          <w:p w14:paraId="375A1588">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15F8C253">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03439B4F">
            <w:pPr>
              <w:widowControl/>
              <w:jc w:val="center"/>
              <w:rPr>
                <w:color w:val="000000" w:themeColor="text1"/>
                <w:kern w:val="0"/>
                <w:szCs w:val="21"/>
                <w:highlight w:val="none"/>
                <w14:textFill>
                  <w14:solidFill>
                    <w14:schemeClr w14:val="tx1"/>
                  </w14:solidFill>
                </w14:textFill>
              </w:rPr>
            </w:pPr>
          </w:p>
        </w:tc>
        <w:tc>
          <w:tcPr>
            <w:tcW w:w="1004" w:type="pct"/>
            <w:vAlign w:val="center"/>
          </w:tcPr>
          <w:p w14:paraId="53A9DF2B">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36E35AAD">
            <w:pPr>
              <w:widowControl/>
              <w:jc w:val="center"/>
              <w:rPr>
                <w:color w:val="000000" w:themeColor="text1"/>
                <w:kern w:val="0"/>
                <w:szCs w:val="21"/>
                <w:highlight w:val="none"/>
                <w14:textFill>
                  <w14:solidFill>
                    <w14:schemeClr w14:val="tx1"/>
                  </w14:solidFill>
                </w14:textFill>
              </w:rPr>
            </w:pPr>
          </w:p>
        </w:tc>
      </w:tr>
      <w:tr w14:paraId="552E3C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7" w:type="pct"/>
            <w:vAlign w:val="center"/>
          </w:tcPr>
          <w:p w14:paraId="518C29FF">
            <w:pPr>
              <w:widowControl/>
              <w:jc w:val="center"/>
              <w:rPr>
                <w:b/>
                <w:bCs/>
                <w:color w:val="000000" w:themeColor="text1"/>
                <w:kern w:val="0"/>
                <w:szCs w:val="21"/>
                <w:highlight w:val="none"/>
                <w14:textFill>
                  <w14:solidFill>
                    <w14:schemeClr w14:val="tx1"/>
                  </w14:solidFill>
                </w14:textFill>
              </w:rPr>
            </w:pPr>
          </w:p>
        </w:tc>
        <w:tc>
          <w:tcPr>
            <w:tcW w:w="1122" w:type="pct"/>
            <w:vAlign w:val="center"/>
          </w:tcPr>
          <w:p w14:paraId="09340165">
            <w:pPr>
              <w:widowControl/>
              <w:jc w:val="center"/>
              <w:rPr>
                <w:b/>
                <w:bCs/>
                <w:color w:val="000000" w:themeColor="text1"/>
                <w:kern w:val="0"/>
                <w:szCs w:val="21"/>
                <w:highlight w:val="none"/>
                <w14:textFill>
                  <w14:solidFill>
                    <w14:schemeClr w14:val="tx1"/>
                  </w14:solidFill>
                </w14:textFill>
              </w:rPr>
            </w:pPr>
          </w:p>
        </w:tc>
        <w:tc>
          <w:tcPr>
            <w:tcW w:w="1008" w:type="pct"/>
            <w:noWrap/>
            <w:vAlign w:val="center"/>
          </w:tcPr>
          <w:p w14:paraId="2B26266E">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719D2047">
            <w:pPr>
              <w:widowControl/>
              <w:jc w:val="center"/>
              <w:rPr>
                <w:color w:val="000000" w:themeColor="text1"/>
                <w:kern w:val="0"/>
                <w:szCs w:val="21"/>
                <w:highlight w:val="none"/>
                <w14:textFill>
                  <w14:solidFill>
                    <w14:schemeClr w14:val="tx1"/>
                  </w14:solidFill>
                </w14:textFill>
              </w:rPr>
            </w:pPr>
          </w:p>
        </w:tc>
        <w:tc>
          <w:tcPr>
            <w:tcW w:w="1004" w:type="pct"/>
            <w:vAlign w:val="center"/>
          </w:tcPr>
          <w:p w14:paraId="33EC2739">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05A9910C">
            <w:pPr>
              <w:widowControl/>
              <w:jc w:val="center"/>
              <w:rPr>
                <w:color w:val="000000" w:themeColor="text1"/>
                <w:kern w:val="0"/>
                <w:szCs w:val="21"/>
                <w:highlight w:val="none"/>
                <w14:textFill>
                  <w14:solidFill>
                    <w14:schemeClr w14:val="tx1"/>
                  </w14:solidFill>
                </w14:textFill>
              </w:rPr>
            </w:pPr>
          </w:p>
        </w:tc>
      </w:tr>
      <w:tr w14:paraId="51BA1F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7" w:type="pct"/>
            <w:vAlign w:val="center"/>
          </w:tcPr>
          <w:p w14:paraId="69E4E39B">
            <w:pPr>
              <w:widowControl/>
              <w:jc w:val="center"/>
              <w:rPr>
                <w:color w:val="000000" w:themeColor="text1"/>
                <w:kern w:val="0"/>
                <w:szCs w:val="21"/>
                <w:highlight w:val="none"/>
                <w14:textFill>
                  <w14:solidFill>
                    <w14:schemeClr w14:val="tx1"/>
                  </w14:solidFill>
                </w14:textFill>
              </w:rPr>
            </w:pPr>
          </w:p>
        </w:tc>
        <w:tc>
          <w:tcPr>
            <w:tcW w:w="1122" w:type="pct"/>
            <w:vAlign w:val="center"/>
          </w:tcPr>
          <w:p w14:paraId="0CFCAD65">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5494A760">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65E5E3BE">
            <w:pPr>
              <w:widowControl/>
              <w:jc w:val="center"/>
              <w:rPr>
                <w:color w:val="000000" w:themeColor="text1"/>
                <w:kern w:val="0"/>
                <w:szCs w:val="21"/>
                <w:highlight w:val="none"/>
                <w14:textFill>
                  <w14:solidFill>
                    <w14:schemeClr w14:val="tx1"/>
                  </w14:solidFill>
                </w14:textFill>
              </w:rPr>
            </w:pPr>
          </w:p>
        </w:tc>
        <w:tc>
          <w:tcPr>
            <w:tcW w:w="1004" w:type="pct"/>
            <w:noWrap/>
            <w:vAlign w:val="center"/>
          </w:tcPr>
          <w:p w14:paraId="3F5ED002">
            <w:pPr>
              <w:widowControl/>
              <w:jc w:val="center"/>
              <w:rPr>
                <w:color w:val="000000" w:themeColor="text1"/>
                <w:kern w:val="0"/>
                <w:szCs w:val="21"/>
                <w:highlight w:val="none"/>
                <w14:textFill>
                  <w14:solidFill>
                    <w14:schemeClr w14:val="tx1"/>
                  </w14:solidFill>
                </w14:textFill>
              </w:rPr>
            </w:pPr>
          </w:p>
        </w:tc>
        <w:tc>
          <w:tcPr>
            <w:tcW w:w="929" w:type="pct"/>
            <w:vAlign w:val="center"/>
          </w:tcPr>
          <w:p w14:paraId="335EAA5A">
            <w:pPr>
              <w:widowControl/>
              <w:jc w:val="center"/>
              <w:rPr>
                <w:color w:val="000000" w:themeColor="text1"/>
                <w:kern w:val="0"/>
                <w:szCs w:val="21"/>
                <w:highlight w:val="none"/>
                <w14:textFill>
                  <w14:solidFill>
                    <w14:schemeClr w14:val="tx1"/>
                  </w14:solidFill>
                </w14:textFill>
              </w:rPr>
            </w:pPr>
          </w:p>
        </w:tc>
      </w:tr>
      <w:tr w14:paraId="50C362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7" w:type="pct"/>
            <w:vAlign w:val="center"/>
          </w:tcPr>
          <w:p w14:paraId="6C54858A">
            <w:pPr>
              <w:widowControl/>
              <w:jc w:val="center"/>
              <w:rPr>
                <w:color w:val="000000" w:themeColor="text1"/>
                <w:kern w:val="0"/>
                <w:szCs w:val="21"/>
                <w:highlight w:val="none"/>
                <w14:textFill>
                  <w14:solidFill>
                    <w14:schemeClr w14:val="tx1"/>
                  </w14:solidFill>
                </w14:textFill>
              </w:rPr>
            </w:pPr>
          </w:p>
        </w:tc>
        <w:tc>
          <w:tcPr>
            <w:tcW w:w="1122" w:type="pct"/>
            <w:vAlign w:val="center"/>
          </w:tcPr>
          <w:p w14:paraId="01940363">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26529102">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4891BB5D">
            <w:pPr>
              <w:widowControl/>
              <w:jc w:val="center"/>
              <w:rPr>
                <w:color w:val="000000" w:themeColor="text1"/>
                <w:kern w:val="0"/>
                <w:szCs w:val="21"/>
                <w:highlight w:val="none"/>
                <w14:textFill>
                  <w14:solidFill>
                    <w14:schemeClr w14:val="tx1"/>
                  </w14:solidFill>
                </w14:textFill>
              </w:rPr>
            </w:pPr>
          </w:p>
        </w:tc>
        <w:tc>
          <w:tcPr>
            <w:tcW w:w="1004" w:type="pct"/>
            <w:noWrap/>
            <w:vAlign w:val="center"/>
          </w:tcPr>
          <w:p w14:paraId="19CDC8A0">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0696583A">
            <w:pPr>
              <w:widowControl/>
              <w:jc w:val="center"/>
              <w:rPr>
                <w:color w:val="000000" w:themeColor="text1"/>
                <w:kern w:val="0"/>
                <w:szCs w:val="21"/>
                <w:highlight w:val="none"/>
                <w14:textFill>
                  <w14:solidFill>
                    <w14:schemeClr w14:val="tx1"/>
                  </w14:solidFill>
                </w14:textFill>
              </w:rPr>
            </w:pPr>
          </w:p>
        </w:tc>
      </w:tr>
      <w:tr w14:paraId="2EAECC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7" w:type="pct"/>
            <w:vAlign w:val="center"/>
          </w:tcPr>
          <w:p w14:paraId="7296EEF5">
            <w:pPr>
              <w:widowControl/>
              <w:jc w:val="center"/>
              <w:rPr>
                <w:color w:val="000000" w:themeColor="text1"/>
                <w:kern w:val="0"/>
                <w:szCs w:val="21"/>
                <w:highlight w:val="none"/>
                <w14:textFill>
                  <w14:solidFill>
                    <w14:schemeClr w14:val="tx1"/>
                  </w14:solidFill>
                </w14:textFill>
              </w:rPr>
            </w:pPr>
          </w:p>
        </w:tc>
        <w:tc>
          <w:tcPr>
            <w:tcW w:w="1122" w:type="pct"/>
            <w:vAlign w:val="center"/>
          </w:tcPr>
          <w:p w14:paraId="235A2EB5">
            <w:pPr>
              <w:widowControl/>
              <w:jc w:val="center"/>
              <w:rPr>
                <w:color w:val="000000" w:themeColor="text1"/>
                <w:kern w:val="0"/>
                <w:szCs w:val="21"/>
                <w:highlight w:val="none"/>
                <w14:textFill>
                  <w14:solidFill>
                    <w14:schemeClr w14:val="tx1"/>
                  </w14:solidFill>
                </w14:textFill>
              </w:rPr>
            </w:pPr>
          </w:p>
        </w:tc>
        <w:tc>
          <w:tcPr>
            <w:tcW w:w="1008" w:type="pct"/>
            <w:vAlign w:val="center"/>
          </w:tcPr>
          <w:p w14:paraId="55BE996A">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0C10522D">
            <w:pPr>
              <w:widowControl/>
              <w:jc w:val="center"/>
              <w:rPr>
                <w:color w:val="000000" w:themeColor="text1"/>
                <w:kern w:val="0"/>
                <w:szCs w:val="21"/>
                <w:highlight w:val="none"/>
                <w14:textFill>
                  <w14:solidFill>
                    <w14:schemeClr w14:val="tx1"/>
                  </w14:solidFill>
                </w14:textFill>
              </w:rPr>
            </w:pPr>
          </w:p>
        </w:tc>
        <w:tc>
          <w:tcPr>
            <w:tcW w:w="1004" w:type="pct"/>
            <w:noWrap/>
            <w:vAlign w:val="center"/>
          </w:tcPr>
          <w:p w14:paraId="692D3394">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0620AD8E">
            <w:pPr>
              <w:widowControl/>
              <w:jc w:val="center"/>
              <w:rPr>
                <w:color w:val="000000" w:themeColor="text1"/>
                <w:kern w:val="0"/>
                <w:szCs w:val="21"/>
                <w:highlight w:val="none"/>
                <w14:textFill>
                  <w14:solidFill>
                    <w14:schemeClr w14:val="tx1"/>
                  </w14:solidFill>
                </w14:textFill>
              </w:rPr>
            </w:pPr>
          </w:p>
        </w:tc>
      </w:tr>
      <w:tr w14:paraId="197C67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7" w:type="pct"/>
            <w:vAlign w:val="center"/>
          </w:tcPr>
          <w:p w14:paraId="02EAC86C">
            <w:pPr>
              <w:widowControl/>
              <w:jc w:val="center"/>
              <w:rPr>
                <w:color w:val="000000" w:themeColor="text1"/>
                <w:kern w:val="0"/>
                <w:szCs w:val="21"/>
                <w:highlight w:val="none"/>
                <w14:textFill>
                  <w14:solidFill>
                    <w14:schemeClr w14:val="tx1"/>
                  </w14:solidFill>
                </w14:textFill>
              </w:rPr>
            </w:pPr>
          </w:p>
        </w:tc>
        <w:tc>
          <w:tcPr>
            <w:tcW w:w="1122" w:type="pct"/>
            <w:vAlign w:val="center"/>
          </w:tcPr>
          <w:p w14:paraId="04178060">
            <w:pPr>
              <w:widowControl/>
              <w:jc w:val="center"/>
              <w:rPr>
                <w:color w:val="000000" w:themeColor="text1"/>
                <w:kern w:val="0"/>
                <w:szCs w:val="21"/>
                <w:highlight w:val="none"/>
                <w14:textFill>
                  <w14:solidFill>
                    <w14:schemeClr w14:val="tx1"/>
                  </w14:solidFill>
                </w14:textFill>
              </w:rPr>
            </w:pPr>
          </w:p>
        </w:tc>
        <w:tc>
          <w:tcPr>
            <w:tcW w:w="1008" w:type="pct"/>
            <w:vAlign w:val="center"/>
          </w:tcPr>
          <w:p w14:paraId="14A48BA4">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078DD5DC">
            <w:pPr>
              <w:widowControl/>
              <w:jc w:val="center"/>
              <w:rPr>
                <w:color w:val="000000" w:themeColor="text1"/>
                <w:kern w:val="0"/>
                <w:szCs w:val="21"/>
                <w:highlight w:val="none"/>
                <w14:textFill>
                  <w14:solidFill>
                    <w14:schemeClr w14:val="tx1"/>
                  </w14:solidFill>
                </w14:textFill>
              </w:rPr>
            </w:pPr>
          </w:p>
        </w:tc>
        <w:tc>
          <w:tcPr>
            <w:tcW w:w="1004" w:type="pct"/>
            <w:noWrap/>
            <w:vAlign w:val="center"/>
          </w:tcPr>
          <w:p w14:paraId="6752017E">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5010398B">
            <w:pPr>
              <w:widowControl/>
              <w:jc w:val="center"/>
              <w:rPr>
                <w:color w:val="000000" w:themeColor="text1"/>
                <w:kern w:val="0"/>
                <w:szCs w:val="21"/>
                <w:highlight w:val="none"/>
                <w14:textFill>
                  <w14:solidFill>
                    <w14:schemeClr w14:val="tx1"/>
                  </w14:solidFill>
                </w14:textFill>
              </w:rPr>
            </w:pPr>
          </w:p>
        </w:tc>
      </w:tr>
      <w:tr w14:paraId="278811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7" w:type="pct"/>
            <w:vAlign w:val="center"/>
          </w:tcPr>
          <w:p w14:paraId="54AB0406">
            <w:pPr>
              <w:widowControl/>
              <w:jc w:val="center"/>
              <w:rPr>
                <w:color w:val="000000" w:themeColor="text1"/>
                <w:kern w:val="0"/>
                <w:szCs w:val="21"/>
                <w:highlight w:val="none"/>
                <w14:textFill>
                  <w14:solidFill>
                    <w14:schemeClr w14:val="tx1"/>
                  </w14:solidFill>
                </w14:textFill>
              </w:rPr>
            </w:pPr>
          </w:p>
        </w:tc>
        <w:tc>
          <w:tcPr>
            <w:tcW w:w="1122" w:type="pct"/>
            <w:vAlign w:val="center"/>
          </w:tcPr>
          <w:p w14:paraId="3FC644BA">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344778A6">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34EC536B">
            <w:pPr>
              <w:widowControl/>
              <w:jc w:val="center"/>
              <w:rPr>
                <w:color w:val="000000" w:themeColor="text1"/>
                <w:kern w:val="0"/>
                <w:szCs w:val="21"/>
                <w:highlight w:val="none"/>
                <w14:textFill>
                  <w14:solidFill>
                    <w14:schemeClr w14:val="tx1"/>
                  </w14:solidFill>
                </w14:textFill>
              </w:rPr>
            </w:pPr>
          </w:p>
        </w:tc>
        <w:tc>
          <w:tcPr>
            <w:tcW w:w="1004" w:type="pct"/>
            <w:noWrap/>
            <w:vAlign w:val="center"/>
          </w:tcPr>
          <w:p w14:paraId="694904EA">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314E6511">
            <w:pPr>
              <w:widowControl/>
              <w:jc w:val="center"/>
              <w:rPr>
                <w:color w:val="000000" w:themeColor="text1"/>
                <w:kern w:val="0"/>
                <w:szCs w:val="21"/>
                <w:highlight w:val="none"/>
                <w14:textFill>
                  <w14:solidFill>
                    <w14:schemeClr w14:val="tx1"/>
                  </w14:solidFill>
                </w14:textFill>
              </w:rPr>
            </w:pPr>
          </w:p>
        </w:tc>
      </w:tr>
      <w:tr w14:paraId="3D83A4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7" w:type="pct"/>
            <w:vAlign w:val="center"/>
          </w:tcPr>
          <w:p w14:paraId="2A1E8F2E">
            <w:pPr>
              <w:widowControl/>
              <w:jc w:val="center"/>
              <w:rPr>
                <w:color w:val="000000" w:themeColor="text1"/>
                <w:kern w:val="0"/>
                <w:szCs w:val="21"/>
                <w:highlight w:val="none"/>
                <w14:textFill>
                  <w14:solidFill>
                    <w14:schemeClr w14:val="tx1"/>
                  </w14:solidFill>
                </w14:textFill>
              </w:rPr>
            </w:pPr>
          </w:p>
        </w:tc>
        <w:tc>
          <w:tcPr>
            <w:tcW w:w="1122" w:type="pct"/>
            <w:vAlign w:val="center"/>
          </w:tcPr>
          <w:p w14:paraId="71679EAA">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2F3EE07C">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1A36D149">
            <w:pPr>
              <w:widowControl/>
              <w:jc w:val="center"/>
              <w:rPr>
                <w:color w:val="000000" w:themeColor="text1"/>
                <w:kern w:val="0"/>
                <w:szCs w:val="21"/>
                <w:highlight w:val="none"/>
                <w14:textFill>
                  <w14:solidFill>
                    <w14:schemeClr w14:val="tx1"/>
                  </w14:solidFill>
                </w14:textFill>
              </w:rPr>
            </w:pPr>
          </w:p>
        </w:tc>
        <w:tc>
          <w:tcPr>
            <w:tcW w:w="1004" w:type="pct"/>
            <w:noWrap/>
            <w:vAlign w:val="center"/>
          </w:tcPr>
          <w:p w14:paraId="4407A800">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74C4D09A">
            <w:pPr>
              <w:widowControl/>
              <w:jc w:val="center"/>
              <w:rPr>
                <w:color w:val="000000" w:themeColor="text1"/>
                <w:kern w:val="0"/>
                <w:szCs w:val="21"/>
                <w:highlight w:val="none"/>
                <w14:textFill>
                  <w14:solidFill>
                    <w14:schemeClr w14:val="tx1"/>
                  </w14:solidFill>
                </w14:textFill>
              </w:rPr>
            </w:pPr>
          </w:p>
        </w:tc>
      </w:tr>
      <w:tr w14:paraId="32F46D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7" w:type="pct"/>
            <w:vAlign w:val="center"/>
          </w:tcPr>
          <w:p w14:paraId="7E4B76D4">
            <w:pPr>
              <w:widowControl/>
              <w:jc w:val="center"/>
              <w:rPr>
                <w:color w:val="000000" w:themeColor="text1"/>
                <w:kern w:val="0"/>
                <w:szCs w:val="21"/>
                <w:highlight w:val="none"/>
                <w14:textFill>
                  <w14:solidFill>
                    <w14:schemeClr w14:val="tx1"/>
                  </w14:solidFill>
                </w14:textFill>
              </w:rPr>
            </w:pPr>
          </w:p>
        </w:tc>
        <w:tc>
          <w:tcPr>
            <w:tcW w:w="1122" w:type="pct"/>
            <w:vAlign w:val="center"/>
          </w:tcPr>
          <w:p w14:paraId="301A8E2A">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05CCB183">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18C2904F">
            <w:pPr>
              <w:widowControl/>
              <w:jc w:val="center"/>
              <w:rPr>
                <w:color w:val="000000" w:themeColor="text1"/>
                <w:kern w:val="0"/>
                <w:szCs w:val="21"/>
                <w:highlight w:val="none"/>
                <w14:textFill>
                  <w14:solidFill>
                    <w14:schemeClr w14:val="tx1"/>
                  </w14:solidFill>
                </w14:textFill>
              </w:rPr>
            </w:pPr>
          </w:p>
        </w:tc>
        <w:tc>
          <w:tcPr>
            <w:tcW w:w="1004" w:type="pct"/>
            <w:noWrap/>
            <w:vAlign w:val="center"/>
          </w:tcPr>
          <w:p w14:paraId="7B26F67F">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20CB5123">
            <w:pPr>
              <w:widowControl/>
              <w:jc w:val="center"/>
              <w:rPr>
                <w:rFonts w:hint="eastAsia" w:hAnsi="宋体"/>
                <w:color w:val="000000" w:themeColor="text1"/>
                <w:kern w:val="0"/>
                <w:szCs w:val="21"/>
                <w:highlight w:val="none"/>
                <w14:textFill>
                  <w14:solidFill>
                    <w14:schemeClr w14:val="tx1"/>
                  </w14:solidFill>
                </w14:textFill>
              </w:rPr>
            </w:pPr>
          </w:p>
        </w:tc>
      </w:tr>
      <w:tr w14:paraId="5ADC80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7" w:type="pct"/>
            <w:vAlign w:val="center"/>
          </w:tcPr>
          <w:p w14:paraId="6628131F">
            <w:pPr>
              <w:widowControl/>
              <w:jc w:val="center"/>
              <w:rPr>
                <w:color w:val="000000" w:themeColor="text1"/>
                <w:kern w:val="0"/>
                <w:szCs w:val="21"/>
                <w:highlight w:val="none"/>
                <w14:textFill>
                  <w14:solidFill>
                    <w14:schemeClr w14:val="tx1"/>
                  </w14:solidFill>
                </w14:textFill>
              </w:rPr>
            </w:pPr>
          </w:p>
        </w:tc>
        <w:tc>
          <w:tcPr>
            <w:tcW w:w="1122" w:type="pct"/>
            <w:vAlign w:val="center"/>
          </w:tcPr>
          <w:p w14:paraId="2A7289EB">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0721C74E">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35E7A107">
            <w:pPr>
              <w:widowControl/>
              <w:jc w:val="center"/>
              <w:rPr>
                <w:color w:val="000000" w:themeColor="text1"/>
                <w:kern w:val="0"/>
                <w:szCs w:val="21"/>
                <w:highlight w:val="none"/>
                <w14:textFill>
                  <w14:solidFill>
                    <w14:schemeClr w14:val="tx1"/>
                  </w14:solidFill>
                </w14:textFill>
              </w:rPr>
            </w:pPr>
          </w:p>
        </w:tc>
        <w:tc>
          <w:tcPr>
            <w:tcW w:w="1004" w:type="pct"/>
            <w:noWrap/>
            <w:vAlign w:val="center"/>
          </w:tcPr>
          <w:p w14:paraId="12194B09">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6F60424D">
            <w:pPr>
              <w:widowControl/>
              <w:jc w:val="center"/>
              <w:rPr>
                <w:rFonts w:hint="eastAsia" w:hAnsi="宋体"/>
                <w:color w:val="000000" w:themeColor="text1"/>
                <w:kern w:val="0"/>
                <w:szCs w:val="21"/>
                <w:highlight w:val="none"/>
                <w14:textFill>
                  <w14:solidFill>
                    <w14:schemeClr w14:val="tx1"/>
                  </w14:solidFill>
                </w14:textFill>
              </w:rPr>
            </w:pPr>
          </w:p>
        </w:tc>
      </w:tr>
      <w:tr w14:paraId="1A46BE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7" w:type="pct"/>
            <w:vAlign w:val="center"/>
          </w:tcPr>
          <w:p w14:paraId="5834EA9D">
            <w:pPr>
              <w:widowControl/>
              <w:jc w:val="center"/>
              <w:rPr>
                <w:color w:val="000000" w:themeColor="text1"/>
                <w:kern w:val="0"/>
                <w:szCs w:val="21"/>
                <w:highlight w:val="none"/>
                <w14:textFill>
                  <w14:solidFill>
                    <w14:schemeClr w14:val="tx1"/>
                  </w14:solidFill>
                </w14:textFill>
              </w:rPr>
            </w:pPr>
          </w:p>
        </w:tc>
        <w:tc>
          <w:tcPr>
            <w:tcW w:w="1122" w:type="pct"/>
            <w:vAlign w:val="center"/>
          </w:tcPr>
          <w:p w14:paraId="011974C9">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48A1FE23">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099F6A9F">
            <w:pPr>
              <w:widowControl/>
              <w:jc w:val="center"/>
              <w:rPr>
                <w:color w:val="000000" w:themeColor="text1"/>
                <w:kern w:val="0"/>
                <w:szCs w:val="21"/>
                <w:highlight w:val="none"/>
                <w14:textFill>
                  <w14:solidFill>
                    <w14:schemeClr w14:val="tx1"/>
                  </w14:solidFill>
                </w14:textFill>
              </w:rPr>
            </w:pPr>
          </w:p>
        </w:tc>
        <w:tc>
          <w:tcPr>
            <w:tcW w:w="1004" w:type="pct"/>
            <w:noWrap/>
            <w:vAlign w:val="center"/>
          </w:tcPr>
          <w:p w14:paraId="43CA15E7">
            <w:pPr>
              <w:widowControl/>
              <w:jc w:val="center"/>
              <w:rPr>
                <w:color w:val="000000" w:themeColor="text1"/>
                <w:kern w:val="0"/>
                <w:szCs w:val="21"/>
                <w:highlight w:val="none"/>
                <w14:textFill>
                  <w14:solidFill>
                    <w14:schemeClr w14:val="tx1"/>
                  </w14:solidFill>
                </w14:textFill>
              </w:rPr>
            </w:pPr>
          </w:p>
        </w:tc>
        <w:tc>
          <w:tcPr>
            <w:tcW w:w="929" w:type="pct"/>
            <w:vAlign w:val="center"/>
          </w:tcPr>
          <w:p w14:paraId="3AB704FA">
            <w:pPr>
              <w:widowControl/>
              <w:jc w:val="center"/>
              <w:rPr>
                <w:rFonts w:hint="eastAsia" w:hAnsi="宋体"/>
                <w:color w:val="000000" w:themeColor="text1"/>
                <w:kern w:val="0"/>
                <w:szCs w:val="21"/>
                <w:highlight w:val="none"/>
                <w14:textFill>
                  <w14:solidFill>
                    <w14:schemeClr w14:val="tx1"/>
                  </w14:solidFill>
                </w14:textFill>
              </w:rPr>
            </w:pPr>
          </w:p>
        </w:tc>
      </w:tr>
      <w:tr w14:paraId="51BA0B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7" w:type="pct"/>
            <w:vAlign w:val="center"/>
          </w:tcPr>
          <w:p w14:paraId="26FF0410">
            <w:pPr>
              <w:widowControl/>
              <w:jc w:val="center"/>
              <w:rPr>
                <w:color w:val="000000" w:themeColor="text1"/>
                <w:kern w:val="0"/>
                <w:szCs w:val="21"/>
                <w:highlight w:val="none"/>
                <w14:textFill>
                  <w14:solidFill>
                    <w14:schemeClr w14:val="tx1"/>
                  </w14:solidFill>
                </w14:textFill>
              </w:rPr>
            </w:pPr>
          </w:p>
        </w:tc>
        <w:tc>
          <w:tcPr>
            <w:tcW w:w="1122" w:type="pct"/>
            <w:vAlign w:val="center"/>
          </w:tcPr>
          <w:p w14:paraId="204B91DC">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0E2779AB">
            <w:pPr>
              <w:widowControl/>
              <w:jc w:val="left"/>
              <w:rPr>
                <w:color w:val="000000" w:themeColor="text1"/>
                <w:kern w:val="0"/>
                <w:szCs w:val="21"/>
                <w:highlight w:val="none"/>
                <w14:textFill>
                  <w14:solidFill>
                    <w14:schemeClr w14:val="tx1"/>
                  </w14:solidFill>
                </w14:textFill>
              </w:rPr>
            </w:pPr>
          </w:p>
        </w:tc>
        <w:tc>
          <w:tcPr>
            <w:tcW w:w="478" w:type="pct"/>
            <w:noWrap/>
            <w:vAlign w:val="center"/>
          </w:tcPr>
          <w:p w14:paraId="1B73594F">
            <w:pPr>
              <w:widowControl/>
              <w:jc w:val="center"/>
              <w:rPr>
                <w:color w:val="000000" w:themeColor="text1"/>
                <w:kern w:val="0"/>
                <w:szCs w:val="21"/>
                <w:highlight w:val="none"/>
                <w14:textFill>
                  <w14:solidFill>
                    <w14:schemeClr w14:val="tx1"/>
                  </w14:solidFill>
                </w14:textFill>
              </w:rPr>
            </w:pPr>
          </w:p>
        </w:tc>
        <w:tc>
          <w:tcPr>
            <w:tcW w:w="1004" w:type="pct"/>
            <w:noWrap/>
            <w:vAlign w:val="center"/>
          </w:tcPr>
          <w:p w14:paraId="3335EA6A">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366EBF9F">
            <w:pPr>
              <w:widowControl/>
              <w:jc w:val="center"/>
              <w:rPr>
                <w:color w:val="000000" w:themeColor="text1"/>
                <w:kern w:val="0"/>
                <w:szCs w:val="21"/>
                <w:highlight w:val="none"/>
                <w14:textFill>
                  <w14:solidFill>
                    <w14:schemeClr w14:val="tx1"/>
                  </w14:solidFill>
                </w14:textFill>
              </w:rPr>
            </w:pPr>
          </w:p>
        </w:tc>
      </w:tr>
      <w:tr w14:paraId="2C67D5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7" w:type="pct"/>
            <w:vAlign w:val="center"/>
          </w:tcPr>
          <w:p w14:paraId="6963BDE4">
            <w:pPr>
              <w:widowControl/>
              <w:jc w:val="center"/>
              <w:rPr>
                <w:color w:val="000000" w:themeColor="text1"/>
                <w:kern w:val="0"/>
                <w:szCs w:val="21"/>
                <w:highlight w:val="none"/>
                <w14:textFill>
                  <w14:solidFill>
                    <w14:schemeClr w14:val="tx1"/>
                  </w14:solidFill>
                </w14:textFill>
              </w:rPr>
            </w:pPr>
          </w:p>
        </w:tc>
        <w:tc>
          <w:tcPr>
            <w:tcW w:w="1122" w:type="pct"/>
            <w:vAlign w:val="center"/>
          </w:tcPr>
          <w:p w14:paraId="3278CEC9">
            <w:pPr>
              <w:widowControl/>
              <w:jc w:val="center"/>
              <w:rPr>
                <w:rFonts w:hint="eastAsia" w:hAnsi="宋体"/>
                <w:color w:val="000000" w:themeColor="text1"/>
                <w:kern w:val="0"/>
                <w:szCs w:val="21"/>
                <w:highlight w:val="none"/>
                <w14:textFill>
                  <w14:solidFill>
                    <w14:schemeClr w14:val="tx1"/>
                  </w14:solidFill>
                </w14:textFill>
              </w:rPr>
            </w:pPr>
          </w:p>
        </w:tc>
        <w:tc>
          <w:tcPr>
            <w:tcW w:w="1008" w:type="pct"/>
            <w:noWrap/>
            <w:vAlign w:val="center"/>
          </w:tcPr>
          <w:p w14:paraId="5FA1D1A1">
            <w:pPr>
              <w:widowControl/>
              <w:jc w:val="left"/>
              <w:rPr>
                <w:rFonts w:hint="eastAsia" w:hAnsi="宋体"/>
                <w:color w:val="000000" w:themeColor="text1"/>
                <w:kern w:val="0"/>
                <w:szCs w:val="21"/>
                <w:highlight w:val="none"/>
                <w14:textFill>
                  <w14:solidFill>
                    <w14:schemeClr w14:val="tx1"/>
                  </w14:solidFill>
                </w14:textFill>
              </w:rPr>
            </w:pPr>
          </w:p>
        </w:tc>
        <w:tc>
          <w:tcPr>
            <w:tcW w:w="478" w:type="pct"/>
            <w:noWrap/>
            <w:vAlign w:val="center"/>
          </w:tcPr>
          <w:p w14:paraId="5DF3FACF">
            <w:pPr>
              <w:widowControl/>
              <w:jc w:val="center"/>
              <w:rPr>
                <w:color w:val="000000" w:themeColor="text1"/>
                <w:kern w:val="0"/>
                <w:szCs w:val="21"/>
                <w:highlight w:val="none"/>
                <w14:textFill>
                  <w14:solidFill>
                    <w14:schemeClr w14:val="tx1"/>
                  </w14:solidFill>
                </w14:textFill>
              </w:rPr>
            </w:pPr>
          </w:p>
        </w:tc>
        <w:tc>
          <w:tcPr>
            <w:tcW w:w="1004" w:type="pct"/>
            <w:noWrap/>
            <w:vAlign w:val="center"/>
          </w:tcPr>
          <w:p w14:paraId="73E9B18F">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674DBD66">
            <w:pPr>
              <w:widowControl/>
              <w:jc w:val="center"/>
              <w:rPr>
                <w:rFonts w:hint="eastAsia" w:hAnsi="宋体"/>
                <w:color w:val="000000" w:themeColor="text1"/>
                <w:kern w:val="0"/>
                <w:szCs w:val="21"/>
                <w:highlight w:val="none"/>
                <w14:textFill>
                  <w14:solidFill>
                    <w14:schemeClr w14:val="tx1"/>
                  </w14:solidFill>
                </w14:textFill>
              </w:rPr>
            </w:pPr>
          </w:p>
        </w:tc>
      </w:tr>
    </w:tbl>
    <w:p w14:paraId="60103A21">
      <w:pPr>
        <w:spacing w:line="360" w:lineRule="auto"/>
        <w:rPr>
          <w:rFonts w:hint="eastAsia" w:hAnsi="宋体"/>
          <w:color w:val="000000" w:themeColor="text1"/>
          <w:kern w:val="0"/>
          <w:szCs w:val="21"/>
          <w:highlight w:val="none"/>
          <w14:textFill>
            <w14:solidFill>
              <w14:schemeClr w14:val="tx1"/>
            </w14:solidFill>
          </w14:textFill>
        </w:rPr>
      </w:pPr>
    </w:p>
    <w:p w14:paraId="7B452B55">
      <w:pPr>
        <w:spacing w:line="360" w:lineRule="auto"/>
        <w:rPr>
          <w:rFonts w:hint="eastAsia" w:hAnsi="宋体"/>
          <w:color w:val="000000" w:themeColor="text1"/>
          <w:kern w:val="0"/>
          <w:szCs w:val="21"/>
          <w:highlight w:val="none"/>
          <w14:textFill>
            <w14:solidFill>
              <w14:schemeClr w14:val="tx1"/>
            </w14:solidFill>
          </w14:textFill>
        </w:rPr>
      </w:pPr>
      <w:r>
        <w:rPr>
          <w:rFonts w:hint="eastAsia" w:hAnsi="宋体"/>
          <w:color w:val="000000" w:themeColor="text1"/>
          <w:kern w:val="0"/>
          <w:szCs w:val="21"/>
          <w:highlight w:val="none"/>
          <w14:textFill>
            <w14:solidFill>
              <w14:schemeClr w14:val="tx1"/>
            </w14:solidFill>
          </w14:textFill>
        </w:rPr>
        <w:t>备注：1、甲供材料均为主材，不包含相关的辅材；甲供材料的价格不应计入综合单价；</w:t>
      </w:r>
    </w:p>
    <w:p w14:paraId="279C57D0">
      <w:pPr>
        <w:spacing w:line="360" w:lineRule="auto"/>
        <w:ind w:left="945" w:leftChars="300" w:hanging="315" w:hangingChars="150"/>
        <w:rPr>
          <w:color w:val="000000" w:themeColor="text1"/>
          <w:highlight w:val="none"/>
          <w14:textFill>
            <w14:solidFill>
              <w14:schemeClr w14:val="tx1"/>
            </w14:solidFill>
          </w14:textFill>
        </w:rPr>
      </w:pPr>
      <w:r>
        <w:rPr>
          <w:rFonts w:hint="eastAsia" w:hAnsi="宋体"/>
          <w:color w:val="000000" w:themeColor="text1"/>
          <w:kern w:val="0"/>
          <w:szCs w:val="21"/>
          <w:highlight w:val="none"/>
          <w14:textFill>
            <w14:solidFill>
              <w14:schemeClr w14:val="tx1"/>
            </w14:solidFill>
          </w14:textFill>
        </w:rPr>
        <w:t>2、响应单位应在报价中充分考虑甲供材料、构件、设备的工地保管费、辅材、损耗等相关费用。</w:t>
      </w:r>
    </w:p>
    <w:p w14:paraId="33E18AD3">
      <w:pPr>
        <w:pStyle w:val="2"/>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bookmarkStart w:id="1618" w:name="_Toc54280765"/>
      <w:bookmarkStart w:id="1619" w:name="_Toc53949155"/>
      <w:bookmarkStart w:id="1620" w:name="_Toc54278956"/>
      <w:bookmarkStart w:id="1621" w:name="_Toc54281617"/>
      <w:bookmarkStart w:id="1622" w:name="_Toc54291521"/>
      <w:bookmarkStart w:id="1623" w:name="_Toc145499829"/>
      <w:bookmarkStart w:id="1624" w:name="_Toc53946179"/>
      <w:bookmarkStart w:id="1625" w:name="_Toc144872175"/>
      <w:bookmarkStart w:id="1626" w:name="_Toc54281191"/>
      <w:bookmarkStart w:id="1627" w:name="_Toc54280339"/>
      <w:bookmarkStart w:id="1628" w:name="_Toc53948734"/>
      <w:bookmarkStart w:id="1629" w:name="_Toc145426867"/>
      <w:bookmarkStart w:id="1630" w:name="_Toc53949576"/>
      <w:bookmarkStart w:id="1631" w:name="_Toc284135620"/>
      <w:r>
        <w:rPr>
          <w:color w:val="000000" w:themeColor="text1"/>
          <w:highlight w:val="none"/>
          <w14:textFill>
            <w14:solidFill>
              <w14:schemeClr w14:val="tx1"/>
            </w14:solidFill>
          </w14:textFill>
        </w:rPr>
        <w:t>第</w:t>
      </w:r>
      <w:r>
        <w:rPr>
          <w:rFonts w:hint="eastAsia"/>
          <w:color w:val="000000" w:themeColor="text1"/>
          <w:highlight w:val="none"/>
          <w14:textFill>
            <w14:solidFill>
              <w14:schemeClr w14:val="tx1"/>
            </w14:solidFill>
          </w14:textFill>
        </w:rPr>
        <w:t>六</w:t>
      </w:r>
      <w:r>
        <w:rPr>
          <w:color w:val="000000" w:themeColor="text1"/>
          <w:highlight w:val="none"/>
          <w14:textFill>
            <w14:solidFill>
              <w14:schemeClr w14:val="tx1"/>
            </w14:solidFill>
          </w14:textFill>
        </w:rPr>
        <w:t xml:space="preserve">篇  </w:t>
      </w:r>
      <w:bookmarkEnd w:id="1618"/>
      <w:bookmarkEnd w:id="1619"/>
      <w:bookmarkEnd w:id="1620"/>
      <w:bookmarkEnd w:id="1621"/>
      <w:bookmarkEnd w:id="1622"/>
      <w:bookmarkEnd w:id="1623"/>
      <w:bookmarkEnd w:id="1624"/>
      <w:bookmarkEnd w:id="1625"/>
      <w:bookmarkEnd w:id="1626"/>
      <w:bookmarkEnd w:id="1627"/>
      <w:bookmarkEnd w:id="1628"/>
      <w:bookmarkEnd w:id="1629"/>
      <w:bookmarkEnd w:id="1630"/>
      <w:r>
        <w:rPr>
          <w:color w:val="000000" w:themeColor="text1"/>
          <w:highlight w:val="none"/>
          <w14:textFill>
            <w14:solidFill>
              <w14:schemeClr w14:val="tx1"/>
            </w14:solidFill>
          </w14:textFill>
        </w:rPr>
        <w:t>响应文件格式</w:t>
      </w:r>
      <w:bookmarkEnd w:id="1631"/>
    </w:p>
    <w:p w14:paraId="6E978655">
      <w:pPr>
        <w:tabs>
          <w:tab w:val="left" w:pos="180"/>
        </w:tabs>
        <w:spacing w:line="600" w:lineRule="auto"/>
        <w:ind w:right="695" w:rightChars="331"/>
        <w:rPr>
          <w:rFonts w:hint="eastAsia" w:hAnsi="宋体"/>
          <w:b/>
          <w:color w:val="000000" w:themeColor="text1"/>
          <w:sz w:val="44"/>
          <w:szCs w:val="44"/>
          <w:highlight w:val="none"/>
          <w:u w:val="single"/>
          <w14:textFill>
            <w14:solidFill>
              <w14:schemeClr w14:val="tx1"/>
            </w14:solidFill>
          </w14:textFill>
        </w:rPr>
      </w:pPr>
    </w:p>
    <w:p w14:paraId="36824963">
      <w:pPr>
        <w:jc w:val="center"/>
        <w:rPr>
          <w:rFonts w:hint="eastAsia" w:hAnsi="宋体"/>
          <w:b/>
          <w:color w:val="000000" w:themeColor="text1"/>
          <w:sz w:val="48"/>
          <w:szCs w:val="48"/>
          <w:highlight w:val="none"/>
          <w14:textFill>
            <w14:solidFill>
              <w14:schemeClr w14:val="tx1"/>
            </w14:solidFill>
          </w14:textFill>
        </w:rPr>
      </w:pPr>
      <w:r>
        <w:rPr>
          <w:rFonts w:hint="eastAsia" w:hAnsi="宋体"/>
          <w:b/>
          <w:color w:val="000000" w:themeColor="text1"/>
          <w:sz w:val="48"/>
          <w:szCs w:val="48"/>
          <w:highlight w:val="none"/>
          <w:lang w:eastAsia="zh-CN"/>
          <w14:textFill>
            <w14:solidFill>
              <w14:schemeClr w14:val="tx1"/>
            </w14:solidFill>
          </w14:textFill>
        </w:rPr>
        <w:t>广西</w:t>
      </w:r>
      <w:r>
        <w:rPr>
          <w:rFonts w:hint="eastAsia" w:hAnsi="宋体"/>
          <w:b/>
          <w:color w:val="000000" w:themeColor="text1"/>
          <w:sz w:val="48"/>
          <w:szCs w:val="48"/>
          <w:highlight w:val="none"/>
          <w:lang w:val="en-US" w:eastAsia="zh-CN"/>
          <w14:textFill>
            <w14:solidFill>
              <w14:schemeClr w14:val="tx1"/>
            </w14:solidFill>
          </w14:textFill>
        </w:rPr>
        <w:t>桂林项目</w:t>
      </w:r>
      <w:r>
        <w:rPr>
          <w:rFonts w:hint="eastAsia" w:hAnsi="宋体"/>
          <w:b/>
          <w:color w:val="000000" w:themeColor="text1"/>
          <w:sz w:val="48"/>
          <w:szCs w:val="48"/>
          <w:highlight w:val="none"/>
          <w:lang w:eastAsia="zh-CN"/>
          <w14:textFill>
            <w14:solidFill>
              <w14:schemeClr w14:val="tx1"/>
            </w14:solidFill>
          </w14:textFill>
        </w:rPr>
        <w:t>路面</w:t>
      </w:r>
      <w:r>
        <w:rPr>
          <w:rFonts w:hint="eastAsia" w:hAnsi="宋体"/>
          <w:b/>
          <w:color w:val="000000" w:themeColor="text1"/>
          <w:sz w:val="48"/>
          <w:szCs w:val="48"/>
          <w:highlight w:val="none"/>
          <w:lang w:val="en-US" w:eastAsia="zh-CN"/>
          <w14:textFill>
            <w14:solidFill>
              <w14:schemeClr w14:val="tx1"/>
            </w14:solidFill>
          </w14:textFill>
        </w:rPr>
        <w:t>混凝土铣刨</w:t>
      </w:r>
      <w:r>
        <w:rPr>
          <w:rFonts w:hint="eastAsia" w:hAnsi="宋体"/>
          <w:b/>
          <w:color w:val="000000" w:themeColor="text1"/>
          <w:sz w:val="48"/>
          <w:szCs w:val="48"/>
          <w:highlight w:val="none"/>
          <w:lang w:eastAsia="zh-CN"/>
          <w14:textFill>
            <w14:solidFill>
              <w14:schemeClr w14:val="tx1"/>
            </w14:solidFill>
          </w14:textFill>
        </w:rPr>
        <w:t>施工劳</w:t>
      </w:r>
      <w:r>
        <w:rPr>
          <w:rFonts w:hint="eastAsia" w:hAnsi="宋体"/>
          <w:b/>
          <w:color w:val="000000" w:themeColor="text1"/>
          <w:sz w:val="48"/>
          <w:szCs w:val="48"/>
          <w:highlight w:val="none"/>
          <w14:textFill>
            <w14:solidFill>
              <w14:schemeClr w14:val="tx1"/>
            </w14:solidFill>
          </w14:textFill>
        </w:rPr>
        <w:t>务分包工程</w:t>
      </w:r>
    </w:p>
    <w:p w14:paraId="39EE447D">
      <w:pPr>
        <w:jc w:val="center"/>
        <w:rPr>
          <w:rFonts w:hint="eastAsia" w:hAnsi="宋体"/>
          <w:b/>
          <w:color w:val="000000" w:themeColor="text1"/>
          <w:sz w:val="48"/>
          <w:szCs w:val="48"/>
          <w:highlight w:val="none"/>
          <w14:textFill>
            <w14:solidFill>
              <w14:schemeClr w14:val="tx1"/>
            </w14:solidFill>
          </w14:textFill>
        </w:rPr>
      </w:pPr>
    </w:p>
    <w:p w14:paraId="1A49D37B">
      <w:pPr>
        <w:jc w:val="center"/>
        <w:rPr>
          <w:rFonts w:hint="eastAsia" w:hAnsi="宋体"/>
          <w:b/>
          <w:color w:val="000000" w:themeColor="text1"/>
          <w:sz w:val="48"/>
          <w:szCs w:val="48"/>
          <w:highlight w:val="none"/>
          <w14:textFill>
            <w14:solidFill>
              <w14:schemeClr w14:val="tx1"/>
            </w14:solidFill>
          </w14:textFill>
        </w:rPr>
      </w:pPr>
    </w:p>
    <w:p w14:paraId="3F463D32">
      <w:pPr>
        <w:jc w:val="center"/>
        <w:rPr>
          <w:rFonts w:hint="eastAsia" w:hAnsi="宋体"/>
          <w:b/>
          <w:color w:val="000000" w:themeColor="text1"/>
          <w:sz w:val="72"/>
          <w:highlight w:val="none"/>
          <w14:textFill>
            <w14:solidFill>
              <w14:schemeClr w14:val="tx1"/>
            </w14:solidFill>
          </w14:textFill>
        </w:rPr>
      </w:pPr>
      <w:r>
        <w:rPr>
          <w:rFonts w:hint="eastAsia" w:hAnsi="宋体"/>
          <w:b/>
          <w:color w:val="000000" w:themeColor="text1"/>
          <w:sz w:val="72"/>
          <w:highlight w:val="none"/>
          <w14:textFill>
            <w14:solidFill>
              <w14:schemeClr w14:val="tx1"/>
            </w14:solidFill>
          </w14:textFill>
        </w:rPr>
        <w:t>响应文件</w:t>
      </w:r>
    </w:p>
    <w:p w14:paraId="04A68607">
      <w:pPr>
        <w:jc w:val="center"/>
        <w:rPr>
          <w:b/>
          <w:color w:val="000000" w:themeColor="text1"/>
          <w:sz w:val="36"/>
          <w:szCs w:val="36"/>
          <w:highlight w:val="none"/>
          <w14:textFill>
            <w14:solidFill>
              <w14:schemeClr w14:val="tx1"/>
            </w14:solidFill>
          </w14:textFill>
        </w:rPr>
      </w:pPr>
    </w:p>
    <w:p w14:paraId="03706C60">
      <w:pPr>
        <w:jc w:val="center"/>
        <w:rPr>
          <w:b/>
          <w:color w:val="000000" w:themeColor="text1"/>
          <w:sz w:val="36"/>
          <w:szCs w:val="36"/>
          <w:highlight w:val="none"/>
          <w14:textFill>
            <w14:solidFill>
              <w14:schemeClr w14:val="tx1"/>
            </w14:solidFill>
          </w14:textFill>
        </w:rPr>
      </w:pPr>
    </w:p>
    <w:p w14:paraId="0AFA4A56">
      <w:pPr>
        <w:jc w:val="center"/>
        <w:rPr>
          <w:b/>
          <w:color w:val="000000" w:themeColor="text1"/>
          <w:sz w:val="36"/>
          <w:szCs w:val="36"/>
          <w:highlight w:val="none"/>
          <w14:textFill>
            <w14:solidFill>
              <w14:schemeClr w14:val="tx1"/>
            </w14:solidFill>
          </w14:textFill>
        </w:rPr>
      </w:pPr>
    </w:p>
    <w:p w14:paraId="3F028635">
      <w:pPr>
        <w:jc w:val="center"/>
        <w:rPr>
          <w:b/>
          <w:color w:val="000000" w:themeColor="text1"/>
          <w:sz w:val="36"/>
          <w:szCs w:val="36"/>
          <w:highlight w:val="none"/>
          <w14:textFill>
            <w14:solidFill>
              <w14:schemeClr w14:val="tx1"/>
            </w14:solidFill>
          </w14:textFill>
        </w:rPr>
      </w:pPr>
    </w:p>
    <w:p w14:paraId="5EE3653C">
      <w:pPr>
        <w:jc w:val="center"/>
        <w:rPr>
          <w:b/>
          <w:color w:val="000000" w:themeColor="text1"/>
          <w:sz w:val="36"/>
          <w:szCs w:val="36"/>
          <w:highlight w:val="none"/>
          <w14:textFill>
            <w14:solidFill>
              <w14:schemeClr w14:val="tx1"/>
            </w14:solidFill>
          </w14:textFill>
        </w:rPr>
      </w:pPr>
    </w:p>
    <w:p w14:paraId="54AFA1A9">
      <w:pPr>
        <w:jc w:val="center"/>
        <w:rPr>
          <w:b/>
          <w:color w:val="000000" w:themeColor="text1"/>
          <w:sz w:val="36"/>
          <w:szCs w:val="36"/>
          <w:highlight w:val="none"/>
          <w14:textFill>
            <w14:solidFill>
              <w14:schemeClr w14:val="tx1"/>
            </w14:solidFill>
          </w14:textFill>
        </w:rPr>
      </w:pPr>
    </w:p>
    <w:p w14:paraId="70D9BBB0">
      <w:pPr>
        <w:jc w:val="center"/>
        <w:rPr>
          <w:color w:val="000000" w:themeColor="text1"/>
          <w:sz w:val="48"/>
          <w:highlight w:val="none"/>
          <w14:textFill>
            <w14:solidFill>
              <w14:schemeClr w14:val="tx1"/>
            </w14:solidFill>
          </w14:textFill>
        </w:rPr>
      </w:pPr>
    </w:p>
    <w:p w14:paraId="6C025355">
      <w:pPr>
        <w:rPr>
          <w:color w:val="000000" w:themeColor="text1"/>
          <w:sz w:val="48"/>
          <w:highlight w:val="none"/>
          <w14:textFill>
            <w14:solidFill>
              <w14:schemeClr w14:val="tx1"/>
            </w14:solidFill>
          </w14:textFill>
        </w:rPr>
      </w:pPr>
    </w:p>
    <w:p w14:paraId="3043E295">
      <w:pPr>
        <w:jc w:val="center"/>
        <w:rPr>
          <w:color w:val="000000" w:themeColor="text1"/>
          <w:sz w:val="48"/>
          <w:highlight w:val="none"/>
          <w14:textFill>
            <w14:solidFill>
              <w14:schemeClr w14:val="tx1"/>
            </w14:solidFill>
          </w14:textFill>
        </w:rPr>
      </w:pPr>
    </w:p>
    <w:p w14:paraId="37584DF7">
      <w:pPr>
        <w:jc w:val="center"/>
        <w:rPr>
          <w:color w:val="000000" w:themeColor="text1"/>
          <w:sz w:val="48"/>
          <w:highlight w:val="none"/>
          <w14:textFill>
            <w14:solidFill>
              <w14:schemeClr w14:val="tx1"/>
            </w14:solidFill>
          </w14:textFill>
        </w:rPr>
      </w:pPr>
    </w:p>
    <w:p w14:paraId="51B3BC6B">
      <w:pPr>
        <w:jc w:val="center"/>
        <w:rPr>
          <w:color w:val="000000" w:themeColor="text1"/>
          <w:sz w:val="48"/>
          <w:highlight w:val="none"/>
          <w14:textFill>
            <w14:solidFill>
              <w14:schemeClr w14:val="tx1"/>
            </w14:solidFill>
          </w14:textFill>
        </w:rPr>
      </w:pPr>
    </w:p>
    <w:p w14:paraId="77503DD8">
      <w:pPr>
        <w:spacing w:line="360" w:lineRule="auto"/>
        <w:ind w:right="27" w:rightChars="13" w:firstLine="2168" w:firstLineChars="600"/>
        <w:jc w:val="left"/>
        <w:rPr>
          <w:b/>
          <w:color w:val="000000" w:themeColor="text1"/>
          <w:sz w:val="36"/>
          <w:szCs w:val="36"/>
          <w:highlight w:val="none"/>
          <w14:textFill>
            <w14:solidFill>
              <w14:schemeClr w14:val="tx1"/>
            </w14:solidFill>
          </w14:textFill>
        </w:rPr>
      </w:pPr>
      <w:r>
        <w:rPr>
          <w:rFonts w:hint="eastAsia"/>
          <w:b/>
          <w:color w:val="000000" w:themeColor="text1"/>
          <w:sz w:val="36"/>
          <w:szCs w:val="36"/>
          <w:highlight w:val="none"/>
          <w14:textFill>
            <w14:solidFill>
              <w14:schemeClr w14:val="tx1"/>
            </w14:solidFill>
          </w14:textFill>
        </w:rPr>
        <w:t>响应单位：</w:t>
      </w:r>
      <w:r>
        <w:rPr>
          <w:rFonts w:hint="eastAsia"/>
          <w:b/>
          <w:color w:val="000000" w:themeColor="text1"/>
          <w:sz w:val="36"/>
          <w:szCs w:val="36"/>
          <w:highlight w:val="none"/>
          <w:u w:val="single"/>
          <w14:textFill>
            <w14:solidFill>
              <w14:schemeClr w14:val="tx1"/>
            </w14:solidFill>
          </w14:textFill>
        </w:rPr>
        <w:t xml:space="preserve">             </w:t>
      </w:r>
    </w:p>
    <w:p w14:paraId="5C6173AA">
      <w:pPr>
        <w:spacing w:line="360" w:lineRule="auto"/>
        <w:jc w:val="center"/>
        <w:rPr>
          <w:b/>
          <w:color w:val="000000" w:themeColor="text1"/>
          <w:sz w:val="36"/>
          <w:szCs w:val="36"/>
          <w:highlight w:val="none"/>
          <w14:textFill>
            <w14:solidFill>
              <w14:schemeClr w14:val="tx1"/>
            </w14:solidFill>
          </w14:textFill>
        </w:rPr>
      </w:pPr>
      <w:r>
        <w:rPr>
          <w:rFonts w:hint="eastAsia"/>
          <w:b/>
          <w:color w:val="000000" w:themeColor="text1"/>
          <w:sz w:val="36"/>
          <w:szCs w:val="36"/>
          <w:highlight w:val="none"/>
          <w14:textFill>
            <w14:solidFill>
              <w14:schemeClr w14:val="tx1"/>
            </w14:solidFill>
          </w14:textFill>
        </w:rPr>
        <w:t>2026年X月X日</w:t>
      </w:r>
    </w:p>
    <w:p w14:paraId="219F25B0">
      <w:pPr>
        <w:pStyle w:val="3"/>
        <w:spacing w:before="240" w:beforeLines="100" w:after="120" w:afterLines="50" w:line="360" w:lineRule="auto"/>
        <w:jc w:val="center"/>
        <w:rPr>
          <w:rStyle w:val="46"/>
          <w:rFonts w:ascii="Times New Roman" w:hAnsi="Times New Roman" w:eastAsia="宋体"/>
          <w:b/>
          <w:bCs w:val="0"/>
          <w:color w:val="000000" w:themeColor="text1"/>
          <w:sz w:val="32"/>
          <w:highlight w:val="none"/>
          <w14:textFill>
            <w14:solidFill>
              <w14:schemeClr w14:val="tx1"/>
            </w14:solidFill>
          </w14:textFill>
        </w:rPr>
      </w:pPr>
      <w:bookmarkStart w:id="1632" w:name="_Toc284135622"/>
      <w:bookmarkStart w:id="1633" w:name="_Toc55300202"/>
      <w:bookmarkStart w:id="1634" w:name="_Toc64302912"/>
      <w:bookmarkStart w:id="1635" w:name="_Toc54967406"/>
      <w:bookmarkStart w:id="1636" w:name="_Toc64302453"/>
      <w:bookmarkStart w:id="1637" w:name="_Toc54968740"/>
      <w:bookmarkStart w:id="1638" w:name="_Toc64302399"/>
      <w:bookmarkStart w:id="1639" w:name="_Toc64308101"/>
      <w:bookmarkStart w:id="1640" w:name="_Toc284135621"/>
      <w:bookmarkStart w:id="1641" w:name="_Toc55082672"/>
      <w:r>
        <w:rPr>
          <w:rStyle w:val="46"/>
          <w:rFonts w:ascii="Times New Roman" w:hAnsi="Times New Roman" w:eastAsia="宋体"/>
          <w:b/>
          <w:bCs w:val="0"/>
          <w:color w:val="000000" w:themeColor="text1"/>
          <w:sz w:val="32"/>
          <w:highlight w:val="none"/>
          <w14:textFill>
            <w14:solidFill>
              <w14:schemeClr w14:val="tx1"/>
            </w14:solidFill>
          </w14:textFill>
        </w:rPr>
        <w:t>第</w:t>
      </w:r>
      <w:r>
        <w:rPr>
          <w:rStyle w:val="46"/>
          <w:rFonts w:hint="eastAsia" w:ascii="Times New Roman" w:hAnsi="Times New Roman" w:eastAsia="宋体"/>
          <w:b/>
          <w:bCs w:val="0"/>
          <w:color w:val="000000" w:themeColor="text1"/>
          <w:sz w:val="32"/>
          <w:highlight w:val="none"/>
          <w14:textFill>
            <w14:solidFill>
              <w14:schemeClr w14:val="tx1"/>
            </w14:solidFill>
          </w14:textFill>
        </w:rPr>
        <w:t>一</w:t>
      </w:r>
      <w:r>
        <w:rPr>
          <w:rStyle w:val="46"/>
          <w:rFonts w:ascii="Times New Roman" w:hAnsi="Times New Roman" w:eastAsia="宋体"/>
          <w:b/>
          <w:bCs w:val="0"/>
          <w:color w:val="000000" w:themeColor="text1"/>
          <w:sz w:val="32"/>
          <w:highlight w:val="none"/>
          <w14:textFill>
            <w14:solidFill>
              <w14:schemeClr w14:val="tx1"/>
            </w14:solidFill>
          </w14:textFill>
        </w:rPr>
        <w:t>章 经济部分格式</w:t>
      </w:r>
      <w:bookmarkEnd w:id="1632"/>
    </w:p>
    <w:p w14:paraId="71759E1C">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bookmarkStart w:id="1642" w:name="_Toc54280767"/>
      <w:bookmarkStart w:id="1643" w:name="_Toc144872177"/>
      <w:bookmarkStart w:id="1644" w:name="_Toc53949157"/>
      <w:bookmarkStart w:id="1645" w:name="_Toc53949578"/>
      <w:bookmarkStart w:id="1646" w:name="_Toc145499831"/>
      <w:bookmarkStart w:id="1647" w:name="_Toc54291523"/>
      <w:bookmarkStart w:id="1648" w:name="_Toc54281193"/>
      <w:bookmarkStart w:id="1649" w:name="_Toc54278958"/>
      <w:bookmarkStart w:id="1650" w:name="_Toc53948736"/>
      <w:bookmarkStart w:id="1651" w:name="_Toc54281619"/>
      <w:bookmarkStart w:id="1652" w:name="_Toc54280341"/>
      <w:r>
        <w:rPr>
          <w:rStyle w:val="46"/>
          <w:rFonts w:ascii="Times New Roman" w:hAnsi="Times New Roman" w:eastAsia="宋体" w:cs="Times New Roman"/>
          <w:b/>
          <w:bCs w:val="0"/>
          <w:color w:val="000000" w:themeColor="text1"/>
          <w:szCs w:val="24"/>
          <w:highlight w:val="none"/>
          <w14:textFill>
            <w14:solidFill>
              <w14:schemeClr w14:val="tx1"/>
            </w14:solidFill>
          </w14:textFill>
        </w:rPr>
        <w:t>格式</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1</w:t>
      </w:r>
      <w:r>
        <w:rPr>
          <w:rStyle w:val="46"/>
          <w:rFonts w:ascii="Times New Roman" w:hAnsi="Times New Roman" w:eastAsia="宋体" w:cs="Times New Roman"/>
          <w:b/>
          <w:bCs w:val="0"/>
          <w:color w:val="000000" w:themeColor="text1"/>
          <w:szCs w:val="24"/>
          <w:highlight w:val="none"/>
          <w14:textFill>
            <w14:solidFill>
              <w14:schemeClr w14:val="tx1"/>
            </w14:solidFill>
          </w14:textFill>
        </w:rPr>
        <w:t xml:space="preserve">  </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响应</w:t>
      </w:r>
      <w:r>
        <w:rPr>
          <w:rStyle w:val="46"/>
          <w:rFonts w:ascii="Times New Roman" w:hAnsi="Times New Roman" w:eastAsia="宋体" w:cs="Times New Roman"/>
          <w:b/>
          <w:bCs w:val="0"/>
          <w:color w:val="000000" w:themeColor="text1"/>
          <w:szCs w:val="24"/>
          <w:highlight w:val="none"/>
          <w14:textFill>
            <w14:solidFill>
              <w14:schemeClr w14:val="tx1"/>
            </w14:solidFill>
          </w14:textFill>
        </w:rPr>
        <w:t>函</w:t>
      </w:r>
      <w:bookmarkEnd w:id="1642"/>
      <w:bookmarkEnd w:id="1643"/>
      <w:bookmarkEnd w:id="1644"/>
      <w:bookmarkEnd w:id="1645"/>
      <w:bookmarkEnd w:id="1646"/>
      <w:bookmarkEnd w:id="1647"/>
      <w:bookmarkEnd w:id="1648"/>
      <w:bookmarkEnd w:id="1649"/>
      <w:bookmarkEnd w:id="1650"/>
      <w:bookmarkEnd w:id="1651"/>
      <w:bookmarkEnd w:id="1652"/>
    </w:p>
    <w:p w14:paraId="483F9BD2">
      <w:pPr>
        <w:spacing w:line="360" w:lineRule="auto"/>
        <w:jc w:val="center"/>
        <w:rPr>
          <w:b/>
          <w:color w:val="000000" w:themeColor="text1"/>
          <w:sz w:val="28"/>
          <w:szCs w:val="28"/>
          <w:highlight w:val="none"/>
          <w14:textFill>
            <w14:solidFill>
              <w14:schemeClr w14:val="tx1"/>
            </w14:solidFill>
          </w14:textFill>
        </w:rPr>
      </w:pPr>
      <w:r>
        <w:rPr>
          <w:rFonts w:hint="eastAsia"/>
          <w:b/>
          <w:color w:val="000000" w:themeColor="text1"/>
          <w:sz w:val="28"/>
          <w:szCs w:val="28"/>
          <w:highlight w:val="none"/>
          <w14:textFill>
            <w14:solidFill>
              <w14:schemeClr w14:val="tx1"/>
            </w14:solidFill>
          </w14:textFill>
        </w:rPr>
        <w:t xml:space="preserve">响   应   </w:t>
      </w:r>
      <w:r>
        <w:rPr>
          <w:b/>
          <w:color w:val="000000" w:themeColor="text1"/>
          <w:sz w:val="28"/>
          <w:szCs w:val="28"/>
          <w:highlight w:val="none"/>
          <w14:textFill>
            <w14:solidFill>
              <w14:schemeClr w14:val="tx1"/>
            </w14:solidFill>
          </w14:textFill>
        </w:rPr>
        <w:t>函</w:t>
      </w:r>
    </w:p>
    <w:p w14:paraId="4B49A6AC">
      <w:pPr>
        <w:spacing w:line="360" w:lineRule="auto"/>
        <w:rPr>
          <w:color w:val="000000" w:themeColor="text1"/>
          <w:szCs w:val="21"/>
          <w:highlight w:val="none"/>
          <w:u w:val="single"/>
          <w14:textFill>
            <w14:solidFill>
              <w14:schemeClr w14:val="tx1"/>
            </w14:solidFill>
          </w14:textFill>
        </w:rPr>
      </w:pPr>
      <w:r>
        <w:rPr>
          <w:color w:val="000000" w:themeColor="text1"/>
          <w:szCs w:val="21"/>
          <w:highlight w:val="none"/>
          <w14:textFill>
            <w14:solidFill>
              <w14:schemeClr w14:val="tx1"/>
            </w14:solidFill>
          </w14:textFill>
        </w:rPr>
        <w:t>致：</w:t>
      </w:r>
      <w:r>
        <w:rPr>
          <w:rFonts w:hint="eastAsia"/>
          <w:color w:val="000000" w:themeColor="text1"/>
          <w:szCs w:val="21"/>
          <w:highlight w:val="none"/>
          <w:u w:val="single"/>
          <w14:textFill>
            <w14:solidFill>
              <w14:schemeClr w14:val="tx1"/>
            </w14:solidFill>
          </w14:textFill>
        </w:rPr>
        <w:t>中建路桥集团有限公司</w:t>
      </w:r>
    </w:p>
    <w:p w14:paraId="638BF717">
      <w:pPr>
        <w:widowControl/>
        <w:spacing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1.在研究了贵公司提供的采购文件(含补充采购文件第</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号)和考察工程现场后，我们愿意按人民币(大写)</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元(</w:t>
      </w:r>
      <w:r>
        <w:rPr>
          <w:color w:val="000000" w:themeColor="text1"/>
          <w:kern w:val="0"/>
          <w:szCs w:val="21"/>
          <w:highlight w:val="none"/>
          <w14:textFill>
            <w14:solidFill>
              <w14:schemeClr w14:val="tx1"/>
            </w14:solidFill>
          </w14:textFill>
        </w:rPr>
        <w:t>￥：</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元)的总报价，遵照采购文件的要求承担本合同全部工程的实施、完成及其缺陷修复工作。</w:t>
      </w:r>
    </w:p>
    <w:p w14:paraId="0B9308B2">
      <w:pPr>
        <w:spacing w:line="360" w:lineRule="auto"/>
        <w:ind w:firstLine="42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.如果贵公司接受我们的</w:t>
      </w:r>
      <w:r>
        <w:rPr>
          <w:rFonts w:hint="eastAsia"/>
          <w:color w:val="000000" w:themeColor="text1"/>
          <w:szCs w:val="21"/>
          <w:highlight w:val="none"/>
          <w14:textFill>
            <w14:solidFill>
              <w14:schemeClr w14:val="tx1"/>
            </w14:solidFill>
          </w14:textFill>
        </w:rPr>
        <w:t>响应</w:t>
      </w:r>
      <w:r>
        <w:rPr>
          <w:color w:val="000000" w:themeColor="text1"/>
          <w:szCs w:val="21"/>
          <w:highlight w:val="none"/>
          <w14:textFill>
            <w14:solidFill>
              <w14:schemeClr w14:val="tx1"/>
            </w14:solidFill>
          </w14:textFill>
        </w:rPr>
        <w:t>，我们将保证在接到</w:t>
      </w:r>
      <w:r>
        <w:rPr>
          <w:rFonts w:hint="eastAsia"/>
          <w:color w:val="000000" w:themeColor="text1"/>
          <w:szCs w:val="21"/>
          <w:highlight w:val="none"/>
          <w14:textFill>
            <w14:solidFill>
              <w14:schemeClr w14:val="tx1"/>
            </w14:solidFill>
          </w14:textFill>
        </w:rPr>
        <w:t>采购</w:t>
      </w:r>
      <w:r>
        <w:rPr>
          <w:color w:val="000000" w:themeColor="text1"/>
          <w:szCs w:val="21"/>
          <w:highlight w:val="none"/>
          <w14:textFill>
            <w14:solidFill>
              <w14:schemeClr w14:val="tx1"/>
            </w14:solidFill>
          </w14:textFill>
        </w:rPr>
        <w:t>人的开工通知后，按其要求开工，并在</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日历天的工期内完成本合同工程，达到合同规定的要求。该工期从</w:t>
      </w:r>
      <w:r>
        <w:rPr>
          <w:rFonts w:hint="eastAsia"/>
          <w:color w:val="000000" w:themeColor="text1"/>
          <w:szCs w:val="21"/>
          <w:highlight w:val="none"/>
          <w14:textFill>
            <w14:solidFill>
              <w14:schemeClr w14:val="tx1"/>
            </w14:solidFill>
          </w14:textFill>
        </w:rPr>
        <w:t>采购</w:t>
      </w:r>
      <w:r>
        <w:rPr>
          <w:color w:val="000000" w:themeColor="text1"/>
          <w:szCs w:val="21"/>
          <w:highlight w:val="none"/>
          <w14:textFill>
            <w14:solidFill>
              <w14:schemeClr w14:val="tx1"/>
            </w14:solidFill>
          </w14:textFill>
        </w:rPr>
        <w:t>人发布的开工通知中写明的开工日期算起。</w:t>
      </w:r>
    </w:p>
    <w:p w14:paraId="22C15840">
      <w:pPr>
        <w:spacing w:line="360" w:lineRule="auto"/>
        <w:ind w:firstLine="42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.如果贵公司接受我们的</w:t>
      </w:r>
      <w:r>
        <w:rPr>
          <w:rFonts w:hint="eastAsia"/>
          <w:color w:val="000000" w:themeColor="text1"/>
          <w:szCs w:val="21"/>
          <w:highlight w:val="none"/>
          <w14:textFill>
            <w14:solidFill>
              <w14:schemeClr w14:val="tx1"/>
            </w14:solidFill>
          </w14:textFill>
        </w:rPr>
        <w:t>响应</w:t>
      </w:r>
      <w:r>
        <w:rPr>
          <w:color w:val="000000" w:themeColor="text1"/>
          <w:szCs w:val="21"/>
          <w:highlight w:val="none"/>
          <w14:textFill>
            <w14:solidFill>
              <w14:schemeClr w14:val="tx1"/>
            </w14:solidFill>
          </w14:textFill>
        </w:rPr>
        <w:t>，我们将保证按贵公司认可的条件，</w:t>
      </w:r>
      <w:r>
        <w:rPr>
          <w:rFonts w:hint="eastAsia"/>
          <w:color w:val="000000" w:themeColor="text1"/>
          <w:szCs w:val="21"/>
          <w:highlight w:val="none"/>
          <w14:textFill>
            <w14:solidFill>
              <w14:schemeClr w14:val="tx1"/>
            </w14:solidFill>
          </w14:textFill>
        </w:rPr>
        <w:t>按采购文件</w:t>
      </w:r>
      <w:r>
        <w:rPr>
          <w:color w:val="000000" w:themeColor="text1"/>
          <w:szCs w:val="21"/>
          <w:highlight w:val="none"/>
          <w14:textFill>
            <w14:solidFill>
              <w14:schemeClr w14:val="tx1"/>
            </w14:solidFill>
          </w14:textFill>
        </w:rPr>
        <w:t>写明的金额提交履约担保。</w:t>
      </w:r>
    </w:p>
    <w:p w14:paraId="6E6362F1">
      <w:pPr>
        <w:spacing w:line="360" w:lineRule="auto"/>
        <w:ind w:firstLine="42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.我们同意在从规定的开启响应文件之日起</w:t>
      </w:r>
      <w:r>
        <w:rPr>
          <w:rFonts w:hint="eastAsia"/>
          <w:color w:val="000000" w:themeColor="text1"/>
          <w:szCs w:val="21"/>
          <w:highlight w:val="none"/>
          <w:u w:val="single"/>
          <w:lang w:val="en-US" w:eastAsia="zh-CN"/>
          <w14:textFill>
            <w14:solidFill>
              <w14:schemeClr w14:val="tx1"/>
            </w14:solidFill>
          </w14:textFill>
        </w:rPr>
        <w:t>90</w:t>
      </w:r>
      <w:r>
        <w:rPr>
          <w:color w:val="000000" w:themeColor="text1"/>
          <w:szCs w:val="21"/>
          <w:highlight w:val="none"/>
          <w14:textFill>
            <w14:solidFill>
              <w14:schemeClr w14:val="tx1"/>
            </w14:solidFill>
          </w14:textFill>
        </w:rPr>
        <w:t>天的响应有效期内严格遵守本</w:t>
      </w:r>
      <w:r>
        <w:rPr>
          <w:rFonts w:hint="eastAsia"/>
          <w:color w:val="000000" w:themeColor="text1"/>
          <w:szCs w:val="21"/>
          <w:highlight w:val="none"/>
          <w14:textFill>
            <w14:solidFill>
              <w14:schemeClr w14:val="tx1"/>
            </w14:solidFill>
          </w14:textFill>
        </w:rPr>
        <w:t>响应</w:t>
      </w:r>
      <w:r>
        <w:rPr>
          <w:color w:val="000000" w:themeColor="text1"/>
          <w:szCs w:val="21"/>
          <w:highlight w:val="none"/>
          <w14:textFill>
            <w14:solidFill>
              <w14:schemeClr w14:val="tx1"/>
            </w14:solidFill>
          </w14:textFill>
        </w:rPr>
        <w:t>函的各项承诺。在此期限届满之前，本</w:t>
      </w:r>
      <w:r>
        <w:rPr>
          <w:rFonts w:hint="eastAsia"/>
          <w:color w:val="000000" w:themeColor="text1"/>
          <w:szCs w:val="21"/>
          <w:highlight w:val="none"/>
          <w14:textFill>
            <w14:solidFill>
              <w14:schemeClr w14:val="tx1"/>
            </w14:solidFill>
          </w14:textFill>
        </w:rPr>
        <w:t>响应</w:t>
      </w:r>
      <w:r>
        <w:rPr>
          <w:color w:val="000000" w:themeColor="text1"/>
          <w:szCs w:val="21"/>
          <w:highlight w:val="none"/>
          <w14:textFill>
            <w14:solidFill>
              <w14:schemeClr w14:val="tx1"/>
            </w14:solidFill>
          </w14:textFill>
        </w:rPr>
        <w:t>函始终将对我方具有约束力，并随时接受</w:t>
      </w:r>
      <w:r>
        <w:rPr>
          <w:rFonts w:hint="eastAsia"/>
          <w:color w:val="000000" w:themeColor="text1"/>
          <w:szCs w:val="21"/>
          <w:highlight w:val="none"/>
          <w14:textFill>
            <w14:solidFill>
              <w14:schemeClr w14:val="tx1"/>
            </w14:solidFill>
          </w14:textFill>
        </w:rPr>
        <w:t>成交</w:t>
      </w:r>
      <w:r>
        <w:rPr>
          <w:color w:val="000000" w:themeColor="text1"/>
          <w:szCs w:val="21"/>
          <w:highlight w:val="none"/>
          <w14:textFill>
            <w14:solidFill>
              <w14:schemeClr w14:val="tx1"/>
            </w14:solidFill>
          </w14:textFill>
        </w:rPr>
        <w:t>。</w:t>
      </w:r>
    </w:p>
    <w:p w14:paraId="75D7B3A1">
      <w:pPr>
        <w:spacing w:line="360" w:lineRule="auto"/>
        <w:ind w:firstLine="42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w:t>
      </w:r>
      <w:r>
        <w:rPr>
          <w:color w:val="000000" w:themeColor="text1"/>
          <w:szCs w:val="21"/>
          <w:highlight w:val="none"/>
          <w14:textFill>
            <w14:solidFill>
              <w14:schemeClr w14:val="tx1"/>
            </w14:solidFill>
          </w14:textFill>
        </w:rPr>
        <w:t>.在合同协议书正式签署生效之前，本</w:t>
      </w:r>
      <w:r>
        <w:rPr>
          <w:rFonts w:hint="eastAsia"/>
          <w:color w:val="000000" w:themeColor="text1"/>
          <w:szCs w:val="21"/>
          <w:highlight w:val="none"/>
          <w14:textFill>
            <w14:solidFill>
              <w14:schemeClr w14:val="tx1"/>
            </w14:solidFill>
          </w14:textFill>
        </w:rPr>
        <w:t>响应</w:t>
      </w:r>
      <w:r>
        <w:rPr>
          <w:color w:val="000000" w:themeColor="text1"/>
          <w:szCs w:val="21"/>
          <w:highlight w:val="none"/>
          <w14:textFill>
            <w14:solidFill>
              <w14:schemeClr w14:val="tx1"/>
            </w14:solidFill>
          </w14:textFill>
        </w:rPr>
        <w:t>函连同贵公司的成交通知书将构成贵我双方共同遵守的文件，对双方具有约束力。</w:t>
      </w:r>
    </w:p>
    <w:p w14:paraId="6F131FE5">
      <w:pPr>
        <w:spacing w:line="360" w:lineRule="auto"/>
        <w:ind w:firstLine="42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w:t>
      </w:r>
      <w:r>
        <w:rPr>
          <w:color w:val="000000" w:themeColor="text1"/>
          <w:szCs w:val="21"/>
          <w:highlight w:val="none"/>
          <w14:textFill>
            <w14:solidFill>
              <w14:schemeClr w14:val="tx1"/>
            </w14:solidFill>
          </w14:textFill>
        </w:rPr>
        <w:t>.我们理解，贵公司不一定接受最低</w:t>
      </w:r>
      <w:r>
        <w:rPr>
          <w:rFonts w:hint="eastAsia"/>
          <w:color w:val="000000" w:themeColor="text1"/>
          <w:szCs w:val="21"/>
          <w:highlight w:val="none"/>
          <w14:textFill>
            <w14:solidFill>
              <w14:schemeClr w14:val="tx1"/>
            </w14:solidFill>
          </w14:textFill>
        </w:rPr>
        <w:t>报价</w:t>
      </w:r>
      <w:r>
        <w:rPr>
          <w:color w:val="000000" w:themeColor="text1"/>
          <w:szCs w:val="21"/>
          <w:highlight w:val="none"/>
          <w14:textFill>
            <w14:solidFill>
              <w14:schemeClr w14:val="tx1"/>
            </w14:solidFill>
          </w14:textFill>
        </w:rPr>
        <w:t>的</w:t>
      </w:r>
      <w:r>
        <w:rPr>
          <w:rFonts w:hint="eastAsia"/>
          <w:color w:val="000000" w:themeColor="text1"/>
          <w:szCs w:val="21"/>
          <w:highlight w:val="none"/>
          <w14:textFill>
            <w14:solidFill>
              <w14:schemeClr w14:val="tx1"/>
            </w14:solidFill>
          </w14:textFill>
        </w:rPr>
        <w:t>响应</w:t>
      </w:r>
      <w:r>
        <w:rPr>
          <w:color w:val="000000" w:themeColor="text1"/>
          <w:szCs w:val="21"/>
          <w:highlight w:val="none"/>
          <w14:textFill>
            <w14:solidFill>
              <w14:schemeClr w14:val="tx1"/>
            </w14:solidFill>
          </w14:textFill>
        </w:rPr>
        <w:t>或其他任何</w:t>
      </w:r>
      <w:r>
        <w:rPr>
          <w:rFonts w:hint="eastAsia"/>
          <w:color w:val="000000" w:themeColor="text1"/>
          <w:szCs w:val="21"/>
          <w:highlight w:val="none"/>
          <w14:textFill>
            <w14:solidFill>
              <w14:schemeClr w14:val="tx1"/>
            </w14:solidFill>
          </w14:textFill>
        </w:rPr>
        <w:t>响应</w:t>
      </w:r>
      <w:r>
        <w:rPr>
          <w:color w:val="000000" w:themeColor="text1"/>
          <w:szCs w:val="21"/>
          <w:highlight w:val="none"/>
          <w14:textFill>
            <w14:solidFill>
              <w14:schemeClr w14:val="tx1"/>
            </w14:solidFill>
          </w14:textFill>
        </w:rPr>
        <w:t>。同时也理解，贵公司不负担我们的任何</w:t>
      </w:r>
      <w:r>
        <w:rPr>
          <w:rFonts w:hint="eastAsia"/>
          <w:color w:val="000000" w:themeColor="text1"/>
          <w:szCs w:val="21"/>
          <w:highlight w:val="none"/>
          <w14:textFill>
            <w14:solidFill>
              <w14:schemeClr w14:val="tx1"/>
            </w14:solidFill>
          </w14:textFill>
        </w:rPr>
        <w:t>采购响应</w:t>
      </w:r>
      <w:r>
        <w:rPr>
          <w:color w:val="000000" w:themeColor="text1"/>
          <w:szCs w:val="21"/>
          <w:highlight w:val="none"/>
          <w14:textFill>
            <w14:solidFill>
              <w14:schemeClr w14:val="tx1"/>
            </w14:solidFill>
          </w14:textFill>
        </w:rPr>
        <w:t>费用。</w:t>
      </w:r>
    </w:p>
    <w:p w14:paraId="4BBB907F">
      <w:pPr>
        <w:spacing w:line="360" w:lineRule="auto"/>
        <w:ind w:firstLine="42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7</w:t>
      </w:r>
      <w:r>
        <w:rPr>
          <w:color w:val="000000" w:themeColor="text1"/>
          <w:szCs w:val="21"/>
          <w:highlight w:val="none"/>
          <w14:textFill>
            <w14:solidFill>
              <w14:schemeClr w14:val="tx1"/>
            </w14:solidFill>
          </w14:textFill>
        </w:rPr>
        <w:t>.随同本</w:t>
      </w:r>
      <w:r>
        <w:rPr>
          <w:rFonts w:hint="eastAsia"/>
          <w:color w:val="000000" w:themeColor="text1"/>
          <w:szCs w:val="21"/>
          <w:highlight w:val="none"/>
          <w14:textFill>
            <w14:solidFill>
              <w14:schemeClr w14:val="tx1"/>
            </w14:solidFill>
          </w14:textFill>
        </w:rPr>
        <w:t>响应</w:t>
      </w:r>
      <w:r>
        <w:rPr>
          <w:color w:val="000000" w:themeColor="text1"/>
          <w:szCs w:val="21"/>
          <w:highlight w:val="none"/>
          <w14:textFill>
            <w14:solidFill>
              <w14:schemeClr w14:val="tx1"/>
            </w14:solidFill>
          </w14:textFill>
        </w:rPr>
        <w:t>函，我们出具金额为人民币</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万元的响应担保。如果我们在响应有效期内撤回响应文件或在接到</w:t>
      </w:r>
      <w:r>
        <w:rPr>
          <w:rFonts w:hint="eastAsia"/>
          <w:color w:val="000000" w:themeColor="text1"/>
          <w:szCs w:val="21"/>
          <w:highlight w:val="none"/>
          <w14:textFill>
            <w14:solidFill>
              <w14:schemeClr w14:val="tx1"/>
            </w14:solidFill>
          </w14:textFill>
        </w:rPr>
        <w:t>成交</w:t>
      </w:r>
      <w:r>
        <w:rPr>
          <w:color w:val="000000" w:themeColor="text1"/>
          <w:szCs w:val="21"/>
          <w:highlight w:val="none"/>
          <w14:textFill>
            <w14:solidFill>
              <w14:schemeClr w14:val="tx1"/>
            </w14:solidFill>
          </w14:textFill>
        </w:rPr>
        <w:t>通知后的30天内未能或拒绝签订合同协议书；或未能提交履约担保，贵公司有权没收响应担保，另选</w:t>
      </w:r>
      <w:r>
        <w:rPr>
          <w:rFonts w:hint="eastAsia"/>
          <w:color w:val="000000" w:themeColor="text1"/>
          <w:szCs w:val="21"/>
          <w:highlight w:val="none"/>
          <w14:textFill>
            <w14:solidFill>
              <w14:schemeClr w14:val="tx1"/>
            </w14:solidFill>
          </w14:textFill>
        </w:rPr>
        <w:t>成交</w:t>
      </w:r>
      <w:r>
        <w:rPr>
          <w:color w:val="000000" w:themeColor="text1"/>
          <w:szCs w:val="21"/>
          <w:highlight w:val="none"/>
          <w14:textFill>
            <w14:solidFill>
              <w14:schemeClr w14:val="tx1"/>
            </w14:solidFill>
          </w14:textFill>
        </w:rPr>
        <w:t>单位。</w:t>
      </w:r>
    </w:p>
    <w:p w14:paraId="75A33F29">
      <w:pPr>
        <w:spacing w:line="360" w:lineRule="auto"/>
        <w:ind w:firstLine="420" w:firstLineChars="200"/>
        <w:rPr>
          <w:color w:val="000000" w:themeColor="text1"/>
          <w:szCs w:val="21"/>
          <w:highlight w:val="none"/>
          <w14:textFill>
            <w14:solidFill>
              <w14:schemeClr w14:val="tx1"/>
            </w14:solidFill>
          </w14:textFill>
        </w:rPr>
      </w:pPr>
    </w:p>
    <w:p w14:paraId="12BAFEBC">
      <w:pPr>
        <w:spacing w:line="360" w:lineRule="auto"/>
        <w:ind w:firstLine="420" w:firstLineChars="200"/>
        <w:rPr>
          <w:color w:val="000000" w:themeColor="text1"/>
          <w:szCs w:val="21"/>
          <w:highlight w:val="none"/>
          <w14:textFill>
            <w14:solidFill>
              <w14:schemeClr w14:val="tx1"/>
            </w14:solidFill>
          </w14:textFill>
        </w:rPr>
      </w:pPr>
    </w:p>
    <w:p w14:paraId="2ACB2912">
      <w:pPr>
        <w:spacing w:line="360" w:lineRule="auto"/>
        <w:ind w:firstLine="420" w:firstLineChars="200"/>
        <w:rPr>
          <w:color w:val="000000" w:themeColor="text1"/>
          <w:szCs w:val="21"/>
          <w:highlight w:val="none"/>
          <w14:textFill>
            <w14:solidFill>
              <w14:schemeClr w14:val="tx1"/>
            </w14:solidFill>
          </w14:textFill>
        </w:rPr>
      </w:pPr>
    </w:p>
    <w:p w14:paraId="4EF368E9">
      <w:pPr>
        <w:spacing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响应单位地址：</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 xml:space="preserve">         响应单位</w:t>
      </w:r>
      <w:r>
        <w:rPr>
          <w:color w:val="000000" w:themeColor="text1"/>
          <w:szCs w:val="21"/>
          <w:highlight w:val="none"/>
          <w:u w:val="single"/>
          <w14:textFill>
            <w14:solidFill>
              <w14:schemeClr w14:val="tx1"/>
            </w14:solidFill>
          </w14:textFill>
        </w:rPr>
        <w:t>(全称)       (盖章)</w:t>
      </w:r>
    </w:p>
    <w:p w14:paraId="6B0C9686">
      <w:pPr>
        <w:spacing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邮政编码：  </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 xml:space="preserve">         法定代表人或其授权的代理人</w:t>
      </w:r>
    </w:p>
    <w:p w14:paraId="5CF77163">
      <w:pPr>
        <w:spacing w:line="360" w:lineRule="auto"/>
        <w:ind w:firstLine="420" w:firstLineChars="200"/>
        <w:rPr>
          <w:color w:val="000000" w:themeColor="text1"/>
          <w:szCs w:val="21"/>
          <w:highlight w:val="none"/>
          <w:u w:val="single"/>
          <w14:textFill>
            <w14:solidFill>
              <w14:schemeClr w14:val="tx1"/>
            </w14:solidFill>
          </w14:textFill>
        </w:rPr>
      </w:pPr>
      <w:r>
        <w:rPr>
          <w:color w:val="000000" w:themeColor="text1"/>
          <w:szCs w:val="21"/>
          <w:highlight w:val="none"/>
          <w14:textFill>
            <w14:solidFill>
              <w14:schemeClr w14:val="tx1"/>
            </w14:solidFill>
          </w14:textFill>
        </w:rPr>
        <w:t xml:space="preserve">电    话：  </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 xml:space="preserve">          </w:t>
      </w:r>
      <w:r>
        <w:rPr>
          <w:color w:val="000000" w:themeColor="text1"/>
          <w:szCs w:val="21"/>
          <w:highlight w:val="none"/>
          <w:u w:val="single"/>
          <w14:textFill>
            <w14:solidFill>
              <w14:schemeClr w14:val="tx1"/>
            </w14:solidFill>
          </w14:textFill>
        </w:rPr>
        <w:t>(职务)  (姓名) (签字)</w:t>
      </w:r>
    </w:p>
    <w:p w14:paraId="1BC5D396">
      <w:pPr>
        <w:spacing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传    真：  </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 xml:space="preserve">         日期：</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年</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月</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日</w:t>
      </w:r>
    </w:p>
    <w:p w14:paraId="0F52D532">
      <w:pPr>
        <w:pStyle w:val="53"/>
        <w:spacing w:before="120"/>
        <w:rPr>
          <w:rStyle w:val="46"/>
          <w:rFonts w:ascii="Times New Roman" w:hAnsi="Times New Roman" w:eastAsia="宋体" w:cs="Times New Roman"/>
          <w:b w:val="0"/>
          <w:bCs w:val="0"/>
          <w:color w:val="000000" w:themeColor="text1"/>
          <w:szCs w:val="24"/>
          <w:highlight w:val="none"/>
          <w14:textFill>
            <w14:solidFill>
              <w14:schemeClr w14:val="tx1"/>
            </w14:solidFill>
          </w14:textFill>
        </w:rPr>
      </w:pPr>
      <w:r>
        <w:rPr>
          <w:color w:val="000000" w:themeColor="text1"/>
          <w:highlight w:val="none"/>
          <w14:textFill>
            <w14:solidFill>
              <w14:schemeClr w14:val="tx1"/>
            </w14:solidFill>
          </w14:textFill>
        </w:rPr>
        <w:br w:type="page"/>
      </w:r>
      <w:bookmarkStart w:id="1653" w:name="_Toc53948739"/>
      <w:bookmarkStart w:id="1654" w:name="_Toc54280344"/>
      <w:bookmarkStart w:id="1655" w:name="_Toc54280770"/>
      <w:bookmarkStart w:id="1656" w:name="_Toc54291526"/>
      <w:bookmarkStart w:id="1657" w:name="_Toc54281196"/>
      <w:bookmarkStart w:id="1658" w:name="_Toc54278961"/>
      <w:bookmarkStart w:id="1659" w:name="_Toc54281622"/>
      <w:bookmarkStart w:id="1660" w:name="_Toc53949581"/>
      <w:bookmarkStart w:id="1661" w:name="_Toc53949160"/>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格式2  法定代表人证明书</w:t>
      </w:r>
    </w:p>
    <w:p w14:paraId="77C99F60">
      <w:pPr>
        <w:adjustRightInd w:val="0"/>
        <w:snapToGrid w:val="0"/>
        <w:spacing w:before="120" w:beforeLines="50" w:line="360" w:lineRule="auto"/>
        <w:jc w:val="center"/>
        <w:outlineLvl w:val="4"/>
        <w:rPr>
          <w:rFonts w:hint="eastAsia" w:ascii="宋体" w:hAnsi="宋体" w:cs="黑体"/>
          <w:b/>
          <w:color w:val="000000" w:themeColor="text1"/>
          <w:sz w:val="28"/>
          <w:szCs w:val="28"/>
          <w:highlight w:val="none"/>
          <w14:textFill>
            <w14:solidFill>
              <w14:schemeClr w14:val="tx1"/>
            </w14:solidFill>
          </w14:textFill>
        </w:rPr>
      </w:pPr>
      <w:r>
        <w:rPr>
          <w:rFonts w:hint="eastAsia" w:ascii="宋体" w:hAnsi="宋体" w:cs="黑体"/>
          <w:b/>
          <w:color w:val="000000" w:themeColor="text1"/>
          <w:sz w:val="28"/>
          <w:szCs w:val="28"/>
          <w:highlight w:val="none"/>
          <w14:textFill>
            <w14:solidFill>
              <w14:schemeClr w14:val="tx1"/>
            </w14:solidFill>
          </w14:textFill>
        </w:rPr>
        <w:t>法定代表人身份证明</w:t>
      </w:r>
    </w:p>
    <w:p w14:paraId="0CF41945">
      <w:pPr>
        <w:rPr>
          <w:rFonts w:ascii="宋体"/>
          <w:color w:val="000000" w:themeColor="text1"/>
          <w:sz w:val="24"/>
          <w:highlight w:val="none"/>
          <w14:textFill>
            <w14:solidFill>
              <w14:schemeClr w14:val="tx1"/>
            </w14:solidFill>
          </w14:textFill>
        </w:rPr>
      </w:pPr>
    </w:p>
    <w:p w14:paraId="0B7A150E">
      <w:pPr>
        <w:rPr>
          <w:rFonts w:ascii="宋体"/>
          <w:color w:val="000000" w:themeColor="text1"/>
          <w:sz w:val="24"/>
          <w:highlight w:val="none"/>
          <w14:textFill>
            <w14:solidFill>
              <w14:schemeClr w14:val="tx1"/>
            </w14:solidFill>
          </w14:textFill>
        </w:rPr>
      </w:pPr>
    </w:p>
    <w:p w14:paraId="65867B46">
      <w:pPr>
        <w:spacing w:before="240" w:beforeLines="100" w:after="240" w:afterLines="100" w:line="360" w:lineRule="auto"/>
        <w:jc w:val="center"/>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法定代表人身份证明</w:t>
      </w:r>
    </w:p>
    <w:p w14:paraId="73340751">
      <w:pPr>
        <w:spacing w:after="120" w:afterLines="50" w:line="4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响应单位名称：</w:t>
      </w:r>
      <w:r>
        <w:rPr>
          <w:rFonts w:hint="eastAsia" w:ascii="宋体" w:hAnsi="宋体"/>
          <w:color w:val="000000" w:themeColor="text1"/>
          <w:sz w:val="24"/>
          <w:highlight w:val="none"/>
          <w:u w:val="single"/>
          <w14:textFill>
            <w14:solidFill>
              <w14:schemeClr w14:val="tx1"/>
            </w14:solidFill>
          </w14:textFill>
        </w:rPr>
        <w:t xml:space="preserve">                                   </w:t>
      </w:r>
    </w:p>
    <w:p w14:paraId="2E0994EE">
      <w:pPr>
        <w:spacing w:after="120" w:afterLines="50" w:line="420" w:lineRule="exact"/>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单位性质：</w:t>
      </w:r>
      <w:r>
        <w:rPr>
          <w:rFonts w:hint="eastAsia" w:ascii="宋体" w:hAnsi="宋体"/>
          <w:color w:val="000000" w:themeColor="text1"/>
          <w:sz w:val="24"/>
          <w:highlight w:val="none"/>
          <w:u w:val="single"/>
          <w14:textFill>
            <w14:solidFill>
              <w14:schemeClr w14:val="tx1"/>
            </w14:solidFill>
          </w14:textFill>
        </w:rPr>
        <w:t xml:space="preserve">                                     </w:t>
      </w:r>
    </w:p>
    <w:p w14:paraId="40A33485">
      <w:pPr>
        <w:spacing w:after="120" w:afterLines="50" w:line="420" w:lineRule="exact"/>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r>
        <w:rPr>
          <w:rFonts w:hint="eastAsia" w:ascii="宋体" w:hAnsi="宋体"/>
          <w:color w:val="000000" w:themeColor="text1"/>
          <w:sz w:val="24"/>
          <w:highlight w:val="none"/>
          <w:u w:val="single"/>
          <w14:textFill>
            <w14:solidFill>
              <w14:schemeClr w14:val="tx1"/>
            </w14:solidFill>
          </w14:textFill>
        </w:rPr>
        <w:t xml:space="preserve">                                         </w:t>
      </w:r>
    </w:p>
    <w:p w14:paraId="5022A5C9">
      <w:pPr>
        <w:spacing w:after="120" w:afterLines="50" w:line="42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成立时间：</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5C3EF732">
      <w:pPr>
        <w:spacing w:after="120" w:afterLines="50" w:line="420" w:lineRule="exact"/>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经营期限：</w:t>
      </w:r>
      <w:r>
        <w:rPr>
          <w:rFonts w:hint="eastAsia" w:ascii="宋体" w:hAnsi="宋体"/>
          <w:color w:val="000000" w:themeColor="text1"/>
          <w:sz w:val="24"/>
          <w:highlight w:val="none"/>
          <w:u w:val="single"/>
          <w14:textFill>
            <w14:solidFill>
              <w14:schemeClr w14:val="tx1"/>
            </w14:solidFill>
          </w14:textFill>
        </w:rPr>
        <w:t xml:space="preserve">                                     </w:t>
      </w:r>
    </w:p>
    <w:p w14:paraId="769E1792">
      <w:pPr>
        <w:snapToGrid w:val="0"/>
        <w:spacing w:after="120" w:afterLines="50" w:line="44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姓名：</w:t>
      </w:r>
      <w:r>
        <w:rPr>
          <w:rFonts w:hint="eastAsia" w:ascii="宋体" w:hAnsi="宋体"/>
          <w:color w:val="000000" w:themeColor="text1"/>
          <w:sz w:val="24"/>
          <w:highlight w:val="none"/>
          <w:u w:val="single"/>
          <w14:textFill>
            <w14:solidFill>
              <w14:schemeClr w14:val="tx1"/>
            </w14:solidFill>
          </w14:textFill>
        </w:rPr>
        <w:t xml:space="preserve"> （法定代表人签字）  </w:t>
      </w:r>
      <w:r>
        <w:rPr>
          <w:rFonts w:hint="eastAsia" w:ascii="宋体" w:hAnsi="宋体"/>
          <w:color w:val="000000" w:themeColor="text1"/>
          <w:sz w:val="24"/>
          <w:highlight w:val="none"/>
          <w14:textFill>
            <w14:solidFill>
              <w14:schemeClr w14:val="tx1"/>
            </w14:solidFill>
          </w14:textFill>
        </w:rPr>
        <w:t>性别：</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年龄：</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职务：</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系</w:t>
      </w:r>
      <w:r>
        <w:rPr>
          <w:rFonts w:hint="eastAsia" w:ascii="宋体" w:hAnsi="宋体"/>
          <w:color w:val="000000" w:themeColor="text1"/>
          <w:sz w:val="24"/>
          <w:highlight w:val="none"/>
          <w:u w:val="single"/>
          <w14:textFill>
            <w14:solidFill>
              <w14:schemeClr w14:val="tx1"/>
            </w14:solidFill>
          </w14:textFill>
        </w:rPr>
        <w:t>（响应单位名称）</w:t>
      </w:r>
      <w:r>
        <w:rPr>
          <w:rFonts w:hint="eastAsia" w:ascii="宋体" w:hAnsi="宋体"/>
          <w:color w:val="000000" w:themeColor="text1"/>
          <w:sz w:val="24"/>
          <w:highlight w:val="none"/>
          <w14:textFill>
            <w14:solidFill>
              <w14:schemeClr w14:val="tx1"/>
            </w14:solidFill>
          </w14:textFill>
        </w:rPr>
        <w:t>的法定代表人。</w:t>
      </w:r>
    </w:p>
    <w:p w14:paraId="29FB3726">
      <w:pPr>
        <w:spacing w:after="120" w:afterLines="50" w:line="42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特此证明。</w:t>
      </w:r>
    </w:p>
    <w:p w14:paraId="257F7111">
      <w:pPr>
        <w:spacing w:after="120" w:afterLines="50" w:line="42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附：法定代表人身份证复印件</w:t>
      </w:r>
    </w:p>
    <w:p w14:paraId="25215EDC">
      <w:pPr>
        <w:spacing w:before="720" w:after="120" w:afterLines="50" w:line="360" w:lineRule="exact"/>
        <w:ind w:firstLine="3828" w:firstLineChars="1595"/>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响应单位：</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（全称）（盖章） </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p>
    <w:p w14:paraId="0C40F4EB">
      <w:pPr>
        <w:spacing w:line="800" w:lineRule="exact"/>
        <w:ind w:firstLine="3828" w:firstLineChars="1595"/>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日</w:t>
      </w:r>
      <w:r>
        <w:rPr>
          <w:rFonts w:hint="eastAsia"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期：</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年</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月</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日</w:t>
      </w:r>
    </w:p>
    <w:p w14:paraId="33008A6D">
      <w:pPr>
        <w:tabs>
          <w:tab w:val="left" w:pos="4680"/>
        </w:tabs>
        <w:spacing w:after="120" w:afterLines="50" w:line="360" w:lineRule="auto"/>
        <w:ind w:firstLine="480" w:firstLineChars="200"/>
        <w:rPr>
          <w:rFonts w:hint="eastAsia" w:ascii="宋体" w:hAnsi="宋体"/>
          <w:color w:val="000000" w:themeColor="text1"/>
          <w:sz w:val="24"/>
          <w:highlight w:val="none"/>
          <w14:textFill>
            <w14:solidFill>
              <w14:schemeClr w14:val="tx1"/>
            </w14:solidFill>
          </w14:textFill>
        </w:rPr>
      </w:pPr>
    </w:p>
    <w:p w14:paraId="36CB5423">
      <w:pPr>
        <w:adjustRightInd w:val="0"/>
        <w:snapToGrid w:val="0"/>
        <w:spacing w:line="420" w:lineRule="exact"/>
        <w:rPr>
          <w:color w:val="000000" w:themeColor="text1"/>
          <w:szCs w:val="21"/>
          <w:highlight w:val="none"/>
          <w14:textFill>
            <w14:solidFill>
              <w14:schemeClr w14:val="tx1"/>
            </w14:solidFill>
          </w14:textFill>
        </w:rPr>
      </w:pPr>
    </w:p>
    <w:p w14:paraId="316782B4">
      <w:pPr>
        <w:spacing w:line="420" w:lineRule="exact"/>
        <w:rPr>
          <w:color w:val="000000" w:themeColor="text1"/>
          <w:szCs w:val="21"/>
          <w:highlight w:val="none"/>
          <w14:textFill>
            <w14:solidFill>
              <w14:schemeClr w14:val="tx1"/>
            </w14:solidFill>
          </w14:textFill>
        </w:rPr>
      </w:pPr>
    </w:p>
    <w:p w14:paraId="6B0E11DF">
      <w:pPr>
        <w:rPr>
          <w:rFonts w:ascii="宋体"/>
          <w:color w:val="000000" w:themeColor="text1"/>
          <w:sz w:val="24"/>
          <w:highlight w:val="none"/>
          <w14:textFill>
            <w14:solidFill>
              <w14:schemeClr w14:val="tx1"/>
            </w14:solidFill>
          </w14:textFill>
        </w:rPr>
      </w:pPr>
    </w:p>
    <w:p w14:paraId="15D09A17">
      <w:pPr>
        <w:spacing w:line="360" w:lineRule="auto"/>
        <w:rPr>
          <w:rFonts w:hint="eastAsia" w:ascii="宋体" w:hAnsi="宋体"/>
          <w:color w:val="000000" w:themeColor="text1"/>
          <w:szCs w:val="21"/>
          <w:highlight w:val="none"/>
          <w14:textFill>
            <w14:solidFill>
              <w14:schemeClr w14:val="tx1"/>
            </w14:solidFill>
          </w14:textFill>
        </w:rPr>
      </w:pPr>
    </w:p>
    <w:p w14:paraId="7EB4246A">
      <w:pPr>
        <w:spacing w:line="360" w:lineRule="auto"/>
        <w:rPr>
          <w:rFonts w:hint="eastAsia" w:ascii="宋体" w:hAnsi="宋体"/>
          <w:color w:val="000000" w:themeColor="text1"/>
          <w:szCs w:val="21"/>
          <w:highlight w:val="none"/>
          <w14:textFill>
            <w14:solidFill>
              <w14:schemeClr w14:val="tx1"/>
            </w14:solidFill>
          </w14:textFill>
        </w:rPr>
      </w:pPr>
    </w:p>
    <w:p w14:paraId="5FE60253">
      <w:pPr>
        <w:spacing w:line="360" w:lineRule="auto"/>
        <w:rPr>
          <w:color w:val="000000" w:themeColor="text1"/>
          <w:sz w:val="18"/>
          <w:szCs w:val="18"/>
          <w:highlight w:val="none"/>
          <w14:textFill>
            <w14:solidFill>
              <w14:schemeClr w14:val="tx1"/>
            </w14:solidFill>
          </w14:textFill>
        </w:rPr>
      </w:pPr>
      <w:r>
        <w:rPr>
          <w:color w:val="000000" w:themeColor="text1"/>
          <w:sz w:val="18"/>
          <w:szCs w:val="18"/>
          <w:highlight w:val="none"/>
          <w14:textFill>
            <w14:solidFill>
              <w14:schemeClr w14:val="tx1"/>
            </w14:solidFill>
          </w14:textFill>
        </w:rPr>
        <w:t>注：1、法定代表人的签字必须是亲笔签名，不得使用印章、签名章或其他电子制版签名。</w:t>
      </w:r>
    </w:p>
    <w:p w14:paraId="15F401E5">
      <w:pPr>
        <w:spacing w:line="360" w:lineRule="auto"/>
        <w:ind w:firstLine="360" w:firstLineChars="200"/>
        <w:rPr>
          <w:color w:val="000000" w:themeColor="text1"/>
          <w:sz w:val="18"/>
          <w:szCs w:val="18"/>
          <w:highlight w:val="none"/>
          <w14:textFill>
            <w14:solidFill>
              <w14:schemeClr w14:val="tx1"/>
            </w14:solidFill>
          </w14:textFill>
        </w:rPr>
      </w:pPr>
      <w:r>
        <w:rPr>
          <w:color w:val="000000" w:themeColor="text1"/>
          <w:sz w:val="18"/>
          <w:szCs w:val="18"/>
          <w:highlight w:val="none"/>
          <w14:textFill>
            <w14:solidFill>
              <w14:schemeClr w14:val="tx1"/>
            </w14:solidFill>
          </w14:textFill>
        </w:rPr>
        <w:t>2、响应单位还需提供法定代表人的身份证复印件。</w:t>
      </w:r>
    </w:p>
    <w:p w14:paraId="4CF97C91">
      <w:pPr>
        <w:rPr>
          <w:color w:val="000000" w:themeColor="text1"/>
          <w:highlight w:val="none"/>
          <w14:textFill>
            <w14:solidFill>
              <w14:schemeClr w14:val="tx1"/>
            </w14:solidFill>
          </w14:textFill>
        </w:rPr>
      </w:pPr>
    </w:p>
    <w:p w14:paraId="1A2CA05E">
      <w:pPr>
        <w:rPr>
          <w:color w:val="000000" w:themeColor="text1"/>
          <w:highlight w:val="none"/>
          <w14:textFill>
            <w14:solidFill>
              <w14:schemeClr w14:val="tx1"/>
            </w14:solidFill>
          </w14:textFill>
        </w:rPr>
      </w:pPr>
    </w:p>
    <w:p w14:paraId="3D10F9E2">
      <w:pPr>
        <w:rPr>
          <w:color w:val="000000" w:themeColor="text1"/>
          <w:highlight w:val="none"/>
          <w14:textFill>
            <w14:solidFill>
              <w14:schemeClr w14:val="tx1"/>
            </w14:solidFill>
          </w14:textFill>
        </w:rPr>
      </w:pPr>
    </w:p>
    <w:p w14:paraId="4F4F34BC">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r>
        <w:rPr>
          <w:rStyle w:val="46"/>
          <w:rFonts w:ascii="Times New Roman" w:hAnsi="Times New Roman" w:eastAsia="宋体" w:cs="Times New Roman"/>
          <w:b/>
          <w:bCs w:val="0"/>
          <w:color w:val="000000" w:themeColor="text1"/>
          <w:szCs w:val="24"/>
          <w:highlight w:val="none"/>
          <w14:textFill>
            <w14:solidFill>
              <w14:schemeClr w14:val="tx1"/>
            </w14:solidFill>
          </w14:textFill>
        </w:rPr>
        <w:t>格式</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3</w:t>
      </w:r>
      <w:r>
        <w:rPr>
          <w:rStyle w:val="46"/>
          <w:rFonts w:ascii="Times New Roman" w:hAnsi="Times New Roman" w:eastAsia="宋体" w:cs="Times New Roman"/>
          <w:b/>
          <w:bCs w:val="0"/>
          <w:color w:val="000000" w:themeColor="text1"/>
          <w:szCs w:val="24"/>
          <w:highlight w:val="none"/>
          <w14:textFill>
            <w14:solidFill>
              <w14:schemeClr w14:val="tx1"/>
            </w14:solidFill>
          </w14:textFill>
        </w:rPr>
        <w:t xml:space="preserve">  授权委托书</w:t>
      </w:r>
      <w:bookmarkEnd w:id="1653"/>
      <w:bookmarkEnd w:id="1654"/>
      <w:bookmarkEnd w:id="1655"/>
      <w:bookmarkEnd w:id="1656"/>
      <w:bookmarkEnd w:id="1657"/>
      <w:bookmarkEnd w:id="1658"/>
      <w:bookmarkEnd w:id="1659"/>
      <w:bookmarkEnd w:id="1660"/>
      <w:bookmarkEnd w:id="1661"/>
    </w:p>
    <w:p w14:paraId="2CA6DDC6">
      <w:pPr>
        <w:adjustRightInd w:val="0"/>
        <w:spacing w:line="360" w:lineRule="auto"/>
        <w:rPr>
          <w:color w:val="000000" w:themeColor="text1"/>
          <w:sz w:val="24"/>
          <w:highlight w:val="none"/>
          <w14:textFill>
            <w14:solidFill>
              <w14:schemeClr w14:val="tx1"/>
            </w14:solidFill>
          </w14:textFill>
        </w:rPr>
      </w:pPr>
    </w:p>
    <w:p w14:paraId="1896C7BA">
      <w:pPr>
        <w:spacing w:line="360" w:lineRule="auto"/>
        <w:jc w:val="center"/>
        <w:rPr>
          <w:b/>
          <w:color w:val="000000" w:themeColor="text1"/>
          <w:sz w:val="28"/>
          <w:szCs w:val="28"/>
          <w:highlight w:val="none"/>
          <w14:textFill>
            <w14:solidFill>
              <w14:schemeClr w14:val="tx1"/>
            </w14:solidFill>
          </w14:textFill>
        </w:rPr>
      </w:pPr>
      <w:bookmarkStart w:id="1662" w:name="_Toc18209295"/>
      <w:r>
        <w:rPr>
          <w:b/>
          <w:color w:val="000000" w:themeColor="text1"/>
          <w:sz w:val="28"/>
          <w:szCs w:val="28"/>
          <w:highlight w:val="none"/>
          <w14:textFill>
            <w14:solidFill>
              <w14:schemeClr w14:val="tx1"/>
            </w14:solidFill>
          </w14:textFill>
        </w:rPr>
        <w:t>授权委托书</w:t>
      </w:r>
      <w:bookmarkEnd w:id="1662"/>
    </w:p>
    <w:p w14:paraId="6B78F964">
      <w:pPr>
        <w:spacing w:line="360" w:lineRule="auto"/>
        <w:ind w:firstLine="480"/>
        <w:rPr>
          <w:color w:val="000000" w:themeColor="text1"/>
          <w:sz w:val="24"/>
          <w:highlight w:val="none"/>
          <w14:textFill>
            <w14:solidFill>
              <w14:schemeClr w14:val="tx1"/>
            </w14:solidFill>
          </w14:textFill>
        </w:rPr>
      </w:pPr>
    </w:p>
    <w:p w14:paraId="1B0474D4">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致：</w:t>
      </w:r>
      <w:r>
        <w:rPr>
          <w:rFonts w:hint="eastAsia"/>
          <w:color w:val="000000" w:themeColor="text1"/>
          <w:szCs w:val="21"/>
          <w:highlight w:val="none"/>
          <w:u w:val="single"/>
          <w14:textFill>
            <w14:solidFill>
              <w14:schemeClr w14:val="tx1"/>
            </w14:solidFill>
          </w14:textFill>
        </w:rPr>
        <w:t>中建路桥集团有限公司</w:t>
      </w:r>
    </w:p>
    <w:p w14:paraId="1502BA77">
      <w:pPr>
        <w:spacing w:line="360" w:lineRule="auto"/>
        <w:ind w:firstLine="480"/>
        <w:rPr>
          <w:color w:val="000000" w:themeColor="text1"/>
          <w:szCs w:val="21"/>
          <w:highlight w:val="none"/>
          <w14:textFill>
            <w14:solidFill>
              <w14:schemeClr w14:val="tx1"/>
            </w14:solidFill>
          </w14:textFill>
        </w:rPr>
      </w:pPr>
    </w:p>
    <w:p w14:paraId="24B82BB8">
      <w:pPr>
        <w:spacing w:line="360" w:lineRule="auto"/>
        <w:ind w:firstLine="525"/>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本授权书宣告：  </w:t>
      </w:r>
      <w:r>
        <w:rPr>
          <w:color w:val="000000" w:themeColor="text1"/>
          <w:szCs w:val="21"/>
          <w:highlight w:val="none"/>
          <w:u w:val="single"/>
          <w14:textFill>
            <w14:solidFill>
              <w14:schemeClr w14:val="tx1"/>
            </w14:solidFill>
          </w14:textFill>
        </w:rPr>
        <w:t>(响应单位全称)  (职务)  (姓名)</w:t>
      </w:r>
      <w:r>
        <w:rPr>
          <w:color w:val="000000" w:themeColor="text1"/>
          <w:szCs w:val="21"/>
          <w:highlight w:val="none"/>
          <w14:textFill>
            <w14:solidFill>
              <w14:schemeClr w14:val="tx1"/>
            </w14:solidFill>
          </w14:textFill>
        </w:rPr>
        <w:t xml:space="preserve">合法地代表本单位，授权 </w:t>
      </w:r>
      <w:r>
        <w:rPr>
          <w:color w:val="000000" w:themeColor="text1"/>
          <w:szCs w:val="21"/>
          <w:highlight w:val="none"/>
          <w:u w:val="single"/>
          <w14:textFill>
            <w14:solidFill>
              <w14:schemeClr w14:val="tx1"/>
            </w14:solidFill>
          </w14:textFill>
        </w:rPr>
        <w:t xml:space="preserve">(响应单位全称)   </w:t>
      </w:r>
      <w:r>
        <w:rPr>
          <w:color w:val="000000" w:themeColor="text1"/>
          <w:szCs w:val="21"/>
          <w:highlight w:val="none"/>
          <w14:textFill>
            <w14:solidFill>
              <w14:schemeClr w14:val="tx1"/>
            </w14:solidFill>
          </w14:textFill>
        </w:rPr>
        <w:t>的</w:t>
      </w:r>
      <w:r>
        <w:rPr>
          <w:color w:val="000000" w:themeColor="text1"/>
          <w:szCs w:val="21"/>
          <w:highlight w:val="none"/>
          <w:u w:val="single"/>
          <w14:textFill>
            <w14:solidFill>
              <w14:schemeClr w14:val="tx1"/>
            </w14:solidFill>
          </w14:textFill>
        </w:rPr>
        <w:t xml:space="preserve">  (职务) (姓名)</w:t>
      </w:r>
      <w:r>
        <w:rPr>
          <w:color w:val="000000" w:themeColor="text1"/>
          <w:szCs w:val="21"/>
          <w:highlight w:val="none"/>
          <w14:textFill>
            <w14:solidFill>
              <w14:schemeClr w14:val="tx1"/>
            </w14:solidFill>
          </w14:textFill>
        </w:rPr>
        <w:t>为我单位代理人，该代理人有权在</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u w:val="single"/>
          <w14:textFill>
            <w14:solidFill>
              <w14:schemeClr w14:val="tx1"/>
            </w14:solidFill>
          </w14:textFill>
        </w:rPr>
        <w:t>项目    分包工程</w:t>
      </w:r>
      <w:r>
        <w:rPr>
          <w:color w:val="000000" w:themeColor="text1"/>
          <w:szCs w:val="21"/>
          <w:highlight w:val="none"/>
          <w14:textFill>
            <w14:solidFill>
              <w14:schemeClr w14:val="tx1"/>
            </w14:solidFill>
          </w14:textFill>
        </w:rPr>
        <w:t>施工</w:t>
      </w:r>
      <w:r>
        <w:rPr>
          <w:rFonts w:hint="eastAsia"/>
          <w:color w:val="000000" w:themeColor="text1"/>
          <w:szCs w:val="21"/>
          <w:highlight w:val="none"/>
          <w14:textFill>
            <w14:solidFill>
              <w14:schemeClr w14:val="tx1"/>
            </w14:solidFill>
          </w14:textFill>
        </w:rPr>
        <w:t>采购</w:t>
      </w:r>
      <w:r>
        <w:rPr>
          <w:color w:val="000000" w:themeColor="text1"/>
          <w:szCs w:val="21"/>
          <w:highlight w:val="none"/>
          <w14:textFill>
            <w14:solidFill>
              <w14:schemeClr w14:val="tx1"/>
            </w14:solidFill>
          </w14:textFill>
        </w:rPr>
        <w:t>活动中，以我单位的名义签署</w:t>
      </w:r>
      <w:r>
        <w:rPr>
          <w:rFonts w:hint="eastAsia"/>
          <w:color w:val="000000" w:themeColor="text1"/>
          <w:szCs w:val="21"/>
          <w:highlight w:val="none"/>
          <w14:textFill>
            <w14:solidFill>
              <w14:schemeClr w14:val="tx1"/>
            </w14:solidFill>
          </w14:textFill>
        </w:rPr>
        <w:t>、澄清确认、递交、撤回、修改响应</w:t>
      </w:r>
      <w:r>
        <w:rPr>
          <w:color w:val="000000" w:themeColor="text1"/>
          <w:szCs w:val="21"/>
          <w:highlight w:val="none"/>
          <w14:textFill>
            <w14:solidFill>
              <w14:schemeClr w14:val="tx1"/>
            </w14:solidFill>
          </w14:textFill>
        </w:rPr>
        <w:t>函和响应文件、与采购人协商、谈判、签订合同协议书以及执行一切与此有关的事项</w:t>
      </w:r>
      <w:r>
        <w:rPr>
          <w:rFonts w:hint="eastAsia"/>
          <w:color w:val="000000" w:themeColor="text1"/>
          <w:szCs w:val="21"/>
          <w:highlight w:val="none"/>
          <w14:textFill>
            <w14:solidFill>
              <w14:schemeClr w14:val="tx1"/>
            </w14:solidFill>
          </w14:textFill>
        </w:rPr>
        <w:t>，其法律后果由我方承担</w:t>
      </w:r>
      <w:r>
        <w:rPr>
          <w:color w:val="000000" w:themeColor="text1"/>
          <w:szCs w:val="21"/>
          <w:highlight w:val="none"/>
          <w14:textFill>
            <w14:solidFill>
              <w14:schemeClr w14:val="tx1"/>
            </w14:solidFill>
          </w14:textFill>
        </w:rPr>
        <w:t>。</w:t>
      </w:r>
    </w:p>
    <w:p w14:paraId="4871E612">
      <w:pPr>
        <w:spacing w:line="360" w:lineRule="auto"/>
        <w:ind w:firstLine="420" w:firstLineChars="20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委托期限：自本委托书签署之日起至响应有效期期满。</w:t>
      </w:r>
    </w:p>
    <w:p w14:paraId="54940B2B">
      <w:pPr>
        <w:spacing w:line="360" w:lineRule="auto"/>
        <w:ind w:firstLine="420" w:firstLineChars="20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代理人无转委托权。</w:t>
      </w:r>
    </w:p>
    <w:p w14:paraId="4E7D472A">
      <w:pPr>
        <w:spacing w:line="360" w:lineRule="auto"/>
        <w:jc w:val="left"/>
        <w:rPr>
          <w:color w:val="000000" w:themeColor="text1"/>
          <w:szCs w:val="21"/>
          <w:highlight w:val="none"/>
          <w14:textFill>
            <w14:solidFill>
              <w14:schemeClr w14:val="tx1"/>
            </w14:solidFill>
          </w14:textFill>
        </w:rPr>
      </w:pPr>
    </w:p>
    <w:p w14:paraId="371FE83B">
      <w:pPr>
        <w:spacing w:line="360" w:lineRule="auto"/>
        <w:jc w:val="left"/>
        <w:rPr>
          <w:color w:val="000000" w:themeColor="text1"/>
          <w:szCs w:val="21"/>
          <w:highlight w:val="none"/>
          <w14:textFill>
            <w14:solidFill>
              <w14:schemeClr w14:val="tx1"/>
            </w14:solidFill>
          </w14:textFill>
        </w:rPr>
      </w:pPr>
    </w:p>
    <w:p w14:paraId="5E1CEE55">
      <w:pPr>
        <w:spacing w:line="360" w:lineRule="auto"/>
        <w:ind w:firstLine="3150" w:firstLineChars="15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响应单位：</w:t>
      </w:r>
      <w:r>
        <w:rPr>
          <w:color w:val="000000" w:themeColor="text1"/>
          <w:szCs w:val="21"/>
          <w:highlight w:val="none"/>
          <w:u w:val="single"/>
          <w14:textFill>
            <w14:solidFill>
              <w14:schemeClr w14:val="tx1"/>
            </w14:solidFill>
          </w14:textFill>
        </w:rPr>
        <w:t xml:space="preserve">                     (盖章)</w:t>
      </w:r>
    </w:p>
    <w:p w14:paraId="16F016FC">
      <w:pPr>
        <w:spacing w:line="360" w:lineRule="auto"/>
        <w:ind w:firstLine="3150" w:firstLineChars="1500"/>
        <w:jc w:val="left"/>
        <w:rPr>
          <w:color w:val="000000" w:themeColor="text1"/>
          <w:szCs w:val="21"/>
          <w:highlight w:val="none"/>
          <w14:textFill>
            <w14:solidFill>
              <w14:schemeClr w14:val="tx1"/>
            </w14:solidFill>
          </w14:textFill>
        </w:rPr>
      </w:pPr>
    </w:p>
    <w:p w14:paraId="13AE8ECD">
      <w:pPr>
        <w:spacing w:line="360" w:lineRule="auto"/>
        <w:ind w:firstLine="3150" w:firstLineChars="15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授权人：</w:t>
      </w:r>
      <w:r>
        <w:rPr>
          <w:color w:val="000000" w:themeColor="text1"/>
          <w:szCs w:val="21"/>
          <w:highlight w:val="none"/>
          <w:u w:val="single"/>
          <w14:textFill>
            <w14:solidFill>
              <w14:schemeClr w14:val="tx1"/>
            </w14:solidFill>
          </w14:textFill>
        </w:rPr>
        <w:t xml:space="preserve">                     (签字)</w:t>
      </w:r>
    </w:p>
    <w:p w14:paraId="2AA90C5D">
      <w:pPr>
        <w:spacing w:line="360" w:lineRule="auto"/>
        <w:ind w:firstLine="3150" w:firstLineChars="1500"/>
        <w:jc w:val="left"/>
        <w:rPr>
          <w:color w:val="000000" w:themeColor="text1"/>
          <w:szCs w:val="21"/>
          <w:highlight w:val="none"/>
          <w14:textFill>
            <w14:solidFill>
              <w14:schemeClr w14:val="tx1"/>
            </w14:solidFill>
          </w14:textFill>
        </w:rPr>
      </w:pPr>
    </w:p>
    <w:p w14:paraId="324C26F9">
      <w:pPr>
        <w:spacing w:line="360" w:lineRule="auto"/>
        <w:ind w:firstLine="3150" w:firstLineChars="1500"/>
        <w:jc w:val="left"/>
        <w:rPr>
          <w:color w:val="000000" w:themeColor="text1"/>
          <w:szCs w:val="21"/>
          <w:highlight w:val="none"/>
          <w:u w:val="single"/>
          <w14:textFill>
            <w14:solidFill>
              <w14:schemeClr w14:val="tx1"/>
            </w14:solidFill>
          </w14:textFill>
        </w:rPr>
      </w:pPr>
      <w:r>
        <w:rPr>
          <w:color w:val="000000" w:themeColor="text1"/>
          <w:szCs w:val="21"/>
          <w:highlight w:val="none"/>
          <w14:textFill>
            <w14:solidFill>
              <w14:schemeClr w14:val="tx1"/>
            </w14:solidFill>
          </w14:textFill>
        </w:rPr>
        <w:t>授权代理人：</w:t>
      </w:r>
      <w:r>
        <w:rPr>
          <w:color w:val="000000" w:themeColor="text1"/>
          <w:szCs w:val="21"/>
          <w:highlight w:val="none"/>
          <w:u w:val="single"/>
          <w14:textFill>
            <w14:solidFill>
              <w14:schemeClr w14:val="tx1"/>
            </w14:solidFill>
          </w14:textFill>
        </w:rPr>
        <w:t xml:space="preserve">                 (签字)</w:t>
      </w:r>
    </w:p>
    <w:p w14:paraId="2E7FFA78">
      <w:pPr>
        <w:spacing w:line="360" w:lineRule="auto"/>
        <w:ind w:firstLine="3150" w:firstLineChars="1500"/>
        <w:jc w:val="left"/>
        <w:rPr>
          <w:color w:val="000000" w:themeColor="text1"/>
          <w:szCs w:val="21"/>
          <w:highlight w:val="none"/>
          <w14:textFill>
            <w14:solidFill>
              <w14:schemeClr w14:val="tx1"/>
            </w14:solidFill>
          </w14:textFill>
        </w:rPr>
      </w:pPr>
    </w:p>
    <w:p w14:paraId="7EB8A987">
      <w:pPr>
        <w:spacing w:line="360" w:lineRule="auto"/>
        <w:ind w:firstLine="3150" w:firstLineChars="1500"/>
        <w:jc w:val="left"/>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授权委托人身份证号：</w:t>
      </w:r>
      <w:r>
        <w:rPr>
          <w:rFonts w:hint="eastAsia"/>
          <w:color w:val="000000" w:themeColor="text1"/>
          <w:szCs w:val="21"/>
          <w:highlight w:val="none"/>
          <w:u w:val="single"/>
          <w14:textFill>
            <w14:solidFill>
              <w14:schemeClr w14:val="tx1"/>
            </w14:solidFill>
          </w14:textFill>
        </w:rPr>
        <w:t xml:space="preserve">                        </w:t>
      </w:r>
    </w:p>
    <w:p w14:paraId="0D4C9B61">
      <w:pPr>
        <w:spacing w:line="360" w:lineRule="auto"/>
        <w:ind w:firstLine="3150" w:firstLineChars="1500"/>
        <w:jc w:val="left"/>
        <w:rPr>
          <w:color w:val="000000" w:themeColor="text1"/>
          <w:szCs w:val="21"/>
          <w:highlight w:val="none"/>
          <w14:textFill>
            <w14:solidFill>
              <w14:schemeClr w14:val="tx1"/>
            </w14:solidFill>
          </w14:textFill>
        </w:rPr>
      </w:pPr>
    </w:p>
    <w:p w14:paraId="4EF18B1D">
      <w:pPr>
        <w:spacing w:line="360" w:lineRule="auto"/>
        <w:ind w:firstLine="3150" w:firstLineChars="15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日　期：</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 xml:space="preserve">年 </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月</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日</w:t>
      </w:r>
    </w:p>
    <w:p w14:paraId="2372BE30">
      <w:pPr>
        <w:spacing w:line="360" w:lineRule="auto"/>
        <w:jc w:val="left"/>
        <w:rPr>
          <w:color w:val="000000" w:themeColor="text1"/>
          <w:szCs w:val="21"/>
          <w:highlight w:val="none"/>
          <w14:textFill>
            <w14:solidFill>
              <w14:schemeClr w14:val="tx1"/>
            </w14:solidFill>
          </w14:textFill>
        </w:rPr>
      </w:pPr>
    </w:p>
    <w:p w14:paraId="03F70B70">
      <w:pPr>
        <w:spacing w:line="360" w:lineRule="auto"/>
        <w:jc w:val="left"/>
        <w:rPr>
          <w:color w:val="000000" w:themeColor="text1"/>
          <w:szCs w:val="21"/>
          <w:highlight w:val="none"/>
          <w14:textFill>
            <w14:solidFill>
              <w14:schemeClr w14:val="tx1"/>
            </w14:solidFill>
          </w14:textFill>
        </w:rPr>
      </w:pPr>
    </w:p>
    <w:p w14:paraId="377E6C8E">
      <w:pPr>
        <w:spacing w:line="360" w:lineRule="auto"/>
        <w:jc w:val="left"/>
        <w:rPr>
          <w:color w:val="000000" w:themeColor="text1"/>
          <w:szCs w:val="21"/>
          <w:highlight w:val="none"/>
          <w14:textFill>
            <w14:solidFill>
              <w14:schemeClr w14:val="tx1"/>
            </w14:solidFill>
          </w14:textFill>
        </w:rPr>
      </w:pPr>
    </w:p>
    <w:p w14:paraId="08174527">
      <w:pPr>
        <w:spacing w:line="360" w:lineRule="auto"/>
        <w:jc w:val="left"/>
        <w:rPr>
          <w:color w:val="000000" w:themeColor="text1"/>
          <w:szCs w:val="21"/>
          <w:highlight w:val="none"/>
          <w14:textFill>
            <w14:solidFill>
              <w14:schemeClr w14:val="tx1"/>
            </w14:solidFill>
          </w14:textFill>
        </w:rPr>
      </w:pPr>
    </w:p>
    <w:p w14:paraId="7FC49A2B">
      <w:pPr>
        <w:spacing w:line="360" w:lineRule="auto"/>
        <w:jc w:val="left"/>
        <w:rPr>
          <w:color w:val="000000" w:themeColor="text1"/>
          <w:szCs w:val="21"/>
          <w:highlight w:val="none"/>
          <w14:textFill>
            <w14:solidFill>
              <w14:schemeClr w14:val="tx1"/>
            </w14:solidFill>
          </w14:textFill>
        </w:rPr>
      </w:pPr>
    </w:p>
    <w:p w14:paraId="345B5BE2">
      <w:pPr>
        <w:spacing w:line="360" w:lineRule="auto"/>
        <w:jc w:val="left"/>
        <w:rPr>
          <w:color w:val="000000" w:themeColor="text1"/>
          <w:szCs w:val="21"/>
          <w:highlight w:val="none"/>
          <w14:textFill>
            <w14:solidFill>
              <w14:schemeClr w14:val="tx1"/>
            </w14:solidFill>
          </w14:textFill>
        </w:rPr>
      </w:pPr>
    </w:p>
    <w:p w14:paraId="2FE0B51C">
      <w:pPr>
        <w:spacing w:line="360" w:lineRule="auto"/>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注：后附法定代表人身份证复印件及委托代理人身份证复印件（须在同一页）。</w:t>
      </w:r>
    </w:p>
    <w:p w14:paraId="5A90BC00">
      <w:pPr>
        <w:spacing w:line="360" w:lineRule="auto"/>
        <w:jc w:val="left"/>
        <w:rPr>
          <w:color w:val="000000" w:themeColor="text1"/>
          <w:szCs w:val="21"/>
          <w:highlight w:val="none"/>
          <w14:textFill>
            <w14:solidFill>
              <w14:schemeClr w14:val="tx1"/>
            </w14:solidFill>
          </w14:textFill>
        </w:rPr>
      </w:pPr>
    </w:p>
    <w:p w14:paraId="6CD2555F">
      <w:pPr>
        <w:spacing w:line="360" w:lineRule="auto"/>
        <w:jc w:val="left"/>
        <w:rPr>
          <w:color w:val="000000" w:themeColor="text1"/>
          <w:szCs w:val="21"/>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14ADD60D">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r>
        <w:rPr>
          <w:rStyle w:val="46"/>
          <w:rFonts w:ascii="Times New Roman" w:hAnsi="Times New Roman" w:eastAsia="宋体" w:cs="Times New Roman"/>
          <w:b/>
          <w:bCs w:val="0"/>
          <w:color w:val="000000" w:themeColor="text1"/>
          <w:szCs w:val="24"/>
          <w:highlight w:val="none"/>
          <w14:textFill>
            <w14:solidFill>
              <w14:schemeClr w14:val="tx1"/>
            </w14:solidFill>
          </w14:textFill>
        </w:rPr>
        <w:t>格式</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4</w:t>
      </w:r>
      <w:r>
        <w:rPr>
          <w:rStyle w:val="46"/>
          <w:rFonts w:ascii="Times New Roman" w:hAnsi="Times New Roman" w:eastAsia="宋体" w:cs="Times New Roman"/>
          <w:b/>
          <w:bCs w:val="0"/>
          <w:color w:val="000000" w:themeColor="text1"/>
          <w:szCs w:val="24"/>
          <w:highlight w:val="none"/>
          <w14:textFill>
            <w14:solidFill>
              <w14:schemeClr w14:val="tx1"/>
            </w14:solidFill>
          </w14:textFill>
        </w:rPr>
        <w:t xml:space="preserve">  </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响应担保</w:t>
      </w:r>
    </w:p>
    <w:p w14:paraId="6BF976C7">
      <w:pPr>
        <w:spacing w:line="360" w:lineRule="auto"/>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若采用现金或支票，响应单位应在此提供汇款凭证的复印件。</w:t>
      </w:r>
    </w:p>
    <w:p w14:paraId="5C4EAA20">
      <w:pPr>
        <w:spacing w:line="360" w:lineRule="auto"/>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如采用银行保函，银行保函复印件装订在响应文件中。</w:t>
      </w:r>
    </w:p>
    <w:p w14:paraId="50E174F3">
      <w:pPr>
        <w:spacing w:line="360" w:lineRule="auto"/>
        <w:jc w:val="left"/>
        <w:rPr>
          <w:color w:val="000000" w:themeColor="text1"/>
          <w:szCs w:val="21"/>
          <w:highlight w:val="none"/>
          <w14:textFill>
            <w14:solidFill>
              <w14:schemeClr w14:val="tx1"/>
            </w14:solidFill>
          </w14:textFill>
        </w:rPr>
      </w:pPr>
    </w:p>
    <w:p w14:paraId="74507A9F">
      <w:pPr>
        <w:spacing w:line="360" w:lineRule="auto"/>
        <w:jc w:val="left"/>
        <w:rPr>
          <w:color w:val="000000" w:themeColor="text1"/>
          <w:szCs w:val="21"/>
          <w:highlight w:val="none"/>
          <w14:textFill>
            <w14:solidFill>
              <w14:schemeClr w14:val="tx1"/>
            </w14:solidFill>
          </w14:textFill>
        </w:rPr>
      </w:pPr>
    </w:p>
    <w:p w14:paraId="4E7D18A0">
      <w:pPr>
        <w:spacing w:line="360" w:lineRule="auto"/>
        <w:jc w:val="left"/>
        <w:rPr>
          <w:color w:val="000000" w:themeColor="text1"/>
          <w:szCs w:val="21"/>
          <w:highlight w:val="none"/>
          <w14:textFill>
            <w14:solidFill>
              <w14:schemeClr w14:val="tx1"/>
            </w14:solidFill>
          </w14:textFill>
        </w:rPr>
      </w:pPr>
    </w:p>
    <w:p w14:paraId="5183A239">
      <w:pPr>
        <w:pStyle w:val="53"/>
        <w:spacing w:before="120"/>
        <w:rPr>
          <w:rStyle w:val="46"/>
          <w:rFonts w:ascii="Times New Roman" w:hAnsi="Times New Roman" w:eastAsia="宋体" w:cs="Times New Roman"/>
          <w:b/>
          <w:bCs/>
          <w:color w:val="000000" w:themeColor="text1"/>
          <w:szCs w:val="24"/>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5474F624">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r>
        <w:rPr>
          <w:rStyle w:val="46"/>
          <w:rFonts w:ascii="Times New Roman" w:hAnsi="Times New Roman" w:eastAsia="宋体" w:cs="Times New Roman"/>
          <w:b/>
          <w:bCs w:val="0"/>
          <w:color w:val="000000" w:themeColor="text1"/>
          <w:szCs w:val="24"/>
          <w:highlight w:val="none"/>
          <w14:textFill>
            <w14:solidFill>
              <w14:schemeClr w14:val="tx1"/>
            </w14:solidFill>
          </w14:textFill>
        </w:rPr>
        <w:t>格式</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5</w:t>
      </w:r>
      <w:r>
        <w:rPr>
          <w:rStyle w:val="46"/>
          <w:rFonts w:ascii="Times New Roman" w:hAnsi="Times New Roman" w:eastAsia="宋体" w:cs="Times New Roman"/>
          <w:b/>
          <w:bCs w:val="0"/>
          <w:color w:val="000000" w:themeColor="text1"/>
          <w:szCs w:val="24"/>
          <w:highlight w:val="none"/>
          <w14:textFill>
            <w14:solidFill>
              <w14:schemeClr w14:val="tx1"/>
            </w14:solidFill>
          </w14:textFill>
        </w:rPr>
        <w:t xml:space="preserve">  </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总报价</w:t>
      </w:r>
    </w:p>
    <w:p w14:paraId="26139739">
      <w:pPr>
        <w:spacing w:line="360" w:lineRule="auto"/>
        <w:jc w:val="center"/>
        <w:rPr>
          <w:b/>
          <w:color w:val="000000" w:themeColor="text1"/>
          <w:spacing w:val="80"/>
          <w:sz w:val="36"/>
          <w:szCs w:val="32"/>
          <w:highlight w:val="none"/>
          <w14:textFill>
            <w14:solidFill>
              <w14:schemeClr w14:val="tx1"/>
            </w14:solidFill>
          </w14:textFill>
        </w:rPr>
      </w:pPr>
      <w:r>
        <w:rPr>
          <w:b/>
          <w:color w:val="000000" w:themeColor="text1"/>
          <w:spacing w:val="80"/>
          <w:sz w:val="36"/>
          <w:szCs w:val="32"/>
          <w:highlight w:val="none"/>
          <w14:textFill>
            <w14:solidFill>
              <w14:schemeClr w14:val="tx1"/>
            </w14:solidFill>
          </w14:textFill>
        </w:rPr>
        <w:t>总报价</w:t>
      </w:r>
    </w:p>
    <w:tbl>
      <w:tblPr>
        <w:tblStyle w:val="31"/>
        <w:tblW w:w="7953" w:type="dxa"/>
        <w:jc w:val="center"/>
        <w:tblLayout w:type="autofit"/>
        <w:tblCellMar>
          <w:top w:w="0" w:type="dxa"/>
          <w:left w:w="108" w:type="dxa"/>
          <w:bottom w:w="0" w:type="dxa"/>
          <w:right w:w="108" w:type="dxa"/>
        </w:tblCellMar>
      </w:tblPr>
      <w:tblGrid>
        <w:gridCol w:w="1663"/>
        <w:gridCol w:w="481"/>
        <w:gridCol w:w="799"/>
        <w:gridCol w:w="2862"/>
        <w:gridCol w:w="2148"/>
      </w:tblGrid>
      <w:tr w14:paraId="3D9A0783">
        <w:tblPrEx>
          <w:tblCellMar>
            <w:top w:w="0" w:type="dxa"/>
            <w:left w:w="108" w:type="dxa"/>
            <w:bottom w:w="0" w:type="dxa"/>
            <w:right w:w="108" w:type="dxa"/>
          </w:tblCellMar>
        </w:tblPrEx>
        <w:trPr>
          <w:trHeight w:val="924" w:hRule="atLeast"/>
          <w:jc w:val="center"/>
        </w:trPr>
        <w:tc>
          <w:tcPr>
            <w:tcW w:w="1663" w:type="dxa"/>
            <w:vAlign w:val="bottom"/>
          </w:tcPr>
          <w:p w14:paraId="589D3EDF">
            <w:pPr>
              <w:spacing w:line="360" w:lineRule="auto"/>
              <w:jc w:val="distribute"/>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采购人</w:t>
            </w:r>
          </w:p>
        </w:tc>
        <w:tc>
          <w:tcPr>
            <w:tcW w:w="481" w:type="dxa"/>
            <w:vAlign w:val="bottom"/>
          </w:tcPr>
          <w:p w14:paraId="2381D0B2">
            <w:pPr>
              <w:spacing w:line="360" w:lineRule="auto"/>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w:t>
            </w:r>
          </w:p>
        </w:tc>
        <w:tc>
          <w:tcPr>
            <w:tcW w:w="5809" w:type="dxa"/>
            <w:gridSpan w:val="3"/>
            <w:tcBorders>
              <w:bottom w:val="single" w:color="auto" w:sz="4" w:space="0"/>
            </w:tcBorders>
            <w:vAlign w:val="bottom"/>
          </w:tcPr>
          <w:p w14:paraId="463014C8">
            <w:pPr>
              <w:spacing w:line="360" w:lineRule="auto"/>
              <w:jc w:val="left"/>
              <w:rPr>
                <w:rFonts w:hint="eastAsia" w:ascii="宋体" w:hAnsi="宋体"/>
                <w:color w:val="000000" w:themeColor="text1"/>
                <w:sz w:val="24"/>
                <w:highlight w:val="none"/>
                <w14:textFill>
                  <w14:solidFill>
                    <w14:schemeClr w14:val="tx1"/>
                  </w14:solidFill>
                </w14:textFill>
              </w:rPr>
            </w:pPr>
          </w:p>
        </w:tc>
      </w:tr>
      <w:tr w14:paraId="33E58395">
        <w:tblPrEx>
          <w:tblCellMar>
            <w:top w:w="0" w:type="dxa"/>
            <w:left w:w="108" w:type="dxa"/>
            <w:bottom w:w="0" w:type="dxa"/>
            <w:right w:w="108" w:type="dxa"/>
          </w:tblCellMar>
        </w:tblPrEx>
        <w:trPr>
          <w:trHeight w:val="924" w:hRule="atLeast"/>
          <w:jc w:val="center"/>
        </w:trPr>
        <w:tc>
          <w:tcPr>
            <w:tcW w:w="1663" w:type="dxa"/>
            <w:vAlign w:val="bottom"/>
          </w:tcPr>
          <w:p w14:paraId="591EF1AC">
            <w:pPr>
              <w:spacing w:line="360" w:lineRule="auto"/>
              <w:jc w:val="distribute"/>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工程名称</w:t>
            </w:r>
          </w:p>
        </w:tc>
        <w:tc>
          <w:tcPr>
            <w:tcW w:w="481" w:type="dxa"/>
            <w:vAlign w:val="bottom"/>
          </w:tcPr>
          <w:p w14:paraId="132A3F76">
            <w:pPr>
              <w:spacing w:line="360" w:lineRule="auto"/>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w:t>
            </w:r>
          </w:p>
        </w:tc>
        <w:tc>
          <w:tcPr>
            <w:tcW w:w="5809" w:type="dxa"/>
            <w:gridSpan w:val="3"/>
            <w:tcBorders>
              <w:top w:val="single" w:color="auto" w:sz="4" w:space="0"/>
              <w:bottom w:val="single" w:color="auto" w:sz="4" w:space="0"/>
            </w:tcBorders>
            <w:vAlign w:val="bottom"/>
          </w:tcPr>
          <w:p w14:paraId="56D13B87">
            <w:pPr>
              <w:spacing w:line="360" w:lineRule="auto"/>
              <w:jc w:val="left"/>
              <w:rPr>
                <w:rFonts w:hint="eastAsia" w:ascii="宋体" w:hAnsi="宋体"/>
                <w:color w:val="000000" w:themeColor="text1"/>
                <w:sz w:val="24"/>
                <w:highlight w:val="none"/>
                <w14:textFill>
                  <w14:solidFill>
                    <w14:schemeClr w14:val="tx1"/>
                  </w14:solidFill>
                </w14:textFill>
              </w:rPr>
            </w:pPr>
          </w:p>
        </w:tc>
      </w:tr>
      <w:tr w14:paraId="687B88B2">
        <w:tblPrEx>
          <w:tblCellMar>
            <w:top w:w="0" w:type="dxa"/>
            <w:left w:w="108" w:type="dxa"/>
            <w:bottom w:w="0" w:type="dxa"/>
            <w:right w:w="108" w:type="dxa"/>
          </w:tblCellMar>
        </w:tblPrEx>
        <w:trPr>
          <w:trHeight w:val="924" w:hRule="atLeast"/>
          <w:jc w:val="center"/>
        </w:trPr>
        <w:tc>
          <w:tcPr>
            <w:tcW w:w="1663" w:type="dxa"/>
            <w:vAlign w:val="bottom"/>
          </w:tcPr>
          <w:p w14:paraId="06F5C74B">
            <w:pPr>
              <w:spacing w:line="360" w:lineRule="auto"/>
              <w:jc w:val="distribute"/>
              <w:rPr>
                <w:rFonts w:hint="eastAsia" w:ascii="宋体" w:hAnsi="宋体"/>
                <w:color w:val="000000" w:themeColor="text1"/>
                <w:sz w:val="24"/>
                <w:highlight w:val="none"/>
                <w14:textFill>
                  <w14:solidFill>
                    <w14:schemeClr w14:val="tx1"/>
                  </w14:solidFill>
                </w14:textFill>
              </w:rPr>
            </w:pPr>
          </w:p>
          <w:p w14:paraId="1DEB4BC2">
            <w:pPr>
              <w:spacing w:line="360" w:lineRule="auto"/>
              <w:jc w:val="distribute"/>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不含增值税</w:t>
            </w:r>
          </w:p>
          <w:p w14:paraId="66C61E33">
            <w:pPr>
              <w:spacing w:line="360" w:lineRule="auto"/>
              <w:jc w:val="distribute"/>
              <w:rPr>
                <w:rFonts w:hint="eastAsia"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总报价</w:t>
            </w:r>
          </w:p>
        </w:tc>
        <w:tc>
          <w:tcPr>
            <w:tcW w:w="1280" w:type="dxa"/>
            <w:gridSpan w:val="2"/>
            <w:vAlign w:val="bottom"/>
          </w:tcPr>
          <w:p w14:paraId="59818ABA">
            <w:pPr>
              <w:spacing w:line="360" w:lineRule="auto"/>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(小写)：</w:t>
            </w:r>
          </w:p>
        </w:tc>
        <w:tc>
          <w:tcPr>
            <w:tcW w:w="5010" w:type="dxa"/>
            <w:gridSpan w:val="2"/>
            <w:tcBorders>
              <w:bottom w:val="single" w:color="auto" w:sz="4" w:space="0"/>
            </w:tcBorders>
            <w:vAlign w:val="bottom"/>
          </w:tcPr>
          <w:p w14:paraId="59B3F99B">
            <w:pPr>
              <w:spacing w:line="360" w:lineRule="auto"/>
              <w:jc w:val="left"/>
              <w:rPr>
                <w:rFonts w:hint="eastAsia" w:ascii="宋体" w:hAnsi="宋体"/>
                <w:color w:val="000000" w:themeColor="text1"/>
                <w:sz w:val="24"/>
                <w:highlight w:val="none"/>
                <w14:textFill>
                  <w14:solidFill>
                    <w14:schemeClr w14:val="tx1"/>
                  </w14:solidFill>
                </w14:textFill>
              </w:rPr>
            </w:pPr>
          </w:p>
        </w:tc>
      </w:tr>
      <w:tr w14:paraId="41588482">
        <w:tblPrEx>
          <w:tblCellMar>
            <w:top w:w="0" w:type="dxa"/>
            <w:left w:w="108" w:type="dxa"/>
            <w:bottom w:w="0" w:type="dxa"/>
            <w:right w:w="108" w:type="dxa"/>
          </w:tblCellMar>
        </w:tblPrEx>
        <w:trPr>
          <w:trHeight w:val="924" w:hRule="atLeast"/>
          <w:jc w:val="center"/>
        </w:trPr>
        <w:tc>
          <w:tcPr>
            <w:tcW w:w="1663" w:type="dxa"/>
            <w:vAlign w:val="bottom"/>
          </w:tcPr>
          <w:p w14:paraId="66380940">
            <w:pPr>
              <w:spacing w:line="360" w:lineRule="auto"/>
              <w:jc w:val="distribute"/>
              <w:rPr>
                <w:rFonts w:hint="eastAsia" w:ascii="宋体" w:hAnsi="宋体"/>
                <w:color w:val="000000" w:themeColor="text1"/>
                <w:sz w:val="24"/>
                <w:highlight w:val="none"/>
                <w14:textFill>
                  <w14:solidFill>
                    <w14:schemeClr w14:val="tx1"/>
                  </w14:solidFill>
                </w14:textFill>
              </w:rPr>
            </w:pPr>
          </w:p>
        </w:tc>
        <w:tc>
          <w:tcPr>
            <w:tcW w:w="1280" w:type="dxa"/>
            <w:gridSpan w:val="2"/>
            <w:vAlign w:val="bottom"/>
          </w:tcPr>
          <w:p w14:paraId="0EC7CE5E">
            <w:pPr>
              <w:spacing w:line="360" w:lineRule="auto"/>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(大写)：</w:t>
            </w:r>
          </w:p>
        </w:tc>
        <w:tc>
          <w:tcPr>
            <w:tcW w:w="5010" w:type="dxa"/>
            <w:gridSpan w:val="2"/>
            <w:tcBorders>
              <w:top w:val="single" w:color="auto" w:sz="4" w:space="0"/>
              <w:bottom w:val="single" w:color="auto" w:sz="4" w:space="0"/>
            </w:tcBorders>
            <w:vAlign w:val="bottom"/>
          </w:tcPr>
          <w:p w14:paraId="2244B821">
            <w:pPr>
              <w:spacing w:line="360" w:lineRule="auto"/>
              <w:jc w:val="left"/>
              <w:rPr>
                <w:rFonts w:hint="eastAsia" w:ascii="宋体" w:hAnsi="宋体"/>
                <w:color w:val="000000" w:themeColor="text1"/>
                <w:sz w:val="24"/>
                <w:highlight w:val="none"/>
                <w14:textFill>
                  <w14:solidFill>
                    <w14:schemeClr w14:val="tx1"/>
                  </w14:solidFill>
                </w14:textFill>
              </w:rPr>
            </w:pPr>
          </w:p>
        </w:tc>
      </w:tr>
      <w:tr w14:paraId="157F9269">
        <w:tblPrEx>
          <w:tblCellMar>
            <w:top w:w="0" w:type="dxa"/>
            <w:left w:w="108" w:type="dxa"/>
            <w:bottom w:w="0" w:type="dxa"/>
            <w:right w:w="108" w:type="dxa"/>
          </w:tblCellMar>
        </w:tblPrEx>
        <w:trPr>
          <w:trHeight w:val="924" w:hRule="atLeast"/>
          <w:jc w:val="center"/>
        </w:trPr>
        <w:tc>
          <w:tcPr>
            <w:tcW w:w="1663" w:type="dxa"/>
            <w:vAlign w:val="bottom"/>
          </w:tcPr>
          <w:p w14:paraId="7BE043BE">
            <w:pPr>
              <w:spacing w:line="360" w:lineRule="auto"/>
              <w:jc w:val="distribute"/>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总报价</w:t>
            </w:r>
          </w:p>
        </w:tc>
        <w:tc>
          <w:tcPr>
            <w:tcW w:w="1280" w:type="dxa"/>
            <w:gridSpan w:val="2"/>
            <w:vAlign w:val="bottom"/>
          </w:tcPr>
          <w:p w14:paraId="6593CC07">
            <w:pPr>
              <w:spacing w:line="360" w:lineRule="auto"/>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(小写)：</w:t>
            </w:r>
          </w:p>
        </w:tc>
        <w:tc>
          <w:tcPr>
            <w:tcW w:w="5010" w:type="dxa"/>
            <w:gridSpan w:val="2"/>
            <w:tcBorders>
              <w:top w:val="single" w:color="auto" w:sz="4" w:space="0"/>
              <w:bottom w:val="single" w:color="auto" w:sz="4" w:space="0"/>
            </w:tcBorders>
            <w:vAlign w:val="bottom"/>
          </w:tcPr>
          <w:p w14:paraId="72071A0E">
            <w:pPr>
              <w:spacing w:line="360" w:lineRule="auto"/>
              <w:jc w:val="left"/>
              <w:rPr>
                <w:rFonts w:hint="eastAsia" w:ascii="宋体" w:hAnsi="宋体"/>
                <w:color w:val="000000" w:themeColor="text1"/>
                <w:sz w:val="24"/>
                <w:highlight w:val="none"/>
                <w14:textFill>
                  <w14:solidFill>
                    <w14:schemeClr w14:val="tx1"/>
                  </w14:solidFill>
                </w14:textFill>
              </w:rPr>
            </w:pPr>
          </w:p>
        </w:tc>
      </w:tr>
      <w:tr w14:paraId="79085892">
        <w:tblPrEx>
          <w:tblCellMar>
            <w:top w:w="0" w:type="dxa"/>
            <w:left w:w="108" w:type="dxa"/>
            <w:bottom w:w="0" w:type="dxa"/>
            <w:right w:w="108" w:type="dxa"/>
          </w:tblCellMar>
        </w:tblPrEx>
        <w:trPr>
          <w:trHeight w:val="924" w:hRule="atLeast"/>
          <w:jc w:val="center"/>
        </w:trPr>
        <w:tc>
          <w:tcPr>
            <w:tcW w:w="1663" w:type="dxa"/>
            <w:vAlign w:val="bottom"/>
          </w:tcPr>
          <w:p w14:paraId="5A207B6B">
            <w:pPr>
              <w:spacing w:line="360" w:lineRule="auto"/>
              <w:jc w:val="distribute"/>
              <w:rPr>
                <w:rFonts w:hint="eastAsia" w:ascii="宋体" w:hAnsi="宋体"/>
                <w:color w:val="000000" w:themeColor="text1"/>
                <w:sz w:val="24"/>
                <w:highlight w:val="none"/>
                <w14:textFill>
                  <w14:solidFill>
                    <w14:schemeClr w14:val="tx1"/>
                  </w14:solidFill>
                </w14:textFill>
              </w:rPr>
            </w:pPr>
          </w:p>
        </w:tc>
        <w:tc>
          <w:tcPr>
            <w:tcW w:w="1280" w:type="dxa"/>
            <w:gridSpan w:val="2"/>
            <w:vAlign w:val="bottom"/>
          </w:tcPr>
          <w:p w14:paraId="2B2B9755">
            <w:pPr>
              <w:spacing w:line="360" w:lineRule="auto"/>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(大写)：</w:t>
            </w:r>
          </w:p>
        </w:tc>
        <w:tc>
          <w:tcPr>
            <w:tcW w:w="5010" w:type="dxa"/>
            <w:gridSpan w:val="2"/>
            <w:tcBorders>
              <w:top w:val="single" w:color="auto" w:sz="4" w:space="0"/>
              <w:bottom w:val="single" w:color="auto" w:sz="4" w:space="0"/>
            </w:tcBorders>
            <w:vAlign w:val="bottom"/>
          </w:tcPr>
          <w:p w14:paraId="42595B17">
            <w:pPr>
              <w:spacing w:line="360" w:lineRule="auto"/>
              <w:jc w:val="left"/>
              <w:rPr>
                <w:rFonts w:hint="eastAsia" w:ascii="宋体" w:hAnsi="宋体"/>
                <w:color w:val="000000" w:themeColor="text1"/>
                <w:sz w:val="24"/>
                <w:highlight w:val="none"/>
                <w14:textFill>
                  <w14:solidFill>
                    <w14:schemeClr w14:val="tx1"/>
                  </w14:solidFill>
                </w14:textFill>
              </w:rPr>
            </w:pPr>
          </w:p>
        </w:tc>
      </w:tr>
      <w:tr w14:paraId="58640483">
        <w:tblPrEx>
          <w:tblCellMar>
            <w:top w:w="0" w:type="dxa"/>
            <w:left w:w="108" w:type="dxa"/>
            <w:bottom w:w="0" w:type="dxa"/>
            <w:right w:w="108" w:type="dxa"/>
          </w:tblCellMar>
        </w:tblPrEx>
        <w:trPr>
          <w:trHeight w:val="3004" w:hRule="atLeast"/>
          <w:jc w:val="center"/>
        </w:trPr>
        <w:tc>
          <w:tcPr>
            <w:tcW w:w="1663" w:type="dxa"/>
            <w:vAlign w:val="bottom"/>
          </w:tcPr>
          <w:p w14:paraId="503AC35D">
            <w:pPr>
              <w:spacing w:line="360" w:lineRule="auto"/>
              <w:jc w:val="distribute"/>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响应单位</w:t>
            </w:r>
          </w:p>
        </w:tc>
        <w:tc>
          <w:tcPr>
            <w:tcW w:w="481" w:type="dxa"/>
            <w:vAlign w:val="bottom"/>
          </w:tcPr>
          <w:p w14:paraId="79659708">
            <w:pPr>
              <w:spacing w:line="360" w:lineRule="auto"/>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w:t>
            </w:r>
          </w:p>
        </w:tc>
        <w:tc>
          <w:tcPr>
            <w:tcW w:w="3661" w:type="dxa"/>
            <w:gridSpan w:val="2"/>
            <w:tcBorders>
              <w:bottom w:val="single" w:color="auto" w:sz="4" w:space="0"/>
            </w:tcBorders>
            <w:vAlign w:val="bottom"/>
          </w:tcPr>
          <w:p w14:paraId="495FFC5A">
            <w:pPr>
              <w:spacing w:line="360" w:lineRule="auto"/>
              <w:jc w:val="left"/>
              <w:rPr>
                <w:rFonts w:hint="eastAsia" w:ascii="宋体" w:hAnsi="宋体"/>
                <w:color w:val="000000" w:themeColor="text1"/>
                <w:sz w:val="24"/>
                <w:highlight w:val="none"/>
                <w14:textFill>
                  <w14:solidFill>
                    <w14:schemeClr w14:val="tx1"/>
                  </w14:solidFill>
                </w14:textFill>
              </w:rPr>
            </w:pPr>
          </w:p>
        </w:tc>
        <w:tc>
          <w:tcPr>
            <w:tcW w:w="2148" w:type="dxa"/>
            <w:vAlign w:val="bottom"/>
          </w:tcPr>
          <w:p w14:paraId="0260D8A6">
            <w:pPr>
              <w:spacing w:line="360" w:lineRule="auto"/>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(单位签字盖章)</w:t>
            </w:r>
          </w:p>
        </w:tc>
      </w:tr>
      <w:tr w14:paraId="7A56A87C">
        <w:tblPrEx>
          <w:tblCellMar>
            <w:top w:w="0" w:type="dxa"/>
            <w:left w:w="108" w:type="dxa"/>
            <w:bottom w:w="0" w:type="dxa"/>
            <w:right w:w="108" w:type="dxa"/>
          </w:tblCellMar>
        </w:tblPrEx>
        <w:trPr>
          <w:trHeight w:val="1488" w:hRule="atLeast"/>
          <w:jc w:val="center"/>
        </w:trPr>
        <w:tc>
          <w:tcPr>
            <w:tcW w:w="1663" w:type="dxa"/>
            <w:vAlign w:val="bottom"/>
          </w:tcPr>
          <w:p w14:paraId="100DF5E1">
            <w:pPr>
              <w:spacing w:line="360" w:lineRule="auto"/>
              <w:jc w:val="distribute"/>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法定代表人</w:t>
            </w:r>
          </w:p>
        </w:tc>
        <w:tc>
          <w:tcPr>
            <w:tcW w:w="481" w:type="dxa"/>
            <w:vAlign w:val="bottom"/>
          </w:tcPr>
          <w:p w14:paraId="029E6C85">
            <w:pPr>
              <w:spacing w:line="360" w:lineRule="auto"/>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w:t>
            </w:r>
          </w:p>
        </w:tc>
        <w:tc>
          <w:tcPr>
            <w:tcW w:w="3661" w:type="dxa"/>
            <w:gridSpan w:val="2"/>
            <w:tcBorders>
              <w:top w:val="single" w:color="auto" w:sz="4" w:space="0"/>
              <w:bottom w:val="single" w:color="auto" w:sz="4" w:space="0"/>
            </w:tcBorders>
            <w:vAlign w:val="bottom"/>
          </w:tcPr>
          <w:p w14:paraId="12B5CB23">
            <w:pPr>
              <w:spacing w:line="360" w:lineRule="auto"/>
              <w:jc w:val="center"/>
              <w:rPr>
                <w:rFonts w:hint="eastAsia" w:ascii="宋体" w:hAnsi="宋体"/>
                <w:color w:val="000000" w:themeColor="text1"/>
                <w:sz w:val="24"/>
                <w:highlight w:val="none"/>
                <w14:textFill>
                  <w14:solidFill>
                    <w14:schemeClr w14:val="tx1"/>
                  </w14:solidFill>
                </w14:textFill>
              </w:rPr>
            </w:pPr>
          </w:p>
        </w:tc>
        <w:tc>
          <w:tcPr>
            <w:tcW w:w="2148" w:type="dxa"/>
            <w:vAlign w:val="bottom"/>
          </w:tcPr>
          <w:p w14:paraId="633EC69F">
            <w:pPr>
              <w:spacing w:line="360" w:lineRule="auto"/>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(签字盖章)</w:t>
            </w:r>
          </w:p>
        </w:tc>
      </w:tr>
      <w:tr w14:paraId="41C8AEE3">
        <w:tblPrEx>
          <w:tblCellMar>
            <w:top w:w="0" w:type="dxa"/>
            <w:left w:w="108" w:type="dxa"/>
            <w:bottom w:w="0" w:type="dxa"/>
            <w:right w:w="108" w:type="dxa"/>
          </w:tblCellMar>
        </w:tblPrEx>
        <w:trPr>
          <w:trHeight w:val="1488" w:hRule="atLeast"/>
          <w:jc w:val="center"/>
        </w:trPr>
        <w:tc>
          <w:tcPr>
            <w:tcW w:w="1663" w:type="dxa"/>
            <w:vAlign w:val="bottom"/>
          </w:tcPr>
          <w:p w14:paraId="698A9E5F">
            <w:pPr>
              <w:spacing w:line="360" w:lineRule="auto"/>
              <w:jc w:val="distribute"/>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编制时间</w:t>
            </w:r>
          </w:p>
        </w:tc>
        <w:tc>
          <w:tcPr>
            <w:tcW w:w="481" w:type="dxa"/>
            <w:vAlign w:val="bottom"/>
          </w:tcPr>
          <w:p w14:paraId="05EA9023">
            <w:pPr>
              <w:spacing w:line="360" w:lineRule="auto"/>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w:t>
            </w:r>
          </w:p>
        </w:tc>
        <w:tc>
          <w:tcPr>
            <w:tcW w:w="3661" w:type="dxa"/>
            <w:gridSpan w:val="2"/>
            <w:tcBorders>
              <w:top w:val="single" w:color="auto" w:sz="4" w:space="0"/>
              <w:bottom w:val="single" w:color="auto" w:sz="4" w:space="0"/>
            </w:tcBorders>
            <w:vAlign w:val="bottom"/>
          </w:tcPr>
          <w:p w14:paraId="12A8383A">
            <w:pPr>
              <w:spacing w:line="360" w:lineRule="auto"/>
              <w:jc w:val="center"/>
              <w:rPr>
                <w:rFonts w:hint="eastAsia" w:ascii="宋体" w:hAnsi="宋体"/>
                <w:color w:val="000000" w:themeColor="text1"/>
                <w:sz w:val="24"/>
                <w:highlight w:val="none"/>
                <w14:textFill>
                  <w14:solidFill>
                    <w14:schemeClr w14:val="tx1"/>
                  </w14:solidFill>
                </w14:textFill>
              </w:rPr>
            </w:pPr>
          </w:p>
        </w:tc>
        <w:tc>
          <w:tcPr>
            <w:tcW w:w="2148" w:type="dxa"/>
            <w:vAlign w:val="bottom"/>
          </w:tcPr>
          <w:p w14:paraId="5A81D4AC">
            <w:pPr>
              <w:spacing w:line="360" w:lineRule="auto"/>
              <w:jc w:val="center"/>
              <w:rPr>
                <w:rFonts w:hint="eastAsia" w:ascii="宋体" w:hAnsi="宋体"/>
                <w:color w:val="000000" w:themeColor="text1"/>
                <w:sz w:val="24"/>
                <w:highlight w:val="none"/>
                <w14:textFill>
                  <w14:solidFill>
                    <w14:schemeClr w14:val="tx1"/>
                  </w14:solidFill>
                </w14:textFill>
              </w:rPr>
            </w:pPr>
          </w:p>
        </w:tc>
      </w:tr>
    </w:tbl>
    <w:p w14:paraId="4AEA2397">
      <w:pPr>
        <w:rPr>
          <w:rStyle w:val="46"/>
          <w:rFonts w:ascii="Times New Roman" w:hAnsi="Times New Roman" w:eastAsia="宋体"/>
          <w:b w:val="0"/>
          <w:color w:val="000000" w:themeColor="text1"/>
          <w:highlight w:val="none"/>
          <w14:textFill>
            <w14:solidFill>
              <w14:schemeClr w14:val="tx1"/>
            </w14:solidFill>
          </w14:textFill>
        </w:rPr>
      </w:pPr>
    </w:p>
    <w:p w14:paraId="60863C11">
      <w:pPr>
        <w:rPr>
          <w:rStyle w:val="46"/>
          <w:rFonts w:ascii="Times New Roman" w:hAnsi="Times New Roman" w:eastAsia="宋体"/>
          <w:b w:val="0"/>
          <w:color w:val="000000" w:themeColor="text1"/>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04EA75D1">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r>
        <w:rPr>
          <w:rStyle w:val="46"/>
          <w:rFonts w:ascii="Times New Roman" w:hAnsi="Times New Roman" w:eastAsia="宋体" w:cs="Times New Roman"/>
          <w:b/>
          <w:bCs w:val="0"/>
          <w:color w:val="000000" w:themeColor="text1"/>
          <w:szCs w:val="24"/>
          <w:highlight w:val="none"/>
          <w14:textFill>
            <w14:solidFill>
              <w14:schemeClr w14:val="tx1"/>
            </w14:solidFill>
          </w14:textFill>
        </w:rPr>
        <w:t>格式</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6</w:t>
      </w:r>
      <w:r>
        <w:rPr>
          <w:rStyle w:val="46"/>
          <w:rFonts w:ascii="Times New Roman" w:hAnsi="Times New Roman" w:eastAsia="宋体" w:cs="Times New Roman"/>
          <w:b/>
          <w:bCs w:val="0"/>
          <w:color w:val="000000" w:themeColor="text1"/>
          <w:szCs w:val="24"/>
          <w:highlight w:val="none"/>
          <w14:textFill>
            <w14:solidFill>
              <w14:schemeClr w14:val="tx1"/>
            </w14:solidFill>
          </w14:textFill>
        </w:rPr>
        <w:t xml:space="preserve">  </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工程量清单报价格式见第五篇第二章相应格式</w:t>
      </w:r>
    </w:p>
    <w:p w14:paraId="31B67A7D">
      <w:pPr>
        <w:rPr>
          <w:color w:val="000000" w:themeColor="text1"/>
          <w:highlight w:val="none"/>
          <w14:textFill>
            <w14:solidFill>
              <w14:schemeClr w14:val="tx1"/>
            </w14:solidFill>
          </w14:textFill>
        </w:rPr>
      </w:pPr>
    </w:p>
    <w:p w14:paraId="4085E3A7">
      <w:pPr>
        <w:rPr>
          <w:color w:val="000000" w:themeColor="text1"/>
          <w:highlight w:val="none"/>
          <w14:textFill>
            <w14:solidFill>
              <w14:schemeClr w14:val="tx1"/>
            </w14:solidFill>
          </w14:textFill>
        </w:rPr>
      </w:pPr>
    </w:p>
    <w:p w14:paraId="6B7B5A21">
      <w:pPr>
        <w:rPr>
          <w:rStyle w:val="46"/>
          <w:rFonts w:ascii="Times New Roman" w:hAnsi="Times New Roman" w:eastAsia="宋体"/>
          <w:color w:val="000000" w:themeColor="text1"/>
          <w:sz w:val="28"/>
          <w:szCs w:val="28"/>
          <w:highlight w:val="none"/>
          <w14:textFill>
            <w14:solidFill>
              <w14:schemeClr w14:val="tx1"/>
            </w14:solidFill>
          </w14:textFill>
        </w:rPr>
      </w:pPr>
      <w:r>
        <w:rPr>
          <w:rStyle w:val="46"/>
          <w:rFonts w:hint="eastAsia" w:ascii="Times New Roman" w:hAnsi="Times New Roman" w:eastAsia="宋体"/>
          <w:color w:val="000000" w:themeColor="text1"/>
          <w:sz w:val="28"/>
          <w:szCs w:val="28"/>
          <w:highlight w:val="none"/>
          <w14:textFill>
            <w14:solidFill>
              <w14:schemeClr w14:val="tx1"/>
            </w14:solidFill>
          </w14:textFill>
        </w:rPr>
        <w:t>报价格式见第五篇第二章相应格式</w:t>
      </w:r>
    </w:p>
    <w:p w14:paraId="763D835E">
      <w:pPr>
        <w:rPr>
          <w:color w:val="000000" w:themeColor="text1"/>
          <w:highlight w:val="none"/>
          <w14:textFill>
            <w14:solidFill>
              <w14:schemeClr w14:val="tx1"/>
            </w14:solidFill>
          </w14:textFill>
        </w:rPr>
      </w:pPr>
    </w:p>
    <w:p w14:paraId="30E5B632">
      <w:pPr>
        <w:rPr>
          <w:color w:val="000000" w:themeColor="text1"/>
          <w:highlight w:val="none"/>
          <w14:textFill>
            <w14:solidFill>
              <w14:schemeClr w14:val="tx1"/>
            </w14:solidFill>
          </w14:textFill>
        </w:rPr>
      </w:pPr>
    </w:p>
    <w:p w14:paraId="778B582E">
      <w:pPr>
        <w:rPr>
          <w:color w:val="000000" w:themeColor="text1"/>
          <w:highlight w:val="none"/>
          <w14:textFill>
            <w14:solidFill>
              <w14:schemeClr w14:val="tx1"/>
            </w14:solidFill>
          </w14:textFill>
        </w:rPr>
      </w:pPr>
    </w:p>
    <w:p w14:paraId="37C2C982">
      <w:pPr>
        <w:rPr>
          <w:color w:val="000000" w:themeColor="text1"/>
          <w:highlight w:val="none"/>
          <w14:textFill>
            <w14:solidFill>
              <w14:schemeClr w14:val="tx1"/>
            </w14:solidFill>
          </w14:textFill>
        </w:rPr>
      </w:pPr>
    </w:p>
    <w:p w14:paraId="46B9502D">
      <w:pPr>
        <w:rPr>
          <w:color w:val="000000" w:themeColor="text1"/>
          <w:highlight w:val="none"/>
          <w14:textFill>
            <w14:solidFill>
              <w14:schemeClr w14:val="tx1"/>
            </w14:solidFill>
          </w14:textFill>
        </w:rPr>
      </w:pPr>
    </w:p>
    <w:p w14:paraId="4E45A0EB">
      <w:pPr>
        <w:rPr>
          <w:color w:val="000000" w:themeColor="text1"/>
          <w:highlight w:val="none"/>
          <w14:textFill>
            <w14:solidFill>
              <w14:schemeClr w14:val="tx1"/>
            </w14:solidFill>
          </w14:textFill>
        </w:rPr>
      </w:pPr>
    </w:p>
    <w:p w14:paraId="603B37A7">
      <w:pPr>
        <w:rPr>
          <w:color w:val="000000" w:themeColor="text1"/>
          <w:highlight w:val="none"/>
          <w14:textFill>
            <w14:solidFill>
              <w14:schemeClr w14:val="tx1"/>
            </w14:solidFill>
          </w14:textFill>
        </w:rPr>
      </w:pPr>
    </w:p>
    <w:p w14:paraId="5AD2EB2A">
      <w:pPr>
        <w:rPr>
          <w:color w:val="000000" w:themeColor="text1"/>
          <w:highlight w:val="none"/>
          <w14:textFill>
            <w14:solidFill>
              <w14:schemeClr w14:val="tx1"/>
            </w14:solidFill>
          </w14:textFill>
        </w:rPr>
      </w:pPr>
    </w:p>
    <w:p w14:paraId="6894A0DE">
      <w:pPr>
        <w:rPr>
          <w:color w:val="000000" w:themeColor="text1"/>
          <w:highlight w:val="none"/>
          <w14:textFill>
            <w14:solidFill>
              <w14:schemeClr w14:val="tx1"/>
            </w14:solidFill>
          </w14:textFill>
        </w:rPr>
      </w:pPr>
    </w:p>
    <w:p w14:paraId="1E341ADA">
      <w:pPr>
        <w:pStyle w:val="3"/>
        <w:spacing w:before="240" w:beforeLines="100" w:after="120" w:afterLines="50" w:line="360" w:lineRule="auto"/>
        <w:jc w:val="center"/>
        <w:rPr>
          <w:rStyle w:val="46"/>
          <w:rFonts w:ascii="Times New Roman" w:hAnsi="Times New Roman" w:eastAsia="宋体"/>
          <w:b/>
          <w:bCs/>
          <w:color w:val="000000" w:themeColor="text1"/>
          <w:sz w:val="28"/>
          <w:szCs w:val="28"/>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0D3C8F85">
      <w:pPr>
        <w:pStyle w:val="3"/>
        <w:spacing w:before="240" w:beforeLines="100" w:after="120" w:afterLines="50" w:line="360" w:lineRule="auto"/>
        <w:jc w:val="center"/>
        <w:rPr>
          <w:rStyle w:val="46"/>
          <w:rFonts w:ascii="Times New Roman" w:hAnsi="Times New Roman" w:eastAsia="宋体"/>
          <w:b/>
          <w:bCs w:val="0"/>
          <w:color w:val="000000" w:themeColor="text1"/>
          <w:sz w:val="32"/>
          <w:highlight w:val="none"/>
          <w14:textFill>
            <w14:solidFill>
              <w14:schemeClr w14:val="tx1"/>
            </w14:solidFill>
          </w14:textFill>
        </w:rPr>
      </w:pPr>
      <w:r>
        <w:rPr>
          <w:rStyle w:val="46"/>
          <w:rFonts w:ascii="Times New Roman" w:hAnsi="Times New Roman" w:eastAsia="宋体"/>
          <w:b/>
          <w:bCs w:val="0"/>
          <w:color w:val="000000" w:themeColor="text1"/>
          <w:sz w:val="32"/>
          <w:highlight w:val="none"/>
          <w14:textFill>
            <w14:solidFill>
              <w14:schemeClr w14:val="tx1"/>
            </w14:solidFill>
          </w14:textFill>
        </w:rPr>
        <w:t>第</w:t>
      </w:r>
      <w:r>
        <w:rPr>
          <w:rStyle w:val="46"/>
          <w:rFonts w:hint="eastAsia" w:ascii="Times New Roman" w:hAnsi="Times New Roman" w:eastAsia="宋体"/>
          <w:b/>
          <w:bCs w:val="0"/>
          <w:color w:val="000000" w:themeColor="text1"/>
          <w:sz w:val="32"/>
          <w:highlight w:val="none"/>
          <w14:textFill>
            <w14:solidFill>
              <w14:schemeClr w14:val="tx1"/>
            </w14:solidFill>
          </w14:textFill>
        </w:rPr>
        <w:t>二</w:t>
      </w:r>
      <w:r>
        <w:rPr>
          <w:rStyle w:val="46"/>
          <w:rFonts w:ascii="Times New Roman" w:hAnsi="Times New Roman" w:eastAsia="宋体"/>
          <w:b/>
          <w:bCs w:val="0"/>
          <w:color w:val="000000" w:themeColor="text1"/>
          <w:sz w:val="32"/>
          <w:highlight w:val="none"/>
          <w14:textFill>
            <w14:solidFill>
              <w14:schemeClr w14:val="tx1"/>
            </w14:solidFill>
          </w14:textFill>
        </w:rPr>
        <w:t xml:space="preserve">章 </w:t>
      </w:r>
      <w:r>
        <w:rPr>
          <w:rStyle w:val="46"/>
          <w:rFonts w:hint="eastAsia" w:ascii="Times New Roman" w:hAnsi="Times New Roman" w:eastAsia="宋体"/>
          <w:b/>
          <w:bCs w:val="0"/>
          <w:color w:val="000000" w:themeColor="text1"/>
          <w:sz w:val="32"/>
          <w:highlight w:val="none"/>
          <w14:textFill>
            <w14:solidFill>
              <w14:schemeClr w14:val="tx1"/>
            </w14:solidFill>
          </w14:textFill>
        </w:rPr>
        <w:t>商务</w:t>
      </w:r>
      <w:r>
        <w:rPr>
          <w:rStyle w:val="46"/>
          <w:rFonts w:ascii="Times New Roman" w:hAnsi="Times New Roman" w:eastAsia="宋体"/>
          <w:b/>
          <w:bCs w:val="0"/>
          <w:color w:val="000000" w:themeColor="text1"/>
          <w:sz w:val="32"/>
          <w:highlight w:val="none"/>
          <w14:textFill>
            <w14:solidFill>
              <w14:schemeClr w14:val="tx1"/>
            </w14:solidFill>
          </w14:textFill>
        </w:rPr>
        <w:t>部分</w:t>
      </w:r>
      <w:bookmarkEnd w:id="1633"/>
      <w:bookmarkEnd w:id="1634"/>
      <w:bookmarkEnd w:id="1635"/>
      <w:bookmarkEnd w:id="1636"/>
      <w:bookmarkEnd w:id="1637"/>
      <w:bookmarkEnd w:id="1638"/>
      <w:bookmarkEnd w:id="1639"/>
      <w:r>
        <w:rPr>
          <w:rStyle w:val="46"/>
          <w:rFonts w:ascii="Times New Roman" w:hAnsi="Times New Roman" w:eastAsia="宋体"/>
          <w:b/>
          <w:bCs w:val="0"/>
          <w:color w:val="000000" w:themeColor="text1"/>
          <w:sz w:val="32"/>
          <w:highlight w:val="none"/>
          <w14:textFill>
            <w14:solidFill>
              <w14:schemeClr w14:val="tx1"/>
            </w14:solidFill>
          </w14:textFill>
        </w:rPr>
        <w:t>格式</w:t>
      </w:r>
      <w:bookmarkEnd w:id="1640"/>
    </w:p>
    <w:p w14:paraId="675AA5F3">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r>
        <w:rPr>
          <w:rStyle w:val="46"/>
          <w:rFonts w:ascii="Times New Roman" w:hAnsi="Times New Roman" w:eastAsia="宋体" w:cs="Times New Roman"/>
          <w:b/>
          <w:bCs w:val="0"/>
          <w:color w:val="000000" w:themeColor="text1"/>
          <w:szCs w:val="24"/>
          <w:highlight w:val="none"/>
          <w14:textFill>
            <w14:solidFill>
              <w14:schemeClr w14:val="tx1"/>
            </w14:solidFill>
          </w14:textFill>
        </w:rPr>
        <w:t>格式</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7</w:t>
      </w:r>
      <w:r>
        <w:rPr>
          <w:rStyle w:val="46"/>
          <w:rFonts w:ascii="Times New Roman" w:hAnsi="Times New Roman" w:eastAsia="宋体" w:cs="Times New Roman"/>
          <w:b/>
          <w:bCs w:val="0"/>
          <w:color w:val="000000" w:themeColor="text1"/>
          <w:szCs w:val="24"/>
          <w:highlight w:val="none"/>
          <w14:textFill>
            <w14:solidFill>
              <w14:schemeClr w14:val="tx1"/>
            </w14:solidFill>
          </w14:textFill>
        </w:rPr>
        <w:t xml:space="preserve">  拟投入本工程主要施工机械表</w:t>
      </w:r>
    </w:p>
    <w:p w14:paraId="1B9D43CE">
      <w:pPr>
        <w:spacing w:line="360" w:lineRule="auto"/>
        <w:jc w:val="center"/>
        <w:rPr>
          <w:color w:val="000000" w:themeColor="text1"/>
          <w:sz w:val="32"/>
          <w:szCs w:val="32"/>
          <w:highlight w:val="none"/>
          <w14:textFill>
            <w14:solidFill>
              <w14:schemeClr w14:val="tx1"/>
            </w14:solidFill>
          </w14:textFill>
        </w:rPr>
      </w:pPr>
      <w:bookmarkStart w:id="1663" w:name="_Toc18407870"/>
    </w:p>
    <w:p w14:paraId="7B3EF838">
      <w:pPr>
        <w:spacing w:line="360" w:lineRule="auto"/>
        <w:jc w:val="center"/>
        <w:rPr>
          <w:b/>
          <w:color w:val="000000" w:themeColor="text1"/>
          <w:sz w:val="28"/>
          <w:szCs w:val="28"/>
          <w:highlight w:val="none"/>
          <w14:textFill>
            <w14:solidFill>
              <w14:schemeClr w14:val="tx1"/>
            </w14:solidFill>
          </w14:textFill>
        </w:rPr>
      </w:pPr>
      <w:r>
        <w:rPr>
          <w:b/>
          <w:color w:val="000000" w:themeColor="text1"/>
          <w:sz w:val="28"/>
          <w:szCs w:val="28"/>
          <w:highlight w:val="none"/>
          <w14:textFill>
            <w14:solidFill>
              <w14:schemeClr w14:val="tx1"/>
            </w14:solidFill>
          </w14:textFill>
        </w:rPr>
        <w:t>拟投入本工程主要施工机械表</w:t>
      </w:r>
      <w:bookmarkEnd w:id="1663"/>
    </w:p>
    <w:tbl>
      <w:tblPr>
        <w:tblStyle w:val="31"/>
        <w:tblW w:w="882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15"/>
        <w:gridCol w:w="1013"/>
        <w:gridCol w:w="1071"/>
        <w:gridCol w:w="1359"/>
        <w:gridCol w:w="947"/>
        <w:gridCol w:w="756"/>
        <w:gridCol w:w="754"/>
        <w:gridCol w:w="702"/>
        <w:gridCol w:w="755"/>
        <w:gridCol w:w="851"/>
      </w:tblGrid>
      <w:tr w14:paraId="6A49C7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615" w:type="dxa"/>
            <w:vMerge w:val="restart"/>
            <w:vAlign w:val="center"/>
          </w:tcPr>
          <w:p w14:paraId="39C57A00">
            <w:pPr>
              <w:adjustRightIn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序号</w:t>
            </w:r>
          </w:p>
        </w:tc>
        <w:tc>
          <w:tcPr>
            <w:tcW w:w="1013" w:type="dxa"/>
            <w:vMerge w:val="restart"/>
            <w:vAlign w:val="center"/>
          </w:tcPr>
          <w:p w14:paraId="67E61D00">
            <w:pPr>
              <w:adjustRightIn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机械</w:t>
            </w:r>
            <w:r>
              <w:rPr>
                <w:color w:val="000000" w:themeColor="text1"/>
                <w:kern w:val="0"/>
                <w:szCs w:val="21"/>
                <w:highlight w:val="none"/>
                <w14:textFill>
                  <w14:solidFill>
                    <w14:schemeClr w14:val="tx1"/>
                  </w14:solidFill>
                </w14:textFill>
              </w:rPr>
              <w:br w:type="textWrapping"/>
            </w:r>
            <w:r>
              <w:rPr>
                <w:color w:val="000000" w:themeColor="text1"/>
                <w:kern w:val="0"/>
                <w:szCs w:val="21"/>
                <w:highlight w:val="none"/>
                <w14:textFill>
                  <w14:solidFill>
                    <w14:schemeClr w14:val="tx1"/>
                  </w14:solidFill>
                </w14:textFill>
              </w:rPr>
              <w:t>名称</w:t>
            </w:r>
          </w:p>
        </w:tc>
        <w:tc>
          <w:tcPr>
            <w:tcW w:w="1071" w:type="dxa"/>
            <w:vMerge w:val="restart"/>
            <w:vAlign w:val="center"/>
          </w:tcPr>
          <w:p w14:paraId="01F38263">
            <w:pPr>
              <w:adjustRightIn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规格</w:t>
            </w:r>
            <w:r>
              <w:rPr>
                <w:color w:val="000000" w:themeColor="text1"/>
                <w:kern w:val="0"/>
                <w:szCs w:val="21"/>
                <w:highlight w:val="none"/>
                <w14:textFill>
                  <w14:solidFill>
                    <w14:schemeClr w14:val="tx1"/>
                  </w14:solidFill>
                </w14:textFill>
              </w:rPr>
              <w:br w:type="textWrapping"/>
            </w:r>
            <w:r>
              <w:rPr>
                <w:color w:val="000000" w:themeColor="text1"/>
                <w:kern w:val="0"/>
                <w:szCs w:val="21"/>
                <w:highlight w:val="none"/>
                <w14:textFill>
                  <w14:solidFill>
                    <w14:schemeClr w14:val="tx1"/>
                  </w14:solidFill>
                </w14:textFill>
              </w:rPr>
              <w:t>型号</w:t>
            </w:r>
          </w:p>
        </w:tc>
        <w:tc>
          <w:tcPr>
            <w:tcW w:w="1359" w:type="dxa"/>
            <w:vMerge w:val="restart"/>
            <w:vAlign w:val="center"/>
          </w:tcPr>
          <w:p w14:paraId="75DDCD54">
            <w:pPr>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额定功率(Kw)或容量(m3)或吨位(t)</w:t>
            </w:r>
          </w:p>
        </w:tc>
        <w:tc>
          <w:tcPr>
            <w:tcW w:w="947" w:type="dxa"/>
            <w:vMerge w:val="restart"/>
            <w:vAlign w:val="center"/>
          </w:tcPr>
          <w:p w14:paraId="591B06A7">
            <w:pPr>
              <w:adjustRightIn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厂牌及出厂时间</w:t>
            </w:r>
          </w:p>
        </w:tc>
        <w:tc>
          <w:tcPr>
            <w:tcW w:w="2967" w:type="dxa"/>
            <w:gridSpan w:val="4"/>
            <w:vAlign w:val="center"/>
          </w:tcPr>
          <w:p w14:paraId="7CDB1E3D">
            <w:pPr>
              <w:adjustRightIn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数量(台)</w:t>
            </w:r>
          </w:p>
        </w:tc>
        <w:tc>
          <w:tcPr>
            <w:tcW w:w="851" w:type="dxa"/>
            <w:vMerge w:val="restart"/>
            <w:vAlign w:val="center"/>
          </w:tcPr>
          <w:p w14:paraId="7D2407BD">
            <w:pPr>
              <w:adjustRightIn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新旧</w:t>
            </w:r>
            <w:r>
              <w:rPr>
                <w:color w:val="000000" w:themeColor="text1"/>
                <w:kern w:val="0"/>
                <w:szCs w:val="21"/>
                <w:highlight w:val="none"/>
                <w14:textFill>
                  <w14:solidFill>
                    <w14:schemeClr w14:val="tx1"/>
                  </w14:solidFill>
                </w14:textFill>
              </w:rPr>
              <w:t>程度</w:t>
            </w:r>
            <w:r>
              <w:rPr>
                <w:color w:val="000000" w:themeColor="text1"/>
                <w:szCs w:val="21"/>
                <w:highlight w:val="none"/>
                <w14:textFill>
                  <w14:solidFill>
                    <w14:schemeClr w14:val="tx1"/>
                  </w14:solidFill>
                </w14:textFill>
              </w:rPr>
              <w:t>(%)</w:t>
            </w:r>
          </w:p>
        </w:tc>
      </w:tr>
      <w:tr w14:paraId="3955BA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615" w:type="dxa"/>
            <w:vMerge w:val="continue"/>
          </w:tcPr>
          <w:p w14:paraId="2B89DECC">
            <w:pPr>
              <w:adjustRightInd w:val="0"/>
              <w:jc w:val="center"/>
              <w:rPr>
                <w:color w:val="000000" w:themeColor="text1"/>
                <w:kern w:val="0"/>
                <w:szCs w:val="21"/>
                <w:highlight w:val="none"/>
                <w14:textFill>
                  <w14:solidFill>
                    <w14:schemeClr w14:val="tx1"/>
                  </w14:solidFill>
                </w14:textFill>
              </w:rPr>
            </w:pPr>
          </w:p>
        </w:tc>
        <w:tc>
          <w:tcPr>
            <w:tcW w:w="1013" w:type="dxa"/>
            <w:vMerge w:val="continue"/>
            <w:vAlign w:val="center"/>
          </w:tcPr>
          <w:p w14:paraId="63350030">
            <w:pPr>
              <w:adjustRightInd w:val="0"/>
              <w:jc w:val="center"/>
              <w:rPr>
                <w:color w:val="000000" w:themeColor="text1"/>
                <w:kern w:val="0"/>
                <w:szCs w:val="21"/>
                <w:highlight w:val="none"/>
                <w14:textFill>
                  <w14:solidFill>
                    <w14:schemeClr w14:val="tx1"/>
                  </w14:solidFill>
                </w14:textFill>
              </w:rPr>
            </w:pPr>
          </w:p>
        </w:tc>
        <w:tc>
          <w:tcPr>
            <w:tcW w:w="1071" w:type="dxa"/>
            <w:vMerge w:val="continue"/>
            <w:vAlign w:val="center"/>
          </w:tcPr>
          <w:p w14:paraId="0355279A">
            <w:pPr>
              <w:adjustRightInd w:val="0"/>
              <w:jc w:val="center"/>
              <w:rPr>
                <w:color w:val="000000" w:themeColor="text1"/>
                <w:kern w:val="0"/>
                <w:szCs w:val="21"/>
                <w:highlight w:val="none"/>
                <w14:textFill>
                  <w14:solidFill>
                    <w14:schemeClr w14:val="tx1"/>
                  </w14:solidFill>
                </w14:textFill>
              </w:rPr>
            </w:pPr>
          </w:p>
        </w:tc>
        <w:tc>
          <w:tcPr>
            <w:tcW w:w="1359" w:type="dxa"/>
            <w:vMerge w:val="continue"/>
            <w:vAlign w:val="center"/>
          </w:tcPr>
          <w:p w14:paraId="74DD0394">
            <w:pPr>
              <w:adjustRightInd w:val="0"/>
              <w:jc w:val="center"/>
              <w:rPr>
                <w:color w:val="000000" w:themeColor="text1"/>
                <w:kern w:val="0"/>
                <w:szCs w:val="21"/>
                <w:highlight w:val="none"/>
                <w14:textFill>
                  <w14:solidFill>
                    <w14:schemeClr w14:val="tx1"/>
                  </w14:solidFill>
                </w14:textFill>
              </w:rPr>
            </w:pPr>
          </w:p>
        </w:tc>
        <w:tc>
          <w:tcPr>
            <w:tcW w:w="947" w:type="dxa"/>
            <w:vMerge w:val="continue"/>
            <w:vAlign w:val="center"/>
          </w:tcPr>
          <w:p w14:paraId="5DDF2D4B">
            <w:pPr>
              <w:adjustRightInd w:val="0"/>
              <w:jc w:val="center"/>
              <w:rPr>
                <w:color w:val="000000" w:themeColor="text1"/>
                <w:kern w:val="0"/>
                <w:szCs w:val="21"/>
                <w:highlight w:val="none"/>
                <w14:textFill>
                  <w14:solidFill>
                    <w14:schemeClr w14:val="tx1"/>
                  </w14:solidFill>
                </w14:textFill>
              </w:rPr>
            </w:pPr>
          </w:p>
        </w:tc>
        <w:tc>
          <w:tcPr>
            <w:tcW w:w="756" w:type="dxa"/>
            <w:vMerge w:val="restart"/>
            <w:vAlign w:val="center"/>
          </w:tcPr>
          <w:p w14:paraId="55D96FA2">
            <w:pPr>
              <w:adjustRightIn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小计</w:t>
            </w:r>
          </w:p>
        </w:tc>
        <w:tc>
          <w:tcPr>
            <w:tcW w:w="2211" w:type="dxa"/>
            <w:gridSpan w:val="3"/>
            <w:vAlign w:val="center"/>
          </w:tcPr>
          <w:p w14:paraId="119C8E71">
            <w:pPr>
              <w:adjustRightIn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其中</w:t>
            </w:r>
          </w:p>
        </w:tc>
        <w:tc>
          <w:tcPr>
            <w:tcW w:w="851" w:type="dxa"/>
            <w:vMerge w:val="continue"/>
            <w:vAlign w:val="center"/>
          </w:tcPr>
          <w:p w14:paraId="3E1150CE">
            <w:pPr>
              <w:adjustRightInd w:val="0"/>
              <w:spacing w:line="360" w:lineRule="auto"/>
              <w:jc w:val="center"/>
              <w:rPr>
                <w:color w:val="000000" w:themeColor="text1"/>
                <w:szCs w:val="21"/>
                <w:highlight w:val="none"/>
                <w14:textFill>
                  <w14:solidFill>
                    <w14:schemeClr w14:val="tx1"/>
                  </w14:solidFill>
                </w14:textFill>
              </w:rPr>
            </w:pPr>
          </w:p>
        </w:tc>
      </w:tr>
      <w:tr w14:paraId="2469B7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615" w:type="dxa"/>
            <w:vMerge w:val="continue"/>
          </w:tcPr>
          <w:p w14:paraId="28EC9E72">
            <w:pPr>
              <w:adjustRightInd w:val="0"/>
              <w:jc w:val="center"/>
              <w:rPr>
                <w:color w:val="000000" w:themeColor="text1"/>
                <w:kern w:val="0"/>
                <w:szCs w:val="21"/>
                <w:highlight w:val="none"/>
                <w14:textFill>
                  <w14:solidFill>
                    <w14:schemeClr w14:val="tx1"/>
                  </w14:solidFill>
                </w14:textFill>
              </w:rPr>
            </w:pPr>
          </w:p>
        </w:tc>
        <w:tc>
          <w:tcPr>
            <w:tcW w:w="1013" w:type="dxa"/>
            <w:vMerge w:val="continue"/>
            <w:vAlign w:val="center"/>
          </w:tcPr>
          <w:p w14:paraId="18874FF0">
            <w:pPr>
              <w:adjustRightInd w:val="0"/>
              <w:jc w:val="center"/>
              <w:rPr>
                <w:color w:val="000000" w:themeColor="text1"/>
                <w:kern w:val="0"/>
                <w:szCs w:val="21"/>
                <w:highlight w:val="none"/>
                <w14:textFill>
                  <w14:solidFill>
                    <w14:schemeClr w14:val="tx1"/>
                  </w14:solidFill>
                </w14:textFill>
              </w:rPr>
            </w:pPr>
          </w:p>
        </w:tc>
        <w:tc>
          <w:tcPr>
            <w:tcW w:w="1071" w:type="dxa"/>
            <w:vMerge w:val="continue"/>
            <w:vAlign w:val="center"/>
          </w:tcPr>
          <w:p w14:paraId="1A125978">
            <w:pPr>
              <w:adjustRightInd w:val="0"/>
              <w:jc w:val="center"/>
              <w:rPr>
                <w:color w:val="000000" w:themeColor="text1"/>
                <w:kern w:val="0"/>
                <w:szCs w:val="21"/>
                <w:highlight w:val="none"/>
                <w14:textFill>
                  <w14:solidFill>
                    <w14:schemeClr w14:val="tx1"/>
                  </w14:solidFill>
                </w14:textFill>
              </w:rPr>
            </w:pPr>
          </w:p>
        </w:tc>
        <w:tc>
          <w:tcPr>
            <w:tcW w:w="1359" w:type="dxa"/>
            <w:vMerge w:val="continue"/>
            <w:vAlign w:val="center"/>
          </w:tcPr>
          <w:p w14:paraId="4CFF1BAC">
            <w:pPr>
              <w:adjustRightInd w:val="0"/>
              <w:jc w:val="center"/>
              <w:rPr>
                <w:color w:val="000000" w:themeColor="text1"/>
                <w:kern w:val="0"/>
                <w:szCs w:val="21"/>
                <w:highlight w:val="none"/>
                <w14:textFill>
                  <w14:solidFill>
                    <w14:schemeClr w14:val="tx1"/>
                  </w14:solidFill>
                </w14:textFill>
              </w:rPr>
            </w:pPr>
          </w:p>
        </w:tc>
        <w:tc>
          <w:tcPr>
            <w:tcW w:w="947" w:type="dxa"/>
            <w:vMerge w:val="continue"/>
            <w:vAlign w:val="center"/>
          </w:tcPr>
          <w:p w14:paraId="71D56F78">
            <w:pPr>
              <w:adjustRightInd w:val="0"/>
              <w:jc w:val="center"/>
              <w:rPr>
                <w:color w:val="000000" w:themeColor="text1"/>
                <w:kern w:val="0"/>
                <w:szCs w:val="21"/>
                <w:highlight w:val="none"/>
                <w14:textFill>
                  <w14:solidFill>
                    <w14:schemeClr w14:val="tx1"/>
                  </w14:solidFill>
                </w14:textFill>
              </w:rPr>
            </w:pPr>
          </w:p>
        </w:tc>
        <w:tc>
          <w:tcPr>
            <w:tcW w:w="756" w:type="dxa"/>
            <w:vMerge w:val="continue"/>
            <w:vAlign w:val="center"/>
          </w:tcPr>
          <w:p w14:paraId="24225491">
            <w:pPr>
              <w:adjustRightInd w:val="0"/>
              <w:jc w:val="center"/>
              <w:rPr>
                <w:color w:val="000000" w:themeColor="text1"/>
                <w:kern w:val="0"/>
                <w:szCs w:val="21"/>
                <w:highlight w:val="none"/>
                <w14:textFill>
                  <w14:solidFill>
                    <w14:schemeClr w14:val="tx1"/>
                  </w14:solidFill>
                </w14:textFill>
              </w:rPr>
            </w:pPr>
          </w:p>
        </w:tc>
        <w:tc>
          <w:tcPr>
            <w:tcW w:w="754" w:type="dxa"/>
            <w:vAlign w:val="center"/>
          </w:tcPr>
          <w:p w14:paraId="54130FD2">
            <w:pPr>
              <w:adjustRightIn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自有</w:t>
            </w:r>
          </w:p>
        </w:tc>
        <w:tc>
          <w:tcPr>
            <w:tcW w:w="702" w:type="dxa"/>
            <w:vAlign w:val="center"/>
          </w:tcPr>
          <w:p w14:paraId="7A52E0A0">
            <w:pPr>
              <w:adjustRightIn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新购</w:t>
            </w:r>
          </w:p>
        </w:tc>
        <w:tc>
          <w:tcPr>
            <w:tcW w:w="755" w:type="dxa"/>
            <w:vAlign w:val="center"/>
          </w:tcPr>
          <w:p w14:paraId="58804532">
            <w:pPr>
              <w:adjustRightIn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租赁</w:t>
            </w:r>
          </w:p>
        </w:tc>
        <w:tc>
          <w:tcPr>
            <w:tcW w:w="851" w:type="dxa"/>
            <w:vMerge w:val="continue"/>
            <w:vAlign w:val="center"/>
          </w:tcPr>
          <w:p w14:paraId="4BEB7EBB">
            <w:pPr>
              <w:adjustRightInd w:val="0"/>
              <w:spacing w:line="360" w:lineRule="auto"/>
              <w:jc w:val="center"/>
              <w:rPr>
                <w:color w:val="000000" w:themeColor="text1"/>
                <w:szCs w:val="21"/>
                <w:highlight w:val="none"/>
                <w14:textFill>
                  <w14:solidFill>
                    <w14:schemeClr w14:val="tx1"/>
                  </w14:solidFill>
                </w14:textFill>
              </w:rPr>
            </w:pPr>
          </w:p>
        </w:tc>
      </w:tr>
      <w:tr w14:paraId="23C8F3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06B2AFF5">
            <w:pPr>
              <w:spacing w:line="360" w:lineRule="auto"/>
              <w:jc w:val="center"/>
              <w:rPr>
                <w:color w:val="000000" w:themeColor="text1"/>
                <w:szCs w:val="21"/>
                <w:highlight w:val="none"/>
                <w14:textFill>
                  <w14:solidFill>
                    <w14:schemeClr w14:val="tx1"/>
                  </w14:solidFill>
                </w14:textFill>
              </w:rPr>
            </w:pPr>
          </w:p>
        </w:tc>
        <w:tc>
          <w:tcPr>
            <w:tcW w:w="1013" w:type="dxa"/>
            <w:vAlign w:val="center"/>
          </w:tcPr>
          <w:p w14:paraId="1014EB6D">
            <w:pPr>
              <w:spacing w:line="360" w:lineRule="auto"/>
              <w:jc w:val="center"/>
              <w:rPr>
                <w:color w:val="000000" w:themeColor="text1"/>
                <w:szCs w:val="21"/>
                <w:highlight w:val="none"/>
                <w14:textFill>
                  <w14:solidFill>
                    <w14:schemeClr w14:val="tx1"/>
                  </w14:solidFill>
                </w14:textFill>
              </w:rPr>
            </w:pPr>
          </w:p>
        </w:tc>
        <w:tc>
          <w:tcPr>
            <w:tcW w:w="1071" w:type="dxa"/>
            <w:vAlign w:val="center"/>
          </w:tcPr>
          <w:p w14:paraId="0D986887">
            <w:pPr>
              <w:adjustRightInd w:val="0"/>
              <w:spacing w:line="360" w:lineRule="auto"/>
              <w:jc w:val="center"/>
              <w:rPr>
                <w:color w:val="000000" w:themeColor="text1"/>
                <w:szCs w:val="21"/>
                <w:highlight w:val="none"/>
                <w14:textFill>
                  <w14:solidFill>
                    <w14:schemeClr w14:val="tx1"/>
                  </w14:solidFill>
                </w14:textFill>
              </w:rPr>
            </w:pPr>
          </w:p>
        </w:tc>
        <w:tc>
          <w:tcPr>
            <w:tcW w:w="1359" w:type="dxa"/>
            <w:vAlign w:val="center"/>
          </w:tcPr>
          <w:p w14:paraId="2AEEB1CD">
            <w:pPr>
              <w:adjustRightInd w:val="0"/>
              <w:spacing w:line="360" w:lineRule="auto"/>
              <w:jc w:val="center"/>
              <w:rPr>
                <w:color w:val="000000" w:themeColor="text1"/>
                <w:szCs w:val="21"/>
                <w:highlight w:val="none"/>
                <w14:textFill>
                  <w14:solidFill>
                    <w14:schemeClr w14:val="tx1"/>
                  </w14:solidFill>
                </w14:textFill>
              </w:rPr>
            </w:pPr>
          </w:p>
        </w:tc>
        <w:tc>
          <w:tcPr>
            <w:tcW w:w="947" w:type="dxa"/>
            <w:vAlign w:val="center"/>
          </w:tcPr>
          <w:p w14:paraId="2227C623">
            <w:pPr>
              <w:adjustRightInd w:val="0"/>
              <w:spacing w:line="360" w:lineRule="auto"/>
              <w:jc w:val="center"/>
              <w:rPr>
                <w:color w:val="000000" w:themeColor="text1"/>
                <w:szCs w:val="21"/>
                <w:highlight w:val="none"/>
                <w14:textFill>
                  <w14:solidFill>
                    <w14:schemeClr w14:val="tx1"/>
                  </w14:solidFill>
                </w14:textFill>
              </w:rPr>
            </w:pPr>
          </w:p>
        </w:tc>
        <w:tc>
          <w:tcPr>
            <w:tcW w:w="756" w:type="dxa"/>
            <w:vAlign w:val="center"/>
          </w:tcPr>
          <w:p w14:paraId="6AE8FD2F">
            <w:pPr>
              <w:adjustRightInd w:val="0"/>
              <w:spacing w:line="360" w:lineRule="auto"/>
              <w:jc w:val="center"/>
              <w:rPr>
                <w:color w:val="000000" w:themeColor="text1"/>
                <w:szCs w:val="21"/>
                <w:highlight w:val="none"/>
                <w14:textFill>
                  <w14:solidFill>
                    <w14:schemeClr w14:val="tx1"/>
                  </w14:solidFill>
                </w14:textFill>
              </w:rPr>
            </w:pPr>
          </w:p>
        </w:tc>
        <w:tc>
          <w:tcPr>
            <w:tcW w:w="754" w:type="dxa"/>
            <w:vAlign w:val="center"/>
          </w:tcPr>
          <w:p w14:paraId="0745F76D">
            <w:pPr>
              <w:adjustRightInd w:val="0"/>
              <w:spacing w:line="360" w:lineRule="auto"/>
              <w:jc w:val="center"/>
              <w:rPr>
                <w:color w:val="000000" w:themeColor="text1"/>
                <w:szCs w:val="21"/>
                <w:highlight w:val="none"/>
                <w14:textFill>
                  <w14:solidFill>
                    <w14:schemeClr w14:val="tx1"/>
                  </w14:solidFill>
                </w14:textFill>
              </w:rPr>
            </w:pPr>
          </w:p>
        </w:tc>
        <w:tc>
          <w:tcPr>
            <w:tcW w:w="702" w:type="dxa"/>
            <w:vAlign w:val="center"/>
          </w:tcPr>
          <w:p w14:paraId="2231D41C">
            <w:pPr>
              <w:adjustRightInd w:val="0"/>
              <w:spacing w:line="360" w:lineRule="auto"/>
              <w:jc w:val="center"/>
              <w:rPr>
                <w:color w:val="000000" w:themeColor="text1"/>
                <w:szCs w:val="21"/>
                <w:highlight w:val="none"/>
                <w14:textFill>
                  <w14:solidFill>
                    <w14:schemeClr w14:val="tx1"/>
                  </w14:solidFill>
                </w14:textFill>
              </w:rPr>
            </w:pPr>
          </w:p>
        </w:tc>
        <w:tc>
          <w:tcPr>
            <w:tcW w:w="755" w:type="dxa"/>
            <w:vAlign w:val="center"/>
          </w:tcPr>
          <w:p w14:paraId="6CA302E5">
            <w:pPr>
              <w:adjustRightInd w:val="0"/>
              <w:spacing w:line="360" w:lineRule="auto"/>
              <w:jc w:val="center"/>
              <w:rPr>
                <w:color w:val="000000" w:themeColor="text1"/>
                <w:szCs w:val="21"/>
                <w:highlight w:val="none"/>
                <w14:textFill>
                  <w14:solidFill>
                    <w14:schemeClr w14:val="tx1"/>
                  </w14:solidFill>
                </w14:textFill>
              </w:rPr>
            </w:pPr>
          </w:p>
        </w:tc>
        <w:tc>
          <w:tcPr>
            <w:tcW w:w="851" w:type="dxa"/>
            <w:vAlign w:val="center"/>
          </w:tcPr>
          <w:p w14:paraId="44B30B65">
            <w:pPr>
              <w:adjustRightInd w:val="0"/>
              <w:spacing w:line="360" w:lineRule="auto"/>
              <w:jc w:val="center"/>
              <w:rPr>
                <w:color w:val="000000" w:themeColor="text1"/>
                <w:szCs w:val="21"/>
                <w:highlight w:val="none"/>
                <w14:textFill>
                  <w14:solidFill>
                    <w14:schemeClr w14:val="tx1"/>
                  </w14:solidFill>
                </w14:textFill>
              </w:rPr>
            </w:pPr>
          </w:p>
        </w:tc>
      </w:tr>
      <w:tr w14:paraId="1331EC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6F2FF00B">
            <w:pPr>
              <w:spacing w:line="360" w:lineRule="auto"/>
              <w:jc w:val="center"/>
              <w:rPr>
                <w:color w:val="000000" w:themeColor="text1"/>
                <w:szCs w:val="21"/>
                <w:highlight w:val="none"/>
                <w14:textFill>
                  <w14:solidFill>
                    <w14:schemeClr w14:val="tx1"/>
                  </w14:solidFill>
                </w14:textFill>
              </w:rPr>
            </w:pPr>
          </w:p>
        </w:tc>
        <w:tc>
          <w:tcPr>
            <w:tcW w:w="1013" w:type="dxa"/>
            <w:vAlign w:val="center"/>
          </w:tcPr>
          <w:p w14:paraId="1D18C677">
            <w:pPr>
              <w:spacing w:line="360" w:lineRule="auto"/>
              <w:jc w:val="center"/>
              <w:rPr>
                <w:color w:val="000000" w:themeColor="text1"/>
                <w:szCs w:val="21"/>
                <w:highlight w:val="none"/>
                <w14:textFill>
                  <w14:solidFill>
                    <w14:schemeClr w14:val="tx1"/>
                  </w14:solidFill>
                </w14:textFill>
              </w:rPr>
            </w:pPr>
          </w:p>
        </w:tc>
        <w:tc>
          <w:tcPr>
            <w:tcW w:w="1071" w:type="dxa"/>
            <w:vAlign w:val="center"/>
          </w:tcPr>
          <w:p w14:paraId="5A828F6E">
            <w:pPr>
              <w:adjustRightInd w:val="0"/>
              <w:spacing w:line="360" w:lineRule="auto"/>
              <w:jc w:val="center"/>
              <w:rPr>
                <w:color w:val="000000" w:themeColor="text1"/>
                <w:szCs w:val="21"/>
                <w:highlight w:val="none"/>
                <w14:textFill>
                  <w14:solidFill>
                    <w14:schemeClr w14:val="tx1"/>
                  </w14:solidFill>
                </w14:textFill>
              </w:rPr>
            </w:pPr>
          </w:p>
        </w:tc>
        <w:tc>
          <w:tcPr>
            <w:tcW w:w="1359" w:type="dxa"/>
            <w:vAlign w:val="center"/>
          </w:tcPr>
          <w:p w14:paraId="5DC564BF">
            <w:pPr>
              <w:adjustRightInd w:val="0"/>
              <w:spacing w:line="360" w:lineRule="auto"/>
              <w:jc w:val="center"/>
              <w:rPr>
                <w:color w:val="000000" w:themeColor="text1"/>
                <w:szCs w:val="21"/>
                <w:highlight w:val="none"/>
                <w14:textFill>
                  <w14:solidFill>
                    <w14:schemeClr w14:val="tx1"/>
                  </w14:solidFill>
                </w14:textFill>
              </w:rPr>
            </w:pPr>
          </w:p>
        </w:tc>
        <w:tc>
          <w:tcPr>
            <w:tcW w:w="947" w:type="dxa"/>
            <w:vAlign w:val="center"/>
          </w:tcPr>
          <w:p w14:paraId="78B6E1E7">
            <w:pPr>
              <w:adjustRightInd w:val="0"/>
              <w:spacing w:line="360" w:lineRule="auto"/>
              <w:jc w:val="center"/>
              <w:rPr>
                <w:color w:val="000000" w:themeColor="text1"/>
                <w:szCs w:val="21"/>
                <w:highlight w:val="none"/>
                <w14:textFill>
                  <w14:solidFill>
                    <w14:schemeClr w14:val="tx1"/>
                  </w14:solidFill>
                </w14:textFill>
              </w:rPr>
            </w:pPr>
          </w:p>
        </w:tc>
        <w:tc>
          <w:tcPr>
            <w:tcW w:w="756" w:type="dxa"/>
            <w:vAlign w:val="center"/>
          </w:tcPr>
          <w:p w14:paraId="1B05580D">
            <w:pPr>
              <w:adjustRightInd w:val="0"/>
              <w:spacing w:line="360" w:lineRule="auto"/>
              <w:jc w:val="center"/>
              <w:rPr>
                <w:color w:val="000000" w:themeColor="text1"/>
                <w:szCs w:val="21"/>
                <w:highlight w:val="none"/>
                <w14:textFill>
                  <w14:solidFill>
                    <w14:schemeClr w14:val="tx1"/>
                  </w14:solidFill>
                </w14:textFill>
              </w:rPr>
            </w:pPr>
          </w:p>
        </w:tc>
        <w:tc>
          <w:tcPr>
            <w:tcW w:w="754" w:type="dxa"/>
            <w:vAlign w:val="center"/>
          </w:tcPr>
          <w:p w14:paraId="370FAB63">
            <w:pPr>
              <w:adjustRightInd w:val="0"/>
              <w:spacing w:line="360" w:lineRule="auto"/>
              <w:jc w:val="center"/>
              <w:rPr>
                <w:color w:val="000000" w:themeColor="text1"/>
                <w:szCs w:val="21"/>
                <w:highlight w:val="none"/>
                <w14:textFill>
                  <w14:solidFill>
                    <w14:schemeClr w14:val="tx1"/>
                  </w14:solidFill>
                </w14:textFill>
              </w:rPr>
            </w:pPr>
          </w:p>
        </w:tc>
        <w:tc>
          <w:tcPr>
            <w:tcW w:w="702" w:type="dxa"/>
            <w:vAlign w:val="center"/>
          </w:tcPr>
          <w:p w14:paraId="6F2EC56F">
            <w:pPr>
              <w:adjustRightInd w:val="0"/>
              <w:spacing w:line="360" w:lineRule="auto"/>
              <w:jc w:val="center"/>
              <w:rPr>
                <w:color w:val="000000" w:themeColor="text1"/>
                <w:szCs w:val="21"/>
                <w:highlight w:val="none"/>
                <w14:textFill>
                  <w14:solidFill>
                    <w14:schemeClr w14:val="tx1"/>
                  </w14:solidFill>
                </w14:textFill>
              </w:rPr>
            </w:pPr>
          </w:p>
        </w:tc>
        <w:tc>
          <w:tcPr>
            <w:tcW w:w="755" w:type="dxa"/>
            <w:vAlign w:val="center"/>
          </w:tcPr>
          <w:p w14:paraId="705936AC">
            <w:pPr>
              <w:adjustRightInd w:val="0"/>
              <w:spacing w:line="360" w:lineRule="auto"/>
              <w:jc w:val="center"/>
              <w:rPr>
                <w:color w:val="000000" w:themeColor="text1"/>
                <w:szCs w:val="21"/>
                <w:highlight w:val="none"/>
                <w14:textFill>
                  <w14:solidFill>
                    <w14:schemeClr w14:val="tx1"/>
                  </w14:solidFill>
                </w14:textFill>
              </w:rPr>
            </w:pPr>
          </w:p>
        </w:tc>
        <w:tc>
          <w:tcPr>
            <w:tcW w:w="851" w:type="dxa"/>
            <w:vAlign w:val="center"/>
          </w:tcPr>
          <w:p w14:paraId="29934E5C">
            <w:pPr>
              <w:adjustRightInd w:val="0"/>
              <w:spacing w:line="360" w:lineRule="auto"/>
              <w:jc w:val="center"/>
              <w:rPr>
                <w:color w:val="000000" w:themeColor="text1"/>
                <w:szCs w:val="21"/>
                <w:highlight w:val="none"/>
                <w14:textFill>
                  <w14:solidFill>
                    <w14:schemeClr w14:val="tx1"/>
                  </w14:solidFill>
                </w14:textFill>
              </w:rPr>
            </w:pPr>
          </w:p>
        </w:tc>
      </w:tr>
      <w:tr w14:paraId="2700DD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7D402783">
            <w:pPr>
              <w:spacing w:line="360" w:lineRule="auto"/>
              <w:jc w:val="center"/>
              <w:rPr>
                <w:color w:val="000000" w:themeColor="text1"/>
                <w:szCs w:val="21"/>
                <w:highlight w:val="none"/>
                <w14:textFill>
                  <w14:solidFill>
                    <w14:schemeClr w14:val="tx1"/>
                  </w14:solidFill>
                </w14:textFill>
              </w:rPr>
            </w:pPr>
          </w:p>
        </w:tc>
        <w:tc>
          <w:tcPr>
            <w:tcW w:w="1013" w:type="dxa"/>
            <w:vAlign w:val="center"/>
          </w:tcPr>
          <w:p w14:paraId="2138C082">
            <w:pPr>
              <w:spacing w:line="360" w:lineRule="auto"/>
              <w:jc w:val="center"/>
              <w:rPr>
                <w:color w:val="000000" w:themeColor="text1"/>
                <w:szCs w:val="21"/>
                <w:highlight w:val="none"/>
                <w14:textFill>
                  <w14:solidFill>
                    <w14:schemeClr w14:val="tx1"/>
                  </w14:solidFill>
                </w14:textFill>
              </w:rPr>
            </w:pPr>
          </w:p>
        </w:tc>
        <w:tc>
          <w:tcPr>
            <w:tcW w:w="1071" w:type="dxa"/>
            <w:vAlign w:val="center"/>
          </w:tcPr>
          <w:p w14:paraId="193DEEB4">
            <w:pPr>
              <w:spacing w:line="360" w:lineRule="auto"/>
              <w:jc w:val="center"/>
              <w:rPr>
                <w:color w:val="000000" w:themeColor="text1"/>
                <w:szCs w:val="21"/>
                <w:highlight w:val="none"/>
                <w14:textFill>
                  <w14:solidFill>
                    <w14:schemeClr w14:val="tx1"/>
                  </w14:solidFill>
                </w14:textFill>
              </w:rPr>
            </w:pPr>
          </w:p>
        </w:tc>
        <w:tc>
          <w:tcPr>
            <w:tcW w:w="1359" w:type="dxa"/>
            <w:vAlign w:val="center"/>
          </w:tcPr>
          <w:p w14:paraId="77FB410F">
            <w:pPr>
              <w:spacing w:line="360" w:lineRule="auto"/>
              <w:jc w:val="center"/>
              <w:rPr>
                <w:color w:val="000000" w:themeColor="text1"/>
                <w:szCs w:val="21"/>
                <w:highlight w:val="none"/>
                <w14:textFill>
                  <w14:solidFill>
                    <w14:schemeClr w14:val="tx1"/>
                  </w14:solidFill>
                </w14:textFill>
              </w:rPr>
            </w:pPr>
          </w:p>
        </w:tc>
        <w:tc>
          <w:tcPr>
            <w:tcW w:w="947" w:type="dxa"/>
            <w:vAlign w:val="center"/>
          </w:tcPr>
          <w:p w14:paraId="7CFBDC33">
            <w:pPr>
              <w:spacing w:line="360" w:lineRule="auto"/>
              <w:jc w:val="center"/>
              <w:rPr>
                <w:color w:val="000000" w:themeColor="text1"/>
                <w:szCs w:val="21"/>
                <w:highlight w:val="none"/>
                <w14:textFill>
                  <w14:solidFill>
                    <w14:schemeClr w14:val="tx1"/>
                  </w14:solidFill>
                </w14:textFill>
              </w:rPr>
            </w:pPr>
          </w:p>
        </w:tc>
        <w:tc>
          <w:tcPr>
            <w:tcW w:w="756" w:type="dxa"/>
            <w:vAlign w:val="center"/>
          </w:tcPr>
          <w:p w14:paraId="653B8530">
            <w:pPr>
              <w:spacing w:line="360" w:lineRule="auto"/>
              <w:jc w:val="center"/>
              <w:rPr>
                <w:color w:val="000000" w:themeColor="text1"/>
                <w:szCs w:val="21"/>
                <w:highlight w:val="none"/>
                <w14:textFill>
                  <w14:solidFill>
                    <w14:schemeClr w14:val="tx1"/>
                  </w14:solidFill>
                </w14:textFill>
              </w:rPr>
            </w:pPr>
          </w:p>
        </w:tc>
        <w:tc>
          <w:tcPr>
            <w:tcW w:w="754" w:type="dxa"/>
            <w:vAlign w:val="center"/>
          </w:tcPr>
          <w:p w14:paraId="37717B99">
            <w:pPr>
              <w:spacing w:line="360" w:lineRule="auto"/>
              <w:jc w:val="center"/>
              <w:rPr>
                <w:color w:val="000000" w:themeColor="text1"/>
                <w:szCs w:val="21"/>
                <w:highlight w:val="none"/>
                <w14:textFill>
                  <w14:solidFill>
                    <w14:schemeClr w14:val="tx1"/>
                  </w14:solidFill>
                </w14:textFill>
              </w:rPr>
            </w:pPr>
          </w:p>
        </w:tc>
        <w:tc>
          <w:tcPr>
            <w:tcW w:w="702" w:type="dxa"/>
            <w:vAlign w:val="center"/>
          </w:tcPr>
          <w:p w14:paraId="179F6B69">
            <w:pPr>
              <w:spacing w:line="360" w:lineRule="auto"/>
              <w:jc w:val="center"/>
              <w:rPr>
                <w:color w:val="000000" w:themeColor="text1"/>
                <w:szCs w:val="21"/>
                <w:highlight w:val="none"/>
                <w14:textFill>
                  <w14:solidFill>
                    <w14:schemeClr w14:val="tx1"/>
                  </w14:solidFill>
                </w14:textFill>
              </w:rPr>
            </w:pPr>
          </w:p>
        </w:tc>
        <w:tc>
          <w:tcPr>
            <w:tcW w:w="755" w:type="dxa"/>
            <w:vAlign w:val="center"/>
          </w:tcPr>
          <w:p w14:paraId="59E851EA">
            <w:pPr>
              <w:spacing w:line="360" w:lineRule="auto"/>
              <w:jc w:val="center"/>
              <w:rPr>
                <w:color w:val="000000" w:themeColor="text1"/>
                <w:szCs w:val="21"/>
                <w:highlight w:val="none"/>
                <w14:textFill>
                  <w14:solidFill>
                    <w14:schemeClr w14:val="tx1"/>
                  </w14:solidFill>
                </w14:textFill>
              </w:rPr>
            </w:pPr>
          </w:p>
        </w:tc>
        <w:tc>
          <w:tcPr>
            <w:tcW w:w="851" w:type="dxa"/>
            <w:vAlign w:val="center"/>
          </w:tcPr>
          <w:p w14:paraId="409B75BE">
            <w:pPr>
              <w:spacing w:line="360" w:lineRule="auto"/>
              <w:jc w:val="center"/>
              <w:rPr>
                <w:color w:val="000000" w:themeColor="text1"/>
                <w:szCs w:val="21"/>
                <w:highlight w:val="none"/>
                <w14:textFill>
                  <w14:solidFill>
                    <w14:schemeClr w14:val="tx1"/>
                  </w14:solidFill>
                </w14:textFill>
              </w:rPr>
            </w:pPr>
          </w:p>
        </w:tc>
      </w:tr>
      <w:tr w14:paraId="19CDD9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674DC5A0">
            <w:pPr>
              <w:spacing w:line="360" w:lineRule="auto"/>
              <w:jc w:val="center"/>
              <w:rPr>
                <w:color w:val="000000" w:themeColor="text1"/>
                <w:szCs w:val="21"/>
                <w:highlight w:val="none"/>
                <w14:textFill>
                  <w14:solidFill>
                    <w14:schemeClr w14:val="tx1"/>
                  </w14:solidFill>
                </w14:textFill>
              </w:rPr>
            </w:pPr>
          </w:p>
        </w:tc>
        <w:tc>
          <w:tcPr>
            <w:tcW w:w="1013" w:type="dxa"/>
            <w:vAlign w:val="center"/>
          </w:tcPr>
          <w:p w14:paraId="2DA37BBE">
            <w:pPr>
              <w:spacing w:line="360" w:lineRule="auto"/>
              <w:jc w:val="center"/>
              <w:rPr>
                <w:color w:val="000000" w:themeColor="text1"/>
                <w:szCs w:val="21"/>
                <w:highlight w:val="none"/>
                <w14:textFill>
                  <w14:solidFill>
                    <w14:schemeClr w14:val="tx1"/>
                  </w14:solidFill>
                </w14:textFill>
              </w:rPr>
            </w:pPr>
          </w:p>
        </w:tc>
        <w:tc>
          <w:tcPr>
            <w:tcW w:w="1071" w:type="dxa"/>
            <w:vAlign w:val="center"/>
          </w:tcPr>
          <w:p w14:paraId="73CF0216">
            <w:pPr>
              <w:adjustRightInd w:val="0"/>
              <w:spacing w:line="360" w:lineRule="auto"/>
              <w:jc w:val="center"/>
              <w:rPr>
                <w:color w:val="000000" w:themeColor="text1"/>
                <w:szCs w:val="21"/>
                <w:highlight w:val="none"/>
                <w14:textFill>
                  <w14:solidFill>
                    <w14:schemeClr w14:val="tx1"/>
                  </w14:solidFill>
                </w14:textFill>
              </w:rPr>
            </w:pPr>
          </w:p>
        </w:tc>
        <w:tc>
          <w:tcPr>
            <w:tcW w:w="1359" w:type="dxa"/>
            <w:vAlign w:val="center"/>
          </w:tcPr>
          <w:p w14:paraId="678FEC91">
            <w:pPr>
              <w:adjustRightInd w:val="0"/>
              <w:spacing w:line="360" w:lineRule="auto"/>
              <w:jc w:val="center"/>
              <w:rPr>
                <w:color w:val="000000" w:themeColor="text1"/>
                <w:szCs w:val="21"/>
                <w:highlight w:val="none"/>
                <w14:textFill>
                  <w14:solidFill>
                    <w14:schemeClr w14:val="tx1"/>
                  </w14:solidFill>
                </w14:textFill>
              </w:rPr>
            </w:pPr>
          </w:p>
        </w:tc>
        <w:tc>
          <w:tcPr>
            <w:tcW w:w="947" w:type="dxa"/>
            <w:vAlign w:val="center"/>
          </w:tcPr>
          <w:p w14:paraId="17736A25">
            <w:pPr>
              <w:adjustRightInd w:val="0"/>
              <w:spacing w:line="360" w:lineRule="auto"/>
              <w:jc w:val="center"/>
              <w:rPr>
                <w:color w:val="000000" w:themeColor="text1"/>
                <w:szCs w:val="21"/>
                <w:highlight w:val="none"/>
                <w14:textFill>
                  <w14:solidFill>
                    <w14:schemeClr w14:val="tx1"/>
                  </w14:solidFill>
                </w14:textFill>
              </w:rPr>
            </w:pPr>
          </w:p>
        </w:tc>
        <w:tc>
          <w:tcPr>
            <w:tcW w:w="756" w:type="dxa"/>
            <w:vAlign w:val="center"/>
          </w:tcPr>
          <w:p w14:paraId="41BBBD65">
            <w:pPr>
              <w:adjustRightInd w:val="0"/>
              <w:spacing w:line="360" w:lineRule="auto"/>
              <w:jc w:val="center"/>
              <w:rPr>
                <w:color w:val="000000" w:themeColor="text1"/>
                <w:szCs w:val="21"/>
                <w:highlight w:val="none"/>
                <w14:textFill>
                  <w14:solidFill>
                    <w14:schemeClr w14:val="tx1"/>
                  </w14:solidFill>
                </w14:textFill>
              </w:rPr>
            </w:pPr>
          </w:p>
        </w:tc>
        <w:tc>
          <w:tcPr>
            <w:tcW w:w="754" w:type="dxa"/>
            <w:vAlign w:val="center"/>
          </w:tcPr>
          <w:p w14:paraId="5A5DAF1F">
            <w:pPr>
              <w:adjustRightInd w:val="0"/>
              <w:spacing w:line="360" w:lineRule="auto"/>
              <w:jc w:val="center"/>
              <w:rPr>
                <w:color w:val="000000" w:themeColor="text1"/>
                <w:szCs w:val="21"/>
                <w:highlight w:val="none"/>
                <w14:textFill>
                  <w14:solidFill>
                    <w14:schemeClr w14:val="tx1"/>
                  </w14:solidFill>
                </w14:textFill>
              </w:rPr>
            </w:pPr>
          </w:p>
        </w:tc>
        <w:tc>
          <w:tcPr>
            <w:tcW w:w="702" w:type="dxa"/>
            <w:vAlign w:val="center"/>
          </w:tcPr>
          <w:p w14:paraId="57141386">
            <w:pPr>
              <w:adjustRightInd w:val="0"/>
              <w:spacing w:line="360" w:lineRule="auto"/>
              <w:jc w:val="center"/>
              <w:rPr>
                <w:color w:val="000000" w:themeColor="text1"/>
                <w:szCs w:val="21"/>
                <w:highlight w:val="none"/>
                <w14:textFill>
                  <w14:solidFill>
                    <w14:schemeClr w14:val="tx1"/>
                  </w14:solidFill>
                </w14:textFill>
              </w:rPr>
            </w:pPr>
          </w:p>
        </w:tc>
        <w:tc>
          <w:tcPr>
            <w:tcW w:w="755" w:type="dxa"/>
            <w:vAlign w:val="center"/>
          </w:tcPr>
          <w:p w14:paraId="383DDEA9">
            <w:pPr>
              <w:adjustRightInd w:val="0"/>
              <w:spacing w:line="360" w:lineRule="auto"/>
              <w:jc w:val="center"/>
              <w:rPr>
                <w:color w:val="000000" w:themeColor="text1"/>
                <w:szCs w:val="21"/>
                <w:highlight w:val="none"/>
                <w14:textFill>
                  <w14:solidFill>
                    <w14:schemeClr w14:val="tx1"/>
                  </w14:solidFill>
                </w14:textFill>
              </w:rPr>
            </w:pPr>
          </w:p>
        </w:tc>
        <w:tc>
          <w:tcPr>
            <w:tcW w:w="851" w:type="dxa"/>
            <w:vAlign w:val="center"/>
          </w:tcPr>
          <w:p w14:paraId="3893D136">
            <w:pPr>
              <w:adjustRightInd w:val="0"/>
              <w:spacing w:line="360" w:lineRule="auto"/>
              <w:jc w:val="center"/>
              <w:rPr>
                <w:color w:val="000000" w:themeColor="text1"/>
                <w:szCs w:val="21"/>
                <w:highlight w:val="none"/>
                <w14:textFill>
                  <w14:solidFill>
                    <w14:schemeClr w14:val="tx1"/>
                  </w14:solidFill>
                </w14:textFill>
              </w:rPr>
            </w:pPr>
          </w:p>
        </w:tc>
      </w:tr>
      <w:tr w14:paraId="42A870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092F87F0">
            <w:pPr>
              <w:spacing w:line="360" w:lineRule="auto"/>
              <w:jc w:val="center"/>
              <w:rPr>
                <w:color w:val="000000" w:themeColor="text1"/>
                <w:szCs w:val="21"/>
                <w:highlight w:val="none"/>
                <w14:textFill>
                  <w14:solidFill>
                    <w14:schemeClr w14:val="tx1"/>
                  </w14:solidFill>
                </w14:textFill>
              </w:rPr>
            </w:pPr>
          </w:p>
        </w:tc>
        <w:tc>
          <w:tcPr>
            <w:tcW w:w="1013" w:type="dxa"/>
            <w:vAlign w:val="center"/>
          </w:tcPr>
          <w:p w14:paraId="7F7EC64B">
            <w:pPr>
              <w:spacing w:line="360" w:lineRule="auto"/>
              <w:jc w:val="center"/>
              <w:rPr>
                <w:color w:val="000000" w:themeColor="text1"/>
                <w:szCs w:val="21"/>
                <w:highlight w:val="none"/>
                <w14:textFill>
                  <w14:solidFill>
                    <w14:schemeClr w14:val="tx1"/>
                  </w14:solidFill>
                </w14:textFill>
              </w:rPr>
            </w:pPr>
          </w:p>
        </w:tc>
        <w:tc>
          <w:tcPr>
            <w:tcW w:w="1071" w:type="dxa"/>
            <w:vAlign w:val="center"/>
          </w:tcPr>
          <w:p w14:paraId="3D8A2FB8">
            <w:pPr>
              <w:adjustRightInd w:val="0"/>
              <w:spacing w:line="360" w:lineRule="auto"/>
              <w:jc w:val="center"/>
              <w:rPr>
                <w:color w:val="000000" w:themeColor="text1"/>
                <w:szCs w:val="21"/>
                <w:highlight w:val="none"/>
                <w14:textFill>
                  <w14:solidFill>
                    <w14:schemeClr w14:val="tx1"/>
                  </w14:solidFill>
                </w14:textFill>
              </w:rPr>
            </w:pPr>
          </w:p>
        </w:tc>
        <w:tc>
          <w:tcPr>
            <w:tcW w:w="1359" w:type="dxa"/>
            <w:vAlign w:val="center"/>
          </w:tcPr>
          <w:p w14:paraId="79558513">
            <w:pPr>
              <w:adjustRightInd w:val="0"/>
              <w:spacing w:line="360" w:lineRule="auto"/>
              <w:jc w:val="center"/>
              <w:rPr>
                <w:color w:val="000000" w:themeColor="text1"/>
                <w:szCs w:val="21"/>
                <w:highlight w:val="none"/>
                <w14:textFill>
                  <w14:solidFill>
                    <w14:schemeClr w14:val="tx1"/>
                  </w14:solidFill>
                </w14:textFill>
              </w:rPr>
            </w:pPr>
          </w:p>
        </w:tc>
        <w:tc>
          <w:tcPr>
            <w:tcW w:w="947" w:type="dxa"/>
            <w:vAlign w:val="center"/>
          </w:tcPr>
          <w:p w14:paraId="60DF24EF">
            <w:pPr>
              <w:adjustRightInd w:val="0"/>
              <w:spacing w:line="360" w:lineRule="auto"/>
              <w:jc w:val="center"/>
              <w:rPr>
                <w:color w:val="000000" w:themeColor="text1"/>
                <w:szCs w:val="21"/>
                <w:highlight w:val="none"/>
                <w14:textFill>
                  <w14:solidFill>
                    <w14:schemeClr w14:val="tx1"/>
                  </w14:solidFill>
                </w14:textFill>
              </w:rPr>
            </w:pPr>
          </w:p>
        </w:tc>
        <w:tc>
          <w:tcPr>
            <w:tcW w:w="756" w:type="dxa"/>
            <w:vAlign w:val="center"/>
          </w:tcPr>
          <w:p w14:paraId="6B98C88D">
            <w:pPr>
              <w:adjustRightInd w:val="0"/>
              <w:spacing w:line="360" w:lineRule="auto"/>
              <w:jc w:val="center"/>
              <w:rPr>
                <w:color w:val="000000" w:themeColor="text1"/>
                <w:szCs w:val="21"/>
                <w:highlight w:val="none"/>
                <w14:textFill>
                  <w14:solidFill>
                    <w14:schemeClr w14:val="tx1"/>
                  </w14:solidFill>
                </w14:textFill>
              </w:rPr>
            </w:pPr>
          </w:p>
        </w:tc>
        <w:tc>
          <w:tcPr>
            <w:tcW w:w="754" w:type="dxa"/>
            <w:vAlign w:val="center"/>
          </w:tcPr>
          <w:p w14:paraId="5F52C05B">
            <w:pPr>
              <w:adjustRightInd w:val="0"/>
              <w:spacing w:line="360" w:lineRule="auto"/>
              <w:jc w:val="center"/>
              <w:rPr>
                <w:color w:val="000000" w:themeColor="text1"/>
                <w:szCs w:val="21"/>
                <w:highlight w:val="none"/>
                <w14:textFill>
                  <w14:solidFill>
                    <w14:schemeClr w14:val="tx1"/>
                  </w14:solidFill>
                </w14:textFill>
              </w:rPr>
            </w:pPr>
          </w:p>
        </w:tc>
        <w:tc>
          <w:tcPr>
            <w:tcW w:w="702" w:type="dxa"/>
            <w:vAlign w:val="center"/>
          </w:tcPr>
          <w:p w14:paraId="04AA5C12">
            <w:pPr>
              <w:adjustRightInd w:val="0"/>
              <w:spacing w:line="360" w:lineRule="auto"/>
              <w:jc w:val="center"/>
              <w:rPr>
                <w:color w:val="000000" w:themeColor="text1"/>
                <w:szCs w:val="21"/>
                <w:highlight w:val="none"/>
                <w14:textFill>
                  <w14:solidFill>
                    <w14:schemeClr w14:val="tx1"/>
                  </w14:solidFill>
                </w14:textFill>
              </w:rPr>
            </w:pPr>
          </w:p>
        </w:tc>
        <w:tc>
          <w:tcPr>
            <w:tcW w:w="755" w:type="dxa"/>
            <w:vAlign w:val="center"/>
          </w:tcPr>
          <w:p w14:paraId="169ADF6E">
            <w:pPr>
              <w:adjustRightInd w:val="0"/>
              <w:spacing w:line="360" w:lineRule="auto"/>
              <w:jc w:val="center"/>
              <w:rPr>
                <w:color w:val="000000" w:themeColor="text1"/>
                <w:szCs w:val="21"/>
                <w:highlight w:val="none"/>
                <w14:textFill>
                  <w14:solidFill>
                    <w14:schemeClr w14:val="tx1"/>
                  </w14:solidFill>
                </w14:textFill>
              </w:rPr>
            </w:pPr>
          </w:p>
        </w:tc>
        <w:tc>
          <w:tcPr>
            <w:tcW w:w="851" w:type="dxa"/>
            <w:vAlign w:val="center"/>
          </w:tcPr>
          <w:p w14:paraId="4E7A3DFA">
            <w:pPr>
              <w:adjustRightInd w:val="0"/>
              <w:spacing w:line="360" w:lineRule="auto"/>
              <w:jc w:val="center"/>
              <w:rPr>
                <w:color w:val="000000" w:themeColor="text1"/>
                <w:szCs w:val="21"/>
                <w:highlight w:val="none"/>
                <w14:textFill>
                  <w14:solidFill>
                    <w14:schemeClr w14:val="tx1"/>
                  </w14:solidFill>
                </w14:textFill>
              </w:rPr>
            </w:pPr>
          </w:p>
        </w:tc>
      </w:tr>
      <w:tr w14:paraId="6A4E91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52EE89F9">
            <w:pPr>
              <w:adjustRightInd w:val="0"/>
              <w:spacing w:line="360" w:lineRule="auto"/>
              <w:jc w:val="center"/>
              <w:rPr>
                <w:color w:val="000000" w:themeColor="text1"/>
                <w:szCs w:val="21"/>
                <w:highlight w:val="none"/>
                <w14:textFill>
                  <w14:solidFill>
                    <w14:schemeClr w14:val="tx1"/>
                  </w14:solidFill>
                </w14:textFill>
              </w:rPr>
            </w:pPr>
          </w:p>
        </w:tc>
        <w:tc>
          <w:tcPr>
            <w:tcW w:w="1013" w:type="dxa"/>
            <w:vAlign w:val="center"/>
          </w:tcPr>
          <w:p w14:paraId="242FF704">
            <w:pPr>
              <w:adjustRightInd w:val="0"/>
              <w:spacing w:line="360" w:lineRule="auto"/>
              <w:jc w:val="center"/>
              <w:rPr>
                <w:color w:val="000000" w:themeColor="text1"/>
                <w:szCs w:val="21"/>
                <w:highlight w:val="none"/>
                <w14:textFill>
                  <w14:solidFill>
                    <w14:schemeClr w14:val="tx1"/>
                  </w14:solidFill>
                </w14:textFill>
              </w:rPr>
            </w:pPr>
          </w:p>
        </w:tc>
        <w:tc>
          <w:tcPr>
            <w:tcW w:w="1071" w:type="dxa"/>
            <w:vAlign w:val="center"/>
          </w:tcPr>
          <w:p w14:paraId="5F241AF6">
            <w:pPr>
              <w:adjustRightInd w:val="0"/>
              <w:spacing w:line="360" w:lineRule="auto"/>
              <w:jc w:val="center"/>
              <w:rPr>
                <w:color w:val="000000" w:themeColor="text1"/>
                <w:szCs w:val="21"/>
                <w:highlight w:val="none"/>
                <w14:textFill>
                  <w14:solidFill>
                    <w14:schemeClr w14:val="tx1"/>
                  </w14:solidFill>
                </w14:textFill>
              </w:rPr>
            </w:pPr>
          </w:p>
        </w:tc>
        <w:tc>
          <w:tcPr>
            <w:tcW w:w="1359" w:type="dxa"/>
            <w:vAlign w:val="center"/>
          </w:tcPr>
          <w:p w14:paraId="072B264A">
            <w:pPr>
              <w:adjustRightInd w:val="0"/>
              <w:spacing w:line="360" w:lineRule="auto"/>
              <w:jc w:val="center"/>
              <w:rPr>
                <w:color w:val="000000" w:themeColor="text1"/>
                <w:szCs w:val="21"/>
                <w:highlight w:val="none"/>
                <w14:textFill>
                  <w14:solidFill>
                    <w14:schemeClr w14:val="tx1"/>
                  </w14:solidFill>
                </w14:textFill>
              </w:rPr>
            </w:pPr>
          </w:p>
        </w:tc>
        <w:tc>
          <w:tcPr>
            <w:tcW w:w="947" w:type="dxa"/>
            <w:vAlign w:val="center"/>
          </w:tcPr>
          <w:p w14:paraId="1D688CF9">
            <w:pPr>
              <w:adjustRightInd w:val="0"/>
              <w:spacing w:line="360" w:lineRule="auto"/>
              <w:jc w:val="center"/>
              <w:rPr>
                <w:color w:val="000000" w:themeColor="text1"/>
                <w:szCs w:val="21"/>
                <w:highlight w:val="none"/>
                <w14:textFill>
                  <w14:solidFill>
                    <w14:schemeClr w14:val="tx1"/>
                  </w14:solidFill>
                </w14:textFill>
              </w:rPr>
            </w:pPr>
          </w:p>
        </w:tc>
        <w:tc>
          <w:tcPr>
            <w:tcW w:w="756" w:type="dxa"/>
            <w:vAlign w:val="center"/>
          </w:tcPr>
          <w:p w14:paraId="4EF4E6C0">
            <w:pPr>
              <w:adjustRightInd w:val="0"/>
              <w:spacing w:line="360" w:lineRule="auto"/>
              <w:jc w:val="center"/>
              <w:rPr>
                <w:color w:val="000000" w:themeColor="text1"/>
                <w:szCs w:val="21"/>
                <w:highlight w:val="none"/>
                <w14:textFill>
                  <w14:solidFill>
                    <w14:schemeClr w14:val="tx1"/>
                  </w14:solidFill>
                </w14:textFill>
              </w:rPr>
            </w:pPr>
          </w:p>
        </w:tc>
        <w:tc>
          <w:tcPr>
            <w:tcW w:w="754" w:type="dxa"/>
            <w:vAlign w:val="center"/>
          </w:tcPr>
          <w:p w14:paraId="244539BB">
            <w:pPr>
              <w:adjustRightInd w:val="0"/>
              <w:spacing w:line="360" w:lineRule="auto"/>
              <w:jc w:val="center"/>
              <w:rPr>
                <w:color w:val="000000" w:themeColor="text1"/>
                <w:szCs w:val="21"/>
                <w:highlight w:val="none"/>
                <w14:textFill>
                  <w14:solidFill>
                    <w14:schemeClr w14:val="tx1"/>
                  </w14:solidFill>
                </w14:textFill>
              </w:rPr>
            </w:pPr>
          </w:p>
        </w:tc>
        <w:tc>
          <w:tcPr>
            <w:tcW w:w="702" w:type="dxa"/>
            <w:vAlign w:val="center"/>
          </w:tcPr>
          <w:p w14:paraId="0EC47694">
            <w:pPr>
              <w:adjustRightInd w:val="0"/>
              <w:spacing w:line="360" w:lineRule="auto"/>
              <w:jc w:val="center"/>
              <w:rPr>
                <w:color w:val="000000" w:themeColor="text1"/>
                <w:szCs w:val="21"/>
                <w:highlight w:val="none"/>
                <w14:textFill>
                  <w14:solidFill>
                    <w14:schemeClr w14:val="tx1"/>
                  </w14:solidFill>
                </w14:textFill>
              </w:rPr>
            </w:pPr>
          </w:p>
        </w:tc>
        <w:tc>
          <w:tcPr>
            <w:tcW w:w="755" w:type="dxa"/>
            <w:vAlign w:val="center"/>
          </w:tcPr>
          <w:p w14:paraId="2205D5B9">
            <w:pPr>
              <w:adjustRightInd w:val="0"/>
              <w:spacing w:line="360" w:lineRule="auto"/>
              <w:jc w:val="center"/>
              <w:rPr>
                <w:color w:val="000000" w:themeColor="text1"/>
                <w:szCs w:val="21"/>
                <w:highlight w:val="none"/>
                <w14:textFill>
                  <w14:solidFill>
                    <w14:schemeClr w14:val="tx1"/>
                  </w14:solidFill>
                </w14:textFill>
              </w:rPr>
            </w:pPr>
          </w:p>
        </w:tc>
        <w:tc>
          <w:tcPr>
            <w:tcW w:w="851" w:type="dxa"/>
            <w:vAlign w:val="center"/>
          </w:tcPr>
          <w:p w14:paraId="54E4D866">
            <w:pPr>
              <w:adjustRightInd w:val="0"/>
              <w:spacing w:line="360" w:lineRule="auto"/>
              <w:jc w:val="center"/>
              <w:rPr>
                <w:color w:val="000000" w:themeColor="text1"/>
                <w:szCs w:val="21"/>
                <w:highlight w:val="none"/>
                <w14:textFill>
                  <w14:solidFill>
                    <w14:schemeClr w14:val="tx1"/>
                  </w14:solidFill>
                </w14:textFill>
              </w:rPr>
            </w:pPr>
          </w:p>
        </w:tc>
      </w:tr>
      <w:tr w14:paraId="7EEB7C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633A64A4">
            <w:pPr>
              <w:adjustRightInd w:val="0"/>
              <w:spacing w:line="360" w:lineRule="auto"/>
              <w:jc w:val="center"/>
              <w:rPr>
                <w:color w:val="000000" w:themeColor="text1"/>
                <w:szCs w:val="21"/>
                <w:highlight w:val="none"/>
                <w14:textFill>
                  <w14:solidFill>
                    <w14:schemeClr w14:val="tx1"/>
                  </w14:solidFill>
                </w14:textFill>
              </w:rPr>
            </w:pPr>
          </w:p>
        </w:tc>
        <w:tc>
          <w:tcPr>
            <w:tcW w:w="1013" w:type="dxa"/>
            <w:vAlign w:val="center"/>
          </w:tcPr>
          <w:p w14:paraId="5233C503">
            <w:pPr>
              <w:adjustRightInd w:val="0"/>
              <w:spacing w:line="360" w:lineRule="auto"/>
              <w:jc w:val="center"/>
              <w:rPr>
                <w:color w:val="000000" w:themeColor="text1"/>
                <w:szCs w:val="21"/>
                <w:highlight w:val="none"/>
                <w14:textFill>
                  <w14:solidFill>
                    <w14:schemeClr w14:val="tx1"/>
                  </w14:solidFill>
                </w14:textFill>
              </w:rPr>
            </w:pPr>
          </w:p>
        </w:tc>
        <w:tc>
          <w:tcPr>
            <w:tcW w:w="1071" w:type="dxa"/>
            <w:vAlign w:val="center"/>
          </w:tcPr>
          <w:p w14:paraId="2719F156">
            <w:pPr>
              <w:adjustRightInd w:val="0"/>
              <w:spacing w:line="360" w:lineRule="auto"/>
              <w:jc w:val="center"/>
              <w:rPr>
                <w:color w:val="000000" w:themeColor="text1"/>
                <w:szCs w:val="21"/>
                <w:highlight w:val="none"/>
                <w14:textFill>
                  <w14:solidFill>
                    <w14:schemeClr w14:val="tx1"/>
                  </w14:solidFill>
                </w14:textFill>
              </w:rPr>
            </w:pPr>
          </w:p>
        </w:tc>
        <w:tc>
          <w:tcPr>
            <w:tcW w:w="1359" w:type="dxa"/>
            <w:vAlign w:val="center"/>
          </w:tcPr>
          <w:p w14:paraId="294C43A4">
            <w:pPr>
              <w:adjustRightInd w:val="0"/>
              <w:spacing w:line="360" w:lineRule="auto"/>
              <w:jc w:val="center"/>
              <w:rPr>
                <w:color w:val="000000" w:themeColor="text1"/>
                <w:szCs w:val="21"/>
                <w:highlight w:val="none"/>
                <w14:textFill>
                  <w14:solidFill>
                    <w14:schemeClr w14:val="tx1"/>
                  </w14:solidFill>
                </w14:textFill>
              </w:rPr>
            </w:pPr>
          </w:p>
        </w:tc>
        <w:tc>
          <w:tcPr>
            <w:tcW w:w="947" w:type="dxa"/>
            <w:vAlign w:val="center"/>
          </w:tcPr>
          <w:p w14:paraId="6DCBA46C">
            <w:pPr>
              <w:adjustRightInd w:val="0"/>
              <w:spacing w:line="360" w:lineRule="auto"/>
              <w:jc w:val="center"/>
              <w:rPr>
                <w:color w:val="000000" w:themeColor="text1"/>
                <w:szCs w:val="21"/>
                <w:highlight w:val="none"/>
                <w14:textFill>
                  <w14:solidFill>
                    <w14:schemeClr w14:val="tx1"/>
                  </w14:solidFill>
                </w14:textFill>
              </w:rPr>
            </w:pPr>
          </w:p>
        </w:tc>
        <w:tc>
          <w:tcPr>
            <w:tcW w:w="756" w:type="dxa"/>
            <w:vAlign w:val="center"/>
          </w:tcPr>
          <w:p w14:paraId="386FA5C4">
            <w:pPr>
              <w:adjustRightInd w:val="0"/>
              <w:spacing w:line="360" w:lineRule="auto"/>
              <w:jc w:val="center"/>
              <w:rPr>
                <w:color w:val="000000" w:themeColor="text1"/>
                <w:szCs w:val="21"/>
                <w:highlight w:val="none"/>
                <w14:textFill>
                  <w14:solidFill>
                    <w14:schemeClr w14:val="tx1"/>
                  </w14:solidFill>
                </w14:textFill>
              </w:rPr>
            </w:pPr>
          </w:p>
        </w:tc>
        <w:tc>
          <w:tcPr>
            <w:tcW w:w="754" w:type="dxa"/>
            <w:vAlign w:val="center"/>
          </w:tcPr>
          <w:p w14:paraId="2E3724A6">
            <w:pPr>
              <w:adjustRightInd w:val="0"/>
              <w:spacing w:line="360" w:lineRule="auto"/>
              <w:jc w:val="center"/>
              <w:rPr>
                <w:color w:val="000000" w:themeColor="text1"/>
                <w:szCs w:val="21"/>
                <w:highlight w:val="none"/>
                <w14:textFill>
                  <w14:solidFill>
                    <w14:schemeClr w14:val="tx1"/>
                  </w14:solidFill>
                </w14:textFill>
              </w:rPr>
            </w:pPr>
          </w:p>
        </w:tc>
        <w:tc>
          <w:tcPr>
            <w:tcW w:w="702" w:type="dxa"/>
            <w:vAlign w:val="center"/>
          </w:tcPr>
          <w:p w14:paraId="1485C2FB">
            <w:pPr>
              <w:adjustRightInd w:val="0"/>
              <w:spacing w:line="360" w:lineRule="auto"/>
              <w:jc w:val="center"/>
              <w:rPr>
                <w:color w:val="000000" w:themeColor="text1"/>
                <w:szCs w:val="21"/>
                <w:highlight w:val="none"/>
                <w14:textFill>
                  <w14:solidFill>
                    <w14:schemeClr w14:val="tx1"/>
                  </w14:solidFill>
                </w14:textFill>
              </w:rPr>
            </w:pPr>
          </w:p>
        </w:tc>
        <w:tc>
          <w:tcPr>
            <w:tcW w:w="755" w:type="dxa"/>
            <w:vAlign w:val="center"/>
          </w:tcPr>
          <w:p w14:paraId="6A95E661">
            <w:pPr>
              <w:adjustRightInd w:val="0"/>
              <w:spacing w:line="360" w:lineRule="auto"/>
              <w:jc w:val="center"/>
              <w:rPr>
                <w:color w:val="000000" w:themeColor="text1"/>
                <w:szCs w:val="21"/>
                <w:highlight w:val="none"/>
                <w14:textFill>
                  <w14:solidFill>
                    <w14:schemeClr w14:val="tx1"/>
                  </w14:solidFill>
                </w14:textFill>
              </w:rPr>
            </w:pPr>
          </w:p>
        </w:tc>
        <w:tc>
          <w:tcPr>
            <w:tcW w:w="851" w:type="dxa"/>
            <w:vAlign w:val="center"/>
          </w:tcPr>
          <w:p w14:paraId="13B41738">
            <w:pPr>
              <w:adjustRightInd w:val="0"/>
              <w:spacing w:line="360" w:lineRule="auto"/>
              <w:jc w:val="center"/>
              <w:rPr>
                <w:color w:val="000000" w:themeColor="text1"/>
                <w:szCs w:val="21"/>
                <w:highlight w:val="none"/>
                <w14:textFill>
                  <w14:solidFill>
                    <w14:schemeClr w14:val="tx1"/>
                  </w14:solidFill>
                </w14:textFill>
              </w:rPr>
            </w:pPr>
          </w:p>
        </w:tc>
      </w:tr>
      <w:tr w14:paraId="05D4BD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2B0523ED">
            <w:pPr>
              <w:adjustRightInd w:val="0"/>
              <w:spacing w:line="360" w:lineRule="auto"/>
              <w:jc w:val="center"/>
              <w:rPr>
                <w:color w:val="000000" w:themeColor="text1"/>
                <w:szCs w:val="21"/>
                <w:highlight w:val="none"/>
                <w14:textFill>
                  <w14:solidFill>
                    <w14:schemeClr w14:val="tx1"/>
                  </w14:solidFill>
                </w14:textFill>
              </w:rPr>
            </w:pPr>
          </w:p>
        </w:tc>
        <w:tc>
          <w:tcPr>
            <w:tcW w:w="1013" w:type="dxa"/>
            <w:vAlign w:val="center"/>
          </w:tcPr>
          <w:p w14:paraId="7F400858">
            <w:pPr>
              <w:adjustRightInd w:val="0"/>
              <w:spacing w:line="360" w:lineRule="auto"/>
              <w:jc w:val="center"/>
              <w:rPr>
                <w:color w:val="000000" w:themeColor="text1"/>
                <w:szCs w:val="21"/>
                <w:highlight w:val="none"/>
                <w14:textFill>
                  <w14:solidFill>
                    <w14:schemeClr w14:val="tx1"/>
                  </w14:solidFill>
                </w14:textFill>
              </w:rPr>
            </w:pPr>
          </w:p>
        </w:tc>
        <w:tc>
          <w:tcPr>
            <w:tcW w:w="1071" w:type="dxa"/>
            <w:vAlign w:val="center"/>
          </w:tcPr>
          <w:p w14:paraId="568D2296">
            <w:pPr>
              <w:adjustRightInd w:val="0"/>
              <w:spacing w:line="360" w:lineRule="auto"/>
              <w:jc w:val="center"/>
              <w:rPr>
                <w:color w:val="000000" w:themeColor="text1"/>
                <w:szCs w:val="21"/>
                <w:highlight w:val="none"/>
                <w14:textFill>
                  <w14:solidFill>
                    <w14:schemeClr w14:val="tx1"/>
                  </w14:solidFill>
                </w14:textFill>
              </w:rPr>
            </w:pPr>
          </w:p>
        </w:tc>
        <w:tc>
          <w:tcPr>
            <w:tcW w:w="1359" w:type="dxa"/>
            <w:vAlign w:val="center"/>
          </w:tcPr>
          <w:p w14:paraId="7F74AFD4">
            <w:pPr>
              <w:adjustRightInd w:val="0"/>
              <w:spacing w:line="360" w:lineRule="auto"/>
              <w:jc w:val="center"/>
              <w:rPr>
                <w:color w:val="000000" w:themeColor="text1"/>
                <w:szCs w:val="21"/>
                <w:highlight w:val="none"/>
                <w14:textFill>
                  <w14:solidFill>
                    <w14:schemeClr w14:val="tx1"/>
                  </w14:solidFill>
                </w14:textFill>
              </w:rPr>
            </w:pPr>
          </w:p>
        </w:tc>
        <w:tc>
          <w:tcPr>
            <w:tcW w:w="947" w:type="dxa"/>
            <w:vAlign w:val="center"/>
          </w:tcPr>
          <w:p w14:paraId="3A8A41F7">
            <w:pPr>
              <w:adjustRightInd w:val="0"/>
              <w:spacing w:line="360" w:lineRule="auto"/>
              <w:jc w:val="center"/>
              <w:rPr>
                <w:color w:val="000000" w:themeColor="text1"/>
                <w:szCs w:val="21"/>
                <w:highlight w:val="none"/>
                <w14:textFill>
                  <w14:solidFill>
                    <w14:schemeClr w14:val="tx1"/>
                  </w14:solidFill>
                </w14:textFill>
              </w:rPr>
            </w:pPr>
          </w:p>
        </w:tc>
        <w:tc>
          <w:tcPr>
            <w:tcW w:w="756" w:type="dxa"/>
            <w:vAlign w:val="center"/>
          </w:tcPr>
          <w:p w14:paraId="65117493">
            <w:pPr>
              <w:adjustRightInd w:val="0"/>
              <w:spacing w:line="360" w:lineRule="auto"/>
              <w:jc w:val="center"/>
              <w:rPr>
                <w:color w:val="000000" w:themeColor="text1"/>
                <w:szCs w:val="21"/>
                <w:highlight w:val="none"/>
                <w14:textFill>
                  <w14:solidFill>
                    <w14:schemeClr w14:val="tx1"/>
                  </w14:solidFill>
                </w14:textFill>
              </w:rPr>
            </w:pPr>
          </w:p>
        </w:tc>
        <w:tc>
          <w:tcPr>
            <w:tcW w:w="754" w:type="dxa"/>
            <w:vAlign w:val="center"/>
          </w:tcPr>
          <w:p w14:paraId="69B20F0E">
            <w:pPr>
              <w:adjustRightInd w:val="0"/>
              <w:spacing w:line="360" w:lineRule="auto"/>
              <w:jc w:val="center"/>
              <w:rPr>
                <w:color w:val="000000" w:themeColor="text1"/>
                <w:szCs w:val="21"/>
                <w:highlight w:val="none"/>
                <w14:textFill>
                  <w14:solidFill>
                    <w14:schemeClr w14:val="tx1"/>
                  </w14:solidFill>
                </w14:textFill>
              </w:rPr>
            </w:pPr>
          </w:p>
        </w:tc>
        <w:tc>
          <w:tcPr>
            <w:tcW w:w="702" w:type="dxa"/>
            <w:vAlign w:val="center"/>
          </w:tcPr>
          <w:p w14:paraId="6EF87C40">
            <w:pPr>
              <w:adjustRightInd w:val="0"/>
              <w:spacing w:line="360" w:lineRule="auto"/>
              <w:jc w:val="center"/>
              <w:rPr>
                <w:color w:val="000000" w:themeColor="text1"/>
                <w:szCs w:val="21"/>
                <w:highlight w:val="none"/>
                <w14:textFill>
                  <w14:solidFill>
                    <w14:schemeClr w14:val="tx1"/>
                  </w14:solidFill>
                </w14:textFill>
              </w:rPr>
            </w:pPr>
          </w:p>
        </w:tc>
        <w:tc>
          <w:tcPr>
            <w:tcW w:w="755" w:type="dxa"/>
            <w:vAlign w:val="center"/>
          </w:tcPr>
          <w:p w14:paraId="4DC3A03B">
            <w:pPr>
              <w:adjustRightInd w:val="0"/>
              <w:spacing w:line="360" w:lineRule="auto"/>
              <w:jc w:val="center"/>
              <w:rPr>
                <w:color w:val="000000" w:themeColor="text1"/>
                <w:szCs w:val="21"/>
                <w:highlight w:val="none"/>
                <w14:textFill>
                  <w14:solidFill>
                    <w14:schemeClr w14:val="tx1"/>
                  </w14:solidFill>
                </w14:textFill>
              </w:rPr>
            </w:pPr>
          </w:p>
        </w:tc>
        <w:tc>
          <w:tcPr>
            <w:tcW w:w="851" w:type="dxa"/>
            <w:vAlign w:val="center"/>
          </w:tcPr>
          <w:p w14:paraId="64E6D05F">
            <w:pPr>
              <w:adjustRightInd w:val="0"/>
              <w:spacing w:line="360" w:lineRule="auto"/>
              <w:jc w:val="center"/>
              <w:rPr>
                <w:color w:val="000000" w:themeColor="text1"/>
                <w:szCs w:val="21"/>
                <w:highlight w:val="none"/>
                <w14:textFill>
                  <w14:solidFill>
                    <w14:schemeClr w14:val="tx1"/>
                  </w14:solidFill>
                </w14:textFill>
              </w:rPr>
            </w:pPr>
          </w:p>
        </w:tc>
      </w:tr>
      <w:tr w14:paraId="2312F6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4D7C9425">
            <w:pPr>
              <w:adjustRightInd w:val="0"/>
              <w:spacing w:line="360" w:lineRule="auto"/>
              <w:jc w:val="center"/>
              <w:rPr>
                <w:color w:val="000000" w:themeColor="text1"/>
                <w:szCs w:val="21"/>
                <w:highlight w:val="none"/>
                <w14:textFill>
                  <w14:solidFill>
                    <w14:schemeClr w14:val="tx1"/>
                  </w14:solidFill>
                </w14:textFill>
              </w:rPr>
            </w:pPr>
          </w:p>
        </w:tc>
        <w:tc>
          <w:tcPr>
            <w:tcW w:w="1013" w:type="dxa"/>
            <w:vAlign w:val="center"/>
          </w:tcPr>
          <w:p w14:paraId="3F4C3F89">
            <w:pPr>
              <w:adjustRightInd w:val="0"/>
              <w:spacing w:line="360" w:lineRule="auto"/>
              <w:jc w:val="center"/>
              <w:rPr>
                <w:color w:val="000000" w:themeColor="text1"/>
                <w:szCs w:val="21"/>
                <w:highlight w:val="none"/>
                <w14:textFill>
                  <w14:solidFill>
                    <w14:schemeClr w14:val="tx1"/>
                  </w14:solidFill>
                </w14:textFill>
              </w:rPr>
            </w:pPr>
          </w:p>
        </w:tc>
        <w:tc>
          <w:tcPr>
            <w:tcW w:w="1071" w:type="dxa"/>
            <w:vAlign w:val="center"/>
          </w:tcPr>
          <w:p w14:paraId="6B2E3A6A">
            <w:pPr>
              <w:adjustRightInd w:val="0"/>
              <w:spacing w:line="360" w:lineRule="auto"/>
              <w:jc w:val="center"/>
              <w:rPr>
                <w:color w:val="000000" w:themeColor="text1"/>
                <w:szCs w:val="21"/>
                <w:highlight w:val="none"/>
                <w14:textFill>
                  <w14:solidFill>
                    <w14:schemeClr w14:val="tx1"/>
                  </w14:solidFill>
                </w14:textFill>
              </w:rPr>
            </w:pPr>
          </w:p>
        </w:tc>
        <w:tc>
          <w:tcPr>
            <w:tcW w:w="1359" w:type="dxa"/>
            <w:vAlign w:val="center"/>
          </w:tcPr>
          <w:p w14:paraId="6783F7EE">
            <w:pPr>
              <w:adjustRightInd w:val="0"/>
              <w:spacing w:line="360" w:lineRule="auto"/>
              <w:jc w:val="center"/>
              <w:rPr>
                <w:color w:val="000000" w:themeColor="text1"/>
                <w:szCs w:val="21"/>
                <w:highlight w:val="none"/>
                <w14:textFill>
                  <w14:solidFill>
                    <w14:schemeClr w14:val="tx1"/>
                  </w14:solidFill>
                </w14:textFill>
              </w:rPr>
            </w:pPr>
          </w:p>
        </w:tc>
        <w:tc>
          <w:tcPr>
            <w:tcW w:w="947" w:type="dxa"/>
            <w:vAlign w:val="center"/>
          </w:tcPr>
          <w:p w14:paraId="4CCB5661">
            <w:pPr>
              <w:adjustRightInd w:val="0"/>
              <w:spacing w:line="360" w:lineRule="auto"/>
              <w:jc w:val="center"/>
              <w:rPr>
                <w:color w:val="000000" w:themeColor="text1"/>
                <w:szCs w:val="21"/>
                <w:highlight w:val="none"/>
                <w14:textFill>
                  <w14:solidFill>
                    <w14:schemeClr w14:val="tx1"/>
                  </w14:solidFill>
                </w14:textFill>
              </w:rPr>
            </w:pPr>
          </w:p>
        </w:tc>
        <w:tc>
          <w:tcPr>
            <w:tcW w:w="756" w:type="dxa"/>
            <w:vAlign w:val="center"/>
          </w:tcPr>
          <w:p w14:paraId="2FBD96D0">
            <w:pPr>
              <w:adjustRightInd w:val="0"/>
              <w:spacing w:line="360" w:lineRule="auto"/>
              <w:jc w:val="center"/>
              <w:rPr>
                <w:color w:val="000000" w:themeColor="text1"/>
                <w:szCs w:val="21"/>
                <w:highlight w:val="none"/>
                <w14:textFill>
                  <w14:solidFill>
                    <w14:schemeClr w14:val="tx1"/>
                  </w14:solidFill>
                </w14:textFill>
              </w:rPr>
            </w:pPr>
          </w:p>
        </w:tc>
        <w:tc>
          <w:tcPr>
            <w:tcW w:w="754" w:type="dxa"/>
            <w:vAlign w:val="center"/>
          </w:tcPr>
          <w:p w14:paraId="174F7FA8">
            <w:pPr>
              <w:adjustRightInd w:val="0"/>
              <w:spacing w:line="360" w:lineRule="auto"/>
              <w:jc w:val="center"/>
              <w:rPr>
                <w:color w:val="000000" w:themeColor="text1"/>
                <w:szCs w:val="21"/>
                <w:highlight w:val="none"/>
                <w14:textFill>
                  <w14:solidFill>
                    <w14:schemeClr w14:val="tx1"/>
                  </w14:solidFill>
                </w14:textFill>
              </w:rPr>
            </w:pPr>
          </w:p>
        </w:tc>
        <w:tc>
          <w:tcPr>
            <w:tcW w:w="702" w:type="dxa"/>
            <w:vAlign w:val="center"/>
          </w:tcPr>
          <w:p w14:paraId="5FE11E8E">
            <w:pPr>
              <w:adjustRightInd w:val="0"/>
              <w:spacing w:line="360" w:lineRule="auto"/>
              <w:jc w:val="center"/>
              <w:rPr>
                <w:color w:val="000000" w:themeColor="text1"/>
                <w:szCs w:val="21"/>
                <w:highlight w:val="none"/>
                <w14:textFill>
                  <w14:solidFill>
                    <w14:schemeClr w14:val="tx1"/>
                  </w14:solidFill>
                </w14:textFill>
              </w:rPr>
            </w:pPr>
          </w:p>
        </w:tc>
        <w:tc>
          <w:tcPr>
            <w:tcW w:w="755" w:type="dxa"/>
            <w:vAlign w:val="center"/>
          </w:tcPr>
          <w:p w14:paraId="5A5E1536">
            <w:pPr>
              <w:adjustRightInd w:val="0"/>
              <w:spacing w:line="360" w:lineRule="auto"/>
              <w:jc w:val="center"/>
              <w:rPr>
                <w:color w:val="000000" w:themeColor="text1"/>
                <w:szCs w:val="21"/>
                <w:highlight w:val="none"/>
                <w14:textFill>
                  <w14:solidFill>
                    <w14:schemeClr w14:val="tx1"/>
                  </w14:solidFill>
                </w14:textFill>
              </w:rPr>
            </w:pPr>
          </w:p>
        </w:tc>
        <w:tc>
          <w:tcPr>
            <w:tcW w:w="851" w:type="dxa"/>
            <w:vAlign w:val="center"/>
          </w:tcPr>
          <w:p w14:paraId="66609A79">
            <w:pPr>
              <w:adjustRightInd w:val="0"/>
              <w:spacing w:line="360" w:lineRule="auto"/>
              <w:jc w:val="center"/>
              <w:rPr>
                <w:color w:val="000000" w:themeColor="text1"/>
                <w:szCs w:val="21"/>
                <w:highlight w:val="none"/>
                <w14:textFill>
                  <w14:solidFill>
                    <w14:schemeClr w14:val="tx1"/>
                  </w14:solidFill>
                </w14:textFill>
              </w:rPr>
            </w:pPr>
          </w:p>
        </w:tc>
      </w:tr>
      <w:tr w14:paraId="44834C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29812E0A">
            <w:pPr>
              <w:adjustRightInd w:val="0"/>
              <w:spacing w:line="360" w:lineRule="auto"/>
              <w:jc w:val="center"/>
              <w:rPr>
                <w:color w:val="000000" w:themeColor="text1"/>
                <w:szCs w:val="21"/>
                <w:highlight w:val="none"/>
                <w14:textFill>
                  <w14:solidFill>
                    <w14:schemeClr w14:val="tx1"/>
                  </w14:solidFill>
                </w14:textFill>
              </w:rPr>
            </w:pPr>
          </w:p>
        </w:tc>
        <w:tc>
          <w:tcPr>
            <w:tcW w:w="1013" w:type="dxa"/>
            <w:vAlign w:val="center"/>
          </w:tcPr>
          <w:p w14:paraId="5BD00594">
            <w:pPr>
              <w:adjustRightInd w:val="0"/>
              <w:spacing w:line="360" w:lineRule="auto"/>
              <w:jc w:val="center"/>
              <w:rPr>
                <w:color w:val="000000" w:themeColor="text1"/>
                <w:szCs w:val="21"/>
                <w:highlight w:val="none"/>
                <w14:textFill>
                  <w14:solidFill>
                    <w14:schemeClr w14:val="tx1"/>
                  </w14:solidFill>
                </w14:textFill>
              </w:rPr>
            </w:pPr>
          </w:p>
        </w:tc>
        <w:tc>
          <w:tcPr>
            <w:tcW w:w="1071" w:type="dxa"/>
            <w:vAlign w:val="center"/>
          </w:tcPr>
          <w:p w14:paraId="5672F7B3">
            <w:pPr>
              <w:adjustRightInd w:val="0"/>
              <w:spacing w:line="360" w:lineRule="auto"/>
              <w:jc w:val="center"/>
              <w:rPr>
                <w:color w:val="000000" w:themeColor="text1"/>
                <w:szCs w:val="21"/>
                <w:highlight w:val="none"/>
                <w14:textFill>
                  <w14:solidFill>
                    <w14:schemeClr w14:val="tx1"/>
                  </w14:solidFill>
                </w14:textFill>
              </w:rPr>
            </w:pPr>
          </w:p>
        </w:tc>
        <w:tc>
          <w:tcPr>
            <w:tcW w:w="1359" w:type="dxa"/>
            <w:vAlign w:val="center"/>
          </w:tcPr>
          <w:p w14:paraId="13956E50">
            <w:pPr>
              <w:adjustRightInd w:val="0"/>
              <w:spacing w:line="360" w:lineRule="auto"/>
              <w:jc w:val="center"/>
              <w:rPr>
                <w:color w:val="000000" w:themeColor="text1"/>
                <w:szCs w:val="21"/>
                <w:highlight w:val="none"/>
                <w14:textFill>
                  <w14:solidFill>
                    <w14:schemeClr w14:val="tx1"/>
                  </w14:solidFill>
                </w14:textFill>
              </w:rPr>
            </w:pPr>
          </w:p>
        </w:tc>
        <w:tc>
          <w:tcPr>
            <w:tcW w:w="947" w:type="dxa"/>
            <w:vAlign w:val="center"/>
          </w:tcPr>
          <w:p w14:paraId="66B5B632">
            <w:pPr>
              <w:adjustRightInd w:val="0"/>
              <w:spacing w:line="360" w:lineRule="auto"/>
              <w:jc w:val="center"/>
              <w:rPr>
                <w:color w:val="000000" w:themeColor="text1"/>
                <w:szCs w:val="21"/>
                <w:highlight w:val="none"/>
                <w14:textFill>
                  <w14:solidFill>
                    <w14:schemeClr w14:val="tx1"/>
                  </w14:solidFill>
                </w14:textFill>
              </w:rPr>
            </w:pPr>
          </w:p>
        </w:tc>
        <w:tc>
          <w:tcPr>
            <w:tcW w:w="756" w:type="dxa"/>
            <w:vAlign w:val="center"/>
          </w:tcPr>
          <w:p w14:paraId="641B92C6">
            <w:pPr>
              <w:adjustRightInd w:val="0"/>
              <w:spacing w:line="360" w:lineRule="auto"/>
              <w:jc w:val="center"/>
              <w:rPr>
                <w:color w:val="000000" w:themeColor="text1"/>
                <w:szCs w:val="21"/>
                <w:highlight w:val="none"/>
                <w14:textFill>
                  <w14:solidFill>
                    <w14:schemeClr w14:val="tx1"/>
                  </w14:solidFill>
                </w14:textFill>
              </w:rPr>
            </w:pPr>
          </w:p>
        </w:tc>
        <w:tc>
          <w:tcPr>
            <w:tcW w:w="754" w:type="dxa"/>
            <w:vAlign w:val="center"/>
          </w:tcPr>
          <w:p w14:paraId="10DAA461">
            <w:pPr>
              <w:adjustRightInd w:val="0"/>
              <w:spacing w:line="360" w:lineRule="auto"/>
              <w:jc w:val="center"/>
              <w:rPr>
                <w:color w:val="000000" w:themeColor="text1"/>
                <w:szCs w:val="21"/>
                <w:highlight w:val="none"/>
                <w14:textFill>
                  <w14:solidFill>
                    <w14:schemeClr w14:val="tx1"/>
                  </w14:solidFill>
                </w14:textFill>
              </w:rPr>
            </w:pPr>
          </w:p>
        </w:tc>
        <w:tc>
          <w:tcPr>
            <w:tcW w:w="702" w:type="dxa"/>
            <w:vAlign w:val="center"/>
          </w:tcPr>
          <w:p w14:paraId="2EE0C6AD">
            <w:pPr>
              <w:adjustRightInd w:val="0"/>
              <w:spacing w:line="360" w:lineRule="auto"/>
              <w:jc w:val="center"/>
              <w:rPr>
                <w:color w:val="000000" w:themeColor="text1"/>
                <w:szCs w:val="21"/>
                <w:highlight w:val="none"/>
                <w14:textFill>
                  <w14:solidFill>
                    <w14:schemeClr w14:val="tx1"/>
                  </w14:solidFill>
                </w14:textFill>
              </w:rPr>
            </w:pPr>
          </w:p>
        </w:tc>
        <w:tc>
          <w:tcPr>
            <w:tcW w:w="755" w:type="dxa"/>
            <w:vAlign w:val="center"/>
          </w:tcPr>
          <w:p w14:paraId="00329F7C">
            <w:pPr>
              <w:adjustRightInd w:val="0"/>
              <w:spacing w:line="360" w:lineRule="auto"/>
              <w:jc w:val="center"/>
              <w:rPr>
                <w:color w:val="000000" w:themeColor="text1"/>
                <w:szCs w:val="21"/>
                <w:highlight w:val="none"/>
                <w14:textFill>
                  <w14:solidFill>
                    <w14:schemeClr w14:val="tx1"/>
                  </w14:solidFill>
                </w14:textFill>
              </w:rPr>
            </w:pPr>
          </w:p>
        </w:tc>
        <w:tc>
          <w:tcPr>
            <w:tcW w:w="851" w:type="dxa"/>
            <w:vAlign w:val="center"/>
          </w:tcPr>
          <w:p w14:paraId="311D1A36">
            <w:pPr>
              <w:adjustRightInd w:val="0"/>
              <w:spacing w:line="360" w:lineRule="auto"/>
              <w:jc w:val="center"/>
              <w:rPr>
                <w:color w:val="000000" w:themeColor="text1"/>
                <w:szCs w:val="21"/>
                <w:highlight w:val="none"/>
                <w14:textFill>
                  <w14:solidFill>
                    <w14:schemeClr w14:val="tx1"/>
                  </w14:solidFill>
                </w14:textFill>
              </w:rPr>
            </w:pPr>
          </w:p>
        </w:tc>
      </w:tr>
      <w:tr w14:paraId="50286A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7C07A80A">
            <w:pPr>
              <w:adjustRightInd w:val="0"/>
              <w:spacing w:line="360" w:lineRule="auto"/>
              <w:jc w:val="center"/>
              <w:rPr>
                <w:color w:val="000000" w:themeColor="text1"/>
                <w:szCs w:val="21"/>
                <w:highlight w:val="none"/>
                <w14:textFill>
                  <w14:solidFill>
                    <w14:schemeClr w14:val="tx1"/>
                  </w14:solidFill>
                </w14:textFill>
              </w:rPr>
            </w:pPr>
          </w:p>
        </w:tc>
        <w:tc>
          <w:tcPr>
            <w:tcW w:w="1013" w:type="dxa"/>
            <w:vAlign w:val="center"/>
          </w:tcPr>
          <w:p w14:paraId="4CC67421">
            <w:pPr>
              <w:adjustRightInd w:val="0"/>
              <w:spacing w:line="360" w:lineRule="auto"/>
              <w:jc w:val="center"/>
              <w:rPr>
                <w:color w:val="000000" w:themeColor="text1"/>
                <w:szCs w:val="21"/>
                <w:highlight w:val="none"/>
                <w14:textFill>
                  <w14:solidFill>
                    <w14:schemeClr w14:val="tx1"/>
                  </w14:solidFill>
                </w14:textFill>
              </w:rPr>
            </w:pPr>
          </w:p>
        </w:tc>
        <w:tc>
          <w:tcPr>
            <w:tcW w:w="1071" w:type="dxa"/>
            <w:vAlign w:val="center"/>
          </w:tcPr>
          <w:p w14:paraId="7461F06D">
            <w:pPr>
              <w:adjustRightInd w:val="0"/>
              <w:spacing w:line="360" w:lineRule="auto"/>
              <w:jc w:val="center"/>
              <w:rPr>
                <w:color w:val="000000" w:themeColor="text1"/>
                <w:szCs w:val="21"/>
                <w:highlight w:val="none"/>
                <w14:textFill>
                  <w14:solidFill>
                    <w14:schemeClr w14:val="tx1"/>
                  </w14:solidFill>
                </w14:textFill>
              </w:rPr>
            </w:pPr>
          </w:p>
        </w:tc>
        <w:tc>
          <w:tcPr>
            <w:tcW w:w="1359" w:type="dxa"/>
            <w:vAlign w:val="center"/>
          </w:tcPr>
          <w:p w14:paraId="6C5168A7">
            <w:pPr>
              <w:adjustRightInd w:val="0"/>
              <w:spacing w:line="360" w:lineRule="auto"/>
              <w:jc w:val="center"/>
              <w:rPr>
                <w:color w:val="000000" w:themeColor="text1"/>
                <w:szCs w:val="21"/>
                <w:highlight w:val="none"/>
                <w14:textFill>
                  <w14:solidFill>
                    <w14:schemeClr w14:val="tx1"/>
                  </w14:solidFill>
                </w14:textFill>
              </w:rPr>
            </w:pPr>
          </w:p>
        </w:tc>
        <w:tc>
          <w:tcPr>
            <w:tcW w:w="947" w:type="dxa"/>
            <w:vAlign w:val="center"/>
          </w:tcPr>
          <w:p w14:paraId="0A28AD9B">
            <w:pPr>
              <w:adjustRightInd w:val="0"/>
              <w:spacing w:line="360" w:lineRule="auto"/>
              <w:jc w:val="center"/>
              <w:rPr>
                <w:color w:val="000000" w:themeColor="text1"/>
                <w:szCs w:val="21"/>
                <w:highlight w:val="none"/>
                <w14:textFill>
                  <w14:solidFill>
                    <w14:schemeClr w14:val="tx1"/>
                  </w14:solidFill>
                </w14:textFill>
              </w:rPr>
            </w:pPr>
          </w:p>
        </w:tc>
        <w:tc>
          <w:tcPr>
            <w:tcW w:w="756" w:type="dxa"/>
            <w:vAlign w:val="center"/>
          </w:tcPr>
          <w:p w14:paraId="5598CC2E">
            <w:pPr>
              <w:adjustRightInd w:val="0"/>
              <w:spacing w:line="360" w:lineRule="auto"/>
              <w:jc w:val="center"/>
              <w:rPr>
                <w:color w:val="000000" w:themeColor="text1"/>
                <w:szCs w:val="21"/>
                <w:highlight w:val="none"/>
                <w14:textFill>
                  <w14:solidFill>
                    <w14:schemeClr w14:val="tx1"/>
                  </w14:solidFill>
                </w14:textFill>
              </w:rPr>
            </w:pPr>
          </w:p>
        </w:tc>
        <w:tc>
          <w:tcPr>
            <w:tcW w:w="754" w:type="dxa"/>
            <w:vAlign w:val="center"/>
          </w:tcPr>
          <w:p w14:paraId="61DDD561">
            <w:pPr>
              <w:adjustRightInd w:val="0"/>
              <w:spacing w:line="360" w:lineRule="auto"/>
              <w:jc w:val="center"/>
              <w:rPr>
                <w:color w:val="000000" w:themeColor="text1"/>
                <w:szCs w:val="21"/>
                <w:highlight w:val="none"/>
                <w14:textFill>
                  <w14:solidFill>
                    <w14:schemeClr w14:val="tx1"/>
                  </w14:solidFill>
                </w14:textFill>
              </w:rPr>
            </w:pPr>
          </w:p>
        </w:tc>
        <w:tc>
          <w:tcPr>
            <w:tcW w:w="702" w:type="dxa"/>
            <w:vAlign w:val="center"/>
          </w:tcPr>
          <w:p w14:paraId="164FCDD2">
            <w:pPr>
              <w:adjustRightInd w:val="0"/>
              <w:spacing w:line="360" w:lineRule="auto"/>
              <w:jc w:val="center"/>
              <w:rPr>
                <w:color w:val="000000" w:themeColor="text1"/>
                <w:szCs w:val="21"/>
                <w:highlight w:val="none"/>
                <w14:textFill>
                  <w14:solidFill>
                    <w14:schemeClr w14:val="tx1"/>
                  </w14:solidFill>
                </w14:textFill>
              </w:rPr>
            </w:pPr>
          </w:p>
        </w:tc>
        <w:tc>
          <w:tcPr>
            <w:tcW w:w="755" w:type="dxa"/>
            <w:vAlign w:val="center"/>
          </w:tcPr>
          <w:p w14:paraId="0E97B421">
            <w:pPr>
              <w:adjustRightInd w:val="0"/>
              <w:spacing w:line="360" w:lineRule="auto"/>
              <w:jc w:val="center"/>
              <w:rPr>
                <w:color w:val="000000" w:themeColor="text1"/>
                <w:szCs w:val="21"/>
                <w:highlight w:val="none"/>
                <w14:textFill>
                  <w14:solidFill>
                    <w14:schemeClr w14:val="tx1"/>
                  </w14:solidFill>
                </w14:textFill>
              </w:rPr>
            </w:pPr>
          </w:p>
        </w:tc>
        <w:tc>
          <w:tcPr>
            <w:tcW w:w="851" w:type="dxa"/>
            <w:vAlign w:val="center"/>
          </w:tcPr>
          <w:p w14:paraId="6CE60A5C">
            <w:pPr>
              <w:adjustRightInd w:val="0"/>
              <w:spacing w:line="360" w:lineRule="auto"/>
              <w:jc w:val="center"/>
              <w:rPr>
                <w:color w:val="000000" w:themeColor="text1"/>
                <w:szCs w:val="21"/>
                <w:highlight w:val="none"/>
                <w14:textFill>
                  <w14:solidFill>
                    <w14:schemeClr w14:val="tx1"/>
                  </w14:solidFill>
                </w14:textFill>
              </w:rPr>
            </w:pPr>
          </w:p>
        </w:tc>
      </w:tr>
      <w:tr w14:paraId="47854D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3984CD25">
            <w:pPr>
              <w:adjustRightInd w:val="0"/>
              <w:spacing w:line="360" w:lineRule="auto"/>
              <w:jc w:val="center"/>
              <w:rPr>
                <w:color w:val="000000" w:themeColor="text1"/>
                <w:szCs w:val="21"/>
                <w:highlight w:val="none"/>
                <w14:textFill>
                  <w14:solidFill>
                    <w14:schemeClr w14:val="tx1"/>
                  </w14:solidFill>
                </w14:textFill>
              </w:rPr>
            </w:pPr>
          </w:p>
        </w:tc>
        <w:tc>
          <w:tcPr>
            <w:tcW w:w="1013" w:type="dxa"/>
            <w:vAlign w:val="center"/>
          </w:tcPr>
          <w:p w14:paraId="36BEE51A">
            <w:pPr>
              <w:adjustRightInd w:val="0"/>
              <w:spacing w:line="360" w:lineRule="auto"/>
              <w:jc w:val="center"/>
              <w:rPr>
                <w:color w:val="000000" w:themeColor="text1"/>
                <w:szCs w:val="21"/>
                <w:highlight w:val="none"/>
                <w14:textFill>
                  <w14:solidFill>
                    <w14:schemeClr w14:val="tx1"/>
                  </w14:solidFill>
                </w14:textFill>
              </w:rPr>
            </w:pPr>
          </w:p>
        </w:tc>
        <w:tc>
          <w:tcPr>
            <w:tcW w:w="1071" w:type="dxa"/>
            <w:vAlign w:val="center"/>
          </w:tcPr>
          <w:p w14:paraId="5467D60F">
            <w:pPr>
              <w:adjustRightInd w:val="0"/>
              <w:spacing w:line="360" w:lineRule="auto"/>
              <w:jc w:val="center"/>
              <w:rPr>
                <w:color w:val="000000" w:themeColor="text1"/>
                <w:szCs w:val="21"/>
                <w:highlight w:val="none"/>
                <w14:textFill>
                  <w14:solidFill>
                    <w14:schemeClr w14:val="tx1"/>
                  </w14:solidFill>
                </w14:textFill>
              </w:rPr>
            </w:pPr>
          </w:p>
        </w:tc>
        <w:tc>
          <w:tcPr>
            <w:tcW w:w="1359" w:type="dxa"/>
            <w:vAlign w:val="center"/>
          </w:tcPr>
          <w:p w14:paraId="2E8BDF75">
            <w:pPr>
              <w:adjustRightInd w:val="0"/>
              <w:spacing w:line="360" w:lineRule="auto"/>
              <w:jc w:val="center"/>
              <w:rPr>
                <w:color w:val="000000" w:themeColor="text1"/>
                <w:szCs w:val="21"/>
                <w:highlight w:val="none"/>
                <w14:textFill>
                  <w14:solidFill>
                    <w14:schemeClr w14:val="tx1"/>
                  </w14:solidFill>
                </w14:textFill>
              </w:rPr>
            </w:pPr>
          </w:p>
        </w:tc>
        <w:tc>
          <w:tcPr>
            <w:tcW w:w="947" w:type="dxa"/>
            <w:vAlign w:val="center"/>
          </w:tcPr>
          <w:p w14:paraId="47085575">
            <w:pPr>
              <w:adjustRightInd w:val="0"/>
              <w:spacing w:line="360" w:lineRule="auto"/>
              <w:jc w:val="center"/>
              <w:rPr>
                <w:color w:val="000000" w:themeColor="text1"/>
                <w:szCs w:val="21"/>
                <w:highlight w:val="none"/>
                <w14:textFill>
                  <w14:solidFill>
                    <w14:schemeClr w14:val="tx1"/>
                  </w14:solidFill>
                </w14:textFill>
              </w:rPr>
            </w:pPr>
          </w:p>
        </w:tc>
        <w:tc>
          <w:tcPr>
            <w:tcW w:w="756" w:type="dxa"/>
            <w:vAlign w:val="center"/>
          </w:tcPr>
          <w:p w14:paraId="25C34E0F">
            <w:pPr>
              <w:adjustRightInd w:val="0"/>
              <w:spacing w:line="360" w:lineRule="auto"/>
              <w:jc w:val="center"/>
              <w:rPr>
                <w:color w:val="000000" w:themeColor="text1"/>
                <w:szCs w:val="21"/>
                <w:highlight w:val="none"/>
                <w14:textFill>
                  <w14:solidFill>
                    <w14:schemeClr w14:val="tx1"/>
                  </w14:solidFill>
                </w14:textFill>
              </w:rPr>
            </w:pPr>
          </w:p>
        </w:tc>
        <w:tc>
          <w:tcPr>
            <w:tcW w:w="754" w:type="dxa"/>
            <w:vAlign w:val="center"/>
          </w:tcPr>
          <w:p w14:paraId="50966625">
            <w:pPr>
              <w:adjustRightInd w:val="0"/>
              <w:spacing w:line="360" w:lineRule="auto"/>
              <w:jc w:val="center"/>
              <w:rPr>
                <w:color w:val="000000" w:themeColor="text1"/>
                <w:szCs w:val="21"/>
                <w:highlight w:val="none"/>
                <w14:textFill>
                  <w14:solidFill>
                    <w14:schemeClr w14:val="tx1"/>
                  </w14:solidFill>
                </w14:textFill>
              </w:rPr>
            </w:pPr>
          </w:p>
        </w:tc>
        <w:tc>
          <w:tcPr>
            <w:tcW w:w="702" w:type="dxa"/>
            <w:vAlign w:val="center"/>
          </w:tcPr>
          <w:p w14:paraId="34D98B55">
            <w:pPr>
              <w:adjustRightInd w:val="0"/>
              <w:spacing w:line="360" w:lineRule="auto"/>
              <w:jc w:val="center"/>
              <w:rPr>
                <w:color w:val="000000" w:themeColor="text1"/>
                <w:szCs w:val="21"/>
                <w:highlight w:val="none"/>
                <w14:textFill>
                  <w14:solidFill>
                    <w14:schemeClr w14:val="tx1"/>
                  </w14:solidFill>
                </w14:textFill>
              </w:rPr>
            </w:pPr>
          </w:p>
        </w:tc>
        <w:tc>
          <w:tcPr>
            <w:tcW w:w="755" w:type="dxa"/>
            <w:vAlign w:val="center"/>
          </w:tcPr>
          <w:p w14:paraId="18C31951">
            <w:pPr>
              <w:adjustRightInd w:val="0"/>
              <w:spacing w:line="360" w:lineRule="auto"/>
              <w:jc w:val="center"/>
              <w:rPr>
                <w:color w:val="000000" w:themeColor="text1"/>
                <w:szCs w:val="21"/>
                <w:highlight w:val="none"/>
                <w14:textFill>
                  <w14:solidFill>
                    <w14:schemeClr w14:val="tx1"/>
                  </w14:solidFill>
                </w14:textFill>
              </w:rPr>
            </w:pPr>
          </w:p>
        </w:tc>
        <w:tc>
          <w:tcPr>
            <w:tcW w:w="851" w:type="dxa"/>
            <w:vAlign w:val="center"/>
          </w:tcPr>
          <w:p w14:paraId="0FAEFF50">
            <w:pPr>
              <w:adjustRightInd w:val="0"/>
              <w:spacing w:line="360" w:lineRule="auto"/>
              <w:jc w:val="center"/>
              <w:rPr>
                <w:color w:val="000000" w:themeColor="text1"/>
                <w:szCs w:val="21"/>
                <w:highlight w:val="none"/>
                <w14:textFill>
                  <w14:solidFill>
                    <w14:schemeClr w14:val="tx1"/>
                  </w14:solidFill>
                </w14:textFill>
              </w:rPr>
            </w:pPr>
          </w:p>
        </w:tc>
      </w:tr>
      <w:tr w14:paraId="643867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5FEB71ED">
            <w:pPr>
              <w:adjustRightInd w:val="0"/>
              <w:spacing w:line="360" w:lineRule="auto"/>
              <w:jc w:val="center"/>
              <w:rPr>
                <w:color w:val="000000" w:themeColor="text1"/>
                <w:szCs w:val="21"/>
                <w:highlight w:val="none"/>
                <w14:textFill>
                  <w14:solidFill>
                    <w14:schemeClr w14:val="tx1"/>
                  </w14:solidFill>
                </w14:textFill>
              </w:rPr>
            </w:pPr>
          </w:p>
        </w:tc>
        <w:tc>
          <w:tcPr>
            <w:tcW w:w="1013" w:type="dxa"/>
            <w:vAlign w:val="center"/>
          </w:tcPr>
          <w:p w14:paraId="667E73A0">
            <w:pPr>
              <w:adjustRightInd w:val="0"/>
              <w:spacing w:line="360" w:lineRule="auto"/>
              <w:jc w:val="center"/>
              <w:rPr>
                <w:color w:val="000000" w:themeColor="text1"/>
                <w:szCs w:val="21"/>
                <w:highlight w:val="none"/>
                <w14:textFill>
                  <w14:solidFill>
                    <w14:schemeClr w14:val="tx1"/>
                  </w14:solidFill>
                </w14:textFill>
              </w:rPr>
            </w:pPr>
          </w:p>
        </w:tc>
        <w:tc>
          <w:tcPr>
            <w:tcW w:w="1071" w:type="dxa"/>
            <w:vAlign w:val="center"/>
          </w:tcPr>
          <w:p w14:paraId="1C26BBDC">
            <w:pPr>
              <w:adjustRightInd w:val="0"/>
              <w:spacing w:line="360" w:lineRule="auto"/>
              <w:jc w:val="center"/>
              <w:rPr>
                <w:color w:val="000000" w:themeColor="text1"/>
                <w:szCs w:val="21"/>
                <w:highlight w:val="none"/>
                <w14:textFill>
                  <w14:solidFill>
                    <w14:schemeClr w14:val="tx1"/>
                  </w14:solidFill>
                </w14:textFill>
              </w:rPr>
            </w:pPr>
          </w:p>
        </w:tc>
        <w:tc>
          <w:tcPr>
            <w:tcW w:w="1359" w:type="dxa"/>
            <w:vAlign w:val="center"/>
          </w:tcPr>
          <w:p w14:paraId="1501AEA2">
            <w:pPr>
              <w:adjustRightInd w:val="0"/>
              <w:spacing w:line="360" w:lineRule="auto"/>
              <w:jc w:val="center"/>
              <w:rPr>
                <w:color w:val="000000" w:themeColor="text1"/>
                <w:szCs w:val="21"/>
                <w:highlight w:val="none"/>
                <w14:textFill>
                  <w14:solidFill>
                    <w14:schemeClr w14:val="tx1"/>
                  </w14:solidFill>
                </w14:textFill>
              </w:rPr>
            </w:pPr>
          </w:p>
        </w:tc>
        <w:tc>
          <w:tcPr>
            <w:tcW w:w="947" w:type="dxa"/>
            <w:vAlign w:val="center"/>
          </w:tcPr>
          <w:p w14:paraId="7C9529CE">
            <w:pPr>
              <w:adjustRightInd w:val="0"/>
              <w:spacing w:line="360" w:lineRule="auto"/>
              <w:jc w:val="center"/>
              <w:rPr>
                <w:color w:val="000000" w:themeColor="text1"/>
                <w:szCs w:val="21"/>
                <w:highlight w:val="none"/>
                <w14:textFill>
                  <w14:solidFill>
                    <w14:schemeClr w14:val="tx1"/>
                  </w14:solidFill>
                </w14:textFill>
              </w:rPr>
            </w:pPr>
          </w:p>
        </w:tc>
        <w:tc>
          <w:tcPr>
            <w:tcW w:w="756" w:type="dxa"/>
            <w:vAlign w:val="center"/>
          </w:tcPr>
          <w:p w14:paraId="0171C371">
            <w:pPr>
              <w:adjustRightInd w:val="0"/>
              <w:spacing w:line="360" w:lineRule="auto"/>
              <w:jc w:val="center"/>
              <w:rPr>
                <w:color w:val="000000" w:themeColor="text1"/>
                <w:szCs w:val="21"/>
                <w:highlight w:val="none"/>
                <w14:textFill>
                  <w14:solidFill>
                    <w14:schemeClr w14:val="tx1"/>
                  </w14:solidFill>
                </w14:textFill>
              </w:rPr>
            </w:pPr>
          </w:p>
        </w:tc>
        <w:tc>
          <w:tcPr>
            <w:tcW w:w="754" w:type="dxa"/>
            <w:vAlign w:val="center"/>
          </w:tcPr>
          <w:p w14:paraId="0463866B">
            <w:pPr>
              <w:adjustRightInd w:val="0"/>
              <w:spacing w:line="360" w:lineRule="auto"/>
              <w:jc w:val="center"/>
              <w:rPr>
                <w:color w:val="000000" w:themeColor="text1"/>
                <w:szCs w:val="21"/>
                <w:highlight w:val="none"/>
                <w14:textFill>
                  <w14:solidFill>
                    <w14:schemeClr w14:val="tx1"/>
                  </w14:solidFill>
                </w14:textFill>
              </w:rPr>
            </w:pPr>
          </w:p>
        </w:tc>
        <w:tc>
          <w:tcPr>
            <w:tcW w:w="702" w:type="dxa"/>
            <w:vAlign w:val="center"/>
          </w:tcPr>
          <w:p w14:paraId="79286B78">
            <w:pPr>
              <w:adjustRightInd w:val="0"/>
              <w:spacing w:line="360" w:lineRule="auto"/>
              <w:jc w:val="center"/>
              <w:rPr>
                <w:color w:val="000000" w:themeColor="text1"/>
                <w:szCs w:val="21"/>
                <w:highlight w:val="none"/>
                <w14:textFill>
                  <w14:solidFill>
                    <w14:schemeClr w14:val="tx1"/>
                  </w14:solidFill>
                </w14:textFill>
              </w:rPr>
            </w:pPr>
          </w:p>
        </w:tc>
        <w:tc>
          <w:tcPr>
            <w:tcW w:w="755" w:type="dxa"/>
            <w:vAlign w:val="center"/>
          </w:tcPr>
          <w:p w14:paraId="1EAFD390">
            <w:pPr>
              <w:adjustRightInd w:val="0"/>
              <w:spacing w:line="360" w:lineRule="auto"/>
              <w:jc w:val="center"/>
              <w:rPr>
                <w:color w:val="000000" w:themeColor="text1"/>
                <w:szCs w:val="21"/>
                <w:highlight w:val="none"/>
                <w14:textFill>
                  <w14:solidFill>
                    <w14:schemeClr w14:val="tx1"/>
                  </w14:solidFill>
                </w14:textFill>
              </w:rPr>
            </w:pPr>
          </w:p>
        </w:tc>
        <w:tc>
          <w:tcPr>
            <w:tcW w:w="851" w:type="dxa"/>
            <w:vAlign w:val="center"/>
          </w:tcPr>
          <w:p w14:paraId="5A54045E">
            <w:pPr>
              <w:adjustRightInd w:val="0"/>
              <w:spacing w:line="360" w:lineRule="auto"/>
              <w:jc w:val="center"/>
              <w:rPr>
                <w:color w:val="000000" w:themeColor="text1"/>
                <w:szCs w:val="21"/>
                <w:highlight w:val="none"/>
                <w14:textFill>
                  <w14:solidFill>
                    <w14:schemeClr w14:val="tx1"/>
                  </w14:solidFill>
                </w14:textFill>
              </w:rPr>
            </w:pPr>
          </w:p>
        </w:tc>
      </w:tr>
    </w:tbl>
    <w:p w14:paraId="62F34BFC">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注：新购和租赁为响应单位计划在本工程中新购或租赁的数量。</w:t>
      </w:r>
      <w:bookmarkEnd w:id="1528"/>
      <w:bookmarkEnd w:id="1529"/>
      <w:bookmarkEnd w:id="1641"/>
      <w:bookmarkStart w:id="1664" w:name="_Toc53949163"/>
      <w:bookmarkStart w:id="1665" w:name="_Toc54281626"/>
      <w:bookmarkStart w:id="1666" w:name="_Toc54280348"/>
      <w:bookmarkStart w:id="1667" w:name="_Toc53948742"/>
      <w:bookmarkStart w:id="1668" w:name="_Toc53949584"/>
      <w:bookmarkStart w:id="1669" w:name="_Toc54281200"/>
      <w:bookmarkStart w:id="1670" w:name="_Toc54291530"/>
      <w:bookmarkStart w:id="1671" w:name="_Toc54280774"/>
      <w:bookmarkStart w:id="1672" w:name="_Toc144872182"/>
      <w:bookmarkStart w:id="1673" w:name="_Toc145499835"/>
      <w:bookmarkStart w:id="1674" w:name="_Toc54278965"/>
    </w:p>
    <w:p w14:paraId="2AB6EFF2">
      <w:pPr>
        <w:spacing w:line="360" w:lineRule="auto"/>
        <w:rPr>
          <w:color w:val="000000" w:themeColor="text1"/>
          <w:szCs w:val="21"/>
          <w:highlight w:val="none"/>
          <w14:textFill>
            <w14:solidFill>
              <w14:schemeClr w14:val="tx1"/>
            </w14:solidFill>
          </w14:textFill>
        </w:rPr>
      </w:pPr>
    </w:p>
    <w:p w14:paraId="471FD1E2">
      <w:pPr>
        <w:spacing w:line="360" w:lineRule="auto"/>
        <w:rPr>
          <w:rStyle w:val="46"/>
          <w:rFonts w:ascii="Times New Roman" w:hAnsi="Times New Roman" w:eastAsia="宋体"/>
          <w:b w:val="0"/>
          <w:bCs w:val="0"/>
          <w:color w:val="000000" w:themeColor="text1"/>
          <w:sz w:val="21"/>
          <w:szCs w:val="21"/>
          <w:highlight w:val="none"/>
          <w14:textFill>
            <w14:solidFill>
              <w14:schemeClr w14:val="tx1"/>
            </w14:solidFill>
          </w14:textFill>
        </w:rPr>
      </w:pPr>
    </w:p>
    <w:bookmarkEnd w:id="1664"/>
    <w:bookmarkEnd w:id="1665"/>
    <w:bookmarkEnd w:id="1666"/>
    <w:bookmarkEnd w:id="1667"/>
    <w:bookmarkEnd w:id="1668"/>
    <w:bookmarkEnd w:id="1669"/>
    <w:bookmarkEnd w:id="1670"/>
    <w:bookmarkEnd w:id="1671"/>
    <w:bookmarkEnd w:id="1672"/>
    <w:bookmarkEnd w:id="1673"/>
    <w:bookmarkEnd w:id="1674"/>
    <w:p w14:paraId="2392EF87">
      <w:pPr>
        <w:pStyle w:val="53"/>
        <w:spacing w:before="120"/>
        <w:rPr>
          <w:rStyle w:val="46"/>
          <w:rFonts w:ascii="Times New Roman" w:hAnsi="Times New Roman" w:eastAsia="宋体" w:cs="Times New Roman"/>
          <w:b/>
          <w:bCs/>
          <w:color w:val="000000" w:themeColor="text1"/>
          <w:szCs w:val="24"/>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bookmarkStart w:id="1675" w:name="_Toc54281627"/>
      <w:bookmarkStart w:id="1676" w:name="_Toc54291531"/>
      <w:bookmarkStart w:id="1677" w:name="_Toc54280349"/>
      <w:bookmarkStart w:id="1678" w:name="_Toc54278966"/>
      <w:bookmarkStart w:id="1679" w:name="_Toc54281201"/>
      <w:bookmarkStart w:id="1680" w:name="_Toc53949164"/>
      <w:bookmarkStart w:id="1681" w:name="_Toc53948743"/>
      <w:bookmarkStart w:id="1682" w:name="_Toc53949585"/>
      <w:bookmarkStart w:id="1683" w:name="_Toc145499836"/>
      <w:bookmarkStart w:id="1684" w:name="_Toc144872183"/>
      <w:bookmarkStart w:id="1685" w:name="_Toc54280775"/>
      <w:bookmarkStart w:id="1686" w:name="_Toc18407868"/>
    </w:p>
    <w:p w14:paraId="2E53A675">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r>
        <w:rPr>
          <w:rStyle w:val="46"/>
          <w:rFonts w:ascii="Times New Roman" w:hAnsi="Times New Roman" w:eastAsia="宋体" w:cs="Times New Roman"/>
          <w:b/>
          <w:bCs w:val="0"/>
          <w:color w:val="000000" w:themeColor="text1"/>
          <w:szCs w:val="24"/>
          <w:highlight w:val="none"/>
          <w14:textFill>
            <w14:solidFill>
              <w14:schemeClr w14:val="tx1"/>
            </w14:solidFill>
          </w14:textFill>
        </w:rPr>
        <w:t>格式</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 xml:space="preserve">8 </w:t>
      </w:r>
      <w:r>
        <w:rPr>
          <w:rStyle w:val="46"/>
          <w:rFonts w:ascii="Times New Roman" w:hAnsi="Times New Roman" w:eastAsia="宋体" w:cs="Times New Roman"/>
          <w:b/>
          <w:bCs w:val="0"/>
          <w:color w:val="000000" w:themeColor="text1"/>
          <w:szCs w:val="24"/>
          <w:highlight w:val="none"/>
          <w14:textFill>
            <w14:solidFill>
              <w14:schemeClr w14:val="tx1"/>
            </w14:solidFill>
          </w14:textFill>
        </w:rPr>
        <w:t xml:space="preserve"> 拟投入本合同工程主要人员汇总表</w:t>
      </w:r>
      <w:bookmarkEnd w:id="1675"/>
      <w:bookmarkEnd w:id="1676"/>
      <w:bookmarkEnd w:id="1677"/>
      <w:bookmarkEnd w:id="1678"/>
      <w:bookmarkEnd w:id="1679"/>
      <w:bookmarkEnd w:id="1680"/>
      <w:bookmarkEnd w:id="1681"/>
      <w:bookmarkEnd w:id="1682"/>
      <w:bookmarkEnd w:id="1683"/>
      <w:bookmarkEnd w:id="1684"/>
      <w:bookmarkEnd w:id="1685"/>
    </w:p>
    <w:p w14:paraId="5A25A3D4">
      <w:pPr>
        <w:spacing w:line="360" w:lineRule="auto"/>
        <w:jc w:val="center"/>
        <w:rPr>
          <w:color w:val="000000" w:themeColor="text1"/>
          <w:sz w:val="32"/>
          <w:szCs w:val="32"/>
          <w:highlight w:val="none"/>
          <w14:textFill>
            <w14:solidFill>
              <w14:schemeClr w14:val="tx1"/>
            </w14:solidFill>
          </w14:textFill>
        </w:rPr>
      </w:pPr>
    </w:p>
    <w:p w14:paraId="710AE73C">
      <w:pPr>
        <w:spacing w:line="360" w:lineRule="auto"/>
        <w:jc w:val="center"/>
        <w:rPr>
          <w:b/>
          <w:color w:val="000000" w:themeColor="text1"/>
          <w:sz w:val="28"/>
          <w:szCs w:val="28"/>
          <w:highlight w:val="none"/>
          <w14:textFill>
            <w14:solidFill>
              <w14:schemeClr w14:val="tx1"/>
            </w14:solidFill>
          </w14:textFill>
        </w:rPr>
      </w:pPr>
      <w:r>
        <w:rPr>
          <w:b/>
          <w:color w:val="000000" w:themeColor="text1"/>
          <w:sz w:val="28"/>
          <w:szCs w:val="28"/>
          <w:highlight w:val="none"/>
          <w14:textFill>
            <w14:solidFill>
              <w14:schemeClr w14:val="tx1"/>
            </w14:solidFill>
          </w14:textFill>
        </w:rPr>
        <w:t>拟投入本合同工程主要人员汇总表</w:t>
      </w:r>
      <w:bookmarkEnd w:id="1686"/>
    </w:p>
    <w:p w14:paraId="4A55E63A">
      <w:pPr>
        <w:adjustRightInd w:val="0"/>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响应单位：</w:t>
      </w:r>
    </w:p>
    <w:tbl>
      <w:tblPr>
        <w:tblStyle w:val="31"/>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14"/>
        <w:gridCol w:w="1270"/>
        <w:gridCol w:w="1041"/>
        <w:gridCol w:w="1165"/>
        <w:gridCol w:w="841"/>
        <w:gridCol w:w="1411"/>
        <w:gridCol w:w="1118"/>
        <w:gridCol w:w="1261"/>
      </w:tblGrid>
      <w:tr w14:paraId="5B5697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5C6E1B9B">
            <w:pPr>
              <w:ind w:right="-63" w:rightChars="-30"/>
              <w:jc w:val="center"/>
              <w:rPr>
                <w:color w:val="000000" w:themeColor="text1"/>
                <w:sz w:val="18"/>
                <w:szCs w:val="18"/>
                <w:highlight w:val="none"/>
                <w14:textFill>
                  <w14:solidFill>
                    <w14:schemeClr w14:val="tx1"/>
                  </w14:solidFill>
                </w14:textFill>
              </w:rPr>
            </w:pPr>
            <w:r>
              <w:rPr>
                <w:color w:val="000000" w:themeColor="text1"/>
                <w:sz w:val="18"/>
                <w:szCs w:val="18"/>
                <w:highlight w:val="none"/>
                <w14:textFill>
                  <w14:solidFill>
                    <w14:schemeClr w14:val="tx1"/>
                  </w14:solidFill>
                </w14:textFill>
              </w:rPr>
              <w:t>序号</w:t>
            </w:r>
          </w:p>
        </w:tc>
        <w:tc>
          <w:tcPr>
            <w:tcW w:w="728" w:type="pct"/>
            <w:vAlign w:val="center"/>
          </w:tcPr>
          <w:p w14:paraId="0725EFAA">
            <w:pPr>
              <w:jc w:val="center"/>
              <w:rPr>
                <w:color w:val="000000" w:themeColor="text1"/>
                <w:sz w:val="18"/>
                <w:szCs w:val="18"/>
                <w:highlight w:val="none"/>
                <w14:textFill>
                  <w14:solidFill>
                    <w14:schemeClr w14:val="tx1"/>
                  </w14:solidFill>
                </w14:textFill>
              </w:rPr>
            </w:pPr>
            <w:r>
              <w:rPr>
                <w:color w:val="000000" w:themeColor="text1"/>
                <w:sz w:val="18"/>
                <w:szCs w:val="18"/>
                <w:highlight w:val="none"/>
                <w14:textFill>
                  <w14:solidFill>
                    <w14:schemeClr w14:val="tx1"/>
                  </w14:solidFill>
                </w14:textFill>
              </w:rPr>
              <w:t>姓名</w:t>
            </w:r>
          </w:p>
        </w:tc>
        <w:tc>
          <w:tcPr>
            <w:tcW w:w="597" w:type="pct"/>
            <w:vAlign w:val="center"/>
          </w:tcPr>
          <w:p w14:paraId="556804E1">
            <w:pPr>
              <w:ind w:left="-87" w:leftChars="-47" w:right="-107" w:rightChars="-51" w:hanging="12" w:hangingChars="7"/>
              <w:jc w:val="center"/>
              <w:rPr>
                <w:color w:val="000000" w:themeColor="text1"/>
                <w:sz w:val="18"/>
                <w:szCs w:val="18"/>
                <w:highlight w:val="none"/>
                <w14:textFill>
                  <w14:solidFill>
                    <w14:schemeClr w14:val="tx1"/>
                  </w14:solidFill>
                </w14:textFill>
              </w:rPr>
            </w:pPr>
            <w:r>
              <w:rPr>
                <w:color w:val="000000" w:themeColor="text1"/>
                <w:sz w:val="18"/>
                <w:szCs w:val="18"/>
                <w:highlight w:val="none"/>
                <w14:textFill>
                  <w14:solidFill>
                    <w14:schemeClr w14:val="tx1"/>
                  </w14:solidFill>
                </w14:textFill>
              </w:rPr>
              <w:t>年龄</w:t>
            </w:r>
          </w:p>
        </w:tc>
        <w:tc>
          <w:tcPr>
            <w:tcW w:w="668" w:type="pct"/>
            <w:vAlign w:val="center"/>
          </w:tcPr>
          <w:p w14:paraId="12900774">
            <w:pPr>
              <w:ind w:left="-126" w:leftChars="-60" w:right="-105" w:rightChars="-50"/>
              <w:jc w:val="center"/>
              <w:rPr>
                <w:color w:val="000000" w:themeColor="text1"/>
                <w:sz w:val="18"/>
                <w:szCs w:val="18"/>
                <w:highlight w:val="none"/>
                <w14:textFill>
                  <w14:solidFill>
                    <w14:schemeClr w14:val="tx1"/>
                  </w14:solidFill>
                </w14:textFill>
              </w:rPr>
            </w:pPr>
            <w:r>
              <w:rPr>
                <w:color w:val="000000" w:themeColor="text1"/>
                <w:sz w:val="18"/>
                <w:szCs w:val="18"/>
                <w:highlight w:val="none"/>
                <w14:textFill>
                  <w14:solidFill>
                    <w14:schemeClr w14:val="tx1"/>
                  </w14:solidFill>
                </w14:textFill>
              </w:rPr>
              <w:t>性别</w:t>
            </w:r>
          </w:p>
        </w:tc>
        <w:tc>
          <w:tcPr>
            <w:tcW w:w="482" w:type="pct"/>
            <w:vAlign w:val="center"/>
          </w:tcPr>
          <w:p w14:paraId="3A7AAD34">
            <w:pPr>
              <w:jc w:val="center"/>
              <w:rPr>
                <w:color w:val="000000" w:themeColor="text1"/>
                <w:sz w:val="18"/>
                <w:szCs w:val="18"/>
                <w:highlight w:val="none"/>
                <w14:textFill>
                  <w14:solidFill>
                    <w14:schemeClr w14:val="tx1"/>
                  </w14:solidFill>
                </w14:textFill>
              </w:rPr>
            </w:pPr>
            <w:r>
              <w:rPr>
                <w:color w:val="000000" w:themeColor="text1"/>
                <w:sz w:val="18"/>
                <w:szCs w:val="18"/>
                <w:highlight w:val="none"/>
                <w14:textFill>
                  <w14:solidFill>
                    <w14:schemeClr w14:val="tx1"/>
                  </w14:solidFill>
                </w14:textFill>
              </w:rPr>
              <w:t>学历</w:t>
            </w:r>
          </w:p>
        </w:tc>
        <w:tc>
          <w:tcPr>
            <w:tcW w:w="809" w:type="pct"/>
            <w:vAlign w:val="center"/>
          </w:tcPr>
          <w:p w14:paraId="0F538959">
            <w:pPr>
              <w:jc w:val="center"/>
              <w:rPr>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主要施工履历</w:t>
            </w:r>
          </w:p>
        </w:tc>
        <w:tc>
          <w:tcPr>
            <w:tcW w:w="641" w:type="pct"/>
            <w:vAlign w:val="center"/>
          </w:tcPr>
          <w:p w14:paraId="12C8CC90">
            <w:pPr>
              <w:jc w:val="center"/>
              <w:rPr>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相关</w:t>
            </w:r>
            <w:r>
              <w:rPr>
                <w:color w:val="000000" w:themeColor="text1"/>
                <w:sz w:val="18"/>
                <w:szCs w:val="18"/>
                <w:highlight w:val="none"/>
                <w14:textFill>
                  <w14:solidFill>
                    <w14:schemeClr w14:val="tx1"/>
                  </w14:solidFill>
                </w14:textFill>
              </w:rPr>
              <w:t>证书</w:t>
            </w:r>
          </w:p>
        </w:tc>
        <w:tc>
          <w:tcPr>
            <w:tcW w:w="724" w:type="pct"/>
            <w:vAlign w:val="center"/>
          </w:tcPr>
          <w:p w14:paraId="3C5C70C0">
            <w:pPr>
              <w:jc w:val="center"/>
              <w:rPr>
                <w:color w:val="000000" w:themeColor="text1"/>
                <w:sz w:val="18"/>
                <w:szCs w:val="18"/>
                <w:highlight w:val="none"/>
                <w14:textFill>
                  <w14:solidFill>
                    <w14:schemeClr w14:val="tx1"/>
                  </w14:solidFill>
                </w14:textFill>
              </w:rPr>
            </w:pPr>
            <w:r>
              <w:rPr>
                <w:color w:val="000000" w:themeColor="text1"/>
                <w:sz w:val="18"/>
                <w:szCs w:val="18"/>
                <w:highlight w:val="none"/>
                <w14:textFill>
                  <w14:solidFill>
                    <w14:schemeClr w14:val="tx1"/>
                  </w14:solidFill>
                </w14:textFill>
              </w:rPr>
              <w:t>拟在本项目</w:t>
            </w:r>
          </w:p>
          <w:p w14:paraId="415E57AE">
            <w:pPr>
              <w:jc w:val="center"/>
              <w:rPr>
                <w:color w:val="000000" w:themeColor="text1"/>
                <w:sz w:val="18"/>
                <w:szCs w:val="18"/>
                <w:highlight w:val="none"/>
                <w14:textFill>
                  <w14:solidFill>
                    <w14:schemeClr w14:val="tx1"/>
                  </w14:solidFill>
                </w14:textFill>
              </w:rPr>
            </w:pPr>
            <w:r>
              <w:rPr>
                <w:color w:val="000000" w:themeColor="text1"/>
                <w:sz w:val="18"/>
                <w:szCs w:val="18"/>
                <w:highlight w:val="none"/>
                <w14:textFill>
                  <w14:solidFill>
                    <w14:schemeClr w14:val="tx1"/>
                  </w14:solidFill>
                </w14:textFill>
              </w:rPr>
              <w:t>担任职务</w:t>
            </w:r>
          </w:p>
        </w:tc>
      </w:tr>
      <w:tr w14:paraId="6E32B1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40131A0">
            <w:pPr>
              <w:jc w:val="center"/>
              <w:rPr>
                <w:color w:val="000000" w:themeColor="text1"/>
                <w:sz w:val="18"/>
                <w:szCs w:val="18"/>
                <w:highlight w:val="none"/>
                <w14:textFill>
                  <w14:solidFill>
                    <w14:schemeClr w14:val="tx1"/>
                  </w14:solidFill>
                </w14:textFill>
              </w:rPr>
            </w:pPr>
          </w:p>
        </w:tc>
        <w:tc>
          <w:tcPr>
            <w:tcW w:w="728" w:type="pct"/>
            <w:vAlign w:val="center"/>
          </w:tcPr>
          <w:p w14:paraId="5CD99772">
            <w:pPr>
              <w:jc w:val="center"/>
              <w:rPr>
                <w:color w:val="000000" w:themeColor="text1"/>
                <w:sz w:val="18"/>
                <w:szCs w:val="18"/>
                <w:highlight w:val="none"/>
                <w14:textFill>
                  <w14:solidFill>
                    <w14:schemeClr w14:val="tx1"/>
                  </w14:solidFill>
                </w14:textFill>
              </w:rPr>
            </w:pPr>
          </w:p>
        </w:tc>
        <w:tc>
          <w:tcPr>
            <w:tcW w:w="597" w:type="pct"/>
            <w:vAlign w:val="center"/>
          </w:tcPr>
          <w:p w14:paraId="2293E5D4">
            <w:pPr>
              <w:jc w:val="center"/>
              <w:rPr>
                <w:color w:val="000000" w:themeColor="text1"/>
                <w:sz w:val="18"/>
                <w:szCs w:val="18"/>
                <w:highlight w:val="none"/>
                <w14:textFill>
                  <w14:solidFill>
                    <w14:schemeClr w14:val="tx1"/>
                  </w14:solidFill>
                </w14:textFill>
              </w:rPr>
            </w:pPr>
          </w:p>
        </w:tc>
        <w:tc>
          <w:tcPr>
            <w:tcW w:w="668" w:type="pct"/>
            <w:vAlign w:val="center"/>
          </w:tcPr>
          <w:p w14:paraId="1EE4C1B2">
            <w:pPr>
              <w:jc w:val="center"/>
              <w:rPr>
                <w:color w:val="000000" w:themeColor="text1"/>
                <w:sz w:val="18"/>
                <w:szCs w:val="18"/>
                <w:highlight w:val="none"/>
                <w14:textFill>
                  <w14:solidFill>
                    <w14:schemeClr w14:val="tx1"/>
                  </w14:solidFill>
                </w14:textFill>
              </w:rPr>
            </w:pPr>
          </w:p>
        </w:tc>
        <w:tc>
          <w:tcPr>
            <w:tcW w:w="482" w:type="pct"/>
            <w:vAlign w:val="center"/>
          </w:tcPr>
          <w:p w14:paraId="48E78EAC">
            <w:pPr>
              <w:jc w:val="center"/>
              <w:rPr>
                <w:color w:val="000000" w:themeColor="text1"/>
                <w:sz w:val="18"/>
                <w:szCs w:val="18"/>
                <w:highlight w:val="none"/>
                <w14:textFill>
                  <w14:solidFill>
                    <w14:schemeClr w14:val="tx1"/>
                  </w14:solidFill>
                </w14:textFill>
              </w:rPr>
            </w:pPr>
          </w:p>
        </w:tc>
        <w:tc>
          <w:tcPr>
            <w:tcW w:w="809" w:type="pct"/>
            <w:vAlign w:val="center"/>
          </w:tcPr>
          <w:p w14:paraId="7659417C">
            <w:pPr>
              <w:jc w:val="center"/>
              <w:rPr>
                <w:color w:val="000000" w:themeColor="text1"/>
                <w:sz w:val="18"/>
                <w:szCs w:val="18"/>
                <w:highlight w:val="none"/>
                <w14:textFill>
                  <w14:solidFill>
                    <w14:schemeClr w14:val="tx1"/>
                  </w14:solidFill>
                </w14:textFill>
              </w:rPr>
            </w:pPr>
          </w:p>
        </w:tc>
        <w:tc>
          <w:tcPr>
            <w:tcW w:w="641" w:type="pct"/>
            <w:vAlign w:val="center"/>
          </w:tcPr>
          <w:p w14:paraId="59322C8E">
            <w:pPr>
              <w:jc w:val="center"/>
              <w:rPr>
                <w:color w:val="000000" w:themeColor="text1"/>
                <w:sz w:val="18"/>
                <w:szCs w:val="18"/>
                <w:highlight w:val="none"/>
                <w14:textFill>
                  <w14:solidFill>
                    <w14:schemeClr w14:val="tx1"/>
                  </w14:solidFill>
                </w14:textFill>
              </w:rPr>
            </w:pPr>
          </w:p>
        </w:tc>
        <w:tc>
          <w:tcPr>
            <w:tcW w:w="724" w:type="pct"/>
            <w:vAlign w:val="center"/>
          </w:tcPr>
          <w:p w14:paraId="74E41CD3">
            <w:pPr>
              <w:jc w:val="center"/>
              <w:rPr>
                <w:color w:val="000000" w:themeColor="text1"/>
                <w:sz w:val="18"/>
                <w:szCs w:val="18"/>
                <w:highlight w:val="none"/>
                <w14:textFill>
                  <w14:solidFill>
                    <w14:schemeClr w14:val="tx1"/>
                  </w14:solidFill>
                </w14:textFill>
              </w:rPr>
            </w:pPr>
          </w:p>
        </w:tc>
      </w:tr>
      <w:tr w14:paraId="7C0884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9C8D17B">
            <w:pPr>
              <w:jc w:val="center"/>
              <w:rPr>
                <w:color w:val="000000" w:themeColor="text1"/>
                <w:sz w:val="18"/>
                <w:szCs w:val="18"/>
                <w:highlight w:val="none"/>
                <w14:textFill>
                  <w14:solidFill>
                    <w14:schemeClr w14:val="tx1"/>
                  </w14:solidFill>
                </w14:textFill>
              </w:rPr>
            </w:pPr>
          </w:p>
        </w:tc>
        <w:tc>
          <w:tcPr>
            <w:tcW w:w="728" w:type="pct"/>
            <w:vAlign w:val="center"/>
          </w:tcPr>
          <w:p w14:paraId="181934ED">
            <w:pPr>
              <w:jc w:val="center"/>
              <w:rPr>
                <w:color w:val="000000" w:themeColor="text1"/>
                <w:sz w:val="18"/>
                <w:szCs w:val="18"/>
                <w:highlight w:val="none"/>
                <w14:textFill>
                  <w14:solidFill>
                    <w14:schemeClr w14:val="tx1"/>
                  </w14:solidFill>
                </w14:textFill>
              </w:rPr>
            </w:pPr>
          </w:p>
        </w:tc>
        <w:tc>
          <w:tcPr>
            <w:tcW w:w="597" w:type="pct"/>
            <w:vAlign w:val="center"/>
          </w:tcPr>
          <w:p w14:paraId="1A102864">
            <w:pPr>
              <w:jc w:val="center"/>
              <w:rPr>
                <w:color w:val="000000" w:themeColor="text1"/>
                <w:sz w:val="18"/>
                <w:szCs w:val="18"/>
                <w:highlight w:val="none"/>
                <w14:textFill>
                  <w14:solidFill>
                    <w14:schemeClr w14:val="tx1"/>
                  </w14:solidFill>
                </w14:textFill>
              </w:rPr>
            </w:pPr>
          </w:p>
        </w:tc>
        <w:tc>
          <w:tcPr>
            <w:tcW w:w="668" w:type="pct"/>
            <w:vAlign w:val="center"/>
          </w:tcPr>
          <w:p w14:paraId="78EA31F5">
            <w:pPr>
              <w:jc w:val="center"/>
              <w:rPr>
                <w:color w:val="000000" w:themeColor="text1"/>
                <w:sz w:val="18"/>
                <w:szCs w:val="18"/>
                <w:highlight w:val="none"/>
                <w14:textFill>
                  <w14:solidFill>
                    <w14:schemeClr w14:val="tx1"/>
                  </w14:solidFill>
                </w14:textFill>
              </w:rPr>
            </w:pPr>
          </w:p>
        </w:tc>
        <w:tc>
          <w:tcPr>
            <w:tcW w:w="482" w:type="pct"/>
            <w:vAlign w:val="center"/>
          </w:tcPr>
          <w:p w14:paraId="4B8B7598">
            <w:pPr>
              <w:jc w:val="center"/>
              <w:rPr>
                <w:color w:val="000000" w:themeColor="text1"/>
                <w:sz w:val="18"/>
                <w:szCs w:val="18"/>
                <w:highlight w:val="none"/>
                <w14:textFill>
                  <w14:solidFill>
                    <w14:schemeClr w14:val="tx1"/>
                  </w14:solidFill>
                </w14:textFill>
              </w:rPr>
            </w:pPr>
          </w:p>
        </w:tc>
        <w:tc>
          <w:tcPr>
            <w:tcW w:w="809" w:type="pct"/>
            <w:vAlign w:val="center"/>
          </w:tcPr>
          <w:p w14:paraId="402B3025">
            <w:pPr>
              <w:jc w:val="center"/>
              <w:rPr>
                <w:color w:val="000000" w:themeColor="text1"/>
                <w:sz w:val="18"/>
                <w:szCs w:val="18"/>
                <w:highlight w:val="none"/>
                <w14:textFill>
                  <w14:solidFill>
                    <w14:schemeClr w14:val="tx1"/>
                  </w14:solidFill>
                </w14:textFill>
              </w:rPr>
            </w:pPr>
          </w:p>
        </w:tc>
        <w:tc>
          <w:tcPr>
            <w:tcW w:w="641" w:type="pct"/>
            <w:vAlign w:val="center"/>
          </w:tcPr>
          <w:p w14:paraId="53E2D2CF">
            <w:pPr>
              <w:jc w:val="center"/>
              <w:rPr>
                <w:color w:val="000000" w:themeColor="text1"/>
                <w:sz w:val="18"/>
                <w:szCs w:val="18"/>
                <w:highlight w:val="none"/>
                <w14:textFill>
                  <w14:solidFill>
                    <w14:schemeClr w14:val="tx1"/>
                  </w14:solidFill>
                </w14:textFill>
              </w:rPr>
            </w:pPr>
          </w:p>
        </w:tc>
        <w:tc>
          <w:tcPr>
            <w:tcW w:w="724" w:type="pct"/>
            <w:vAlign w:val="center"/>
          </w:tcPr>
          <w:p w14:paraId="3FBE2119">
            <w:pPr>
              <w:jc w:val="center"/>
              <w:rPr>
                <w:color w:val="000000" w:themeColor="text1"/>
                <w:sz w:val="18"/>
                <w:szCs w:val="18"/>
                <w:highlight w:val="none"/>
                <w14:textFill>
                  <w14:solidFill>
                    <w14:schemeClr w14:val="tx1"/>
                  </w14:solidFill>
                </w14:textFill>
              </w:rPr>
            </w:pPr>
          </w:p>
        </w:tc>
      </w:tr>
      <w:tr w14:paraId="116830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DBD4F50">
            <w:pPr>
              <w:jc w:val="center"/>
              <w:rPr>
                <w:color w:val="000000" w:themeColor="text1"/>
                <w:sz w:val="18"/>
                <w:szCs w:val="18"/>
                <w:highlight w:val="none"/>
                <w14:textFill>
                  <w14:solidFill>
                    <w14:schemeClr w14:val="tx1"/>
                  </w14:solidFill>
                </w14:textFill>
              </w:rPr>
            </w:pPr>
          </w:p>
        </w:tc>
        <w:tc>
          <w:tcPr>
            <w:tcW w:w="728" w:type="pct"/>
            <w:vAlign w:val="center"/>
          </w:tcPr>
          <w:p w14:paraId="1298A361">
            <w:pPr>
              <w:jc w:val="center"/>
              <w:rPr>
                <w:color w:val="000000" w:themeColor="text1"/>
                <w:sz w:val="18"/>
                <w:szCs w:val="18"/>
                <w:highlight w:val="none"/>
                <w14:textFill>
                  <w14:solidFill>
                    <w14:schemeClr w14:val="tx1"/>
                  </w14:solidFill>
                </w14:textFill>
              </w:rPr>
            </w:pPr>
          </w:p>
        </w:tc>
        <w:tc>
          <w:tcPr>
            <w:tcW w:w="597" w:type="pct"/>
            <w:vAlign w:val="center"/>
          </w:tcPr>
          <w:p w14:paraId="04C088B3">
            <w:pPr>
              <w:jc w:val="center"/>
              <w:rPr>
                <w:color w:val="000000" w:themeColor="text1"/>
                <w:sz w:val="18"/>
                <w:szCs w:val="18"/>
                <w:highlight w:val="none"/>
                <w14:textFill>
                  <w14:solidFill>
                    <w14:schemeClr w14:val="tx1"/>
                  </w14:solidFill>
                </w14:textFill>
              </w:rPr>
            </w:pPr>
          </w:p>
        </w:tc>
        <w:tc>
          <w:tcPr>
            <w:tcW w:w="668" w:type="pct"/>
            <w:vAlign w:val="center"/>
          </w:tcPr>
          <w:p w14:paraId="6948E0F0">
            <w:pPr>
              <w:jc w:val="center"/>
              <w:rPr>
                <w:color w:val="000000" w:themeColor="text1"/>
                <w:sz w:val="18"/>
                <w:szCs w:val="18"/>
                <w:highlight w:val="none"/>
                <w14:textFill>
                  <w14:solidFill>
                    <w14:schemeClr w14:val="tx1"/>
                  </w14:solidFill>
                </w14:textFill>
              </w:rPr>
            </w:pPr>
          </w:p>
        </w:tc>
        <w:tc>
          <w:tcPr>
            <w:tcW w:w="482" w:type="pct"/>
            <w:vAlign w:val="center"/>
          </w:tcPr>
          <w:p w14:paraId="2BEA53F2">
            <w:pPr>
              <w:jc w:val="center"/>
              <w:rPr>
                <w:color w:val="000000" w:themeColor="text1"/>
                <w:sz w:val="18"/>
                <w:szCs w:val="18"/>
                <w:highlight w:val="none"/>
                <w14:textFill>
                  <w14:solidFill>
                    <w14:schemeClr w14:val="tx1"/>
                  </w14:solidFill>
                </w14:textFill>
              </w:rPr>
            </w:pPr>
          </w:p>
        </w:tc>
        <w:tc>
          <w:tcPr>
            <w:tcW w:w="809" w:type="pct"/>
            <w:vAlign w:val="center"/>
          </w:tcPr>
          <w:p w14:paraId="57A32EF3">
            <w:pPr>
              <w:jc w:val="center"/>
              <w:rPr>
                <w:color w:val="000000" w:themeColor="text1"/>
                <w:sz w:val="18"/>
                <w:szCs w:val="18"/>
                <w:highlight w:val="none"/>
                <w14:textFill>
                  <w14:solidFill>
                    <w14:schemeClr w14:val="tx1"/>
                  </w14:solidFill>
                </w14:textFill>
              </w:rPr>
            </w:pPr>
          </w:p>
        </w:tc>
        <w:tc>
          <w:tcPr>
            <w:tcW w:w="641" w:type="pct"/>
            <w:vAlign w:val="center"/>
          </w:tcPr>
          <w:p w14:paraId="2A4CF76C">
            <w:pPr>
              <w:jc w:val="center"/>
              <w:rPr>
                <w:color w:val="000000" w:themeColor="text1"/>
                <w:sz w:val="18"/>
                <w:szCs w:val="18"/>
                <w:highlight w:val="none"/>
                <w14:textFill>
                  <w14:solidFill>
                    <w14:schemeClr w14:val="tx1"/>
                  </w14:solidFill>
                </w14:textFill>
              </w:rPr>
            </w:pPr>
          </w:p>
        </w:tc>
        <w:tc>
          <w:tcPr>
            <w:tcW w:w="724" w:type="pct"/>
            <w:vAlign w:val="center"/>
          </w:tcPr>
          <w:p w14:paraId="65BCA739">
            <w:pPr>
              <w:jc w:val="center"/>
              <w:rPr>
                <w:color w:val="000000" w:themeColor="text1"/>
                <w:sz w:val="18"/>
                <w:szCs w:val="18"/>
                <w:highlight w:val="none"/>
                <w14:textFill>
                  <w14:solidFill>
                    <w14:schemeClr w14:val="tx1"/>
                  </w14:solidFill>
                </w14:textFill>
              </w:rPr>
            </w:pPr>
          </w:p>
        </w:tc>
      </w:tr>
      <w:tr w14:paraId="57DDBB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51446E2">
            <w:pPr>
              <w:jc w:val="center"/>
              <w:rPr>
                <w:color w:val="000000" w:themeColor="text1"/>
                <w:sz w:val="18"/>
                <w:szCs w:val="18"/>
                <w:highlight w:val="none"/>
                <w14:textFill>
                  <w14:solidFill>
                    <w14:schemeClr w14:val="tx1"/>
                  </w14:solidFill>
                </w14:textFill>
              </w:rPr>
            </w:pPr>
          </w:p>
        </w:tc>
        <w:tc>
          <w:tcPr>
            <w:tcW w:w="728" w:type="pct"/>
            <w:vAlign w:val="center"/>
          </w:tcPr>
          <w:p w14:paraId="55F049E8">
            <w:pPr>
              <w:jc w:val="center"/>
              <w:rPr>
                <w:color w:val="000000" w:themeColor="text1"/>
                <w:sz w:val="18"/>
                <w:szCs w:val="18"/>
                <w:highlight w:val="none"/>
                <w14:textFill>
                  <w14:solidFill>
                    <w14:schemeClr w14:val="tx1"/>
                  </w14:solidFill>
                </w14:textFill>
              </w:rPr>
            </w:pPr>
          </w:p>
        </w:tc>
        <w:tc>
          <w:tcPr>
            <w:tcW w:w="597" w:type="pct"/>
            <w:vAlign w:val="center"/>
          </w:tcPr>
          <w:p w14:paraId="7E502225">
            <w:pPr>
              <w:jc w:val="center"/>
              <w:rPr>
                <w:color w:val="000000" w:themeColor="text1"/>
                <w:sz w:val="18"/>
                <w:szCs w:val="18"/>
                <w:highlight w:val="none"/>
                <w14:textFill>
                  <w14:solidFill>
                    <w14:schemeClr w14:val="tx1"/>
                  </w14:solidFill>
                </w14:textFill>
              </w:rPr>
            </w:pPr>
          </w:p>
        </w:tc>
        <w:tc>
          <w:tcPr>
            <w:tcW w:w="668" w:type="pct"/>
            <w:vAlign w:val="center"/>
          </w:tcPr>
          <w:p w14:paraId="633ACF9D">
            <w:pPr>
              <w:jc w:val="center"/>
              <w:rPr>
                <w:color w:val="000000" w:themeColor="text1"/>
                <w:sz w:val="18"/>
                <w:szCs w:val="18"/>
                <w:highlight w:val="none"/>
                <w14:textFill>
                  <w14:solidFill>
                    <w14:schemeClr w14:val="tx1"/>
                  </w14:solidFill>
                </w14:textFill>
              </w:rPr>
            </w:pPr>
          </w:p>
        </w:tc>
        <w:tc>
          <w:tcPr>
            <w:tcW w:w="482" w:type="pct"/>
            <w:vAlign w:val="center"/>
          </w:tcPr>
          <w:p w14:paraId="623BA2B5">
            <w:pPr>
              <w:jc w:val="center"/>
              <w:rPr>
                <w:color w:val="000000" w:themeColor="text1"/>
                <w:sz w:val="18"/>
                <w:szCs w:val="18"/>
                <w:highlight w:val="none"/>
                <w14:textFill>
                  <w14:solidFill>
                    <w14:schemeClr w14:val="tx1"/>
                  </w14:solidFill>
                </w14:textFill>
              </w:rPr>
            </w:pPr>
          </w:p>
        </w:tc>
        <w:tc>
          <w:tcPr>
            <w:tcW w:w="809" w:type="pct"/>
            <w:vAlign w:val="center"/>
          </w:tcPr>
          <w:p w14:paraId="24DDF071">
            <w:pPr>
              <w:jc w:val="center"/>
              <w:rPr>
                <w:color w:val="000000" w:themeColor="text1"/>
                <w:sz w:val="18"/>
                <w:szCs w:val="18"/>
                <w:highlight w:val="none"/>
                <w14:textFill>
                  <w14:solidFill>
                    <w14:schemeClr w14:val="tx1"/>
                  </w14:solidFill>
                </w14:textFill>
              </w:rPr>
            </w:pPr>
          </w:p>
        </w:tc>
        <w:tc>
          <w:tcPr>
            <w:tcW w:w="641" w:type="pct"/>
            <w:vAlign w:val="center"/>
          </w:tcPr>
          <w:p w14:paraId="715DEE19">
            <w:pPr>
              <w:jc w:val="center"/>
              <w:rPr>
                <w:color w:val="000000" w:themeColor="text1"/>
                <w:sz w:val="18"/>
                <w:szCs w:val="18"/>
                <w:highlight w:val="none"/>
                <w14:textFill>
                  <w14:solidFill>
                    <w14:schemeClr w14:val="tx1"/>
                  </w14:solidFill>
                </w14:textFill>
              </w:rPr>
            </w:pPr>
          </w:p>
        </w:tc>
        <w:tc>
          <w:tcPr>
            <w:tcW w:w="724" w:type="pct"/>
            <w:vAlign w:val="center"/>
          </w:tcPr>
          <w:p w14:paraId="3B842720">
            <w:pPr>
              <w:jc w:val="center"/>
              <w:rPr>
                <w:color w:val="000000" w:themeColor="text1"/>
                <w:sz w:val="18"/>
                <w:szCs w:val="18"/>
                <w:highlight w:val="none"/>
                <w14:textFill>
                  <w14:solidFill>
                    <w14:schemeClr w14:val="tx1"/>
                  </w14:solidFill>
                </w14:textFill>
              </w:rPr>
            </w:pPr>
          </w:p>
        </w:tc>
      </w:tr>
      <w:tr w14:paraId="68AFF3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7079DA98">
            <w:pPr>
              <w:jc w:val="center"/>
              <w:rPr>
                <w:color w:val="000000" w:themeColor="text1"/>
                <w:sz w:val="18"/>
                <w:szCs w:val="18"/>
                <w:highlight w:val="none"/>
                <w14:textFill>
                  <w14:solidFill>
                    <w14:schemeClr w14:val="tx1"/>
                  </w14:solidFill>
                </w14:textFill>
              </w:rPr>
            </w:pPr>
          </w:p>
        </w:tc>
        <w:tc>
          <w:tcPr>
            <w:tcW w:w="728" w:type="pct"/>
            <w:vAlign w:val="center"/>
          </w:tcPr>
          <w:p w14:paraId="0DC3EB7D">
            <w:pPr>
              <w:jc w:val="center"/>
              <w:rPr>
                <w:color w:val="000000" w:themeColor="text1"/>
                <w:sz w:val="18"/>
                <w:szCs w:val="18"/>
                <w:highlight w:val="none"/>
                <w14:textFill>
                  <w14:solidFill>
                    <w14:schemeClr w14:val="tx1"/>
                  </w14:solidFill>
                </w14:textFill>
              </w:rPr>
            </w:pPr>
          </w:p>
        </w:tc>
        <w:tc>
          <w:tcPr>
            <w:tcW w:w="597" w:type="pct"/>
            <w:vAlign w:val="center"/>
          </w:tcPr>
          <w:p w14:paraId="302DCE09">
            <w:pPr>
              <w:jc w:val="center"/>
              <w:rPr>
                <w:color w:val="000000" w:themeColor="text1"/>
                <w:sz w:val="18"/>
                <w:szCs w:val="18"/>
                <w:highlight w:val="none"/>
                <w14:textFill>
                  <w14:solidFill>
                    <w14:schemeClr w14:val="tx1"/>
                  </w14:solidFill>
                </w14:textFill>
              </w:rPr>
            </w:pPr>
          </w:p>
        </w:tc>
        <w:tc>
          <w:tcPr>
            <w:tcW w:w="668" w:type="pct"/>
            <w:vAlign w:val="center"/>
          </w:tcPr>
          <w:p w14:paraId="68460EE0">
            <w:pPr>
              <w:jc w:val="center"/>
              <w:rPr>
                <w:color w:val="000000" w:themeColor="text1"/>
                <w:sz w:val="18"/>
                <w:szCs w:val="18"/>
                <w:highlight w:val="none"/>
                <w14:textFill>
                  <w14:solidFill>
                    <w14:schemeClr w14:val="tx1"/>
                  </w14:solidFill>
                </w14:textFill>
              </w:rPr>
            </w:pPr>
          </w:p>
        </w:tc>
        <w:tc>
          <w:tcPr>
            <w:tcW w:w="482" w:type="pct"/>
            <w:vAlign w:val="center"/>
          </w:tcPr>
          <w:p w14:paraId="62B59EE2">
            <w:pPr>
              <w:jc w:val="center"/>
              <w:rPr>
                <w:color w:val="000000" w:themeColor="text1"/>
                <w:sz w:val="18"/>
                <w:szCs w:val="18"/>
                <w:highlight w:val="none"/>
                <w14:textFill>
                  <w14:solidFill>
                    <w14:schemeClr w14:val="tx1"/>
                  </w14:solidFill>
                </w14:textFill>
              </w:rPr>
            </w:pPr>
          </w:p>
        </w:tc>
        <w:tc>
          <w:tcPr>
            <w:tcW w:w="809" w:type="pct"/>
            <w:vAlign w:val="center"/>
          </w:tcPr>
          <w:p w14:paraId="6C9D3970">
            <w:pPr>
              <w:jc w:val="center"/>
              <w:rPr>
                <w:color w:val="000000" w:themeColor="text1"/>
                <w:sz w:val="18"/>
                <w:szCs w:val="18"/>
                <w:highlight w:val="none"/>
                <w14:textFill>
                  <w14:solidFill>
                    <w14:schemeClr w14:val="tx1"/>
                  </w14:solidFill>
                </w14:textFill>
              </w:rPr>
            </w:pPr>
          </w:p>
        </w:tc>
        <w:tc>
          <w:tcPr>
            <w:tcW w:w="641" w:type="pct"/>
            <w:vAlign w:val="center"/>
          </w:tcPr>
          <w:p w14:paraId="66B168C2">
            <w:pPr>
              <w:jc w:val="center"/>
              <w:rPr>
                <w:color w:val="000000" w:themeColor="text1"/>
                <w:sz w:val="18"/>
                <w:szCs w:val="18"/>
                <w:highlight w:val="none"/>
                <w14:textFill>
                  <w14:solidFill>
                    <w14:schemeClr w14:val="tx1"/>
                  </w14:solidFill>
                </w14:textFill>
              </w:rPr>
            </w:pPr>
          </w:p>
        </w:tc>
        <w:tc>
          <w:tcPr>
            <w:tcW w:w="724" w:type="pct"/>
            <w:vAlign w:val="center"/>
          </w:tcPr>
          <w:p w14:paraId="3F0CCA0C">
            <w:pPr>
              <w:jc w:val="center"/>
              <w:rPr>
                <w:color w:val="000000" w:themeColor="text1"/>
                <w:sz w:val="18"/>
                <w:szCs w:val="18"/>
                <w:highlight w:val="none"/>
                <w14:textFill>
                  <w14:solidFill>
                    <w14:schemeClr w14:val="tx1"/>
                  </w14:solidFill>
                </w14:textFill>
              </w:rPr>
            </w:pPr>
          </w:p>
        </w:tc>
      </w:tr>
      <w:tr w14:paraId="1BC925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4120E1C4">
            <w:pPr>
              <w:jc w:val="center"/>
              <w:rPr>
                <w:color w:val="000000" w:themeColor="text1"/>
                <w:sz w:val="18"/>
                <w:szCs w:val="18"/>
                <w:highlight w:val="none"/>
                <w14:textFill>
                  <w14:solidFill>
                    <w14:schemeClr w14:val="tx1"/>
                  </w14:solidFill>
                </w14:textFill>
              </w:rPr>
            </w:pPr>
          </w:p>
        </w:tc>
        <w:tc>
          <w:tcPr>
            <w:tcW w:w="728" w:type="pct"/>
            <w:vAlign w:val="center"/>
          </w:tcPr>
          <w:p w14:paraId="2581E3FD">
            <w:pPr>
              <w:jc w:val="center"/>
              <w:rPr>
                <w:color w:val="000000" w:themeColor="text1"/>
                <w:sz w:val="18"/>
                <w:szCs w:val="18"/>
                <w:highlight w:val="none"/>
                <w14:textFill>
                  <w14:solidFill>
                    <w14:schemeClr w14:val="tx1"/>
                  </w14:solidFill>
                </w14:textFill>
              </w:rPr>
            </w:pPr>
          </w:p>
        </w:tc>
        <w:tc>
          <w:tcPr>
            <w:tcW w:w="597" w:type="pct"/>
            <w:vAlign w:val="center"/>
          </w:tcPr>
          <w:p w14:paraId="031414D7">
            <w:pPr>
              <w:jc w:val="center"/>
              <w:rPr>
                <w:color w:val="000000" w:themeColor="text1"/>
                <w:sz w:val="18"/>
                <w:szCs w:val="18"/>
                <w:highlight w:val="none"/>
                <w14:textFill>
                  <w14:solidFill>
                    <w14:schemeClr w14:val="tx1"/>
                  </w14:solidFill>
                </w14:textFill>
              </w:rPr>
            </w:pPr>
          </w:p>
        </w:tc>
        <w:tc>
          <w:tcPr>
            <w:tcW w:w="668" w:type="pct"/>
            <w:vAlign w:val="center"/>
          </w:tcPr>
          <w:p w14:paraId="34702ADD">
            <w:pPr>
              <w:jc w:val="center"/>
              <w:rPr>
                <w:color w:val="000000" w:themeColor="text1"/>
                <w:sz w:val="18"/>
                <w:szCs w:val="18"/>
                <w:highlight w:val="none"/>
                <w14:textFill>
                  <w14:solidFill>
                    <w14:schemeClr w14:val="tx1"/>
                  </w14:solidFill>
                </w14:textFill>
              </w:rPr>
            </w:pPr>
          </w:p>
        </w:tc>
        <w:tc>
          <w:tcPr>
            <w:tcW w:w="482" w:type="pct"/>
            <w:vAlign w:val="center"/>
          </w:tcPr>
          <w:p w14:paraId="4E2920F3">
            <w:pPr>
              <w:jc w:val="center"/>
              <w:rPr>
                <w:color w:val="000000" w:themeColor="text1"/>
                <w:sz w:val="18"/>
                <w:szCs w:val="18"/>
                <w:highlight w:val="none"/>
                <w14:textFill>
                  <w14:solidFill>
                    <w14:schemeClr w14:val="tx1"/>
                  </w14:solidFill>
                </w14:textFill>
              </w:rPr>
            </w:pPr>
          </w:p>
        </w:tc>
        <w:tc>
          <w:tcPr>
            <w:tcW w:w="809" w:type="pct"/>
            <w:vAlign w:val="center"/>
          </w:tcPr>
          <w:p w14:paraId="1AE1F1C2">
            <w:pPr>
              <w:jc w:val="center"/>
              <w:rPr>
                <w:color w:val="000000" w:themeColor="text1"/>
                <w:sz w:val="18"/>
                <w:szCs w:val="18"/>
                <w:highlight w:val="none"/>
                <w14:textFill>
                  <w14:solidFill>
                    <w14:schemeClr w14:val="tx1"/>
                  </w14:solidFill>
                </w14:textFill>
              </w:rPr>
            </w:pPr>
          </w:p>
        </w:tc>
        <w:tc>
          <w:tcPr>
            <w:tcW w:w="641" w:type="pct"/>
            <w:vAlign w:val="center"/>
          </w:tcPr>
          <w:p w14:paraId="69044D08">
            <w:pPr>
              <w:jc w:val="center"/>
              <w:rPr>
                <w:color w:val="000000" w:themeColor="text1"/>
                <w:sz w:val="18"/>
                <w:szCs w:val="18"/>
                <w:highlight w:val="none"/>
                <w14:textFill>
                  <w14:solidFill>
                    <w14:schemeClr w14:val="tx1"/>
                  </w14:solidFill>
                </w14:textFill>
              </w:rPr>
            </w:pPr>
          </w:p>
        </w:tc>
        <w:tc>
          <w:tcPr>
            <w:tcW w:w="724" w:type="pct"/>
            <w:vAlign w:val="center"/>
          </w:tcPr>
          <w:p w14:paraId="650C1687">
            <w:pPr>
              <w:jc w:val="center"/>
              <w:rPr>
                <w:color w:val="000000" w:themeColor="text1"/>
                <w:sz w:val="18"/>
                <w:szCs w:val="18"/>
                <w:highlight w:val="none"/>
                <w14:textFill>
                  <w14:solidFill>
                    <w14:schemeClr w14:val="tx1"/>
                  </w14:solidFill>
                </w14:textFill>
              </w:rPr>
            </w:pPr>
          </w:p>
        </w:tc>
      </w:tr>
      <w:tr w14:paraId="7AA824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0EA0BA5A">
            <w:pPr>
              <w:jc w:val="center"/>
              <w:rPr>
                <w:color w:val="000000" w:themeColor="text1"/>
                <w:sz w:val="18"/>
                <w:szCs w:val="18"/>
                <w:highlight w:val="none"/>
                <w14:textFill>
                  <w14:solidFill>
                    <w14:schemeClr w14:val="tx1"/>
                  </w14:solidFill>
                </w14:textFill>
              </w:rPr>
            </w:pPr>
          </w:p>
        </w:tc>
        <w:tc>
          <w:tcPr>
            <w:tcW w:w="728" w:type="pct"/>
            <w:vAlign w:val="center"/>
          </w:tcPr>
          <w:p w14:paraId="4719BDC0">
            <w:pPr>
              <w:jc w:val="center"/>
              <w:rPr>
                <w:color w:val="000000" w:themeColor="text1"/>
                <w:sz w:val="18"/>
                <w:szCs w:val="18"/>
                <w:highlight w:val="none"/>
                <w14:textFill>
                  <w14:solidFill>
                    <w14:schemeClr w14:val="tx1"/>
                  </w14:solidFill>
                </w14:textFill>
              </w:rPr>
            </w:pPr>
          </w:p>
        </w:tc>
        <w:tc>
          <w:tcPr>
            <w:tcW w:w="597" w:type="pct"/>
            <w:vAlign w:val="center"/>
          </w:tcPr>
          <w:p w14:paraId="41914B49">
            <w:pPr>
              <w:jc w:val="center"/>
              <w:rPr>
                <w:color w:val="000000" w:themeColor="text1"/>
                <w:sz w:val="18"/>
                <w:szCs w:val="18"/>
                <w:highlight w:val="none"/>
                <w14:textFill>
                  <w14:solidFill>
                    <w14:schemeClr w14:val="tx1"/>
                  </w14:solidFill>
                </w14:textFill>
              </w:rPr>
            </w:pPr>
          </w:p>
        </w:tc>
        <w:tc>
          <w:tcPr>
            <w:tcW w:w="668" w:type="pct"/>
            <w:vAlign w:val="center"/>
          </w:tcPr>
          <w:p w14:paraId="7E0215DE">
            <w:pPr>
              <w:jc w:val="center"/>
              <w:rPr>
                <w:color w:val="000000" w:themeColor="text1"/>
                <w:sz w:val="18"/>
                <w:szCs w:val="18"/>
                <w:highlight w:val="none"/>
                <w14:textFill>
                  <w14:solidFill>
                    <w14:schemeClr w14:val="tx1"/>
                  </w14:solidFill>
                </w14:textFill>
              </w:rPr>
            </w:pPr>
          </w:p>
        </w:tc>
        <w:tc>
          <w:tcPr>
            <w:tcW w:w="482" w:type="pct"/>
            <w:vAlign w:val="center"/>
          </w:tcPr>
          <w:p w14:paraId="310DEA7F">
            <w:pPr>
              <w:jc w:val="center"/>
              <w:rPr>
                <w:color w:val="000000" w:themeColor="text1"/>
                <w:sz w:val="18"/>
                <w:szCs w:val="18"/>
                <w:highlight w:val="none"/>
                <w14:textFill>
                  <w14:solidFill>
                    <w14:schemeClr w14:val="tx1"/>
                  </w14:solidFill>
                </w14:textFill>
              </w:rPr>
            </w:pPr>
          </w:p>
        </w:tc>
        <w:tc>
          <w:tcPr>
            <w:tcW w:w="809" w:type="pct"/>
            <w:vAlign w:val="center"/>
          </w:tcPr>
          <w:p w14:paraId="7DE9E5EC">
            <w:pPr>
              <w:jc w:val="center"/>
              <w:rPr>
                <w:color w:val="000000" w:themeColor="text1"/>
                <w:sz w:val="18"/>
                <w:szCs w:val="18"/>
                <w:highlight w:val="none"/>
                <w14:textFill>
                  <w14:solidFill>
                    <w14:schemeClr w14:val="tx1"/>
                  </w14:solidFill>
                </w14:textFill>
              </w:rPr>
            </w:pPr>
          </w:p>
        </w:tc>
        <w:tc>
          <w:tcPr>
            <w:tcW w:w="641" w:type="pct"/>
            <w:vAlign w:val="center"/>
          </w:tcPr>
          <w:p w14:paraId="11267C22">
            <w:pPr>
              <w:jc w:val="center"/>
              <w:rPr>
                <w:color w:val="000000" w:themeColor="text1"/>
                <w:sz w:val="18"/>
                <w:szCs w:val="18"/>
                <w:highlight w:val="none"/>
                <w14:textFill>
                  <w14:solidFill>
                    <w14:schemeClr w14:val="tx1"/>
                  </w14:solidFill>
                </w14:textFill>
              </w:rPr>
            </w:pPr>
          </w:p>
        </w:tc>
        <w:tc>
          <w:tcPr>
            <w:tcW w:w="724" w:type="pct"/>
            <w:vAlign w:val="center"/>
          </w:tcPr>
          <w:p w14:paraId="0C74DF53">
            <w:pPr>
              <w:jc w:val="center"/>
              <w:rPr>
                <w:color w:val="000000" w:themeColor="text1"/>
                <w:sz w:val="18"/>
                <w:szCs w:val="18"/>
                <w:highlight w:val="none"/>
                <w14:textFill>
                  <w14:solidFill>
                    <w14:schemeClr w14:val="tx1"/>
                  </w14:solidFill>
                </w14:textFill>
              </w:rPr>
            </w:pPr>
          </w:p>
        </w:tc>
      </w:tr>
      <w:tr w14:paraId="234B88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1F96E365">
            <w:pPr>
              <w:jc w:val="center"/>
              <w:rPr>
                <w:color w:val="000000" w:themeColor="text1"/>
                <w:sz w:val="18"/>
                <w:szCs w:val="18"/>
                <w:highlight w:val="none"/>
                <w14:textFill>
                  <w14:solidFill>
                    <w14:schemeClr w14:val="tx1"/>
                  </w14:solidFill>
                </w14:textFill>
              </w:rPr>
            </w:pPr>
          </w:p>
        </w:tc>
        <w:tc>
          <w:tcPr>
            <w:tcW w:w="728" w:type="pct"/>
            <w:vAlign w:val="center"/>
          </w:tcPr>
          <w:p w14:paraId="7A9E6717">
            <w:pPr>
              <w:jc w:val="center"/>
              <w:rPr>
                <w:color w:val="000000" w:themeColor="text1"/>
                <w:sz w:val="18"/>
                <w:szCs w:val="18"/>
                <w:highlight w:val="none"/>
                <w14:textFill>
                  <w14:solidFill>
                    <w14:schemeClr w14:val="tx1"/>
                  </w14:solidFill>
                </w14:textFill>
              </w:rPr>
            </w:pPr>
          </w:p>
        </w:tc>
        <w:tc>
          <w:tcPr>
            <w:tcW w:w="597" w:type="pct"/>
            <w:vAlign w:val="center"/>
          </w:tcPr>
          <w:p w14:paraId="29E5CF8C">
            <w:pPr>
              <w:jc w:val="center"/>
              <w:rPr>
                <w:color w:val="000000" w:themeColor="text1"/>
                <w:sz w:val="18"/>
                <w:szCs w:val="18"/>
                <w:highlight w:val="none"/>
                <w14:textFill>
                  <w14:solidFill>
                    <w14:schemeClr w14:val="tx1"/>
                  </w14:solidFill>
                </w14:textFill>
              </w:rPr>
            </w:pPr>
          </w:p>
        </w:tc>
        <w:tc>
          <w:tcPr>
            <w:tcW w:w="668" w:type="pct"/>
            <w:vAlign w:val="center"/>
          </w:tcPr>
          <w:p w14:paraId="705800CD">
            <w:pPr>
              <w:jc w:val="center"/>
              <w:rPr>
                <w:color w:val="000000" w:themeColor="text1"/>
                <w:sz w:val="18"/>
                <w:szCs w:val="18"/>
                <w:highlight w:val="none"/>
                <w14:textFill>
                  <w14:solidFill>
                    <w14:schemeClr w14:val="tx1"/>
                  </w14:solidFill>
                </w14:textFill>
              </w:rPr>
            </w:pPr>
          </w:p>
        </w:tc>
        <w:tc>
          <w:tcPr>
            <w:tcW w:w="482" w:type="pct"/>
            <w:vAlign w:val="center"/>
          </w:tcPr>
          <w:p w14:paraId="7B23BB98">
            <w:pPr>
              <w:jc w:val="center"/>
              <w:rPr>
                <w:color w:val="000000" w:themeColor="text1"/>
                <w:sz w:val="18"/>
                <w:szCs w:val="18"/>
                <w:highlight w:val="none"/>
                <w14:textFill>
                  <w14:solidFill>
                    <w14:schemeClr w14:val="tx1"/>
                  </w14:solidFill>
                </w14:textFill>
              </w:rPr>
            </w:pPr>
          </w:p>
        </w:tc>
        <w:tc>
          <w:tcPr>
            <w:tcW w:w="809" w:type="pct"/>
            <w:vAlign w:val="center"/>
          </w:tcPr>
          <w:p w14:paraId="24E0B1A1">
            <w:pPr>
              <w:jc w:val="center"/>
              <w:rPr>
                <w:color w:val="000000" w:themeColor="text1"/>
                <w:sz w:val="18"/>
                <w:szCs w:val="18"/>
                <w:highlight w:val="none"/>
                <w14:textFill>
                  <w14:solidFill>
                    <w14:schemeClr w14:val="tx1"/>
                  </w14:solidFill>
                </w14:textFill>
              </w:rPr>
            </w:pPr>
          </w:p>
        </w:tc>
        <w:tc>
          <w:tcPr>
            <w:tcW w:w="641" w:type="pct"/>
            <w:vAlign w:val="center"/>
          </w:tcPr>
          <w:p w14:paraId="5B0B2742">
            <w:pPr>
              <w:jc w:val="center"/>
              <w:rPr>
                <w:color w:val="000000" w:themeColor="text1"/>
                <w:sz w:val="18"/>
                <w:szCs w:val="18"/>
                <w:highlight w:val="none"/>
                <w14:textFill>
                  <w14:solidFill>
                    <w14:schemeClr w14:val="tx1"/>
                  </w14:solidFill>
                </w14:textFill>
              </w:rPr>
            </w:pPr>
          </w:p>
        </w:tc>
        <w:tc>
          <w:tcPr>
            <w:tcW w:w="724" w:type="pct"/>
            <w:vAlign w:val="center"/>
          </w:tcPr>
          <w:p w14:paraId="55EDEA8A">
            <w:pPr>
              <w:jc w:val="center"/>
              <w:rPr>
                <w:color w:val="000000" w:themeColor="text1"/>
                <w:sz w:val="18"/>
                <w:szCs w:val="18"/>
                <w:highlight w:val="none"/>
                <w14:textFill>
                  <w14:solidFill>
                    <w14:schemeClr w14:val="tx1"/>
                  </w14:solidFill>
                </w14:textFill>
              </w:rPr>
            </w:pPr>
          </w:p>
        </w:tc>
      </w:tr>
      <w:tr w14:paraId="063474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3C52975">
            <w:pPr>
              <w:jc w:val="center"/>
              <w:rPr>
                <w:color w:val="000000" w:themeColor="text1"/>
                <w:sz w:val="18"/>
                <w:szCs w:val="18"/>
                <w:highlight w:val="none"/>
                <w14:textFill>
                  <w14:solidFill>
                    <w14:schemeClr w14:val="tx1"/>
                  </w14:solidFill>
                </w14:textFill>
              </w:rPr>
            </w:pPr>
          </w:p>
        </w:tc>
        <w:tc>
          <w:tcPr>
            <w:tcW w:w="728" w:type="pct"/>
            <w:vAlign w:val="center"/>
          </w:tcPr>
          <w:p w14:paraId="5DD44458">
            <w:pPr>
              <w:jc w:val="center"/>
              <w:rPr>
                <w:color w:val="000000" w:themeColor="text1"/>
                <w:sz w:val="18"/>
                <w:szCs w:val="18"/>
                <w:highlight w:val="none"/>
                <w14:textFill>
                  <w14:solidFill>
                    <w14:schemeClr w14:val="tx1"/>
                  </w14:solidFill>
                </w14:textFill>
              </w:rPr>
            </w:pPr>
          </w:p>
        </w:tc>
        <w:tc>
          <w:tcPr>
            <w:tcW w:w="597" w:type="pct"/>
            <w:vAlign w:val="center"/>
          </w:tcPr>
          <w:p w14:paraId="334ED1D1">
            <w:pPr>
              <w:jc w:val="center"/>
              <w:rPr>
                <w:color w:val="000000" w:themeColor="text1"/>
                <w:sz w:val="18"/>
                <w:szCs w:val="18"/>
                <w:highlight w:val="none"/>
                <w14:textFill>
                  <w14:solidFill>
                    <w14:schemeClr w14:val="tx1"/>
                  </w14:solidFill>
                </w14:textFill>
              </w:rPr>
            </w:pPr>
          </w:p>
        </w:tc>
        <w:tc>
          <w:tcPr>
            <w:tcW w:w="668" w:type="pct"/>
            <w:vAlign w:val="center"/>
          </w:tcPr>
          <w:p w14:paraId="71D3FD57">
            <w:pPr>
              <w:jc w:val="center"/>
              <w:rPr>
                <w:color w:val="000000" w:themeColor="text1"/>
                <w:sz w:val="18"/>
                <w:szCs w:val="18"/>
                <w:highlight w:val="none"/>
                <w14:textFill>
                  <w14:solidFill>
                    <w14:schemeClr w14:val="tx1"/>
                  </w14:solidFill>
                </w14:textFill>
              </w:rPr>
            </w:pPr>
          </w:p>
        </w:tc>
        <w:tc>
          <w:tcPr>
            <w:tcW w:w="482" w:type="pct"/>
            <w:vAlign w:val="center"/>
          </w:tcPr>
          <w:p w14:paraId="6CAAD835">
            <w:pPr>
              <w:jc w:val="center"/>
              <w:rPr>
                <w:color w:val="000000" w:themeColor="text1"/>
                <w:sz w:val="18"/>
                <w:szCs w:val="18"/>
                <w:highlight w:val="none"/>
                <w14:textFill>
                  <w14:solidFill>
                    <w14:schemeClr w14:val="tx1"/>
                  </w14:solidFill>
                </w14:textFill>
              </w:rPr>
            </w:pPr>
          </w:p>
        </w:tc>
        <w:tc>
          <w:tcPr>
            <w:tcW w:w="809" w:type="pct"/>
            <w:vAlign w:val="center"/>
          </w:tcPr>
          <w:p w14:paraId="71354EC7">
            <w:pPr>
              <w:jc w:val="center"/>
              <w:rPr>
                <w:color w:val="000000" w:themeColor="text1"/>
                <w:sz w:val="18"/>
                <w:szCs w:val="18"/>
                <w:highlight w:val="none"/>
                <w14:textFill>
                  <w14:solidFill>
                    <w14:schemeClr w14:val="tx1"/>
                  </w14:solidFill>
                </w14:textFill>
              </w:rPr>
            </w:pPr>
          </w:p>
        </w:tc>
        <w:tc>
          <w:tcPr>
            <w:tcW w:w="641" w:type="pct"/>
            <w:vAlign w:val="center"/>
          </w:tcPr>
          <w:p w14:paraId="251C2D4B">
            <w:pPr>
              <w:jc w:val="center"/>
              <w:rPr>
                <w:color w:val="000000" w:themeColor="text1"/>
                <w:sz w:val="18"/>
                <w:szCs w:val="18"/>
                <w:highlight w:val="none"/>
                <w14:textFill>
                  <w14:solidFill>
                    <w14:schemeClr w14:val="tx1"/>
                  </w14:solidFill>
                </w14:textFill>
              </w:rPr>
            </w:pPr>
          </w:p>
        </w:tc>
        <w:tc>
          <w:tcPr>
            <w:tcW w:w="724" w:type="pct"/>
            <w:vAlign w:val="center"/>
          </w:tcPr>
          <w:p w14:paraId="4502599B">
            <w:pPr>
              <w:jc w:val="center"/>
              <w:rPr>
                <w:color w:val="000000" w:themeColor="text1"/>
                <w:sz w:val="18"/>
                <w:szCs w:val="18"/>
                <w:highlight w:val="none"/>
                <w14:textFill>
                  <w14:solidFill>
                    <w14:schemeClr w14:val="tx1"/>
                  </w14:solidFill>
                </w14:textFill>
              </w:rPr>
            </w:pPr>
          </w:p>
        </w:tc>
      </w:tr>
      <w:tr w14:paraId="437E92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564B4F3">
            <w:pPr>
              <w:jc w:val="center"/>
              <w:rPr>
                <w:color w:val="000000" w:themeColor="text1"/>
                <w:sz w:val="18"/>
                <w:szCs w:val="18"/>
                <w:highlight w:val="none"/>
                <w14:textFill>
                  <w14:solidFill>
                    <w14:schemeClr w14:val="tx1"/>
                  </w14:solidFill>
                </w14:textFill>
              </w:rPr>
            </w:pPr>
          </w:p>
        </w:tc>
        <w:tc>
          <w:tcPr>
            <w:tcW w:w="728" w:type="pct"/>
            <w:vAlign w:val="center"/>
          </w:tcPr>
          <w:p w14:paraId="237E9F34">
            <w:pPr>
              <w:jc w:val="center"/>
              <w:rPr>
                <w:color w:val="000000" w:themeColor="text1"/>
                <w:sz w:val="18"/>
                <w:szCs w:val="18"/>
                <w:highlight w:val="none"/>
                <w14:textFill>
                  <w14:solidFill>
                    <w14:schemeClr w14:val="tx1"/>
                  </w14:solidFill>
                </w14:textFill>
              </w:rPr>
            </w:pPr>
          </w:p>
        </w:tc>
        <w:tc>
          <w:tcPr>
            <w:tcW w:w="597" w:type="pct"/>
            <w:vAlign w:val="center"/>
          </w:tcPr>
          <w:p w14:paraId="4BAE47F6">
            <w:pPr>
              <w:jc w:val="center"/>
              <w:rPr>
                <w:color w:val="000000" w:themeColor="text1"/>
                <w:sz w:val="18"/>
                <w:szCs w:val="18"/>
                <w:highlight w:val="none"/>
                <w14:textFill>
                  <w14:solidFill>
                    <w14:schemeClr w14:val="tx1"/>
                  </w14:solidFill>
                </w14:textFill>
              </w:rPr>
            </w:pPr>
          </w:p>
        </w:tc>
        <w:tc>
          <w:tcPr>
            <w:tcW w:w="668" w:type="pct"/>
            <w:vAlign w:val="center"/>
          </w:tcPr>
          <w:p w14:paraId="780B7970">
            <w:pPr>
              <w:jc w:val="center"/>
              <w:rPr>
                <w:color w:val="000000" w:themeColor="text1"/>
                <w:sz w:val="18"/>
                <w:szCs w:val="18"/>
                <w:highlight w:val="none"/>
                <w14:textFill>
                  <w14:solidFill>
                    <w14:schemeClr w14:val="tx1"/>
                  </w14:solidFill>
                </w14:textFill>
              </w:rPr>
            </w:pPr>
          </w:p>
        </w:tc>
        <w:tc>
          <w:tcPr>
            <w:tcW w:w="482" w:type="pct"/>
            <w:vAlign w:val="center"/>
          </w:tcPr>
          <w:p w14:paraId="6B3EAC0E">
            <w:pPr>
              <w:jc w:val="center"/>
              <w:rPr>
                <w:color w:val="000000" w:themeColor="text1"/>
                <w:sz w:val="18"/>
                <w:szCs w:val="18"/>
                <w:highlight w:val="none"/>
                <w14:textFill>
                  <w14:solidFill>
                    <w14:schemeClr w14:val="tx1"/>
                  </w14:solidFill>
                </w14:textFill>
              </w:rPr>
            </w:pPr>
          </w:p>
        </w:tc>
        <w:tc>
          <w:tcPr>
            <w:tcW w:w="809" w:type="pct"/>
            <w:vAlign w:val="center"/>
          </w:tcPr>
          <w:p w14:paraId="5E5B845A">
            <w:pPr>
              <w:jc w:val="center"/>
              <w:rPr>
                <w:color w:val="000000" w:themeColor="text1"/>
                <w:sz w:val="18"/>
                <w:szCs w:val="18"/>
                <w:highlight w:val="none"/>
                <w14:textFill>
                  <w14:solidFill>
                    <w14:schemeClr w14:val="tx1"/>
                  </w14:solidFill>
                </w14:textFill>
              </w:rPr>
            </w:pPr>
          </w:p>
        </w:tc>
        <w:tc>
          <w:tcPr>
            <w:tcW w:w="641" w:type="pct"/>
            <w:vAlign w:val="center"/>
          </w:tcPr>
          <w:p w14:paraId="77F166DB">
            <w:pPr>
              <w:jc w:val="center"/>
              <w:rPr>
                <w:color w:val="000000" w:themeColor="text1"/>
                <w:sz w:val="18"/>
                <w:szCs w:val="18"/>
                <w:highlight w:val="none"/>
                <w14:textFill>
                  <w14:solidFill>
                    <w14:schemeClr w14:val="tx1"/>
                  </w14:solidFill>
                </w14:textFill>
              </w:rPr>
            </w:pPr>
          </w:p>
        </w:tc>
        <w:tc>
          <w:tcPr>
            <w:tcW w:w="724" w:type="pct"/>
            <w:vAlign w:val="center"/>
          </w:tcPr>
          <w:p w14:paraId="0303CA8F">
            <w:pPr>
              <w:jc w:val="center"/>
              <w:rPr>
                <w:color w:val="000000" w:themeColor="text1"/>
                <w:sz w:val="18"/>
                <w:szCs w:val="18"/>
                <w:highlight w:val="none"/>
                <w14:textFill>
                  <w14:solidFill>
                    <w14:schemeClr w14:val="tx1"/>
                  </w14:solidFill>
                </w14:textFill>
              </w:rPr>
            </w:pPr>
          </w:p>
        </w:tc>
      </w:tr>
      <w:tr w14:paraId="42B2D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9B824EC">
            <w:pPr>
              <w:jc w:val="center"/>
              <w:rPr>
                <w:color w:val="000000" w:themeColor="text1"/>
                <w:sz w:val="18"/>
                <w:szCs w:val="18"/>
                <w:highlight w:val="none"/>
                <w14:textFill>
                  <w14:solidFill>
                    <w14:schemeClr w14:val="tx1"/>
                  </w14:solidFill>
                </w14:textFill>
              </w:rPr>
            </w:pPr>
          </w:p>
        </w:tc>
        <w:tc>
          <w:tcPr>
            <w:tcW w:w="728" w:type="pct"/>
            <w:vAlign w:val="center"/>
          </w:tcPr>
          <w:p w14:paraId="586D6007">
            <w:pPr>
              <w:jc w:val="center"/>
              <w:rPr>
                <w:color w:val="000000" w:themeColor="text1"/>
                <w:sz w:val="18"/>
                <w:szCs w:val="18"/>
                <w:highlight w:val="none"/>
                <w14:textFill>
                  <w14:solidFill>
                    <w14:schemeClr w14:val="tx1"/>
                  </w14:solidFill>
                </w14:textFill>
              </w:rPr>
            </w:pPr>
          </w:p>
        </w:tc>
        <w:tc>
          <w:tcPr>
            <w:tcW w:w="597" w:type="pct"/>
            <w:vAlign w:val="center"/>
          </w:tcPr>
          <w:p w14:paraId="7709D4C4">
            <w:pPr>
              <w:jc w:val="center"/>
              <w:rPr>
                <w:color w:val="000000" w:themeColor="text1"/>
                <w:sz w:val="18"/>
                <w:szCs w:val="18"/>
                <w:highlight w:val="none"/>
                <w14:textFill>
                  <w14:solidFill>
                    <w14:schemeClr w14:val="tx1"/>
                  </w14:solidFill>
                </w14:textFill>
              </w:rPr>
            </w:pPr>
          </w:p>
        </w:tc>
        <w:tc>
          <w:tcPr>
            <w:tcW w:w="668" w:type="pct"/>
            <w:vAlign w:val="center"/>
          </w:tcPr>
          <w:p w14:paraId="4F345671">
            <w:pPr>
              <w:jc w:val="center"/>
              <w:rPr>
                <w:color w:val="000000" w:themeColor="text1"/>
                <w:sz w:val="18"/>
                <w:szCs w:val="18"/>
                <w:highlight w:val="none"/>
                <w14:textFill>
                  <w14:solidFill>
                    <w14:schemeClr w14:val="tx1"/>
                  </w14:solidFill>
                </w14:textFill>
              </w:rPr>
            </w:pPr>
          </w:p>
        </w:tc>
        <w:tc>
          <w:tcPr>
            <w:tcW w:w="482" w:type="pct"/>
            <w:vAlign w:val="center"/>
          </w:tcPr>
          <w:p w14:paraId="25E514FA">
            <w:pPr>
              <w:jc w:val="center"/>
              <w:rPr>
                <w:color w:val="000000" w:themeColor="text1"/>
                <w:sz w:val="18"/>
                <w:szCs w:val="18"/>
                <w:highlight w:val="none"/>
                <w14:textFill>
                  <w14:solidFill>
                    <w14:schemeClr w14:val="tx1"/>
                  </w14:solidFill>
                </w14:textFill>
              </w:rPr>
            </w:pPr>
          </w:p>
        </w:tc>
        <w:tc>
          <w:tcPr>
            <w:tcW w:w="809" w:type="pct"/>
            <w:vAlign w:val="center"/>
          </w:tcPr>
          <w:p w14:paraId="6062922F">
            <w:pPr>
              <w:jc w:val="center"/>
              <w:rPr>
                <w:color w:val="000000" w:themeColor="text1"/>
                <w:sz w:val="18"/>
                <w:szCs w:val="18"/>
                <w:highlight w:val="none"/>
                <w14:textFill>
                  <w14:solidFill>
                    <w14:schemeClr w14:val="tx1"/>
                  </w14:solidFill>
                </w14:textFill>
              </w:rPr>
            </w:pPr>
          </w:p>
        </w:tc>
        <w:tc>
          <w:tcPr>
            <w:tcW w:w="641" w:type="pct"/>
            <w:vAlign w:val="center"/>
          </w:tcPr>
          <w:p w14:paraId="408F0D56">
            <w:pPr>
              <w:jc w:val="center"/>
              <w:rPr>
                <w:color w:val="000000" w:themeColor="text1"/>
                <w:sz w:val="18"/>
                <w:szCs w:val="18"/>
                <w:highlight w:val="none"/>
                <w14:textFill>
                  <w14:solidFill>
                    <w14:schemeClr w14:val="tx1"/>
                  </w14:solidFill>
                </w14:textFill>
              </w:rPr>
            </w:pPr>
          </w:p>
        </w:tc>
        <w:tc>
          <w:tcPr>
            <w:tcW w:w="724" w:type="pct"/>
            <w:vAlign w:val="center"/>
          </w:tcPr>
          <w:p w14:paraId="4AFF642C">
            <w:pPr>
              <w:jc w:val="center"/>
              <w:rPr>
                <w:color w:val="000000" w:themeColor="text1"/>
                <w:sz w:val="18"/>
                <w:szCs w:val="18"/>
                <w:highlight w:val="none"/>
                <w14:textFill>
                  <w14:solidFill>
                    <w14:schemeClr w14:val="tx1"/>
                  </w14:solidFill>
                </w14:textFill>
              </w:rPr>
            </w:pPr>
          </w:p>
        </w:tc>
      </w:tr>
      <w:tr w14:paraId="230890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183E87E">
            <w:pPr>
              <w:jc w:val="center"/>
              <w:rPr>
                <w:color w:val="000000" w:themeColor="text1"/>
                <w:sz w:val="18"/>
                <w:szCs w:val="18"/>
                <w:highlight w:val="none"/>
                <w14:textFill>
                  <w14:solidFill>
                    <w14:schemeClr w14:val="tx1"/>
                  </w14:solidFill>
                </w14:textFill>
              </w:rPr>
            </w:pPr>
          </w:p>
        </w:tc>
        <w:tc>
          <w:tcPr>
            <w:tcW w:w="728" w:type="pct"/>
            <w:vAlign w:val="center"/>
          </w:tcPr>
          <w:p w14:paraId="1C7B118D">
            <w:pPr>
              <w:jc w:val="center"/>
              <w:rPr>
                <w:color w:val="000000" w:themeColor="text1"/>
                <w:sz w:val="18"/>
                <w:szCs w:val="18"/>
                <w:highlight w:val="none"/>
                <w14:textFill>
                  <w14:solidFill>
                    <w14:schemeClr w14:val="tx1"/>
                  </w14:solidFill>
                </w14:textFill>
              </w:rPr>
            </w:pPr>
          </w:p>
        </w:tc>
        <w:tc>
          <w:tcPr>
            <w:tcW w:w="597" w:type="pct"/>
            <w:vAlign w:val="center"/>
          </w:tcPr>
          <w:p w14:paraId="385D17A7">
            <w:pPr>
              <w:jc w:val="center"/>
              <w:rPr>
                <w:color w:val="000000" w:themeColor="text1"/>
                <w:sz w:val="18"/>
                <w:szCs w:val="18"/>
                <w:highlight w:val="none"/>
                <w14:textFill>
                  <w14:solidFill>
                    <w14:schemeClr w14:val="tx1"/>
                  </w14:solidFill>
                </w14:textFill>
              </w:rPr>
            </w:pPr>
          </w:p>
        </w:tc>
        <w:tc>
          <w:tcPr>
            <w:tcW w:w="668" w:type="pct"/>
            <w:vAlign w:val="center"/>
          </w:tcPr>
          <w:p w14:paraId="66613BCE">
            <w:pPr>
              <w:jc w:val="center"/>
              <w:rPr>
                <w:color w:val="000000" w:themeColor="text1"/>
                <w:sz w:val="18"/>
                <w:szCs w:val="18"/>
                <w:highlight w:val="none"/>
                <w14:textFill>
                  <w14:solidFill>
                    <w14:schemeClr w14:val="tx1"/>
                  </w14:solidFill>
                </w14:textFill>
              </w:rPr>
            </w:pPr>
          </w:p>
        </w:tc>
        <w:tc>
          <w:tcPr>
            <w:tcW w:w="482" w:type="pct"/>
            <w:vAlign w:val="center"/>
          </w:tcPr>
          <w:p w14:paraId="3B403B62">
            <w:pPr>
              <w:jc w:val="center"/>
              <w:rPr>
                <w:color w:val="000000" w:themeColor="text1"/>
                <w:sz w:val="18"/>
                <w:szCs w:val="18"/>
                <w:highlight w:val="none"/>
                <w14:textFill>
                  <w14:solidFill>
                    <w14:schemeClr w14:val="tx1"/>
                  </w14:solidFill>
                </w14:textFill>
              </w:rPr>
            </w:pPr>
          </w:p>
        </w:tc>
        <w:tc>
          <w:tcPr>
            <w:tcW w:w="809" w:type="pct"/>
            <w:vAlign w:val="center"/>
          </w:tcPr>
          <w:p w14:paraId="2A32E782">
            <w:pPr>
              <w:jc w:val="center"/>
              <w:rPr>
                <w:color w:val="000000" w:themeColor="text1"/>
                <w:sz w:val="18"/>
                <w:szCs w:val="18"/>
                <w:highlight w:val="none"/>
                <w14:textFill>
                  <w14:solidFill>
                    <w14:schemeClr w14:val="tx1"/>
                  </w14:solidFill>
                </w14:textFill>
              </w:rPr>
            </w:pPr>
          </w:p>
        </w:tc>
        <w:tc>
          <w:tcPr>
            <w:tcW w:w="641" w:type="pct"/>
            <w:vAlign w:val="center"/>
          </w:tcPr>
          <w:p w14:paraId="7DE835F2">
            <w:pPr>
              <w:jc w:val="center"/>
              <w:rPr>
                <w:color w:val="000000" w:themeColor="text1"/>
                <w:sz w:val="18"/>
                <w:szCs w:val="18"/>
                <w:highlight w:val="none"/>
                <w14:textFill>
                  <w14:solidFill>
                    <w14:schemeClr w14:val="tx1"/>
                  </w14:solidFill>
                </w14:textFill>
              </w:rPr>
            </w:pPr>
          </w:p>
        </w:tc>
        <w:tc>
          <w:tcPr>
            <w:tcW w:w="724" w:type="pct"/>
            <w:vAlign w:val="center"/>
          </w:tcPr>
          <w:p w14:paraId="506A8F4E">
            <w:pPr>
              <w:jc w:val="center"/>
              <w:rPr>
                <w:color w:val="000000" w:themeColor="text1"/>
                <w:sz w:val="18"/>
                <w:szCs w:val="18"/>
                <w:highlight w:val="none"/>
                <w14:textFill>
                  <w14:solidFill>
                    <w14:schemeClr w14:val="tx1"/>
                  </w14:solidFill>
                </w14:textFill>
              </w:rPr>
            </w:pPr>
          </w:p>
        </w:tc>
      </w:tr>
      <w:tr w14:paraId="67A273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1A8B586F">
            <w:pPr>
              <w:jc w:val="center"/>
              <w:rPr>
                <w:color w:val="000000" w:themeColor="text1"/>
                <w:sz w:val="18"/>
                <w:szCs w:val="18"/>
                <w:highlight w:val="none"/>
                <w14:textFill>
                  <w14:solidFill>
                    <w14:schemeClr w14:val="tx1"/>
                  </w14:solidFill>
                </w14:textFill>
              </w:rPr>
            </w:pPr>
          </w:p>
        </w:tc>
        <w:tc>
          <w:tcPr>
            <w:tcW w:w="728" w:type="pct"/>
            <w:vAlign w:val="center"/>
          </w:tcPr>
          <w:p w14:paraId="6ECC4AA7">
            <w:pPr>
              <w:jc w:val="center"/>
              <w:rPr>
                <w:color w:val="000000" w:themeColor="text1"/>
                <w:sz w:val="18"/>
                <w:szCs w:val="18"/>
                <w:highlight w:val="none"/>
                <w14:textFill>
                  <w14:solidFill>
                    <w14:schemeClr w14:val="tx1"/>
                  </w14:solidFill>
                </w14:textFill>
              </w:rPr>
            </w:pPr>
          </w:p>
        </w:tc>
        <w:tc>
          <w:tcPr>
            <w:tcW w:w="597" w:type="pct"/>
            <w:vAlign w:val="center"/>
          </w:tcPr>
          <w:p w14:paraId="2E58C894">
            <w:pPr>
              <w:jc w:val="center"/>
              <w:rPr>
                <w:color w:val="000000" w:themeColor="text1"/>
                <w:sz w:val="18"/>
                <w:szCs w:val="18"/>
                <w:highlight w:val="none"/>
                <w14:textFill>
                  <w14:solidFill>
                    <w14:schemeClr w14:val="tx1"/>
                  </w14:solidFill>
                </w14:textFill>
              </w:rPr>
            </w:pPr>
          </w:p>
        </w:tc>
        <w:tc>
          <w:tcPr>
            <w:tcW w:w="668" w:type="pct"/>
            <w:vAlign w:val="center"/>
          </w:tcPr>
          <w:p w14:paraId="1F139C6D">
            <w:pPr>
              <w:jc w:val="center"/>
              <w:rPr>
                <w:color w:val="000000" w:themeColor="text1"/>
                <w:sz w:val="18"/>
                <w:szCs w:val="18"/>
                <w:highlight w:val="none"/>
                <w14:textFill>
                  <w14:solidFill>
                    <w14:schemeClr w14:val="tx1"/>
                  </w14:solidFill>
                </w14:textFill>
              </w:rPr>
            </w:pPr>
          </w:p>
        </w:tc>
        <w:tc>
          <w:tcPr>
            <w:tcW w:w="482" w:type="pct"/>
            <w:vAlign w:val="center"/>
          </w:tcPr>
          <w:p w14:paraId="4E64C016">
            <w:pPr>
              <w:jc w:val="center"/>
              <w:rPr>
                <w:color w:val="000000" w:themeColor="text1"/>
                <w:sz w:val="18"/>
                <w:szCs w:val="18"/>
                <w:highlight w:val="none"/>
                <w14:textFill>
                  <w14:solidFill>
                    <w14:schemeClr w14:val="tx1"/>
                  </w14:solidFill>
                </w14:textFill>
              </w:rPr>
            </w:pPr>
          </w:p>
        </w:tc>
        <w:tc>
          <w:tcPr>
            <w:tcW w:w="809" w:type="pct"/>
            <w:vAlign w:val="center"/>
          </w:tcPr>
          <w:p w14:paraId="0A29F891">
            <w:pPr>
              <w:jc w:val="center"/>
              <w:rPr>
                <w:color w:val="000000" w:themeColor="text1"/>
                <w:sz w:val="18"/>
                <w:szCs w:val="18"/>
                <w:highlight w:val="none"/>
                <w14:textFill>
                  <w14:solidFill>
                    <w14:schemeClr w14:val="tx1"/>
                  </w14:solidFill>
                </w14:textFill>
              </w:rPr>
            </w:pPr>
          </w:p>
        </w:tc>
        <w:tc>
          <w:tcPr>
            <w:tcW w:w="641" w:type="pct"/>
            <w:vAlign w:val="center"/>
          </w:tcPr>
          <w:p w14:paraId="07318DB9">
            <w:pPr>
              <w:jc w:val="center"/>
              <w:rPr>
                <w:color w:val="000000" w:themeColor="text1"/>
                <w:sz w:val="18"/>
                <w:szCs w:val="18"/>
                <w:highlight w:val="none"/>
                <w14:textFill>
                  <w14:solidFill>
                    <w14:schemeClr w14:val="tx1"/>
                  </w14:solidFill>
                </w14:textFill>
              </w:rPr>
            </w:pPr>
          </w:p>
        </w:tc>
        <w:tc>
          <w:tcPr>
            <w:tcW w:w="724" w:type="pct"/>
            <w:vAlign w:val="center"/>
          </w:tcPr>
          <w:p w14:paraId="1316AAC8">
            <w:pPr>
              <w:jc w:val="center"/>
              <w:rPr>
                <w:color w:val="000000" w:themeColor="text1"/>
                <w:sz w:val="18"/>
                <w:szCs w:val="18"/>
                <w:highlight w:val="none"/>
                <w14:textFill>
                  <w14:solidFill>
                    <w14:schemeClr w14:val="tx1"/>
                  </w14:solidFill>
                </w14:textFill>
              </w:rPr>
            </w:pPr>
          </w:p>
        </w:tc>
      </w:tr>
    </w:tbl>
    <w:p w14:paraId="5E33F6D7">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注：主要人员指项目负责人、技术、生产、商务、质量、安全、物资、设备等负责人。</w:t>
      </w:r>
    </w:p>
    <w:p w14:paraId="0A917DCF">
      <w:pPr>
        <w:spacing w:line="360" w:lineRule="auto"/>
        <w:rPr>
          <w:color w:val="000000" w:themeColor="text1"/>
          <w:szCs w:val="21"/>
          <w:highlight w:val="none"/>
          <w14:textFill>
            <w14:solidFill>
              <w14:schemeClr w14:val="tx1"/>
            </w14:solidFill>
          </w14:textFill>
        </w:rPr>
      </w:pPr>
    </w:p>
    <w:p w14:paraId="0A9430AA">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响应单位： (盖章)   　法定代表人或授权代理人：(签字) 　 日期：  年 月 日</w:t>
      </w:r>
    </w:p>
    <w:p w14:paraId="721BA1A7">
      <w:pPr>
        <w:spacing w:line="360" w:lineRule="auto"/>
        <w:rPr>
          <w:color w:val="000000" w:themeColor="text1"/>
          <w:szCs w:val="21"/>
          <w:highlight w:val="none"/>
          <w14:textFill>
            <w14:solidFill>
              <w14:schemeClr w14:val="tx1"/>
            </w14:solidFill>
          </w14:textFill>
        </w:rPr>
      </w:pPr>
    </w:p>
    <w:p w14:paraId="291570D7">
      <w:pPr>
        <w:spacing w:line="360" w:lineRule="auto"/>
        <w:rPr>
          <w:color w:val="000000" w:themeColor="text1"/>
          <w:szCs w:val="21"/>
          <w:highlight w:val="none"/>
          <w14:textFill>
            <w14:solidFill>
              <w14:schemeClr w14:val="tx1"/>
            </w14:solidFill>
          </w14:textFill>
        </w:rPr>
      </w:pPr>
    </w:p>
    <w:p w14:paraId="7AF9EA21">
      <w:pPr>
        <w:spacing w:line="360" w:lineRule="auto"/>
        <w:rPr>
          <w:color w:val="000000" w:themeColor="text1"/>
          <w:szCs w:val="21"/>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4E9B899B">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r>
        <w:rPr>
          <w:rStyle w:val="46"/>
          <w:rFonts w:ascii="Times New Roman" w:hAnsi="Times New Roman" w:eastAsia="宋体" w:cs="Times New Roman"/>
          <w:b/>
          <w:bCs w:val="0"/>
          <w:color w:val="000000" w:themeColor="text1"/>
          <w:szCs w:val="24"/>
          <w:highlight w:val="none"/>
          <w14:textFill>
            <w14:solidFill>
              <w14:schemeClr w14:val="tx1"/>
            </w14:solidFill>
          </w14:textFill>
        </w:rPr>
        <w:t>格式</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9</w:t>
      </w:r>
      <w:r>
        <w:rPr>
          <w:rStyle w:val="46"/>
          <w:rFonts w:ascii="Times New Roman" w:hAnsi="Times New Roman" w:eastAsia="宋体" w:cs="Times New Roman"/>
          <w:b/>
          <w:bCs w:val="0"/>
          <w:color w:val="000000" w:themeColor="text1"/>
          <w:szCs w:val="24"/>
          <w:highlight w:val="none"/>
          <w14:textFill>
            <w14:solidFill>
              <w14:schemeClr w14:val="tx1"/>
            </w14:solidFill>
          </w14:textFill>
        </w:rPr>
        <w:t xml:space="preserve">  </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拟投入本合同工程主要人员简历表</w:t>
      </w:r>
    </w:p>
    <w:p w14:paraId="3FFADD58">
      <w:pPr>
        <w:jc w:val="center"/>
        <w:rPr>
          <w:b/>
          <w:bCs/>
          <w:color w:val="000000" w:themeColor="text1"/>
          <w:sz w:val="28"/>
          <w:szCs w:val="28"/>
          <w:highlight w:val="none"/>
          <w14:textFill>
            <w14:solidFill>
              <w14:schemeClr w14:val="tx1"/>
            </w14:solidFill>
          </w14:textFill>
        </w:rPr>
      </w:pPr>
      <w:r>
        <w:rPr>
          <w:b/>
          <w:bCs/>
          <w:color w:val="000000" w:themeColor="text1"/>
          <w:sz w:val="28"/>
          <w:szCs w:val="28"/>
          <w:highlight w:val="none"/>
          <w14:textFill>
            <w14:solidFill>
              <w14:schemeClr w14:val="tx1"/>
            </w14:solidFill>
          </w14:textFill>
        </w:rPr>
        <w:t>拟投入本合同工程主要人员简历表</w:t>
      </w:r>
    </w:p>
    <w:p w14:paraId="160A513D">
      <w:pPr>
        <w:rPr>
          <w:color w:val="000000" w:themeColor="text1"/>
          <w:highlight w:val="none"/>
          <w14:textFill>
            <w14:solidFill>
              <w14:schemeClr w14:val="tx1"/>
            </w14:solidFill>
          </w14:textFill>
        </w:rPr>
      </w:pPr>
    </w:p>
    <w:tbl>
      <w:tblPr>
        <w:tblStyle w:val="31"/>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250"/>
        <w:gridCol w:w="27"/>
        <w:gridCol w:w="24"/>
        <w:gridCol w:w="1474"/>
        <w:gridCol w:w="839"/>
        <w:gridCol w:w="235"/>
        <w:gridCol w:w="1399"/>
        <w:gridCol w:w="341"/>
        <w:gridCol w:w="1564"/>
        <w:gridCol w:w="391"/>
        <w:gridCol w:w="1300"/>
      </w:tblGrid>
      <w:tr w14:paraId="3E8DAA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460" w:hRule="atLeast"/>
          <w:jc w:val="center"/>
        </w:trPr>
        <w:tc>
          <w:tcPr>
            <w:tcW w:w="1250" w:type="dxa"/>
            <w:vAlign w:val="center"/>
          </w:tcPr>
          <w:p w14:paraId="24DB4397">
            <w:pPr>
              <w:widowControl/>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姓名</w:t>
            </w:r>
          </w:p>
        </w:tc>
        <w:tc>
          <w:tcPr>
            <w:tcW w:w="1525" w:type="dxa"/>
            <w:gridSpan w:val="3"/>
            <w:vAlign w:val="center"/>
          </w:tcPr>
          <w:p w14:paraId="0ABCB4B3">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1074" w:type="dxa"/>
            <w:gridSpan w:val="2"/>
            <w:vAlign w:val="center"/>
          </w:tcPr>
          <w:p w14:paraId="046CFD64">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年龄</w:t>
            </w:r>
          </w:p>
        </w:tc>
        <w:tc>
          <w:tcPr>
            <w:tcW w:w="1399" w:type="dxa"/>
          </w:tcPr>
          <w:p w14:paraId="644187F1">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1905" w:type="dxa"/>
            <w:gridSpan w:val="2"/>
          </w:tcPr>
          <w:p w14:paraId="4109259B">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专业</w:t>
            </w:r>
          </w:p>
        </w:tc>
        <w:tc>
          <w:tcPr>
            <w:tcW w:w="1691" w:type="dxa"/>
            <w:gridSpan w:val="2"/>
          </w:tcPr>
          <w:p w14:paraId="16F48B38">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r>
      <w:tr w14:paraId="76427A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jc w:val="center"/>
        </w:trPr>
        <w:tc>
          <w:tcPr>
            <w:tcW w:w="1250" w:type="dxa"/>
            <w:vAlign w:val="center"/>
          </w:tcPr>
          <w:p w14:paraId="5BBFA6DA">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职称</w:t>
            </w:r>
          </w:p>
        </w:tc>
        <w:tc>
          <w:tcPr>
            <w:tcW w:w="1525" w:type="dxa"/>
            <w:gridSpan w:val="3"/>
            <w:vAlign w:val="center"/>
          </w:tcPr>
          <w:p w14:paraId="6270E5C4">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1074" w:type="dxa"/>
            <w:gridSpan w:val="2"/>
            <w:vAlign w:val="center"/>
          </w:tcPr>
          <w:p w14:paraId="202B719D">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公司单位职务</w:t>
            </w:r>
          </w:p>
        </w:tc>
        <w:tc>
          <w:tcPr>
            <w:tcW w:w="1399" w:type="dxa"/>
          </w:tcPr>
          <w:p w14:paraId="3DB24C9B">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1905" w:type="dxa"/>
            <w:gridSpan w:val="2"/>
          </w:tcPr>
          <w:p w14:paraId="7C31B577">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拟在本</w:t>
            </w:r>
          </w:p>
          <w:p w14:paraId="1A0B8A4C">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工程担任职务</w:t>
            </w:r>
          </w:p>
        </w:tc>
        <w:tc>
          <w:tcPr>
            <w:tcW w:w="1691" w:type="dxa"/>
            <w:gridSpan w:val="2"/>
          </w:tcPr>
          <w:p w14:paraId="47C54706">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r>
      <w:tr w14:paraId="20EF1E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03" w:hRule="atLeast"/>
          <w:jc w:val="center"/>
        </w:trPr>
        <w:tc>
          <w:tcPr>
            <w:tcW w:w="1250" w:type="dxa"/>
            <w:vAlign w:val="center"/>
          </w:tcPr>
          <w:p w14:paraId="6F668CCF">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毕业学校</w:t>
            </w:r>
          </w:p>
        </w:tc>
        <w:tc>
          <w:tcPr>
            <w:tcW w:w="7594" w:type="dxa"/>
            <w:gridSpan w:val="10"/>
            <w:vAlign w:val="center"/>
          </w:tcPr>
          <w:p w14:paraId="4C34CED2">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______年___月毕业于___________________学校___________专业，学制______年</w:t>
            </w:r>
          </w:p>
        </w:tc>
      </w:tr>
      <w:tr w14:paraId="7B8BD2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jc w:val="center"/>
        </w:trPr>
        <w:tc>
          <w:tcPr>
            <w:tcW w:w="8844" w:type="dxa"/>
            <w:gridSpan w:val="11"/>
            <w:vAlign w:val="center"/>
          </w:tcPr>
          <w:p w14:paraId="1067DCBC">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经历</w:t>
            </w:r>
          </w:p>
        </w:tc>
      </w:tr>
      <w:tr w14:paraId="00613D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jc w:val="center"/>
        </w:trPr>
        <w:tc>
          <w:tcPr>
            <w:tcW w:w="1301" w:type="dxa"/>
            <w:gridSpan w:val="3"/>
            <w:vAlign w:val="center"/>
          </w:tcPr>
          <w:p w14:paraId="3E0C717B">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____年～_____年</w:t>
            </w:r>
          </w:p>
        </w:tc>
        <w:tc>
          <w:tcPr>
            <w:tcW w:w="4288" w:type="dxa"/>
            <w:gridSpan w:val="5"/>
            <w:vAlign w:val="center"/>
          </w:tcPr>
          <w:p w14:paraId="7E6A4BEE">
            <w:pPr>
              <w:pStyle w:val="84"/>
              <w:widowControl/>
              <w:wordWrap w:val="0"/>
              <w:adjustRightInd/>
              <w:snapToGrid/>
              <w:spacing w:line="380" w:lineRule="exact"/>
              <w:textAlignment w:val="bottom"/>
              <w:rPr>
                <w:color w:val="000000" w:themeColor="text1"/>
                <w:spacing w:val="0"/>
                <w:kern w:val="2"/>
                <w:szCs w:val="21"/>
                <w:highlight w:val="none"/>
                <w14:textFill>
                  <w14:solidFill>
                    <w14:schemeClr w14:val="tx1"/>
                  </w14:solidFill>
                </w14:textFill>
              </w:rPr>
            </w:pPr>
            <w:r>
              <w:rPr>
                <w:color w:val="000000" w:themeColor="text1"/>
                <w:spacing w:val="0"/>
                <w:kern w:val="2"/>
                <w:szCs w:val="21"/>
                <w:highlight w:val="none"/>
                <w14:textFill>
                  <w14:solidFill>
                    <w14:schemeClr w14:val="tx1"/>
                  </w14:solidFill>
                </w14:textFill>
              </w:rPr>
              <w:t>参加过的工程项目名称</w:t>
            </w:r>
          </w:p>
        </w:tc>
        <w:tc>
          <w:tcPr>
            <w:tcW w:w="1955" w:type="dxa"/>
            <w:gridSpan w:val="2"/>
            <w:vAlign w:val="center"/>
          </w:tcPr>
          <w:p w14:paraId="4EEFD7E8">
            <w:pPr>
              <w:pStyle w:val="84"/>
              <w:widowControl/>
              <w:wordWrap w:val="0"/>
              <w:adjustRightInd/>
              <w:snapToGrid/>
              <w:spacing w:line="380" w:lineRule="exact"/>
              <w:textAlignment w:val="bottom"/>
              <w:rPr>
                <w:color w:val="000000" w:themeColor="text1"/>
                <w:spacing w:val="0"/>
                <w:kern w:val="2"/>
                <w:szCs w:val="21"/>
                <w:highlight w:val="none"/>
                <w14:textFill>
                  <w14:solidFill>
                    <w14:schemeClr w14:val="tx1"/>
                  </w14:solidFill>
                </w14:textFill>
              </w:rPr>
            </w:pPr>
            <w:r>
              <w:rPr>
                <w:color w:val="000000" w:themeColor="text1"/>
                <w:spacing w:val="0"/>
                <w:kern w:val="2"/>
                <w:szCs w:val="21"/>
                <w:highlight w:val="none"/>
                <w14:textFill>
                  <w14:solidFill>
                    <w14:schemeClr w14:val="tx1"/>
                  </w14:solidFill>
                </w14:textFill>
              </w:rPr>
              <w:t>担任何职</w:t>
            </w:r>
          </w:p>
        </w:tc>
        <w:tc>
          <w:tcPr>
            <w:tcW w:w="1300" w:type="dxa"/>
            <w:vAlign w:val="center"/>
          </w:tcPr>
          <w:p w14:paraId="623AAF3A">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发包人及联系电话</w:t>
            </w:r>
          </w:p>
        </w:tc>
      </w:tr>
      <w:tr w14:paraId="193282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2D6E2FA6">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4288" w:type="dxa"/>
            <w:gridSpan w:val="5"/>
            <w:vAlign w:val="center"/>
          </w:tcPr>
          <w:p w14:paraId="7726B670">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1955" w:type="dxa"/>
            <w:gridSpan w:val="2"/>
          </w:tcPr>
          <w:p w14:paraId="2331EBB0">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c>
          <w:tcPr>
            <w:tcW w:w="1300" w:type="dxa"/>
          </w:tcPr>
          <w:p w14:paraId="4D2B824C">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r>
      <w:tr w14:paraId="584875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41CF54EC">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4288" w:type="dxa"/>
            <w:gridSpan w:val="5"/>
            <w:vAlign w:val="center"/>
          </w:tcPr>
          <w:p w14:paraId="49F9B2A8">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1955" w:type="dxa"/>
            <w:gridSpan w:val="2"/>
          </w:tcPr>
          <w:p w14:paraId="0B47B778">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c>
          <w:tcPr>
            <w:tcW w:w="1300" w:type="dxa"/>
          </w:tcPr>
          <w:p w14:paraId="5956214D">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r>
      <w:tr w14:paraId="48905B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6ECA79CC">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4288" w:type="dxa"/>
            <w:gridSpan w:val="5"/>
            <w:vAlign w:val="center"/>
          </w:tcPr>
          <w:p w14:paraId="68AF763A">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1955" w:type="dxa"/>
            <w:gridSpan w:val="2"/>
          </w:tcPr>
          <w:p w14:paraId="2E57774C">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c>
          <w:tcPr>
            <w:tcW w:w="1300" w:type="dxa"/>
          </w:tcPr>
          <w:p w14:paraId="6C886B7C">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r>
      <w:tr w14:paraId="385E4F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651F7728">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4288" w:type="dxa"/>
            <w:gridSpan w:val="5"/>
            <w:vAlign w:val="center"/>
          </w:tcPr>
          <w:p w14:paraId="032B1AA4">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1955" w:type="dxa"/>
            <w:gridSpan w:val="2"/>
          </w:tcPr>
          <w:p w14:paraId="27A9C8A4">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c>
          <w:tcPr>
            <w:tcW w:w="1300" w:type="dxa"/>
          </w:tcPr>
          <w:p w14:paraId="378304DC">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r>
      <w:tr w14:paraId="0F5669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150E6B59">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4288" w:type="dxa"/>
            <w:gridSpan w:val="5"/>
            <w:vAlign w:val="center"/>
          </w:tcPr>
          <w:p w14:paraId="6538FE4F">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1955" w:type="dxa"/>
            <w:gridSpan w:val="2"/>
          </w:tcPr>
          <w:p w14:paraId="568119C1">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c>
          <w:tcPr>
            <w:tcW w:w="1300" w:type="dxa"/>
          </w:tcPr>
          <w:p w14:paraId="31C5E106">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r>
      <w:tr w14:paraId="2F5860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614" w:type="dxa"/>
            <w:gridSpan w:val="5"/>
            <w:vAlign w:val="center"/>
          </w:tcPr>
          <w:p w14:paraId="01271B9A">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获奖情况</w:t>
            </w:r>
          </w:p>
        </w:tc>
        <w:tc>
          <w:tcPr>
            <w:tcW w:w="5230" w:type="dxa"/>
            <w:gridSpan w:val="6"/>
          </w:tcPr>
          <w:p w14:paraId="545A82CA">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r>
      <w:tr w14:paraId="050EDC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7" w:type="dxa"/>
            <w:gridSpan w:val="2"/>
            <w:vMerge w:val="restart"/>
            <w:vAlign w:val="center"/>
          </w:tcPr>
          <w:p w14:paraId="6C860FC7">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目前任职项目状况</w:t>
            </w:r>
          </w:p>
        </w:tc>
        <w:tc>
          <w:tcPr>
            <w:tcW w:w="2337" w:type="dxa"/>
            <w:gridSpan w:val="3"/>
            <w:vAlign w:val="center"/>
          </w:tcPr>
          <w:p w14:paraId="6E1842CC">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项目名称</w:t>
            </w:r>
          </w:p>
        </w:tc>
        <w:tc>
          <w:tcPr>
            <w:tcW w:w="5230" w:type="dxa"/>
            <w:gridSpan w:val="6"/>
            <w:vAlign w:val="center"/>
          </w:tcPr>
          <w:p w14:paraId="33C76F8A">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r>
      <w:tr w14:paraId="73C016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7" w:type="dxa"/>
            <w:gridSpan w:val="2"/>
            <w:vMerge w:val="continue"/>
          </w:tcPr>
          <w:p w14:paraId="262CD18B">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c>
          <w:tcPr>
            <w:tcW w:w="2337" w:type="dxa"/>
            <w:gridSpan w:val="3"/>
            <w:vAlign w:val="center"/>
          </w:tcPr>
          <w:p w14:paraId="206F9531">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担任职位</w:t>
            </w:r>
          </w:p>
        </w:tc>
        <w:tc>
          <w:tcPr>
            <w:tcW w:w="5230" w:type="dxa"/>
            <w:gridSpan w:val="6"/>
            <w:vAlign w:val="center"/>
          </w:tcPr>
          <w:p w14:paraId="73BB4E84">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r>
      <w:tr w14:paraId="458A41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7" w:type="dxa"/>
            <w:gridSpan w:val="2"/>
            <w:vMerge w:val="continue"/>
          </w:tcPr>
          <w:p w14:paraId="2B26C3BB">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c>
          <w:tcPr>
            <w:tcW w:w="2337" w:type="dxa"/>
            <w:gridSpan w:val="3"/>
            <w:vAlign w:val="center"/>
          </w:tcPr>
          <w:p w14:paraId="092F9D9A">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可以调离日期</w:t>
            </w:r>
          </w:p>
        </w:tc>
        <w:tc>
          <w:tcPr>
            <w:tcW w:w="5230" w:type="dxa"/>
            <w:gridSpan w:val="6"/>
            <w:vAlign w:val="center"/>
          </w:tcPr>
          <w:p w14:paraId="02BDC70F">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r>
      <w:tr w14:paraId="460F8A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3614" w:type="dxa"/>
            <w:gridSpan w:val="5"/>
            <w:vAlign w:val="center"/>
          </w:tcPr>
          <w:p w14:paraId="63EF3957">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备注</w:t>
            </w:r>
          </w:p>
        </w:tc>
        <w:tc>
          <w:tcPr>
            <w:tcW w:w="5230" w:type="dxa"/>
            <w:gridSpan w:val="6"/>
          </w:tcPr>
          <w:p w14:paraId="6B779B5D">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p w14:paraId="66903A0A">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r>
    </w:tbl>
    <w:p w14:paraId="5D355D9B">
      <w:pPr>
        <w:spacing w:line="360" w:lineRule="auto"/>
        <w:rPr>
          <w:color w:val="000000" w:themeColor="text1"/>
          <w:szCs w:val="21"/>
          <w:highlight w:val="none"/>
          <w14:textFill>
            <w14:solidFill>
              <w14:schemeClr w14:val="tx1"/>
            </w14:solidFill>
          </w14:textFill>
        </w:rPr>
      </w:pPr>
    </w:p>
    <w:p w14:paraId="6354DB0C">
      <w:pPr>
        <w:spacing w:line="440" w:lineRule="exact"/>
        <w:ind w:right="-40" w:rightChars="-19" w:firstLine="420" w:firstLineChars="200"/>
        <w:rPr>
          <w:rFonts w:hint="eastAsia" w:ascii="宋体" w:hAnsi="宋体"/>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注：</w:t>
      </w:r>
      <w:r>
        <w:rPr>
          <w:rFonts w:hint="eastAsia" w:ascii="宋体" w:hAnsi="宋体"/>
          <w:color w:val="000000" w:themeColor="text1"/>
          <w:szCs w:val="21"/>
          <w:highlight w:val="none"/>
          <w14:textFill>
            <w14:solidFill>
              <w14:schemeClr w14:val="tx1"/>
            </w14:solidFill>
          </w14:textFill>
        </w:rPr>
        <w:t>本表后应附拟投入本工程人员的身份证、职称资格证书、等其他相关证书的复印件。</w:t>
      </w:r>
    </w:p>
    <w:p w14:paraId="49645019">
      <w:pPr>
        <w:spacing w:line="360" w:lineRule="auto"/>
        <w:rPr>
          <w:color w:val="000000" w:themeColor="text1"/>
          <w:szCs w:val="21"/>
          <w:highlight w:val="none"/>
          <w14:textFill>
            <w14:solidFill>
              <w14:schemeClr w14:val="tx1"/>
            </w14:solidFill>
          </w14:textFill>
        </w:rPr>
      </w:pPr>
    </w:p>
    <w:p w14:paraId="2861A8C6">
      <w:pPr>
        <w:spacing w:line="360" w:lineRule="auto"/>
        <w:rPr>
          <w:color w:val="000000" w:themeColor="text1"/>
          <w:szCs w:val="21"/>
          <w:highlight w:val="none"/>
          <w14:textFill>
            <w14:solidFill>
              <w14:schemeClr w14:val="tx1"/>
            </w14:solidFill>
          </w14:textFill>
        </w:rPr>
      </w:pPr>
    </w:p>
    <w:p w14:paraId="2A975574">
      <w:pPr>
        <w:pStyle w:val="53"/>
        <w:spacing w:before="120"/>
        <w:rPr>
          <w:rStyle w:val="46"/>
          <w:rFonts w:ascii="Times New Roman" w:hAnsi="Times New Roman" w:eastAsia="宋体" w:cs="Times New Roman"/>
          <w:b/>
          <w:bCs/>
          <w:color w:val="000000" w:themeColor="text1"/>
          <w:szCs w:val="24"/>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6BBF9663">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r>
        <w:rPr>
          <w:rStyle w:val="46"/>
          <w:rFonts w:ascii="Times New Roman" w:hAnsi="Times New Roman" w:eastAsia="宋体" w:cs="Times New Roman"/>
          <w:b/>
          <w:bCs w:val="0"/>
          <w:color w:val="000000" w:themeColor="text1"/>
          <w:szCs w:val="24"/>
          <w:highlight w:val="none"/>
          <w14:textFill>
            <w14:solidFill>
              <w14:schemeClr w14:val="tx1"/>
            </w14:solidFill>
          </w14:textFill>
        </w:rPr>
        <w:t>格式</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1</w:t>
      </w:r>
      <w:r>
        <w:rPr>
          <w:rStyle w:val="46"/>
          <w:rFonts w:ascii="Times New Roman" w:hAnsi="Times New Roman" w:eastAsia="宋体" w:cs="Times New Roman"/>
          <w:b/>
          <w:bCs w:val="0"/>
          <w:color w:val="000000" w:themeColor="text1"/>
          <w:szCs w:val="24"/>
          <w:highlight w:val="none"/>
          <w14:textFill>
            <w14:solidFill>
              <w14:schemeClr w14:val="tx1"/>
            </w14:solidFill>
          </w14:textFill>
        </w:rPr>
        <w:t>0  近5年</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内</w:t>
      </w:r>
      <w:r>
        <w:rPr>
          <w:rStyle w:val="46"/>
          <w:rFonts w:ascii="Times New Roman" w:hAnsi="Times New Roman" w:eastAsia="宋体" w:cs="Times New Roman"/>
          <w:b/>
          <w:bCs w:val="0"/>
          <w:color w:val="000000" w:themeColor="text1"/>
          <w:szCs w:val="24"/>
          <w:highlight w:val="none"/>
          <w14:textFill>
            <w14:solidFill>
              <w14:schemeClr w14:val="tx1"/>
            </w14:solidFill>
          </w14:textFill>
        </w:rPr>
        <w:t>类似工程情况一览表</w:t>
      </w:r>
    </w:p>
    <w:p w14:paraId="2FF947CE">
      <w:pPr>
        <w:spacing w:line="360" w:lineRule="auto"/>
        <w:jc w:val="center"/>
        <w:rPr>
          <w:color w:val="000000" w:themeColor="text1"/>
          <w:highlight w:val="none"/>
          <w14:textFill>
            <w14:solidFill>
              <w14:schemeClr w14:val="tx1"/>
            </w14:solidFill>
          </w14:textFill>
        </w:rPr>
      </w:pPr>
    </w:p>
    <w:p w14:paraId="09447CC9">
      <w:pPr>
        <w:spacing w:line="360" w:lineRule="auto"/>
        <w:jc w:val="center"/>
        <w:rPr>
          <w:b/>
          <w:color w:val="000000" w:themeColor="text1"/>
          <w:sz w:val="28"/>
          <w:szCs w:val="28"/>
          <w:highlight w:val="none"/>
          <w14:textFill>
            <w14:solidFill>
              <w14:schemeClr w14:val="tx1"/>
            </w14:solidFill>
          </w14:textFill>
        </w:rPr>
      </w:pPr>
      <w:r>
        <w:rPr>
          <w:b/>
          <w:color w:val="000000" w:themeColor="text1"/>
          <w:sz w:val="28"/>
          <w:szCs w:val="28"/>
          <w:highlight w:val="none"/>
          <w14:textFill>
            <w14:solidFill>
              <w14:schemeClr w14:val="tx1"/>
            </w14:solidFill>
          </w14:textFill>
        </w:rPr>
        <w:t>近5年</w:t>
      </w:r>
      <w:r>
        <w:rPr>
          <w:rFonts w:hint="eastAsia"/>
          <w:b/>
          <w:color w:val="000000" w:themeColor="text1"/>
          <w:sz w:val="28"/>
          <w:szCs w:val="28"/>
          <w:highlight w:val="none"/>
          <w14:textFill>
            <w14:solidFill>
              <w14:schemeClr w14:val="tx1"/>
            </w14:solidFill>
          </w14:textFill>
        </w:rPr>
        <w:t>内</w:t>
      </w:r>
      <w:r>
        <w:rPr>
          <w:b/>
          <w:color w:val="000000" w:themeColor="text1"/>
          <w:sz w:val="28"/>
          <w:szCs w:val="28"/>
          <w:highlight w:val="none"/>
          <w14:textFill>
            <w14:solidFill>
              <w14:schemeClr w14:val="tx1"/>
            </w14:solidFill>
          </w14:textFill>
        </w:rPr>
        <w:t>类似工程情况一览表</w:t>
      </w:r>
    </w:p>
    <w:p w14:paraId="2373E16B">
      <w:pPr>
        <w:adjustRightInd w:val="0"/>
        <w:spacing w:line="360" w:lineRule="auto"/>
        <w:rPr>
          <w:color w:val="000000" w:themeColor="text1"/>
          <w:sz w:val="32"/>
          <w:szCs w:val="32"/>
          <w:highlight w:val="none"/>
          <w14:textFill>
            <w14:solidFill>
              <w14:schemeClr w14:val="tx1"/>
            </w14:solidFill>
          </w14:textFill>
        </w:rPr>
      </w:pPr>
      <w:r>
        <w:rPr>
          <w:color w:val="000000" w:themeColor="text1"/>
          <w:sz w:val="24"/>
          <w:highlight w:val="none"/>
          <w14:textFill>
            <w14:solidFill>
              <w14:schemeClr w14:val="tx1"/>
            </w14:solidFill>
          </w14:textFill>
        </w:rPr>
        <w:t>响应单位：</w:t>
      </w:r>
    </w:p>
    <w:tbl>
      <w:tblPr>
        <w:tblStyle w:val="31"/>
        <w:tblW w:w="874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93"/>
        <w:gridCol w:w="1390"/>
        <w:gridCol w:w="1391"/>
        <w:gridCol w:w="1390"/>
        <w:gridCol w:w="1391"/>
        <w:gridCol w:w="1391"/>
      </w:tblGrid>
      <w:tr w14:paraId="7593B3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tcBorders>
              <w:top w:val="single" w:color="auto" w:sz="12" w:space="0"/>
              <w:bottom w:val="single" w:color="auto" w:sz="4" w:space="0"/>
              <w:tl2br w:val="single" w:color="auto" w:sz="4" w:space="0"/>
            </w:tcBorders>
            <w:vAlign w:val="center"/>
          </w:tcPr>
          <w:p w14:paraId="2F9B9AC4">
            <w:pPr>
              <w:jc w:val="righ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工程名称</w:t>
            </w:r>
          </w:p>
          <w:p w14:paraId="7F8D2352">
            <w:pP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指标</w:t>
            </w:r>
          </w:p>
        </w:tc>
        <w:tc>
          <w:tcPr>
            <w:tcW w:w="1390" w:type="dxa"/>
            <w:vAlign w:val="center"/>
          </w:tcPr>
          <w:p w14:paraId="649103FD">
            <w:pPr>
              <w:jc w:val="center"/>
              <w:rPr>
                <w:color w:val="000000" w:themeColor="text1"/>
                <w:szCs w:val="21"/>
                <w:highlight w:val="none"/>
                <w14:textFill>
                  <w14:solidFill>
                    <w14:schemeClr w14:val="tx1"/>
                  </w14:solidFill>
                </w14:textFill>
              </w:rPr>
            </w:pPr>
          </w:p>
        </w:tc>
        <w:tc>
          <w:tcPr>
            <w:tcW w:w="1391" w:type="dxa"/>
            <w:vAlign w:val="center"/>
          </w:tcPr>
          <w:p w14:paraId="2A52DCD9">
            <w:pPr>
              <w:jc w:val="center"/>
              <w:rPr>
                <w:color w:val="000000" w:themeColor="text1"/>
                <w:szCs w:val="21"/>
                <w:highlight w:val="none"/>
                <w14:textFill>
                  <w14:solidFill>
                    <w14:schemeClr w14:val="tx1"/>
                  </w14:solidFill>
                </w14:textFill>
              </w:rPr>
            </w:pPr>
          </w:p>
        </w:tc>
        <w:tc>
          <w:tcPr>
            <w:tcW w:w="1390" w:type="dxa"/>
            <w:vAlign w:val="center"/>
          </w:tcPr>
          <w:p w14:paraId="47EF45CD">
            <w:pPr>
              <w:jc w:val="center"/>
              <w:rPr>
                <w:color w:val="000000" w:themeColor="text1"/>
                <w:szCs w:val="21"/>
                <w:highlight w:val="none"/>
                <w14:textFill>
                  <w14:solidFill>
                    <w14:schemeClr w14:val="tx1"/>
                  </w14:solidFill>
                </w14:textFill>
              </w:rPr>
            </w:pPr>
          </w:p>
        </w:tc>
        <w:tc>
          <w:tcPr>
            <w:tcW w:w="1391" w:type="dxa"/>
            <w:vAlign w:val="center"/>
          </w:tcPr>
          <w:p w14:paraId="4155A290">
            <w:pPr>
              <w:jc w:val="center"/>
              <w:rPr>
                <w:color w:val="000000" w:themeColor="text1"/>
                <w:szCs w:val="21"/>
                <w:highlight w:val="none"/>
                <w14:textFill>
                  <w14:solidFill>
                    <w14:schemeClr w14:val="tx1"/>
                  </w14:solidFill>
                </w14:textFill>
              </w:rPr>
            </w:pPr>
          </w:p>
        </w:tc>
        <w:tc>
          <w:tcPr>
            <w:tcW w:w="1391" w:type="dxa"/>
            <w:vAlign w:val="center"/>
          </w:tcPr>
          <w:p w14:paraId="0D4A4708">
            <w:pPr>
              <w:jc w:val="center"/>
              <w:rPr>
                <w:color w:val="000000" w:themeColor="text1"/>
                <w:szCs w:val="21"/>
                <w:highlight w:val="none"/>
                <w14:textFill>
                  <w14:solidFill>
                    <w14:schemeClr w14:val="tx1"/>
                  </w14:solidFill>
                </w14:textFill>
              </w:rPr>
            </w:pPr>
          </w:p>
        </w:tc>
      </w:tr>
      <w:tr w14:paraId="688D1B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tcBorders>
              <w:top w:val="single" w:color="auto" w:sz="4" w:space="0"/>
            </w:tcBorders>
            <w:vAlign w:val="center"/>
          </w:tcPr>
          <w:p w14:paraId="3E64CA23">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合 同 段</w:t>
            </w:r>
          </w:p>
        </w:tc>
        <w:tc>
          <w:tcPr>
            <w:tcW w:w="1390" w:type="dxa"/>
            <w:vAlign w:val="center"/>
          </w:tcPr>
          <w:p w14:paraId="3BAB6979">
            <w:pPr>
              <w:jc w:val="center"/>
              <w:rPr>
                <w:color w:val="000000" w:themeColor="text1"/>
                <w:szCs w:val="21"/>
                <w:highlight w:val="none"/>
                <w14:textFill>
                  <w14:solidFill>
                    <w14:schemeClr w14:val="tx1"/>
                  </w14:solidFill>
                </w14:textFill>
              </w:rPr>
            </w:pPr>
          </w:p>
        </w:tc>
        <w:tc>
          <w:tcPr>
            <w:tcW w:w="1391" w:type="dxa"/>
            <w:vAlign w:val="center"/>
          </w:tcPr>
          <w:p w14:paraId="39FA08BF">
            <w:pPr>
              <w:jc w:val="center"/>
              <w:rPr>
                <w:color w:val="000000" w:themeColor="text1"/>
                <w:szCs w:val="21"/>
                <w:highlight w:val="none"/>
                <w14:textFill>
                  <w14:solidFill>
                    <w14:schemeClr w14:val="tx1"/>
                  </w14:solidFill>
                </w14:textFill>
              </w:rPr>
            </w:pPr>
          </w:p>
        </w:tc>
        <w:tc>
          <w:tcPr>
            <w:tcW w:w="1390" w:type="dxa"/>
            <w:vAlign w:val="center"/>
          </w:tcPr>
          <w:p w14:paraId="482E4D4B">
            <w:pPr>
              <w:jc w:val="center"/>
              <w:rPr>
                <w:color w:val="000000" w:themeColor="text1"/>
                <w:szCs w:val="21"/>
                <w:highlight w:val="none"/>
                <w14:textFill>
                  <w14:solidFill>
                    <w14:schemeClr w14:val="tx1"/>
                  </w14:solidFill>
                </w14:textFill>
              </w:rPr>
            </w:pPr>
          </w:p>
        </w:tc>
        <w:tc>
          <w:tcPr>
            <w:tcW w:w="1391" w:type="dxa"/>
            <w:vAlign w:val="center"/>
          </w:tcPr>
          <w:p w14:paraId="33582225">
            <w:pPr>
              <w:jc w:val="center"/>
              <w:rPr>
                <w:color w:val="000000" w:themeColor="text1"/>
                <w:szCs w:val="21"/>
                <w:highlight w:val="none"/>
                <w14:textFill>
                  <w14:solidFill>
                    <w14:schemeClr w14:val="tx1"/>
                  </w14:solidFill>
                </w14:textFill>
              </w:rPr>
            </w:pPr>
          </w:p>
        </w:tc>
        <w:tc>
          <w:tcPr>
            <w:tcW w:w="1391" w:type="dxa"/>
            <w:vAlign w:val="center"/>
          </w:tcPr>
          <w:p w14:paraId="5722AE7F">
            <w:pPr>
              <w:jc w:val="center"/>
              <w:rPr>
                <w:color w:val="000000" w:themeColor="text1"/>
                <w:szCs w:val="21"/>
                <w:highlight w:val="none"/>
                <w14:textFill>
                  <w14:solidFill>
                    <w14:schemeClr w14:val="tx1"/>
                  </w14:solidFill>
                </w14:textFill>
              </w:rPr>
            </w:pPr>
          </w:p>
        </w:tc>
      </w:tr>
      <w:tr w14:paraId="730B9D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08703CE6">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建设地点</w:t>
            </w:r>
          </w:p>
        </w:tc>
        <w:tc>
          <w:tcPr>
            <w:tcW w:w="1390" w:type="dxa"/>
            <w:vAlign w:val="center"/>
          </w:tcPr>
          <w:p w14:paraId="54DD0A96">
            <w:pPr>
              <w:jc w:val="center"/>
              <w:rPr>
                <w:color w:val="000000" w:themeColor="text1"/>
                <w:szCs w:val="21"/>
                <w:highlight w:val="none"/>
                <w14:textFill>
                  <w14:solidFill>
                    <w14:schemeClr w14:val="tx1"/>
                  </w14:solidFill>
                </w14:textFill>
              </w:rPr>
            </w:pPr>
          </w:p>
        </w:tc>
        <w:tc>
          <w:tcPr>
            <w:tcW w:w="1391" w:type="dxa"/>
            <w:vAlign w:val="center"/>
          </w:tcPr>
          <w:p w14:paraId="3EEBFDD3">
            <w:pPr>
              <w:jc w:val="center"/>
              <w:rPr>
                <w:color w:val="000000" w:themeColor="text1"/>
                <w:szCs w:val="21"/>
                <w:highlight w:val="none"/>
                <w14:textFill>
                  <w14:solidFill>
                    <w14:schemeClr w14:val="tx1"/>
                  </w14:solidFill>
                </w14:textFill>
              </w:rPr>
            </w:pPr>
          </w:p>
        </w:tc>
        <w:tc>
          <w:tcPr>
            <w:tcW w:w="1390" w:type="dxa"/>
            <w:vAlign w:val="center"/>
          </w:tcPr>
          <w:p w14:paraId="7E755F9D">
            <w:pPr>
              <w:jc w:val="center"/>
              <w:rPr>
                <w:color w:val="000000" w:themeColor="text1"/>
                <w:szCs w:val="21"/>
                <w:highlight w:val="none"/>
                <w14:textFill>
                  <w14:solidFill>
                    <w14:schemeClr w14:val="tx1"/>
                  </w14:solidFill>
                </w14:textFill>
              </w:rPr>
            </w:pPr>
          </w:p>
        </w:tc>
        <w:tc>
          <w:tcPr>
            <w:tcW w:w="1391" w:type="dxa"/>
            <w:vAlign w:val="center"/>
          </w:tcPr>
          <w:p w14:paraId="77E213AD">
            <w:pPr>
              <w:jc w:val="center"/>
              <w:rPr>
                <w:color w:val="000000" w:themeColor="text1"/>
                <w:szCs w:val="21"/>
                <w:highlight w:val="none"/>
                <w14:textFill>
                  <w14:solidFill>
                    <w14:schemeClr w14:val="tx1"/>
                  </w14:solidFill>
                </w14:textFill>
              </w:rPr>
            </w:pPr>
          </w:p>
        </w:tc>
        <w:tc>
          <w:tcPr>
            <w:tcW w:w="1391" w:type="dxa"/>
            <w:vAlign w:val="center"/>
          </w:tcPr>
          <w:p w14:paraId="3719C79D">
            <w:pPr>
              <w:jc w:val="center"/>
              <w:rPr>
                <w:color w:val="000000" w:themeColor="text1"/>
                <w:szCs w:val="21"/>
                <w:highlight w:val="none"/>
                <w14:textFill>
                  <w14:solidFill>
                    <w14:schemeClr w14:val="tx1"/>
                  </w14:solidFill>
                </w14:textFill>
              </w:rPr>
            </w:pPr>
          </w:p>
        </w:tc>
      </w:tr>
      <w:tr w14:paraId="18D22C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FB6DA1B">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工程规模</w:t>
            </w:r>
          </w:p>
        </w:tc>
        <w:tc>
          <w:tcPr>
            <w:tcW w:w="1390" w:type="dxa"/>
            <w:vAlign w:val="center"/>
          </w:tcPr>
          <w:p w14:paraId="44D9F016">
            <w:pPr>
              <w:jc w:val="center"/>
              <w:rPr>
                <w:color w:val="000000" w:themeColor="text1"/>
                <w:szCs w:val="21"/>
                <w:highlight w:val="none"/>
                <w14:textFill>
                  <w14:solidFill>
                    <w14:schemeClr w14:val="tx1"/>
                  </w14:solidFill>
                </w14:textFill>
              </w:rPr>
            </w:pPr>
          </w:p>
        </w:tc>
        <w:tc>
          <w:tcPr>
            <w:tcW w:w="1391" w:type="dxa"/>
            <w:vAlign w:val="center"/>
          </w:tcPr>
          <w:p w14:paraId="77DC5142">
            <w:pPr>
              <w:jc w:val="center"/>
              <w:rPr>
                <w:color w:val="000000" w:themeColor="text1"/>
                <w:szCs w:val="21"/>
                <w:highlight w:val="none"/>
                <w14:textFill>
                  <w14:solidFill>
                    <w14:schemeClr w14:val="tx1"/>
                  </w14:solidFill>
                </w14:textFill>
              </w:rPr>
            </w:pPr>
          </w:p>
        </w:tc>
        <w:tc>
          <w:tcPr>
            <w:tcW w:w="1390" w:type="dxa"/>
            <w:vAlign w:val="center"/>
          </w:tcPr>
          <w:p w14:paraId="5A2645F0">
            <w:pPr>
              <w:jc w:val="center"/>
              <w:rPr>
                <w:color w:val="000000" w:themeColor="text1"/>
                <w:szCs w:val="21"/>
                <w:highlight w:val="none"/>
                <w14:textFill>
                  <w14:solidFill>
                    <w14:schemeClr w14:val="tx1"/>
                  </w14:solidFill>
                </w14:textFill>
              </w:rPr>
            </w:pPr>
          </w:p>
        </w:tc>
        <w:tc>
          <w:tcPr>
            <w:tcW w:w="1391" w:type="dxa"/>
            <w:vAlign w:val="center"/>
          </w:tcPr>
          <w:p w14:paraId="0955F6DC">
            <w:pPr>
              <w:jc w:val="center"/>
              <w:rPr>
                <w:color w:val="000000" w:themeColor="text1"/>
                <w:szCs w:val="21"/>
                <w:highlight w:val="none"/>
                <w14:textFill>
                  <w14:solidFill>
                    <w14:schemeClr w14:val="tx1"/>
                  </w14:solidFill>
                </w14:textFill>
              </w:rPr>
            </w:pPr>
          </w:p>
        </w:tc>
        <w:tc>
          <w:tcPr>
            <w:tcW w:w="1391" w:type="dxa"/>
            <w:vAlign w:val="center"/>
          </w:tcPr>
          <w:p w14:paraId="41EC1443">
            <w:pPr>
              <w:jc w:val="center"/>
              <w:rPr>
                <w:color w:val="000000" w:themeColor="text1"/>
                <w:szCs w:val="21"/>
                <w:highlight w:val="none"/>
                <w14:textFill>
                  <w14:solidFill>
                    <w14:schemeClr w14:val="tx1"/>
                  </w14:solidFill>
                </w14:textFill>
              </w:rPr>
            </w:pPr>
          </w:p>
        </w:tc>
      </w:tr>
      <w:tr w14:paraId="767EE6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5214361B">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结构形式</w:t>
            </w:r>
          </w:p>
        </w:tc>
        <w:tc>
          <w:tcPr>
            <w:tcW w:w="1390" w:type="dxa"/>
            <w:vAlign w:val="center"/>
          </w:tcPr>
          <w:p w14:paraId="6C6C87FE">
            <w:pPr>
              <w:jc w:val="center"/>
              <w:rPr>
                <w:color w:val="000000" w:themeColor="text1"/>
                <w:szCs w:val="21"/>
                <w:highlight w:val="none"/>
                <w14:textFill>
                  <w14:solidFill>
                    <w14:schemeClr w14:val="tx1"/>
                  </w14:solidFill>
                </w14:textFill>
              </w:rPr>
            </w:pPr>
          </w:p>
        </w:tc>
        <w:tc>
          <w:tcPr>
            <w:tcW w:w="1391" w:type="dxa"/>
            <w:vAlign w:val="center"/>
          </w:tcPr>
          <w:p w14:paraId="1AAA017A">
            <w:pPr>
              <w:jc w:val="center"/>
              <w:rPr>
                <w:color w:val="000000" w:themeColor="text1"/>
                <w:szCs w:val="21"/>
                <w:highlight w:val="none"/>
                <w14:textFill>
                  <w14:solidFill>
                    <w14:schemeClr w14:val="tx1"/>
                  </w14:solidFill>
                </w14:textFill>
              </w:rPr>
            </w:pPr>
          </w:p>
        </w:tc>
        <w:tc>
          <w:tcPr>
            <w:tcW w:w="1390" w:type="dxa"/>
            <w:vAlign w:val="center"/>
          </w:tcPr>
          <w:p w14:paraId="070775DF">
            <w:pPr>
              <w:jc w:val="center"/>
              <w:rPr>
                <w:color w:val="000000" w:themeColor="text1"/>
                <w:szCs w:val="21"/>
                <w:highlight w:val="none"/>
                <w14:textFill>
                  <w14:solidFill>
                    <w14:schemeClr w14:val="tx1"/>
                  </w14:solidFill>
                </w14:textFill>
              </w:rPr>
            </w:pPr>
          </w:p>
        </w:tc>
        <w:tc>
          <w:tcPr>
            <w:tcW w:w="1391" w:type="dxa"/>
            <w:vAlign w:val="center"/>
          </w:tcPr>
          <w:p w14:paraId="4441A99A">
            <w:pPr>
              <w:jc w:val="center"/>
              <w:rPr>
                <w:color w:val="000000" w:themeColor="text1"/>
                <w:szCs w:val="21"/>
                <w:highlight w:val="none"/>
                <w14:textFill>
                  <w14:solidFill>
                    <w14:schemeClr w14:val="tx1"/>
                  </w14:solidFill>
                </w14:textFill>
              </w:rPr>
            </w:pPr>
          </w:p>
        </w:tc>
        <w:tc>
          <w:tcPr>
            <w:tcW w:w="1391" w:type="dxa"/>
            <w:vAlign w:val="center"/>
          </w:tcPr>
          <w:p w14:paraId="26145EA0">
            <w:pPr>
              <w:jc w:val="center"/>
              <w:rPr>
                <w:color w:val="000000" w:themeColor="text1"/>
                <w:szCs w:val="21"/>
                <w:highlight w:val="none"/>
                <w14:textFill>
                  <w14:solidFill>
                    <w14:schemeClr w14:val="tx1"/>
                  </w14:solidFill>
                </w14:textFill>
              </w:rPr>
            </w:pPr>
          </w:p>
        </w:tc>
      </w:tr>
      <w:tr w14:paraId="7DED3B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7D544C69">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质量要求</w:t>
            </w:r>
          </w:p>
        </w:tc>
        <w:tc>
          <w:tcPr>
            <w:tcW w:w="1390" w:type="dxa"/>
            <w:vAlign w:val="center"/>
          </w:tcPr>
          <w:p w14:paraId="260461A4">
            <w:pPr>
              <w:jc w:val="center"/>
              <w:rPr>
                <w:color w:val="000000" w:themeColor="text1"/>
                <w:szCs w:val="21"/>
                <w:highlight w:val="none"/>
                <w14:textFill>
                  <w14:solidFill>
                    <w14:schemeClr w14:val="tx1"/>
                  </w14:solidFill>
                </w14:textFill>
              </w:rPr>
            </w:pPr>
          </w:p>
        </w:tc>
        <w:tc>
          <w:tcPr>
            <w:tcW w:w="1391" w:type="dxa"/>
            <w:vAlign w:val="center"/>
          </w:tcPr>
          <w:p w14:paraId="1122900C">
            <w:pPr>
              <w:jc w:val="center"/>
              <w:rPr>
                <w:color w:val="000000" w:themeColor="text1"/>
                <w:szCs w:val="21"/>
                <w:highlight w:val="none"/>
                <w14:textFill>
                  <w14:solidFill>
                    <w14:schemeClr w14:val="tx1"/>
                  </w14:solidFill>
                </w14:textFill>
              </w:rPr>
            </w:pPr>
          </w:p>
        </w:tc>
        <w:tc>
          <w:tcPr>
            <w:tcW w:w="1390" w:type="dxa"/>
            <w:vAlign w:val="center"/>
          </w:tcPr>
          <w:p w14:paraId="75FCCA10">
            <w:pPr>
              <w:jc w:val="center"/>
              <w:rPr>
                <w:color w:val="000000" w:themeColor="text1"/>
                <w:szCs w:val="21"/>
                <w:highlight w:val="none"/>
                <w14:textFill>
                  <w14:solidFill>
                    <w14:schemeClr w14:val="tx1"/>
                  </w14:solidFill>
                </w14:textFill>
              </w:rPr>
            </w:pPr>
          </w:p>
        </w:tc>
        <w:tc>
          <w:tcPr>
            <w:tcW w:w="1391" w:type="dxa"/>
            <w:vAlign w:val="center"/>
          </w:tcPr>
          <w:p w14:paraId="7DE0C05E">
            <w:pPr>
              <w:jc w:val="center"/>
              <w:rPr>
                <w:color w:val="000000" w:themeColor="text1"/>
                <w:szCs w:val="21"/>
                <w:highlight w:val="none"/>
                <w14:textFill>
                  <w14:solidFill>
                    <w14:schemeClr w14:val="tx1"/>
                  </w14:solidFill>
                </w14:textFill>
              </w:rPr>
            </w:pPr>
          </w:p>
        </w:tc>
        <w:tc>
          <w:tcPr>
            <w:tcW w:w="1391" w:type="dxa"/>
            <w:vAlign w:val="center"/>
          </w:tcPr>
          <w:p w14:paraId="3240E064">
            <w:pPr>
              <w:jc w:val="center"/>
              <w:rPr>
                <w:color w:val="000000" w:themeColor="text1"/>
                <w:szCs w:val="21"/>
                <w:highlight w:val="none"/>
                <w14:textFill>
                  <w14:solidFill>
                    <w14:schemeClr w14:val="tx1"/>
                  </w14:solidFill>
                </w14:textFill>
              </w:rPr>
            </w:pPr>
          </w:p>
        </w:tc>
      </w:tr>
      <w:tr w14:paraId="34A77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10198C3">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施工方法</w:t>
            </w:r>
          </w:p>
        </w:tc>
        <w:tc>
          <w:tcPr>
            <w:tcW w:w="1390" w:type="dxa"/>
            <w:vAlign w:val="center"/>
          </w:tcPr>
          <w:p w14:paraId="054E206C">
            <w:pPr>
              <w:jc w:val="center"/>
              <w:rPr>
                <w:color w:val="000000" w:themeColor="text1"/>
                <w:szCs w:val="21"/>
                <w:highlight w:val="none"/>
                <w14:textFill>
                  <w14:solidFill>
                    <w14:schemeClr w14:val="tx1"/>
                  </w14:solidFill>
                </w14:textFill>
              </w:rPr>
            </w:pPr>
          </w:p>
        </w:tc>
        <w:tc>
          <w:tcPr>
            <w:tcW w:w="1391" w:type="dxa"/>
            <w:vAlign w:val="center"/>
          </w:tcPr>
          <w:p w14:paraId="213E8FD3">
            <w:pPr>
              <w:jc w:val="center"/>
              <w:rPr>
                <w:color w:val="000000" w:themeColor="text1"/>
                <w:szCs w:val="21"/>
                <w:highlight w:val="none"/>
                <w14:textFill>
                  <w14:solidFill>
                    <w14:schemeClr w14:val="tx1"/>
                  </w14:solidFill>
                </w14:textFill>
              </w:rPr>
            </w:pPr>
          </w:p>
        </w:tc>
        <w:tc>
          <w:tcPr>
            <w:tcW w:w="1390" w:type="dxa"/>
            <w:vAlign w:val="center"/>
          </w:tcPr>
          <w:p w14:paraId="78205B27">
            <w:pPr>
              <w:jc w:val="center"/>
              <w:rPr>
                <w:color w:val="000000" w:themeColor="text1"/>
                <w:szCs w:val="21"/>
                <w:highlight w:val="none"/>
                <w14:textFill>
                  <w14:solidFill>
                    <w14:schemeClr w14:val="tx1"/>
                  </w14:solidFill>
                </w14:textFill>
              </w:rPr>
            </w:pPr>
          </w:p>
        </w:tc>
        <w:tc>
          <w:tcPr>
            <w:tcW w:w="1391" w:type="dxa"/>
            <w:vAlign w:val="center"/>
          </w:tcPr>
          <w:p w14:paraId="0C55EEA4">
            <w:pPr>
              <w:jc w:val="center"/>
              <w:rPr>
                <w:color w:val="000000" w:themeColor="text1"/>
                <w:szCs w:val="21"/>
                <w:highlight w:val="none"/>
                <w14:textFill>
                  <w14:solidFill>
                    <w14:schemeClr w14:val="tx1"/>
                  </w14:solidFill>
                </w14:textFill>
              </w:rPr>
            </w:pPr>
          </w:p>
        </w:tc>
        <w:tc>
          <w:tcPr>
            <w:tcW w:w="1391" w:type="dxa"/>
            <w:vAlign w:val="center"/>
          </w:tcPr>
          <w:p w14:paraId="57B0CCA3">
            <w:pPr>
              <w:jc w:val="center"/>
              <w:rPr>
                <w:color w:val="000000" w:themeColor="text1"/>
                <w:szCs w:val="21"/>
                <w:highlight w:val="none"/>
                <w14:textFill>
                  <w14:solidFill>
                    <w14:schemeClr w14:val="tx1"/>
                  </w14:solidFill>
                </w14:textFill>
              </w:rPr>
            </w:pPr>
          </w:p>
        </w:tc>
      </w:tr>
      <w:tr w14:paraId="6B0E30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7D45C20">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竣工日期</w:t>
            </w:r>
          </w:p>
        </w:tc>
        <w:tc>
          <w:tcPr>
            <w:tcW w:w="1390" w:type="dxa"/>
            <w:vAlign w:val="center"/>
          </w:tcPr>
          <w:p w14:paraId="48DF070C">
            <w:pPr>
              <w:jc w:val="center"/>
              <w:rPr>
                <w:color w:val="000000" w:themeColor="text1"/>
                <w:szCs w:val="21"/>
                <w:highlight w:val="none"/>
                <w14:textFill>
                  <w14:solidFill>
                    <w14:schemeClr w14:val="tx1"/>
                  </w14:solidFill>
                </w14:textFill>
              </w:rPr>
            </w:pPr>
          </w:p>
        </w:tc>
        <w:tc>
          <w:tcPr>
            <w:tcW w:w="1391" w:type="dxa"/>
            <w:vAlign w:val="center"/>
          </w:tcPr>
          <w:p w14:paraId="2F1E45E1">
            <w:pPr>
              <w:jc w:val="center"/>
              <w:rPr>
                <w:color w:val="000000" w:themeColor="text1"/>
                <w:szCs w:val="21"/>
                <w:highlight w:val="none"/>
                <w14:textFill>
                  <w14:solidFill>
                    <w14:schemeClr w14:val="tx1"/>
                  </w14:solidFill>
                </w14:textFill>
              </w:rPr>
            </w:pPr>
          </w:p>
        </w:tc>
        <w:tc>
          <w:tcPr>
            <w:tcW w:w="1390" w:type="dxa"/>
            <w:vAlign w:val="center"/>
          </w:tcPr>
          <w:p w14:paraId="376B9F82">
            <w:pPr>
              <w:jc w:val="center"/>
              <w:rPr>
                <w:color w:val="000000" w:themeColor="text1"/>
                <w:szCs w:val="21"/>
                <w:highlight w:val="none"/>
                <w14:textFill>
                  <w14:solidFill>
                    <w14:schemeClr w14:val="tx1"/>
                  </w14:solidFill>
                </w14:textFill>
              </w:rPr>
            </w:pPr>
          </w:p>
        </w:tc>
        <w:tc>
          <w:tcPr>
            <w:tcW w:w="1391" w:type="dxa"/>
            <w:vAlign w:val="center"/>
          </w:tcPr>
          <w:p w14:paraId="36D2FEBE">
            <w:pPr>
              <w:jc w:val="center"/>
              <w:rPr>
                <w:color w:val="000000" w:themeColor="text1"/>
                <w:szCs w:val="21"/>
                <w:highlight w:val="none"/>
                <w14:textFill>
                  <w14:solidFill>
                    <w14:schemeClr w14:val="tx1"/>
                  </w14:solidFill>
                </w14:textFill>
              </w:rPr>
            </w:pPr>
          </w:p>
        </w:tc>
        <w:tc>
          <w:tcPr>
            <w:tcW w:w="1391" w:type="dxa"/>
            <w:vAlign w:val="center"/>
          </w:tcPr>
          <w:p w14:paraId="5783818F">
            <w:pPr>
              <w:jc w:val="center"/>
              <w:rPr>
                <w:color w:val="000000" w:themeColor="text1"/>
                <w:szCs w:val="21"/>
                <w:highlight w:val="none"/>
                <w14:textFill>
                  <w14:solidFill>
                    <w14:schemeClr w14:val="tx1"/>
                  </w14:solidFill>
                </w14:textFill>
              </w:rPr>
            </w:pPr>
          </w:p>
        </w:tc>
      </w:tr>
      <w:tr w14:paraId="608EBA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A5B1766">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实际工期</w:t>
            </w:r>
          </w:p>
        </w:tc>
        <w:tc>
          <w:tcPr>
            <w:tcW w:w="1390" w:type="dxa"/>
            <w:vAlign w:val="center"/>
          </w:tcPr>
          <w:p w14:paraId="339D7102">
            <w:pPr>
              <w:jc w:val="center"/>
              <w:rPr>
                <w:color w:val="000000" w:themeColor="text1"/>
                <w:szCs w:val="21"/>
                <w:highlight w:val="none"/>
                <w14:textFill>
                  <w14:solidFill>
                    <w14:schemeClr w14:val="tx1"/>
                  </w14:solidFill>
                </w14:textFill>
              </w:rPr>
            </w:pPr>
          </w:p>
        </w:tc>
        <w:tc>
          <w:tcPr>
            <w:tcW w:w="1391" w:type="dxa"/>
            <w:vAlign w:val="center"/>
          </w:tcPr>
          <w:p w14:paraId="3A05221C">
            <w:pPr>
              <w:jc w:val="center"/>
              <w:rPr>
                <w:color w:val="000000" w:themeColor="text1"/>
                <w:szCs w:val="21"/>
                <w:highlight w:val="none"/>
                <w14:textFill>
                  <w14:solidFill>
                    <w14:schemeClr w14:val="tx1"/>
                  </w14:solidFill>
                </w14:textFill>
              </w:rPr>
            </w:pPr>
          </w:p>
        </w:tc>
        <w:tc>
          <w:tcPr>
            <w:tcW w:w="1390" w:type="dxa"/>
            <w:vAlign w:val="center"/>
          </w:tcPr>
          <w:p w14:paraId="71FA517A">
            <w:pPr>
              <w:jc w:val="center"/>
              <w:rPr>
                <w:color w:val="000000" w:themeColor="text1"/>
                <w:szCs w:val="21"/>
                <w:highlight w:val="none"/>
                <w14:textFill>
                  <w14:solidFill>
                    <w14:schemeClr w14:val="tx1"/>
                  </w14:solidFill>
                </w14:textFill>
              </w:rPr>
            </w:pPr>
          </w:p>
        </w:tc>
        <w:tc>
          <w:tcPr>
            <w:tcW w:w="1391" w:type="dxa"/>
            <w:vAlign w:val="center"/>
          </w:tcPr>
          <w:p w14:paraId="2B14B633">
            <w:pPr>
              <w:jc w:val="center"/>
              <w:rPr>
                <w:color w:val="000000" w:themeColor="text1"/>
                <w:szCs w:val="21"/>
                <w:highlight w:val="none"/>
                <w14:textFill>
                  <w14:solidFill>
                    <w14:schemeClr w14:val="tx1"/>
                  </w14:solidFill>
                </w14:textFill>
              </w:rPr>
            </w:pPr>
          </w:p>
        </w:tc>
        <w:tc>
          <w:tcPr>
            <w:tcW w:w="1391" w:type="dxa"/>
            <w:vAlign w:val="center"/>
          </w:tcPr>
          <w:p w14:paraId="549E8630">
            <w:pPr>
              <w:jc w:val="center"/>
              <w:rPr>
                <w:color w:val="000000" w:themeColor="text1"/>
                <w:szCs w:val="21"/>
                <w:highlight w:val="none"/>
                <w14:textFill>
                  <w14:solidFill>
                    <w14:schemeClr w14:val="tx1"/>
                  </w14:solidFill>
                </w14:textFill>
              </w:rPr>
            </w:pPr>
          </w:p>
        </w:tc>
      </w:tr>
      <w:tr w14:paraId="0CFEB7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5E86490A">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合同工期</w:t>
            </w:r>
          </w:p>
        </w:tc>
        <w:tc>
          <w:tcPr>
            <w:tcW w:w="1390" w:type="dxa"/>
            <w:vAlign w:val="center"/>
          </w:tcPr>
          <w:p w14:paraId="60ACFD6A">
            <w:pPr>
              <w:jc w:val="center"/>
              <w:rPr>
                <w:color w:val="000000" w:themeColor="text1"/>
                <w:szCs w:val="21"/>
                <w:highlight w:val="none"/>
                <w14:textFill>
                  <w14:solidFill>
                    <w14:schemeClr w14:val="tx1"/>
                  </w14:solidFill>
                </w14:textFill>
              </w:rPr>
            </w:pPr>
          </w:p>
        </w:tc>
        <w:tc>
          <w:tcPr>
            <w:tcW w:w="1391" w:type="dxa"/>
            <w:vAlign w:val="center"/>
          </w:tcPr>
          <w:p w14:paraId="6782C437">
            <w:pPr>
              <w:jc w:val="center"/>
              <w:rPr>
                <w:color w:val="000000" w:themeColor="text1"/>
                <w:szCs w:val="21"/>
                <w:highlight w:val="none"/>
                <w14:textFill>
                  <w14:solidFill>
                    <w14:schemeClr w14:val="tx1"/>
                  </w14:solidFill>
                </w14:textFill>
              </w:rPr>
            </w:pPr>
          </w:p>
        </w:tc>
        <w:tc>
          <w:tcPr>
            <w:tcW w:w="1390" w:type="dxa"/>
            <w:vAlign w:val="center"/>
          </w:tcPr>
          <w:p w14:paraId="1EAE63B9">
            <w:pPr>
              <w:jc w:val="center"/>
              <w:rPr>
                <w:color w:val="000000" w:themeColor="text1"/>
                <w:szCs w:val="21"/>
                <w:highlight w:val="none"/>
                <w14:textFill>
                  <w14:solidFill>
                    <w14:schemeClr w14:val="tx1"/>
                  </w14:solidFill>
                </w14:textFill>
              </w:rPr>
            </w:pPr>
          </w:p>
        </w:tc>
        <w:tc>
          <w:tcPr>
            <w:tcW w:w="1391" w:type="dxa"/>
            <w:vAlign w:val="center"/>
          </w:tcPr>
          <w:p w14:paraId="23347FB5">
            <w:pPr>
              <w:jc w:val="center"/>
              <w:rPr>
                <w:color w:val="000000" w:themeColor="text1"/>
                <w:szCs w:val="21"/>
                <w:highlight w:val="none"/>
                <w14:textFill>
                  <w14:solidFill>
                    <w14:schemeClr w14:val="tx1"/>
                  </w14:solidFill>
                </w14:textFill>
              </w:rPr>
            </w:pPr>
          </w:p>
        </w:tc>
        <w:tc>
          <w:tcPr>
            <w:tcW w:w="1391" w:type="dxa"/>
            <w:vAlign w:val="center"/>
          </w:tcPr>
          <w:p w14:paraId="301411E1">
            <w:pPr>
              <w:jc w:val="center"/>
              <w:rPr>
                <w:color w:val="000000" w:themeColor="text1"/>
                <w:szCs w:val="21"/>
                <w:highlight w:val="none"/>
                <w14:textFill>
                  <w14:solidFill>
                    <w14:schemeClr w14:val="tx1"/>
                  </w14:solidFill>
                </w14:textFill>
              </w:rPr>
            </w:pPr>
          </w:p>
        </w:tc>
      </w:tr>
      <w:tr w14:paraId="5FC4A3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22CE11DB">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结算总价</w:t>
            </w:r>
          </w:p>
        </w:tc>
        <w:tc>
          <w:tcPr>
            <w:tcW w:w="1390" w:type="dxa"/>
            <w:vAlign w:val="center"/>
          </w:tcPr>
          <w:p w14:paraId="568FBD92">
            <w:pPr>
              <w:jc w:val="center"/>
              <w:rPr>
                <w:color w:val="000000" w:themeColor="text1"/>
                <w:szCs w:val="21"/>
                <w:highlight w:val="none"/>
                <w14:textFill>
                  <w14:solidFill>
                    <w14:schemeClr w14:val="tx1"/>
                  </w14:solidFill>
                </w14:textFill>
              </w:rPr>
            </w:pPr>
          </w:p>
        </w:tc>
        <w:tc>
          <w:tcPr>
            <w:tcW w:w="1391" w:type="dxa"/>
            <w:vAlign w:val="center"/>
          </w:tcPr>
          <w:p w14:paraId="63688106">
            <w:pPr>
              <w:jc w:val="center"/>
              <w:rPr>
                <w:color w:val="000000" w:themeColor="text1"/>
                <w:szCs w:val="21"/>
                <w:highlight w:val="none"/>
                <w14:textFill>
                  <w14:solidFill>
                    <w14:schemeClr w14:val="tx1"/>
                  </w14:solidFill>
                </w14:textFill>
              </w:rPr>
            </w:pPr>
          </w:p>
        </w:tc>
        <w:tc>
          <w:tcPr>
            <w:tcW w:w="1390" w:type="dxa"/>
            <w:vAlign w:val="center"/>
          </w:tcPr>
          <w:p w14:paraId="3B2AAE1A">
            <w:pPr>
              <w:jc w:val="center"/>
              <w:rPr>
                <w:color w:val="000000" w:themeColor="text1"/>
                <w:szCs w:val="21"/>
                <w:highlight w:val="none"/>
                <w14:textFill>
                  <w14:solidFill>
                    <w14:schemeClr w14:val="tx1"/>
                  </w14:solidFill>
                </w14:textFill>
              </w:rPr>
            </w:pPr>
          </w:p>
        </w:tc>
        <w:tc>
          <w:tcPr>
            <w:tcW w:w="1391" w:type="dxa"/>
            <w:vAlign w:val="center"/>
          </w:tcPr>
          <w:p w14:paraId="6F65FD00">
            <w:pPr>
              <w:jc w:val="center"/>
              <w:rPr>
                <w:color w:val="000000" w:themeColor="text1"/>
                <w:szCs w:val="21"/>
                <w:highlight w:val="none"/>
                <w14:textFill>
                  <w14:solidFill>
                    <w14:schemeClr w14:val="tx1"/>
                  </w14:solidFill>
                </w14:textFill>
              </w:rPr>
            </w:pPr>
          </w:p>
        </w:tc>
        <w:tc>
          <w:tcPr>
            <w:tcW w:w="1391" w:type="dxa"/>
            <w:vAlign w:val="center"/>
          </w:tcPr>
          <w:p w14:paraId="36A7D5DF">
            <w:pPr>
              <w:jc w:val="center"/>
              <w:rPr>
                <w:color w:val="000000" w:themeColor="text1"/>
                <w:szCs w:val="21"/>
                <w:highlight w:val="none"/>
                <w14:textFill>
                  <w14:solidFill>
                    <w14:schemeClr w14:val="tx1"/>
                  </w14:solidFill>
                </w14:textFill>
              </w:rPr>
            </w:pPr>
          </w:p>
        </w:tc>
      </w:tr>
      <w:tr w14:paraId="16EC63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5AE32C9">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合同总价</w:t>
            </w:r>
          </w:p>
        </w:tc>
        <w:tc>
          <w:tcPr>
            <w:tcW w:w="1390" w:type="dxa"/>
            <w:vAlign w:val="center"/>
          </w:tcPr>
          <w:p w14:paraId="56DEFF31">
            <w:pPr>
              <w:jc w:val="center"/>
              <w:rPr>
                <w:color w:val="000000" w:themeColor="text1"/>
                <w:szCs w:val="21"/>
                <w:highlight w:val="none"/>
                <w14:textFill>
                  <w14:solidFill>
                    <w14:schemeClr w14:val="tx1"/>
                  </w14:solidFill>
                </w14:textFill>
              </w:rPr>
            </w:pPr>
          </w:p>
        </w:tc>
        <w:tc>
          <w:tcPr>
            <w:tcW w:w="1391" w:type="dxa"/>
            <w:vAlign w:val="center"/>
          </w:tcPr>
          <w:p w14:paraId="43F0E127">
            <w:pPr>
              <w:jc w:val="center"/>
              <w:rPr>
                <w:color w:val="000000" w:themeColor="text1"/>
                <w:szCs w:val="21"/>
                <w:highlight w:val="none"/>
                <w14:textFill>
                  <w14:solidFill>
                    <w14:schemeClr w14:val="tx1"/>
                  </w14:solidFill>
                </w14:textFill>
              </w:rPr>
            </w:pPr>
          </w:p>
        </w:tc>
        <w:tc>
          <w:tcPr>
            <w:tcW w:w="1390" w:type="dxa"/>
            <w:vAlign w:val="center"/>
          </w:tcPr>
          <w:p w14:paraId="0AFA73A8">
            <w:pPr>
              <w:jc w:val="center"/>
              <w:rPr>
                <w:color w:val="000000" w:themeColor="text1"/>
                <w:szCs w:val="21"/>
                <w:highlight w:val="none"/>
                <w14:textFill>
                  <w14:solidFill>
                    <w14:schemeClr w14:val="tx1"/>
                  </w14:solidFill>
                </w14:textFill>
              </w:rPr>
            </w:pPr>
          </w:p>
        </w:tc>
        <w:tc>
          <w:tcPr>
            <w:tcW w:w="1391" w:type="dxa"/>
            <w:vAlign w:val="center"/>
          </w:tcPr>
          <w:p w14:paraId="4533A961">
            <w:pPr>
              <w:jc w:val="center"/>
              <w:rPr>
                <w:color w:val="000000" w:themeColor="text1"/>
                <w:szCs w:val="21"/>
                <w:highlight w:val="none"/>
                <w14:textFill>
                  <w14:solidFill>
                    <w14:schemeClr w14:val="tx1"/>
                  </w14:solidFill>
                </w14:textFill>
              </w:rPr>
            </w:pPr>
          </w:p>
        </w:tc>
        <w:tc>
          <w:tcPr>
            <w:tcW w:w="1391" w:type="dxa"/>
            <w:vAlign w:val="center"/>
          </w:tcPr>
          <w:p w14:paraId="69F5D4AA">
            <w:pPr>
              <w:jc w:val="center"/>
              <w:rPr>
                <w:color w:val="000000" w:themeColor="text1"/>
                <w:szCs w:val="21"/>
                <w:highlight w:val="none"/>
                <w14:textFill>
                  <w14:solidFill>
                    <w14:schemeClr w14:val="tx1"/>
                  </w14:solidFill>
                </w14:textFill>
              </w:rPr>
            </w:pPr>
          </w:p>
        </w:tc>
      </w:tr>
      <w:tr w14:paraId="6DA597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05A6E636">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备    注</w:t>
            </w:r>
          </w:p>
        </w:tc>
        <w:tc>
          <w:tcPr>
            <w:tcW w:w="1390" w:type="dxa"/>
            <w:vAlign w:val="center"/>
          </w:tcPr>
          <w:p w14:paraId="6EDA660E">
            <w:pPr>
              <w:jc w:val="center"/>
              <w:rPr>
                <w:color w:val="000000" w:themeColor="text1"/>
                <w:szCs w:val="21"/>
                <w:highlight w:val="none"/>
                <w14:textFill>
                  <w14:solidFill>
                    <w14:schemeClr w14:val="tx1"/>
                  </w14:solidFill>
                </w14:textFill>
              </w:rPr>
            </w:pPr>
          </w:p>
        </w:tc>
        <w:tc>
          <w:tcPr>
            <w:tcW w:w="1391" w:type="dxa"/>
            <w:vAlign w:val="center"/>
          </w:tcPr>
          <w:p w14:paraId="4B8A0904">
            <w:pPr>
              <w:jc w:val="center"/>
              <w:rPr>
                <w:color w:val="000000" w:themeColor="text1"/>
                <w:szCs w:val="21"/>
                <w:highlight w:val="none"/>
                <w14:textFill>
                  <w14:solidFill>
                    <w14:schemeClr w14:val="tx1"/>
                  </w14:solidFill>
                </w14:textFill>
              </w:rPr>
            </w:pPr>
          </w:p>
        </w:tc>
        <w:tc>
          <w:tcPr>
            <w:tcW w:w="1390" w:type="dxa"/>
            <w:vAlign w:val="center"/>
          </w:tcPr>
          <w:p w14:paraId="0988C7E2">
            <w:pPr>
              <w:jc w:val="center"/>
              <w:rPr>
                <w:color w:val="000000" w:themeColor="text1"/>
                <w:szCs w:val="21"/>
                <w:highlight w:val="none"/>
                <w14:textFill>
                  <w14:solidFill>
                    <w14:schemeClr w14:val="tx1"/>
                  </w14:solidFill>
                </w14:textFill>
              </w:rPr>
            </w:pPr>
          </w:p>
        </w:tc>
        <w:tc>
          <w:tcPr>
            <w:tcW w:w="1391" w:type="dxa"/>
            <w:vAlign w:val="center"/>
          </w:tcPr>
          <w:p w14:paraId="5F68CC04">
            <w:pPr>
              <w:jc w:val="center"/>
              <w:rPr>
                <w:color w:val="000000" w:themeColor="text1"/>
                <w:szCs w:val="21"/>
                <w:highlight w:val="none"/>
                <w14:textFill>
                  <w14:solidFill>
                    <w14:schemeClr w14:val="tx1"/>
                  </w14:solidFill>
                </w14:textFill>
              </w:rPr>
            </w:pPr>
          </w:p>
        </w:tc>
        <w:tc>
          <w:tcPr>
            <w:tcW w:w="1391" w:type="dxa"/>
            <w:vAlign w:val="center"/>
          </w:tcPr>
          <w:p w14:paraId="5267A805">
            <w:pPr>
              <w:jc w:val="center"/>
              <w:rPr>
                <w:color w:val="000000" w:themeColor="text1"/>
                <w:szCs w:val="21"/>
                <w:highlight w:val="none"/>
                <w14:textFill>
                  <w14:solidFill>
                    <w14:schemeClr w14:val="tx1"/>
                  </w14:solidFill>
                </w14:textFill>
              </w:rPr>
            </w:pPr>
          </w:p>
        </w:tc>
      </w:tr>
    </w:tbl>
    <w:p w14:paraId="04A7EDAF">
      <w:pPr>
        <w:spacing w:line="360" w:lineRule="auto"/>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注：有获工程奖项的需附相关证明材料。</w:t>
      </w:r>
    </w:p>
    <w:p w14:paraId="3956030E">
      <w:pPr>
        <w:spacing w:line="360" w:lineRule="auto"/>
        <w:ind w:firstLine="420" w:firstLineChars="200"/>
        <w:rPr>
          <w:color w:val="000000" w:themeColor="text1"/>
          <w:highlight w:val="none"/>
          <w14:textFill>
            <w14:solidFill>
              <w14:schemeClr w14:val="tx1"/>
            </w14:solidFill>
          </w14:textFill>
        </w:rPr>
      </w:pPr>
    </w:p>
    <w:p w14:paraId="33BFF792">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响应单位： (盖章)   　法定代表人或授权代理人：(签字) 　 日期：  年 月 日</w:t>
      </w:r>
    </w:p>
    <w:p w14:paraId="66895A74">
      <w:pPr>
        <w:spacing w:line="360" w:lineRule="auto"/>
        <w:rPr>
          <w:color w:val="000000" w:themeColor="text1"/>
          <w:szCs w:val="21"/>
          <w:highlight w:val="none"/>
          <w14:textFill>
            <w14:solidFill>
              <w14:schemeClr w14:val="tx1"/>
            </w14:solidFill>
          </w14:textFill>
        </w:rPr>
      </w:pPr>
    </w:p>
    <w:p w14:paraId="3E5FF9BE">
      <w:pPr>
        <w:spacing w:line="360" w:lineRule="auto"/>
        <w:rPr>
          <w:color w:val="000000" w:themeColor="text1"/>
          <w:szCs w:val="21"/>
          <w:highlight w:val="none"/>
          <w14:textFill>
            <w14:solidFill>
              <w14:schemeClr w14:val="tx1"/>
            </w14:solidFill>
          </w14:textFill>
        </w:rPr>
      </w:pPr>
    </w:p>
    <w:p w14:paraId="04562BCA">
      <w:pPr>
        <w:pStyle w:val="53"/>
        <w:spacing w:before="120"/>
        <w:rPr>
          <w:rStyle w:val="46"/>
          <w:rFonts w:ascii="Times New Roman" w:hAnsi="Times New Roman" w:eastAsia="宋体" w:cs="Times New Roman"/>
          <w:b/>
          <w:bCs/>
          <w:color w:val="000000" w:themeColor="text1"/>
          <w:szCs w:val="24"/>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384CA6C8">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r>
        <w:rPr>
          <w:rStyle w:val="46"/>
          <w:rFonts w:ascii="Times New Roman" w:hAnsi="Times New Roman" w:eastAsia="宋体" w:cs="Times New Roman"/>
          <w:b/>
          <w:bCs w:val="0"/>
          <w:color w:val="000000" w:themeColor="text1"/>
          <w:szCs w:val="24"/>
          <w:highlight w:val="none"/>
          <w14:textFill>
            <w14:solidFill>
              <w14:schemeClr w14:val="tx1"/>
            </w14:solidFill>
          </w14:textFill>
        </w:rPr>
        <w:t>格式</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1</w:t>
      </w:r>
      <w:r>
        <w:rPr>
          <w:rStyle w:val="46"/>
          <w:rFonts w:ascii="Times New Roman" w:hAnsi="Times New Roman" w:eastAsia="宋体" w:cs="Times New Roman"/>
          <w:b/>
          <w:bCs w:val="0"/>
          <w:color w:val="000000" w:themeColor="text1"/>
          <w:szCs w:val="24"/>
          <w:highlight w:val="none"/>
          <w14:textFill>
            <w14:solidFill>
              <w14:schemeClr w14:val="tx1"/>
            </w14:solidFill>
          </w14:textFill>
        </w:rPr>
        <w:t xml:space="preserve">1  </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响应单位的纳税资格的确认</w:t>
      </w:r>
    </w:p>
    <w:p w14:paraId="6FA72956">
      <w:pPr>
        <w:spacing w:line="360" w:lineRule="auto"/>
        <w:jc w:val="center"/>
        <w:rPr>
          <w:color w:val="000000" w:themeColor="text1"/>
          <w:highlight w:val="none"/>
          <w14:textFill>
            <w14:solidFill>
              <w14:schemeClr w14:val="tx1"/>
            </w14:solidFill>
          </w14:textFill>
        </w:rPr>
      </w:pPr>
    </w:p>
    <w:p w14:paraId="7AE9C18C">
      <w:pPr>
        <w:spacing w:line="360" w:lineRule="auto"/>
        <w:jc w:val="center"/>
        <w:rPr>
          <w:b/>
          <w:color w:val="000000" w:themeColor="text1"/>
          <w:sz w:val="28"/>
          <w:szCs w:val="28"/>
          <w:highlight w:val="none"/>
          <w14:textFill>
            <w14:solidFill>
              <w14:schemeClr w14:val="tx1"/>
            </w14:solidFill>
          </w14:textFill>
        </w:rPr>
      </w:pPr>
      <w:r>
        <w:rPr>
          <w:rFonts w:hint="eastAsia"/>
          <w:b/>
          <w:bCs/>
          <w:color w:val="000000" w:themeColor="text1"/>
          <w:sz w:val="28"/>
          <w:szCs w:val="28"/>
          <w:highlight w:val="none"/>
          <w14:textFill>
            <w14:solidFill>
              <w14:schemeClr w14:val="tx1"/>
            </w14:solidFill>
          </w14:textFill>
        </w:rPr>
        <w:t>响应单位的纳税资格的确认</w:t>
      </w:r>
      <w:r>
        <w:rPr>
          <w:b/>
          <w:color w:val="000000" w:themeColor="text1"/>
          <w:sz w:val="28"/>
          <w:szCs w:val="28"/>
          <w:highlight w:val="none"/>
          <w14:textFill>
            <w14:solidFill>
              <w14:schemeClr w14:val="tx1"/>
            </w14:solidFill>
          </w14:textFill>
        </w:rPr>
        <w:t>表</w:t>
      </w:r>
    </w:p>
    <w:p w14:paraId="74B31B0E">
      <w:pPr>
        <w:adjustRightInd w:val="0"/>
        <w:spacing w:line="360" w:lineRule="auto"/>
        <w:rPr>
          <w:color w:val="000000" w:themeColor="text1"/>
          <w:sz w:val="32"/>
          <w:szCs w:val="32"/>
          <w:highlight w:val="none"/>
          <w14:textFill>
            <w14:solidFill>
              <w14:schemeClr w14:val="tx1"/>
            </w14:solidFill>
          </w14:textFill>
        </w:rPr>
      </w:pPr>
      <w:r>
        <w:rPr>
          <w:color w:val="000000" w:themeColor="text1"/>
          <w:sz w:val="24"/>
          <w:highlight w:val="none"/>
          <w14:textFill>
            <w14:solidFill>
              <w14:schemeClr w14:val="tx1"/>
            </w14:solidFill>
          </w14:textFill>
        </w:rPr>
        <w:t>响应单位：</w:t>
      </w:r>
    </w:p>
    <w:tbl>
      <w:tblPr>
        <w:tblStyle w:val="31"/>
        <w:tblW w:w="876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2386"/>
        <w:gridCol w:w="2008"/>
        <w:gridCol w:w="1168"/>
        <w:gridCol w:w="959"/>
        <w:gridCol w:w="1309"/>
      </w:tblGrid>
      <w:tr w14:paraId="0FDF05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1621EA64">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序号</w:t>
            </w:r>
          </w:p>
        </w:tc>
        <w:tc>
          <w:tcPr>
            <w:tcW w:w="7830" w:type="dxa"/>
            <w:gridSpan w:val="5"/>
            <w:vAlign w:val="center"/>
          </w:tcPr>
          <w:p w14:paraId="2E29AD03">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确认内容</w:t>
            </w:r>
          </w:p>
        </w:tc>
      </w:tr>
      <w:tr w14:paraId="46FC1E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tcBorders>
              <w:top w:val="single" w:color="auto" w:sz="4" w:space="0"/>
            </w:tcBorders>
            <w:vAlign w:val="center"/>
          </w:tcPr>
          <w:p w14:paraId="79EDC49C">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w:t>
            </w:r>
          </w:p>
        </w:tc>
        <w:tc>
          <w:tcPr>
            <w:tcW w:w="2386" w:type="dxa"/>
            <w:vAlign w:val="center"/>
          </w:tcPr>
          <w:p w14:paraId="319C97A6">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响应单位全称</w:t>
            </w:r>
          </w:p>
        </w:tc>
        <w:tc>
          <w:tcPr>
            <w:tcW w:w="5444" w:type="dxa"/>
            <w:gridSpan w:val="4"/>
            <w:vAlign w:val="center"/>
          </w:tcPr>
          <w:p w14:paraId="5F728243">
            <w:pPr>
              <w:jc w:val="center"/>
              <w:rPr>
                <w:rFonts w:hint="eastAsia" w:ascii="宋体" w:hAnsi="宋体"/>
                <w:color w:val="000000" w:themeColor="text1"/>
                <w:kern w:val="0"/>
                <w:szCs w:val="21"/>
                <w:highlight w:val="none"/>
                <w14:textFill>
                  <w14:solidFill>
                    <w14:schemeClr w14:val="tx1"/>
                  </w14:solidFill>
                </w14:textFill>
              </w:rPr>
            </w:pPr>
          </w:p>
        </w:tc>
      </w:tr>
      <w:tr w14:paraId="266E9B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tcBorders>
              <w:top w:val="single" w:color="auto" w:sz="4" w:space="0"/>
            </w:tcBorders>
            <w:vAlign w:val="center"/>
          </w:tcPr>
          <w:p w14:paraId="5132BB7A">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w:t>
            </w:r>
          </w:p>
        </w:tc>
        <w:tc>
          <w:tcPr>
            <w:tcW w:w="2386" w:type="dxa"/>
            <w:vAlign w:val="center"/>
          </w:tcPr>
          <w:p w14:paraId="224F1A3A">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纳税义务人的纳税资格</w:t>
            </w:r>
          </w:p>
        </w:tc>
        <w:tc>
          <w:tcPr>
            <w:tcW w:w="2008" w:type="dxa"/>
            <w:vAlign w:val="center"/>
          </w:tcPr>
          <w:p w14:paraId="4FADF3EB">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一般纳税人（   ）</w:t>
            </w:r>
          </w:p>
        </w:tc>
        <w:tc>
          <w:tcPr>
            <w:tcW w:w="2127" w:type="dxa"/>
            <w:gridSpan w:val="2"/>
            <w:vAlign w:val="center"/>
          </w:tcPr>
          <w:p w14:paraId="5F7357D5">
            <w:pPr>
              <w:jc w:val="center"/>
              <w:rPr>
                <w:color w:val="000000" w:themeColor="text1"/>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小规模纳税人</w:t>
            </w:r>
            <w:r>
              <w:rPr>
                <w:rFonts w:hint="eastAsia" w:ascii="宋体" w:hAnsi="宋体"/>
                <w:color w:val="000000" w:themeColor="text1"/>
                <w:szCs w:val="21"/>
                <w:highlight w:val="none"/>
                <w14:textFill>
                  <w14:solidFill>
                    <w14:schemeClr w14:val="tx1"/>
                  </w14:solidFill>
                </w14:textFill>
              </w:rPr>
              <w:t>（   ）</w:t>
            </w:r>
          </w:p>
        </w:tc>
        <w:tc>
          <w:tcPr>
            <w:tcW w:w="1309" w:type="dxa"/>
            <w:vAlign w:val="center"/>
          </w:tcPr>
          <w:p w14:paraId="66FD81EF">
            <w:pPr>
              <w:jc w:val="center"/>
              <w:rPr>
                <w:color w:val="000000" w:themeColor="text1"/>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   ）</w:t>
            </w:r>
          </w:p>
        </w:tc>
      </w:tr>
      <w:tr w14:paraId="6CDD8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7C5C93A3">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w:t>
            </w:r>
          </w:p>
        </w:tc>
        <w:tc>
          <w:tcPr>
            <w:tcW w:w="2386" w:type="dxa"/>
            <w:vAlign w:val="center"/>
          </w:tcPr>
          <w:p w14:paraId="0698D7F1">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响应单位提供的票据</w:t>
            </w:r>
          </w:p>
        </w:tc>
        <w:tc>
          <w:tcPr>
            <w:tcW w:w="3176" w:type="dxa"/>
            <w:gridSpan w:val="2"/>
            <w:vAlign w:val="center"/>
          </w:tcPr>
          <w:p w14:paraId="30A0F89E">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增值税专用发票（   ）</w:t>
            </w:r>
          </w:p>
        </w:tc>
        <w:tc>
          <w:tcPr>
            <w:tcW w:w="2268" w:type="dxa"/>
            <w:gridSpan w:val="2"/>
            <w:vAlign w:val="center"/>
          </w:tcPr>
          <w:p w14:paraId="2A6E847D">
            <w:pPr>
              <w:jc w:val="center"/>
              <w:rPr>
                <w:color w:val="000000" w:themeColor="text1"/>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增值税普通发票</w:t>
            </w:r>
            <w:r>
              <w:rPr>
                <w:rFonts w:hint="eastAsia" w:ascii="宋体" w:hAnsi="宋体"/>
                <w:color w:val="000000" w:themeColor="text1"/>
                <w:szCs w:val="21"/>
                <w:highlight w:val="none"/>
                <w14:textFill>
                  <w14:solidFill>
                    <w14:schemeClr w14:val="tx1"/>
                  </w14:solidFill>
                </w14:textFill>
              </w:rPr>
              <w:t>（   ）</w:t>
            </w:r>
          </w:p>
        </w:tc>
      </w:tr>
      <w:tr w14:paraId="2490DE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0990F1CE">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p>
        </w:tc>
        <w:tc>
          <w:tcPr>
            <w:tcW w:w="2386" w:type="dxa"/>
            <w:vAlign w:val="center"/>
          </w:tcPr>
          <w:p w14:paraId="18992768">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本次报价增值税率是</w:t>
            </w:r>
          </w:p>
        </w:tc>
        <w:tc>
          <w:tcPr>
            <w:tcW w:w="5444" w:type="dxa"/>
            <w:gridSpan w:val="4"/>
            <w:vAlign w:val="center"/>
          </w:tcPr>
          <w:p w14:paraId="468983C4">
            <w:pPr>
              <w:jc w:val="center"/>
              <w:rPr>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xml:space="preserve">        %</w:t>
            </w:r>
          </w:p>
        </w:tc>
      </w:tr>
      <w:tr w14:paraId="6D8927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64C32E0F">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w:t>
            </w:r>
          </w:p>
        </w:tc>
        <w:tc>
          <w:tcPr>
            <w:tcW w:w="2386" w:type="dxa"/>
            <w:vAlign w:val="center"/>
          </w:tcPr>
          <w:p w14:paraId="2ECAEADD">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纳税人识别号</w:t>
            </w:r>
          </w:p>
        </w:tc>
        <w:tc>
          <w:tcPr>
            <w:tcW w:w="5444" w:type="dxa"/>
            <w:gridSpan w:val="4"/>
            <w:vAlign w:val="center"/>
          </w:tcPr>
          <w:p w14:paraId="39A0EBF7">
            <w:pPr>
              <w:jc w:val="center"/>
              <w:rPr>
                <w:color w:val="000000" w:themeColor="text1"/>
                <w:szCs w:val="21"/>
                <w:highlight w:val="none"/>
                <w14:textFill>
                  <w14:solidFill>
                    <w14:schemeClr w14:val="tx1"/>
                  </w14:solidFill>
                </w14:textFill>
              </w:rPr>
            </w:pPr>
          </w:p>
        </w:tc>
      </w:tr>
      <w:tr w14:paraId="1D539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41C662AA">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w:t>
            </w:r>
          </w:p>
        </w:tc>
        <w:tc>
          <w:tcPr>
            <w:tcW w:w="2386" w:type="dxa"/>
            <w:vAlign w:val="center"/>
          </w:tcPr>
          <w:p w14:paraId="72C3E7E6">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开户行</w:t>
            </w:r>
          </w:p>
        </w:tc>
        <w:tc>
          <w:tcPr>
            <w:tcW w:w="5444" w:type="dxa"/>
            <w:gridSpan w:val="4"/>
            <w:vAlign w:val="center"/>
          </w:tcPr>
          <w:p w14:paraId="60A46215">
            <w:pPr>
              <w:jc w:val="center"/>
              <w:rPr>
                <w:color w:val="000000" w:themeColor="text1"/>
                <w:szCs w:val="21"/>
                <w:highlight w:val="none"/>
                <w14:textFill>
                  <w14:solidFill>
                    <w14:schemeClr w14:val="tx1"/>
                  </w14:solidFill>
                </w14:textFill>
              </w:rPr>
            </w:pPr>
          </w:p>
        </w:tc>
      </w:tr>
      <w:tr w14:paraId="71972F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2C1957EC">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7</w:t>
            </w:r>
          </w:p>
        </w:tc>
        <w:tc>
          <w:tcPr>
            <w:tcW w:w="2386" w:type="dxa"/>
            <w:vAlign w:val="center"/>
          </w:tcPr>
          <w:p w14:paraId="634EBB58">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账号</w:t>
            </w:r>
          </w:p>
        </w:tc>
        <w:tc>
          <w:tcPr>
            <w:tcW w:w="5444" w:type="dxa"/>
            <w:gridSpan w:val="4"/>
            <w:vAlign w:val="center"/>
          </w:tcPr>
          <w:p w14:paraId="5E760B2A">
            <w:pPr>
              <w:jc w:val="center"/>
              <w:rPr>
                <w:color w:val="000000" w:themeColor="text1"/>
                <w:szCs w:val="21"/>
                <w:highlight w:val="none"/>
                <w14:textFill>
                  <w14:solidFill>
                    <w14:schemeClr w14:val="tx1"/>
                  </w14:solidFill>
                </w14:textFill>
              </w:rPr>
            </w:pPr>
          </w:p>
        </w:tc>
      </w:tr>
      <w:tr w14:paraId="45682C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4FFA119D">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8</w:t>
            </w:r>
          </w:p>
        </w:tc>
        <w:tc>
          <w:tcPr>
            <w:tcW w:w="2386" w:type="dxa"/>
            <w:vAlign w:val="center"/>
          </w:tcPr>
          <w:p w14:paraId="47829178">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w:t>
            </w:r>
          </w:p>
        </w:tc>
        <w:tc>
          <w:tcPr>
            <w:tcW w:w="5444" w:type="dxa"/>
            <w:gridSpan w:val="4"/>
            <w:vAlign w:val="center"/>
          </w:tcPr>
          <w:p w14:paraId="771395D6">
            <w:pPr>
              <w:jc w:val="center"/>
              <w:rPr>
                <w:color w:val="000000" w:themeColor="text1"/>
                <w:szCs w:val="21"/>
                <w:highlight w:val="none"/>
                <w14:textFill>
                  <w14:solidFill>
                    <w14:schemeClr w14:val="tx1"/>
                  </w14:solidFill>
                </w14:textFill>
              </w:rPr>
            </w:pPr>
          </w:p>
        </w:tc>
      </w:tr>
      <w:tr w14:paraId="07693A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48800AC8">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9</w:t>
            </w:r>
          </w:p>
        </w:tc>
        <w:tc>
          <w:tcPr>
            <w:tcW w:w="2386" w:type="dxa"/>
            <w:vAlign w:val="center"/>
          </w:tcPr>
          <w:p w14:paraId="732A8427">
            <w:pPr>
              <w:jc w:val="center"/>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电话</w:t>
            </w:r>
          </w:p>
        </w:tc>
        <w:tc>
          <w:tcPr>
            <w:tcW w:w="5444" w:type="dxa"/>
            <w:gridSpan w:val="4"/>
            <w:vAlign w:val="center"/>
          </w:tcPr>
          <w:p w14:paraId="411CC2C8">
            <w:pPr>
              <w:jc w:val="center"/>
              <w:rPr>
                <w:color w:val="000000" w:themeColor="text1"/>
                <w:szCs w:val="21"/>
                <w:highlight w:val="none"/>
                <w14:textFill>
                  <w14:solidFill>
                    <w14:schemeClr w14:val="tx1"/>
                  </w14:solidFill>
                </w14:textFill>
              </w:rPr>
            </w:pPr>
          </w:p>
        </w:tc>
      </w:tr>
    </w:tbl>
    <w:p w14:paraId="6B021454">
      <w:pPr>
        <w:spacing w:line="360" w:lineRule="auto"/>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注：需附税务登记证相关证明材料。</w:t>
      </w:r>
    </w:p>
    <w:p w14:paraId="49D2C164">
      <w:pPr>
        <w:spacing w:line="360" w:lineRule="auto"/>
        <w:ind w:firstLine="420" w:firstLineChars="200"/>
        <w:rPr>
          <w:color w:val="000000" w:themeColor="text1"/>
          <w:highlight w:val="none"/>
          <w14:textFill>
            <w14:solidFill>
              <w14:schemeClr w14:val="tx1"/>
            </w14:solidFill>
          </w14:textFill>
        </w:rPr>
      </w:pPr>
    </w:p>
    <w:p w14:paraId="3552024E">
      <w:pPr>
        <w:spacing w:line="360" w:lineRule="auto"/>
        <w:rPr>
          <w:color w:val="000000" w:themeColor="text1"/>
          <w:szCs w:val="21"/>
          <w:highlight w:val="none"/>
          <w14:textFill>
            <w14:solidFill>
              <w14:schemeClr w14:val="tx1"/>
            </w14:solidFill>
          </w14:textFill>
        </w:rPr>
      </w:pPr>
    </w:p>
    <w:p w14:paraId="262F302C">
      <w:pPr>
        <w:spacing w:line="360" w:lineRule="auto"/>
        <w:rPr>
          <w:color w:val="000000" w:themeColor="text1"/>
          <w:szCs w:val="21"/>
          <w:highlight w:val="none"/>
          <w14:textFill>
            <w14:solidFill>
              <w14:schemeClr w14:val="tx1"/>
            </w14:solidFill>
          </w14:textFill>
        </w:rPr>
      </w:pPr>
    </w:p>
    <w:p w14:paraId="7B57C68C">
      <w:pPr>
        <w:spacing w:line="360" w:lineRule="auto"/>
        <w:rPr>
          <w:color w:val="000000" w:themeColor="text1"/>
          <w:highlight w:val="none"/>
          <w14:textFill>
            <w14:solidFill>
              <w14:schemeClr w14:val="tx1"/>
            </w14:solidFill>
          </w14:textFill>
        </w:rPr>
      </w:pPr>
      <w:r>
        <w:rPr>
          <w:color w:val="000000" w:themeColor="text1"/>
          <w:szCs w:val="21"/>
          <w:highlight w:val="none"/>
          <w14:textFill>
            <w14:solidFill>
              <w14:schemeClr w14:val="tx1"/>
            </w14:solidFill>
          </w14:textFill>
        </w:rPr>
        <w:t>响应单位： (盖章)   　法定代表人或授权代理人：(签字) 　 日期：  年 月 日</w:t>
      </w:r>
    </w:p>
    <w:p w14:paraId="7168DC65">
      <w:pPr>
        <w:spacing w:line="360" w:lineRule="auto"/>
        <w:rPr>
          <w:color w:val="000000" w:themeColor="text1"/>
          <w:highlight w:val="none"/>
          <w14:textFill>
            <w14:solidFill>
              <w14:schemeClr w14:val="tx1"/>
            </w14:solidFill>
          </w14:textFill>
        </w:rPr>
      </w:pPr>
    </w:p>
    <w:p w14:paraId="5EDC127D">
      <w:pPr>
        <w:spacing w:line="360" w:lineRule="auto"/>
        <w:rPr>
          <w:color w:val="000000" w:themeColor="text1"/>
          <w:highlight w:val="none"/>
          <w14:textFill>
            <w14:solidFill>
              <w14:schemeClr w14:val="tx1"/>
            </w14:solidFill>
          </w14:textFill>
        </w:rPr>
      </w:pPr>
    </w:p>
    <w:p w14:paraId="3BBE32BB">
      <w:pPr>
        <w:rPr>
          <w:rStyle w:val="46"/>
          <w:rFonts w:ascii="Times New Roman" w:hAnsi="Times New Roman" w:eastAsia="宋体"/>
          <w:b w:val="0"/>
          <w:color w:val="000000" w:themeColor="text1"/>
          <w:sz w:val="28"/>
          <w:szCs w:val="28"/>
          <w:highlight w:val="none"/>
          <w14:textFill>
            <w14:solidFill>
              <w14:schemeClr w14:val="tx1"/>
            </w14:solidFill>
          </w14:textFill>
        </w:rPr>
      </w:pPr>
    </w:p>
    <w:p w14:paraId="0AAD0A4D">
      <w:pPr>
        <w:rPr>
          <w:rStyle w:val="46"/>
          <w:rFonts w:ascii="Times New Roman" w:hAnsi="Times New Roman" w:eastAsia="宋体"/>
          <w:b w:val="0"/>
          <w:color w:val="000000" w:themeColor="text1"/>
          <w:sz w:val="28"/>
          <w:szCs w:val="28"/>
          <w:highlight w:val="none"/>
          <w14:textFill>
            <w14:solidFill>
              <w14:schemeClr w14:val="tx1"/>
            </w14:solidFill>
          </w14:textFill>
        </w:rPr>
      </w:pPr>
    </w:p>
    <w:p w14:paraId="26C5FEBA">
      <w:pPr>
        <w:rPr>
          <w:rStyle w:val="46"/>
          <w:rFonts w:ascii="Times New Roman" w:hAnsi="Times New Roman" w:eastAsia="宋体"/>
          <w:b w:val="0"/>
          <w:color w:val="000000" w:themeColor="text1"/>
          <w:sz w:val="28"/>
          <w:szCs w:val="28"/>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248F4C92">
      <w:pPr>
        <w:rPr>
          <w:rStyle w:val="46"/>
          <w:rFonts w:ascii="Times New Roman" w:hAnsi="Times New Roman" w:eastAsia="宋体"/>
          <w:b w:val="0"/>
          <w:color w:val="000000" w:themeColor="text1"/>
          <w:sz w:val="28"/>
          <w:szCs w:val="28"/>
          <w:highlight w:val="none"/>
          <w14:textFill>
            <w14:solidFill>
              <w14:schemeClr w14:val="tx1"/>
            </w14:solidFill>
          </w14:textFill>
        </w:rPr>
      </w:pPr>
    </w:p>
    <w:p w14:paraId="28794DE3">
      <w:pPr>
        <w:jc w:val="center"/>
        <w:rPr>
          <w:rFonts w:ascii="宋体"/>
          <w:b/>
          <w:color w:val="000000" w:themeColor="text1"/>
          <w:spacing w:val="20"/>
          <w:sz w:val="32"/>
          <w:szCs w:val="32"/>
          <w:highlight w:val="none"/>
          <w14:textFill>
            <w14:solidFill>
              <w14:schemeClr w14:val="tx1"/>
            </w14:solidFill>
          </w14:textFill>
        </w:rPr>
      </w:pPr>
      <w:r>
        <w:rPr>
          <w:rFonts w:hint="eastAsia" w:ascii="宋体" w:hAnsi="宋体"/>
          <w:b/>
          <w:color w:val="000000" w:themeColor="text1"/>
          <w:spacing w:val="20"/>
          <w:sz w:val="32"/>
          <w:szCs w:val="32"/>
          <w:highlight w:val="none"/>
          <w14:textFill>
            <w14:solidFill>
              <w14:schemeClr w14:val="tx1"/>
            </w14:solidFill>
          </w14:textFill>
        </w:rPr>
        <w:t>公司简介、资质证明、业绩证明等</w:t>
      </w:r>
    </w:p>
    <w:p w14:paraId="50ADD6EE">
      <w:pPr>
        <w:jc w:val="center"/>
        <w:rPr>
          <w:color w:val="000000" w:themeColor="text1"/>
          <w:spacing w:val="20"/>
          <w:sz w:val="28"/>
          <w:szCs w:val="28"/>
          <w:highlight w:val="none"/>
          <w14:textFill>
            <w14:solidFill>
              <w14:schemeClr w14:val="tx1"/>
            </w14:solidFill>
          </w14:textFill>
        </w:rPr>
      </w:pPr>
      <w:r>
        <w:rPr>
          <w:rFonts w:hint="eastAsia"/>
          <w:color w:val="000000" w:themeColor="text1"/>
          <w:spacing w:val="20"/>
          <w:sz w:val="28"/>
          <w:szCs w:val="28"/>
          <w:highlight w:val="none"/>
          <w14:textFill>
            <w14:solidFill>
              <w14:schemeClr w14:val="tx1"/>
            </w14:solidFill>
          </w14:textFill>
        </w:rPr>
        <w:t>（需每页加盖公章）</w:t>
      </w:r>
    </w:p>
    <w:p w14:paraId="2F858682">
      <w:pPr>
        <w:rPr>
          <w:rStyle w:val="46"/>
          <w:rFonts w:ascii="Times New Roman" w:hAnsi="Times New Roman" w:eastAsia="宋体"/>
          <w:b w:val="0"/>
          <w:color w:val="000000" w:themeColor="text1"/>
          <w:sz w:val="28"/>
          <w:szCs w:val="28"/>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08191DAB">
      <w:pPr>
        <w:pStyle w:val="3"/>
        <w:numPr>
          <w:ilvl w:val="0"/>
          <w:numId w:val="11"/>
        </w:numPr>
        <w:spacing w:before="240" w:beforeLines="100" w:after="120" w:afterLines="50" w:line="360" w:lineRule="auto"/>
        <w:jc w:val="center"/>
        <w:rPr>
          <w:rStyle w:val="46"/>
          <w:rFonts w:ascii="Times New Roman" w:hAnsi="Times New Roman" w:eastAsia="宋体"/>
          <w:b/>
          <w:bCs w:val="0"/>
          <w:color w:val="000000" w:themeColor="text1"/>
          <w:sz w:val="32"/>
          <w:highlight w:val="none"/>
          <w14:textFill>
            <w14:solidFill>
              <w14:schemeClr w14:val="tx1"/>
            </w14:solidFill>
          </w14:textFill>
        </w:rPr>
      </w:pPr>
      <w:r>
        <w:rPr>
          <w:rStyle w:val="46"/>
          <w:rFonts w:hint="eastAsia" w:ascii="Times New Roman" w:hAnsi="Times New Roman" w:eastAsia="宋体"/>
          <w:b/>
          <w:bCs w:val="0"/>
          <w:color w:val="000000" w:themeColor="text1"/>
          <w:sz w:val="32"/>
          <w:highlight w:val="none"/>
          <w14:textFill>
            <w14:solidFill>
              <w14:schemeClr w14:val="tx1"/>
            </w14:solidFill>
          </w14:textFill>
        </w:rPr>
        <w:t>技术</w:t>
      </w:r>
      <w:r>
        <w:rPr>
          <w:rStyle w:val="46"/>
          <w:rFonts w:ascii="Times New Roman" w:hAnsi="Times New Roman" w:eastAsia="宋体"/>
          <w:b/>
          <w:bCs w:val="0"/>
          <w:color w:val="000000" w:themeColor="text1"/>
          <w:sz w:val="32"/>
          <w:highlight w:val="none"/>
          <w14:textFill>
            <w14:solidFill>
              <w14:schemeClr w14:val="tx1"/>
            </w14:solidFill>
          </w14:textFill>
        </w:rPr>
        <w:t>部分</w:t>
      </w:r>
    </w:p>
    <w:p w14:paraId="4693CF1C">
      <w:pPr>
        <w:rPr>
          <w:color w:val="000000" w:themeColor="text1"/>
          <w:highlight w:val="none"/>
          <w14:textFill>
            <w14:solidFill>
              <w14:schemeClr w14:val="tx1"/>
            </w14:solidFill>
          </w14:textFill>
        </w:rPr>
      </w:pPr>
    </w:p>
    <w:p w14:paraId="2F7D4289">
      <w:pPr>
        <w:pStyle w:val="3"/>
        <w:spacing w:before="240" w:beforeLines="100" w:after="120" w:afterLines="50" w:line="360" w:lineRule="auto"/>
        <w:rPr>
          <w:rStyle w:val="46"/>
          <w:rFonts w:ascii="Times New Roman" w:hAnsi="Times New Roman" w:eastAsia="宋体"/>
          <w:b/>
          <w:bCs w:val="0"/>
          <w:color w:val="000000" w:themeColor="text1"/>
          <w:sz w:val="28"/>
          <w:szCs w:val="28"/>
          <w:highlight w:val="none"/>
          <w14:textFill>
            <w14:solidFill>
              <w14:schemeClr w14:val="tx1"/>
            </w14:solidFill>
          </w14:textFill>
        </w:rPr>
      </w:pPr>
      <w:r>
        <w:rPr>
          <w:rStyle w:val="46"/>
          <w:rFonts w:hint="eastAsia" w:ascii="Times New Roman" w:hAnsi="Times New Roman" w:eastAsia="宋体"/>
          <w:b/>
          <w:bCs w:val="0"/>
          <w:color w:val="000000" w:themeColor="text1"/>
          <w:sz w:val="28"/>
          <w:szCs w:val="28"/>
          <w:highlight w:val="none"/>
          <w14:textFill>
            <w14:solidFill>
              <w14:schemeClr w14:val="tx1"/>
            </w14:solidFill>
          </w14:textFill>
        </w:rPr>
        <w:t>技术方案</w:t>
      </w:r>
      <w:r>
        <w:rPr>
          <w:rStyle w:val="46"/>
          <w:rFonts w:ascii="Times New Roman" w:hAnsi="Times New Roman" w:eastAsia="宋体"/>
          <w:b/>
          <w:bCs w:val="0"/>
          <w:color w:val="000000" w:themeColor="text1"/>
          <w:sz w:val="28"/>
          <w:szCs w:val="28"/>
          <w:highlight w:val="none"/>
          <w14:textFill>
            <w14:solidFill>
              <w14:schemeClr w14:val="tx1"/>
            </w14:solidFill>
          </w14:textFill>
        </w:rPr>
        <w:t>格式</w:t>
      </w:r>
    </w:p>
    <w:p w14:paraId="736E41AE">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技术部分文件按照采购文件第二篇“响应单位须知”第三章“响应文件”15.4所列内容编制，格式可参照如下：</w:t>
      </w:r>
    </w:p>
    <w:p w14:paraId="67DAAE17">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1.工程概述：主要对拟投施工</w:t>
      </w:r>
      <w:r>
        <w:rPr>
          <w:rFonts w:hint="eastAsia" w:ascii="宋体" w:hAnsi="宋体"/>
          <w:color w:val="000000" w:themeColor="text1"/>
          <w:sz w:val="24"/>
          <w:highlight w:val="none"/>
          <w14:textFill>
            <w14:solidFill>
              <w14:schemeClr w14:val="tx1"/>
            </w14:solidFill>
          </w14:textFill>
        </w:rPr>
        <w:t>段落</w:t>
      </w:r>
      <w:r>
        <w:rPr>
          <w:rFonts w:ascii="宋体" w:hAnsi="宋体"/>
          <w:color w:val="000000" w:themeColor="text1"/>
          <w:sz w:val="24"/>
          <w:highlight w:val="none"/>
          <w14:textFill>
            <w14:solidFill>
              <w14:schemeClr w14:val="tx1"/>
            </w14:solidFill>
          </w14:textFill>
        </w:rPr>
        <w:t>的工程总体概况进行简单描述。</w:t>
      </w:r>
    </w:p>
    <w:p w14:paraId="4B558830">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施工</w:t>
      </w:r>
      <w:r>
        <w:rPr>
          <w:rFonts w:ascii="宋体" w:hAnsi="宋体"/>
          <w:color w:val="000000" w:themeColor="text1"/>
          <w:sz w:val="24"/>
          <w:highlight w:val="none"/>
          <w14:textFill>
            <w14:solidFill>
              <w14:schemeClr w14:val="tx1"/>
            </w14:solidFill>
          </w14:textFill>
        </w:rPr>
        <w:t>范围</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依据</w:t>
      </w:r>
      <w:r>
        <w:rPr>
          <w:rFonts w:hint="eastAsia" w:ascii="宋体" w:hAnsi="宋体"/>
          <w:color w:val="000000" w:themeColor="text1"/>
          <w:sz w:val="24"/>
          <w:highlight w:val="none"/>
          <w14:textFill>
            <w14:solidFill>
              <w14:schemeClr w14:val="tx1"/>
            </w14:solidFill>
          </w14:textFill>
        </w:rPr>
        <w:t>施工</w:t>
      </w:r>
      <w:r>
        <w:rPr>
          <w:rFonts w:ascii="宋体" w:hAnsi="宋体"/>
          <w:color w:val="000000" w:themeColor="text1"/>
          <w:sz w:val="24"/>
          <w:highlight w:val="none"/>
          <w14:textFill>
            <w14:solidFill>
              <w14:schemeClr w14:val="tx1"/>
            </w14:solidFill>
          </w14:textFill>
        </w:rPr>
        <w:t>合同中</w:t>
      </w:r>
      <w:r>
        <w:rPr>
          <w:rFonts w:hint="eastAsia" w:ascii="宋体" w:hAnsi="宋体"/>
          <w:color w:val="000000" w:themeColor="text1"/>
          <w:sz w:val="24"/>
          <w:highlight w:val="none"/>
          <w14:textFill>
            <w14:solidFill>
              <w14:schemeClr w14:val="tx1"/>
            </w14:solidFill>
          </w14:textFill>
        </w:rPr>
        <w:t>约</w:t>
      </w:r>
      <w:r>
        <w:rPr>
          <w:rFonts w:ascii="宋体" w:hAnsi="宋体"/>
          <w:color w:val="000000" w:themeColor="text1"/>
          <w:sz w:val="24"/>
          <w:highlight w:val="none"/>
          <w14:textFill>
            <w14:solidFill>
              <w14:schemeClr w14:val="tx1"/>
            </w14:solidFill>
          </w14:textFill>
        </w:rPr>
        <w:t>定的</w:t>
      </w:r>
      <w:r>
        <w:rPr>
          <w:rFonts w:hint="eastAsia" w:ascii="宋体" w:hAnsi="宋体"/>
          <w:color w:val="000000" w:themeColor="text1"/>
          <w:sz w:val="24"/>
          <w:highlight w:val="none"/>
          <w14:textFill>
            <w14:solidFill>
              <w14:schemeClr w14:val="tx1"/>
            </w14:solidFill>
          </w14:textFill>
        </w:rPr>
        <w:t>施工范围</w:t>
      </w:r>
      <w:r>
        <w:rPr>
          <w:rFonts w:ascii="宋体" w:hAnsi="宋体"/>
          <w:color w:val="000000" w:themeColor="text1"/>
          <w:sz w:val="24"/>
          <w:highlight w:val="none"/>
          <w14:textFill>
            <w14:solidFill>
              <w14:schemeClr w14:val="tx1"/>
            </w14:solidFill>
          </w14:textFill>
        </w:rPr>
        <w:t>范围，对拟投施工</w:t>
      </w:r>
      <w:r>
        <w:rPr>
          <w:rFonts w:hint="eastAsia" w:ascii="宋体" w:hAnsi="宋体"/>
          <w:color w:val="000000" w:themeColor="text1"/>
          <w:sz w:val="24"/>
          <w:highlight w:val="none"/>
          <w14:textFill>
            <w14:solidFill>
              <w14:schemeClr w14:val="tx1"/>
            </w14:solidFill>
          </w14:textFill>
        </w:rPr>
        <w:t>段落</w:t>
      </w:r>
      <w:r>
        <w:rPr>
          <w:rFonts w:ascii="宋体" w:hAnsi="宋体"/>
          <w:color w:val="000000" w:themeColor="text1"/>
          <w:sz w:val="24"/>
          <w:highlight w:val="none"/>
          <w14:textFill>
            <w14:solidFill>
              <w14:schemeClr w14:val="tx1"/>
            </w14:solidFill>
          </w14:textFill>
        </w:rPr>
        <w:t>的</w:t>
      </w:r>
      <w:r>
        <w:rPr>
          <w:rFonts w:hint="eastAsia" w:ascii="宋体" w:hAnsi="宋体"/>
          <w:color w:val="000000" w:themeColor="text1"/>
          <w:sz w:val="24"/>
          <w:highlight w:val="none"/>
          <w14:textFill>
            <w14:solidFill>
              <w14:schemeClr w14:val="tx1"/>
            </w14:solidFill>
          </w14:textFill>
        </w:rPr>
        <w:t>施工准备阶段、施工阶段、交工阶段工作</w:t>
      </w:r>
      <w:r>
        <w:rPr>
          <w:rFonts w:ascii="宋体" w:hAnsi="宋体"/>
          <w:color w:val="000000" w:themeColor="text1"/>
          <w:sz w:val="24"/>
          <w:highlight w:val="none"/>
          <w14:textFill>
            <w14:solidFill>
              <w14:schemeClr w14:val="tx1"/>
            </w14:solidFill>
          </w14:textFill>
        </w:rPr>
        <w:t>安排、主要人员的岗位职责进行必要的阐述。</w:t>
      </w:r>
    </w:p>
    <w:p w14:paraId="2B567F7E">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3.现场组织机构设置与人员安排：通过框图形式，明确拟投</w:t>
      </w:r>
      <w:r>
        <w:rPr>
          <w:rFonts w:hint="eastAsia" w:ascii="宋体" w:hAnsi="宋体"/>
          <w:color w:val="000000" w:themeColor="text1"/>
          <w:sz w:val="24"/>
          <w:highlight w:val="none"/>
          <w14:textFill>
            <w14:solidFill>
              <w14:schemeClr w14:val="tx1"/>
            </w14:solidFill>
          </w14:textFill>
        </w:rPr>
        <w:t>施工段落</w:t>
      </w:r>
      <w:r>
        <w:rPr>
          <w:rFonts w:ascii="宋体" w:hAnsi="宋体"/>
          <w:color w:val="000000" w:themeColor="text1"/>
          <w:sz w:val="24"/>
          <w:highlight w:val="none"/>
          <w14:textFill>
            <w14:solidFill>
              <w14:schemeClr w14:val="tx1"/>
            </w14:solidFill>
          </w14:textFill>
        </w:rPr>
        <w:t>的组织机构设置。</w:t>
      </w:r>
    </w:p>
    <w:p w14:paraId="3065C763">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施工</w:t>
      </w:r>
      <w:r>
        <w:rPr>
          <w:rFonts w:ascii="宋体" w:hAnsi="宋体"/>
          <w:color w:val="000000" w:themeColor="text1"/>
          <w:sz w:val="24"/>
          <w:highlight w:val="none"/>
          <w14:textFill>
            <w14:solidFill>
              <w14:schemeClr w14:val="tx1"/>
            </w14:solidFill>
          </w14:textFill>
        </w:rPr>
        <w:t>设备和设施的配备：</w:t>
      </w:r>
      <w:r>
        <w:rPr>
          <w:rFonts w:hint="eastAsia" w:ascii="宋体" w:hAnsi="宋体"/>
          <w:color w:val="000000" w:themeColor="text1"/>
          <w:sz w:val="24"/>
          <w:highlight w:val="none"/>
          <w14:textFill>
            <w14:solidFill>
              <w14:schemeClr w14:val="tx1"/>
            </w14:solidFill>
          </w14:textFill>
        </w:rPr>
        <w:t>响应单位</w:t>
      </w:r>
      <w:r>
        <w:rPr>
          <w:rFonts w:ascii="宋体" w:hAnsi="宋体"/>
          <w:color w:val="000000" w:themeColor="text1"/>
          <w:sz w:val="24"/>
          <w:highlight w:val="none"/>
          <w14:textFill>
            <w14:solidFill>
              <w14:schemeClr w14:val="tx1"/>
            </w14:solidFill>
          </w14:textFill>
        </w:rPr>
        <w:t>根据拟投</w:t>
      </w:r>
      <w:r>
        <w:rPr>
          <w:rFonts w:hint="eastAsia" w:ascii="宋体" w:hAnsi="宋体"/>
          <w:color w:val="000000" w:themeColor="text1"/>
          <w:sz w:val="24"/>
          <w:highlight w:val="none"/>
          <w14:textFill>
            <w14:solidFill>
              <w14:schemeClr w14:val="tx1"/>
            </w14:solidFill>
          </w14:textFill>
        </w:rPr>
        <w:t>施工</w:t>
      </w:r>
      <w:r>
        <w:rPr>
          <w:rFonts w:ascii="宋体" w:hAnsi="宋体"/>
          <w:color w:val="000000" w:themeColor="text1"/>
          <w:sz w:val="24"/>
          <w:highlight w:val="none"/>
          <w14:textFill>
            <w14:solidFill>
              <w14:schemeClr w14:val="tx1"/>
            </w14:solidFill>
          </w14:textFill>
        </w:rPr>
        <w:t>段落的现场工作需要，对其拟投入本</w:t>
      </w:r>
      <w:r>
        <w:rPr>
          <w:rFonts w:hint="eastAsia" w:ascii="宋体" w:hAnsi="宋体"/>
          <w:color w:val="000000" w:themeColor="text1"/>
          <w:sz w:val="24"/>
          <w:highlight w:val="none"/>
          <w14:textFill>
            <w14:solidFill>
              <w14:schemeClr w14:val="tx1"/>
            </w14:solidFill>
          </w14:textFill>
        </w:rPr>
        <w:t>工程</w:t>
      </w:r>
      <w:r>
        <w:rPr>
          <w:rFonts w:ascii="宋体" w:hAnsi="宋体"/>
          <w:color w:val="000000" w:themeColor="text1"/>
          <w:sz w:val="24"/>
          <w:highlight w:val="none"/>
          <w14:textFill>
            <w14:solidFill>
              <w14:schemeClr w14:val="tx1"/>
            </w14:solidFill>
          </w14:textFill>
        </w:rPr>
        <w:t>的设备和设施的配备等情况做简要介绍</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w:t>
      </w:r>
    </w:p>
    <w:p w14:paraId="4B9EE6CC">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5.</w:t>
      </w:r>
      <w:r>
        <w:rPr>
          <w:rFonts w:hint="eastAsia" w:ascii="宋体" w:hAnsi="宋体"/>
          <w:color w:val="000000" w:themeColor="text1"/>
          <w:sz w:val="24"/>
          <w:highlight w:val="none"/>
          <w14:textFill>
            <w14:solidFill>
              <w14:schemeClr w14:val="tx1"/>
            </w14:solidFill>
          </w14:textFill>
        </w:rPr>
        <w:t>施工</w:t>
      </w:r>
      <w:r>
        <w:rPr>
          <w:rFonts w:ascii="宋体" w:hAnsi="宋体"/>
          <w:color w:val="000000" w:themeColor="text1"/>
          <w:sz w:val="24"/>
          <w:highlight w:val="none"/>
          <w14:textFill>
            <w14:solidFill>
              <w14:schemeClr w14:val="tx1"/>
            </w14:solidFill>
          </w14:textFill>
        </w:rPr>
        <w:t>组织设计：结合</w:t>
      </w:r>
      <w:r>
        <w:rPr>
          <w:rFonts w:hint="eastAsia" w:ascii="宋体" w:hAnsi="宋体"/>
          <w:color w:val="000000" w:themeColor="text1"/>
          <w:sz w:val="24"/>
          <w:highlight w:val="none"/>
          <w14:textFill>
            <w14:solidFill>
              <w14:schemeClr w14:val="tx1"/>
            </w14:solidFill>
          </w14:textFill>
        </w:rPr>
        <w:t>施工</w:t>
      </w:r>
      <w:r>
        <w:rPr>
          <w:rFonts w:ascii="宋体" w:hAnsi="宋体"/>
          <w:color w:val="000000" w:themeColor="text1"/>
          <w:sz w:val="24"/>
          <w:highlight w:val="none"/>
          <w14:textFill>
            <w14:solidFill>
              <w14:schemeClr w14:val="tx1"/>
            </w14:solidFill>
          </w14:textFill>
        </w:rPr>
        <w:t>段落，对专项施工方案</w:t>
      </w:r>
      <w:r>
        <w:rPr>
          <w:rFonts w:hint="eastAsia" w:ascii="宋体" w:hAnsi="宋体"/>
          <w:color w:val="000000" w:themeColor="text1"/>
          <w:sz w:val="24"/>
          <w:highlight w:val="none"/>
          <w14:textFill>
            <w14:solidFill>
              <w14:schemeClr w14:val="tx1"/>
            </w14:solidFill>
          </w14:textFill>
        </w:rPr>
        <w:t>、施工布置、组织安排、</w:t>
      </w:r>
      <w:r>
        <w:rPr>
          <w:rFonts w:ascii="宋体" w:hAnsi="宋体"/>
          <w:color w:val="000000" w:themeColor="text1"/>
          <w:sz w:val="24"/>
          <w:highlight w:val="none"/>
          <w14:textFill>
            <w14:solidFill>
              <w14:schemeClr w14:val="tx1"/>
            </w14:solidFill>
          </w14:textFill>
        </w:rPr>
        <w:t>工程质量控制、进度控制、</w:t>
      </w:r>
      <w:r>
        <w:rPr>
          <w:rFonts w:hint="eastAsia" w:ascii="宋体" w:hAnsi="宋体"/>
          <w:color w:val="000000" w:themeColor="text1"/>
          <w:sz w:val="24"/>
          <w:highlight w:val="none"/>
          <w14:textFill>
            <w14:solidFill>
              <w14:schemeClr w14:val="tx1"/>
            </w14:solidFill>
          </w14:textFill>
        </w:rPr>
        <w:t>施工</w:t>
      </w:r>
      <w:r>
        <w:rPr>
          <w:rFonts w:ascii="宋体" w:hAnsi="宋体"/>
          <w:color w:val="000000" w:themeColor="text1"/>
          <w:sz w:val="24"/>
          <w:highlight w:val="none"/>
          <w14:textFill>
            <w14:solidFill>
              <w14:schemeClr w14:val="tx1"/>
            </w14:solidFill>
          </w14:textFill>
        </w:rPr>
        <w:t>安全控制、</w:t>
      </w:r>
      <w:r>
        <w:rPr>
          <w:rFonts w:hint="eastAsia" w:ascii="宋体" w:hAnsi="宋体"/>
          <w:color w:val="000000" w:themeColor="text1"/>
          <w:sz w:val="24"/>
          <w:highlight w:val="none"/>
          <w14:textFill>
            <w14:solidFill>
              <w14:schemeClr w14:val="tx1"/>
            </w14:solidFill>
          </w14:textFill>
        </w:rPr>
        <w:t>施工环境保护、费用</w:t>
      </w:r>
      <w:r>
        <w:rPr>
          <w:rFonts w:ascii="宋体" w:hAnsi="宋体"/>
          <w:color w:val="000000" w:themeColor="text1"/>
          <w:sz w:val="24"/>
          <w:highlight w:val="none"/>
          <w14:textFill>
            <w14:solidFill>
              <w14:schemeClr w14:val="tx1"/>
            </w14:solidFill>
          </w14:textFill>
        </w:rPr>
        <w:t>控制、</w:t>
      </w:r>
      <w:r>
        <w:rPr>
          <w:rFonts w:hint="eastAsia" w:ascii="宋体" w:hAnsi="宋体"/>
          <w:color w:val="000000" w:themeColor="text1"/>
          <w:sz w:val="24"/>
          <w:highlight w:val="none"/>
          <w14:textFill>
            <w14:solidFill>
              <w14:schemeClr w14:val="tx1"/>
            </w14:solidFill>
          </w14:textFill>
        </w:rPr>
        <w:t>合同及其他事项</w:t>
      </w:r>
      <w:r>
        <w:rPr>
          <w:rFonts w:ascii="宋体" w:hAnsi="宋体"/>
          <w:color w:val="000000" w:themeColor="text1"/>
          <w:sz w:val="24"/>
          <w:highlight w:val="none"/>
          <w14:textFill>
            <w14:solidFill>
              <w14:schemeClr w14:val="tx1"/>
            </w14:solidFill>
          </w14:textFill>
        </w:rPr>
        <w:t>管理</w:t>
      </w:r>
      <w:r>
        <w:rPr>
          <w:rFonts w:hint="eastAsia" w:ascii="宋体" w:hAnsi="宋体"/>
          <w:color w:val="000000" w:themeColor="text1"/>
          <w:sz w:val="24"/>
          <w:highlight w:val="none"/>
          <w14:textFill>
            <w14:solidFill>
              <w14:schemeClr w14:val="tx1"/>
            </w14:solidFill>
          </w14:textFill>
        </w:rPr>
        <w:t>、文件资料管理</w:t>
      </w:r>
      <w:r>
        <w:rPr>
          <w:rFonts w:ascii="宋体" w:hAnsi="宋体"/>
          <w:color w:val="000000" w:themeColor="text1"/>
          <w:sz w:val="24"/>
          <w:highlight w:val="none"/>
          <w14:textFill>
            <w14:solidFill>
              <w14:schemeClr w14:val="tx1"/>
            </w14:solidFill>
          </w14:textFill>
        </w:rPr>
        <w:t>等方面进行</w:t>
      </w:r>
      <w:r>
        <w:rPr>
          <w:rFonts w:hint="eastAsia" w:ascii="宋体" w:hAnsi="宋体"/>
          <w:color w:val="000000" w:themeColor="text1"/>
          <w:sz w:val="24"/>
          <w:highlight w:val="none"/>
          <w14:textFill>
            <w14:solidFill>
              <w14:schemeClr w14:val="tx1"/>
            </w14:solidFill>
          </w14:textFill>
        </w:rPr>
        <w:t>简要</w:t>
      </w:r>
      <w:r>
        <w:rPr>
          <w:rFonts w:ascii="宋体" w:hAnsi="宋体"/>
          <w:color w:val="000000" w:themeColor="text1"/>
          <w:sz w:val="24"/>
          <w:highlight w:val="none"/>
          <w14:textFill>
            <w14:solidFill>
              <w14:schemeClr w14:val="tx1"/>
            </w14:solidFill>
          </w14:textFill>
        </w:rPr>
        <w:t>阐述。</w:t>
      </w:r>
    </w:p>
    <w:p w14:paraId="2A09050A">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w:t>
      </w:r>
      <w:r>
        <w:rPr>
          <w:rFonts w:ascii="宋体" w:hAnsi="宋体"/>
          <w:color w:val="000000" w:themeColor="text1"/>
          <w:sz w:val="24"/>
          <w:highlight w:val="none"/>
          <w14:textFill>
            <w14:solidFill>
              <w14:schemeClr w14:val="tx1"/>
            </w14:solidFill>
          </w14:textFill>
        </w:rPr>
        <w:t>.本工程</w:t>
      </w:r>
      <w:r>
        <w:rPr>
          <w:rFonts w:hint="eastAsia" w:ascii="宋体" w:hAnsi="宋体"/>
          <w:color w:val="000000" w:themeColor="text1"/>
          <w:sz w:val="24"/>
          <w:highlight w:val="none"/>
          <w14:textFill>
            <w14:solidFill>
              <w14:schemeClr w14:val="tx1"/>
            </w14:solidFill>
          </w14:textFill>
        </w:rPr>
        <w:t>施工</w:t>
      </w:r>
      <w:r>
        <w:rPr>
          <w:rFonts w:ascii="宋体" w:hAnsi="宋体"/>
          <w:color w:val="000000" w:themeColor="text1"/>
          <w:sz w:val="24"/>
          <w:highlight w:val="none"/>
          <w14:textFill>
            <w14:solidFill>
              <w14:schemeClr w14:val="tx1"/>
            </w14:solidFill>
          </w14:textFill>
        </w:rPr>
        <w:t>的重点与难点分析：根据采购文件及现场考察，对本</w:t>
      </w:r>
      <w:r>
        <w:rPr>
          <w:rFonts w:hint="eastAsia" w:ascii="宋体" w:hAnsi="宋体"/>
          <w:color w:val="000000" w:themeColor="text1"/>
          <w:sz w:val="24"/>
          <w:highlight w:val="none"/>
          <w14:textFill>
            <w14:solidFill>
              <w14:schemeClr w14:val="tx1"/>
            </w14:solidFill>
          </w14:textFill>
        </w:rPr>
        <w:t>工程施工</w:t>
      </w:r>
      <w:r>
        <w:rPr>
          <w:rFonts w:ascii="宋体" w:hAnsi="宋体"/>
          <w:color w:val="000000" w:themeColor="text1"/>
          <w:sz w:val="24"/>
          <w:highlight w:val="none"/>
          <w14:textFill>
            <w14:solidFill>
              <w14:schemeClr w14:val="tx1"/>
            </w14:solidFill>
          </w14:textFill>
        </w:rPr>
        <w:t>需要特别给予重视的问题逐一论述并给出解决方法。</w:t>
      </w:r>
    </w:p>
    <w:p w14:paraId="37131DCF">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对本工程</w:t>
      </w:r>
      <w:r>
        <w:rPr>
          <w:rFonts w:ascii="宋体" w:hAnsi="宋体"/>
          <w:color w:val="000000" w:themeColor="text1"/>
          <w:sz w:val="24"/>
          <w:highlight w:val="none"/>
          <w14:textFill>
            <w14:solidFill>
              <w14:schemeClr w14:val="tx1"/>
            </w14:solidFill>
          </w14:textFill>
        </w:rPr>
        <w:t>建议：为更好地完成本</w:t>
      </w:r>
      <w:r>
        <w:rPr>
          <w:rFonts w:hint="eastAsia" w:ascii="宋体" w:hAnsi="宋体"/>
          <w:color w:val="000000" w:themeColor="text1"/>
          <w:sz w:val="24"/>
          <w:highlight w:val="none"/>
          <w14:textFill>
            <w14:solidFill>
              <w14:schemeClr w14:val="tx1"/>
            </w14:solidFill>
          </w14:textFill>
        </w:rPr>
        <w:t>工程</w:t>
      </w:r>
      <w:r>
        <w:rPr>
          <w:rFonts w:ascii="宋体" w:hAnsi="宋体"/>
          <w:color w:val="000000" w:themeColor="text1"/>
          <w:sz w:val="24"/>
          <w:highlight w:val="none"/>
          <w14:textFill>
            <w14:solidFill>
              <w14:schemeClr w14:val="tx1"/>
            </w14:solidFill>
          </w14:textFill>
        </w:rPr>
        <w:t>的</w:t>
      </w:r>
      <w:r>
        <w:rPr>
          <w:rFonts w:hint="eastAsia" w:ascii="宋体" w:hAnsi="宋体"/>
          <w:color w:val="000000" w:themeColor="text1"/>
          <w:sz w:val="24"/>
          <w:highlight w:val="none"/>
          <w14:textFill>
            <w14:solidFill>
              <w14:schemeClr w14:val="tx1"/>
            </w14:solidFill>
          </w14:textFill>
        </w:rPr>
        <w:t>施工</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响应单位</w:t>
      </w:r>
      <w:r>
        <w:rPr>
          <w:rFonts w:ascii="宋体" w:hAnsi="宋体"/>
          <w:color w:val="000000" w:themeColor="text1"/>
          <w:sz w:val="24"/>
          <w:highlight w:val="none"/>
          <w14:textFill>
            <w14:solidFill>
              <w14:schemeClr w14:val="tx1"/>
            </w14:solidFill>
          </w14:textFill>
        </w:rPr>
        <w:t>可根据以往的经验，对本</w:t>
      </w:r>
      <w:r>
        <w:rPr>
          <w:rFonts w:hint="eastAsia" w:ascii="宋体" w:hAnsi="宋体"/>
          <w:color w:val="000000" w:themeColor="text1"/>
          <w:sz w:val="24"/>
          <w:highlight w:val="none"/>
          <w14:textFill>
            <w14:solidFill>
              <w14:schemeClr w14:val="tx1"/>
            </w14:solidFill>
          </w14:textFill>
        </w:rPr>
        <w:t>工程施工</w:t>
      </w:r>
      <w:r>
        <w:rPr>
          <w:rFonts w:ascii="宋体" w:hAnsi="宋体"/>
          <w:color w:val="000000" w:themeColor="text1"/>
          <w:sz w:val="24"/>
          <w:highlight w:val="none"/>
          <w14:textFill>
            <w14:solidFill>
              <w14:schemeClr w14:val="tx1"/>
            </w14:solidFill>
          </w14:textFill>
        </w:rPr>
        <w:t>工作提出建议。</w:t>
      </w:r>
    </w:p>
    <w:p w14:paraId="736B6B7B">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8.其他响应单位认为需要说明的事项。</w:t>
      </w:r>
    </w:p>
    <w:p w14:paraId="7B07535A">
      <w:pPr>
        <w:spacing w:line="360" w:lineRule="auto"/>
        <w:rPr>
          <w:color w:val="000000" w:themeColor="text1"/>
          <w:highlight w:val="none"/>
          <w14:textFill>
            <w14:solidFill>
              <w14:schemeClr w14:val="tx1"/>
            </w14:solidFill>
          </w14:textFill>
        </w:rPr>
      </w:pPr>
    </w:p>
    <w:p w14:paraId="6315A5B2">
      <w:pPr>
        <w:spacing w:line="360" w:lineRule="auto"/>
        <w:rPr>
          <w:color w:val="000000" w:themeColor="text1"/>
          <w:highlight w:val="none"/>
          <w14:textFill>
            <w14:solidFill>
              <w14:schemeClr w14:val="tx1"/>
            </w14:solidFill>
          </w14:textFill>
        </w:rPr>
      </w:pPr>
    </w:p>
    <w:p w14:paraId="32573A71">
      <w:pPr>
        <w:jc w:val="center"/>
        <w:rPr>
          <w:rFonts w:hint="eastAsia" w:ascii="宋体" w:hAnsi="宋体"/>
          <w:b/>
          <w:color w:val="000000" w:themeColor="text1"/>
          <w:spacing w:val="20"/>
          <w:sz w:val="32"/>
          <w:szCs w:val="32"/>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3909D7B5">
      <w:pPr>
        <w:jc w:val="center"/>
        <w:rPr>
          <w:rFonts w:ascii="宋体"/>
          <w:b/>
          <w:color w:val="000000" w:themeColor="text1"/>
          <w:spacing w:val="20"/>
          <w:sz w:val="32"/>
          <w:szCs w:val="32"/>
          <w:highlight w:val="none"/>
          <w14:textFill>
            <w14:solidFill>
              <w14:schemeClr w14:val="tx1"/>
            </w14:solidFill>
          </w14:textFill>
        </w:rPr>
      </w:pPr>
      <w:r>
        <w:rPr>
          <w:rFonts w:hint="eastAsia" w:ascii="宋体" w:hAnsi="宋体"/>
          <w:b/>
          <w:color w:val="000000" w:themeColor="text1"/>
          <w:spacing w:val="20"/>
          <w:sz w:val="32"/>
          <w:szCs w:val="32"/>
          <w:highlight w:val="none"/>
          <w14:textFill>
            <w14:solidFill>
              <w14:schemeClr w14:val="tx1"/>
            </w14:solidFill>
          </w14:textFill>
        </w:rPr>
        <w:t>承诺或其它优惠条件</w:t>
      </w:r>
    </w:p>
    <w:p w14:paraId="49A50DD9">
      <w:pPr>
        <w:jc w:val="center"/>
        <w:rPr>
          <w:color w:val="000000" w:themeColor="text1"/>
          <w:spacing w:val="20"/>
          <w:sz w:val="28"/>
          <w:szCs w:val="28"/>
          <w:highlight w:val="none"/>
          <w14:textFill>
            <w14:solidFill>
              <w14:schemeClr w14:val="tx1"/>
            </w14:solidFill>
          </w14:textFill>
        </w:rPr>
      </w:pPr>
      <w:r>
        <w:rPr>
          <w:rFonts w:hint="eastAsia"/>
          <w:color w:val="000000" w:themeColor="text1"/>
          <w:spacing w:val="20"/>
          <w:sz w:val="28"/>
          <w:szCs w:val="28"/>
          <w:highlight w:val="none"/>
          <w14:textFill>
            <w14:solidFill>
              <w14:schemeClr w14:val="tx1"/>
            </w14:solidFill>
          </w14:textFill>
        </w:rPr>
        <w:t>（需每页加盖公章）</w:t>
      </w:r>
    </w:p>
    <w:p w14:paraId="5C112887">
      <w:pPr>
        <w:spacing w:line="360" w:lineRule="auto"/>
        <w:rPr>
          <w:color w:val="000000" w:themeColor="text1"/>
          <w:highlight w:val="none"/>
          <w14:textFill>
            <w14:solidFill>
              <w14:schemeClr w14:val="tx1"/>
            </w14:solidFill>
          </w14:textFill>
        </w:rPr>
      </w:pPr>
    </w:p>
    <w:p w14:paraId="194CB610">
      <w:pPr>
        <w:spacing w:line="360" w:lineRule="auto"/>
        <w:rPr>
          <w:color w:val="000000" w:themeColor="text1"/>
          <w:highlight w:val="none"/>
          <w14:textFill>
            <w14:solidFill>
              <w14:schemeClr w14:val="tx1"/>
            </w14:solidFill>
          </w14:textFill>
        </w:rPr>
      </w:pPr>
    </w:p>
    <w:p w14:paraId="2EF13052">
      <w:pPr>
        <w:pStyle w:val="3"/>
        <w:spacing w:before="240" w:beforeLines="100" w:after="120" w:afterLines="50" w:line="360" w:lineRule="auto"/>
        <w:rPr>
          <w:rStyle w:val="46"/>
          <w:rFonts w:hint="eastAsia" w:ascii="Times New Roman" w:hAnsi="宋体" w:eastAsia="宋体"/>
          <w:b/>
          <w:bCs w:val="0"/>
          <w:color w:val="000000" w:themeColor="text1"/>
          <w:sz w:val="28"/>
          <w:szCs w:val="28"/>
          <w:highlight w:val="none"/>
          <w14:textFill>
            <w14:solidFill>
              <w14:schemeClr w14:val="tx1"/>
            </w14:solidFill>
          </w14:textFill>
        </w:rPr>
      </w:pPr>
      <w:bookmarkStart w:id="1687" w:name="_Toc284135598"/>
      <w:bookmarkStart w:id="1688" w:name="_Toc145499771"/>
      <w:r>
        <w:rPr>
          <w:rStyle w:val="46"/>
          <w:rFonts w:hint="eastAsia" w:ascii="Times New Roman" w:hAnsi="宋体" w:eastAsia="宋体"/>
          <w:b/>
          <w:bCs w:val="0"/>
          <w:color w:val="000000" w:themeColor="text1"/>
          <w:sz w:val="28"/>
          <w:szCs w:val="28"/>
          <w:highlight w:val="none"/>
          <w14:textFill>
            <w14:solidFill>
              <w14:schemeClr w14:val="tx1"/>
            </w14:solidFill>
          </w14:textFill>
        </w:rPr>
        <w:t>如提供的资金、技术等方面的支持、保障等其他承诺</w:t>
      </w:r>
    </w:p>
    <w:p w14:paraId="75D78F94">
      <w:pPr>
        <w:rPr>
          <w:color w:val="000000" w:themeColor="text1"/>
          <w:highlight w:val="none"/>
          <w14:textFill>
            <w14:solidFill>
              <w14:schemeClr w14:val="tx1"/>
            </w14:solidFill>
          </w14:textFill>
        </w:rPr>
      </w:pPr>
    </w:p>
    <w:p w14:paraId="49349066">
      <w:pPr>
        <w:rPr>
          <w:color w:val="000000" w:themeColor="text1"/>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0B59FD31">
      <w:pPr>
        <w:pStyle w:val="3"/>
        <w:spacing w:before="240" w:beforeLines="100" w:after="120" w:afterLines="50" w:line="360" w:lineRule="auto"/>
        <w:rPr>
          <w:rFonts w:hint="eastAsia" w:ascii="Times New Roman" w:hAnsi="宋体" w:eastAsia="宋体"/>
          <w:bCs w:val="0"/>
          <w:color w:val="000000" w:themeColor="text1"/>
          <w:sz w:val="28"/>
          <w:szCs w:val="28"/>
          <w:highlight w:val="none"/>
          <w14:textFill>
            <w14:solidFill>
              <w14:schemeClr w14:val="tx1"/>
            </w14:solidFill>
          </w14:textFill>
        </w:rPr>
      </w:pPr>
      <w:r>
        <w:rPr>
          <w:rStyle w:val="46"/>
          <w:rFonts w:ascii="Times New Roman" w:hAnsi="宋体" w:eastAsia="宋体"/>
          <w:b/>
          <w:bCs w:val="0"/>
          <w:color w:val="000000" w:themeColor="text1"/>
          <w:sz w:val="28"/>
          <w:szCs w:val="28"/>
          <w:highlight w:val="none"/>
          <w14:textFill>
            <w14:solidFill>
              <w14:schemeClr w14:val="tx1"/>
            </w14:solidFill>
          </w14:textFill>
        </w:rPr>
        <w:t>附件</w:t>
      </w:r>
      <w:bookmarkEnd w:id="1687"/>
      <w:bookmarkEnd w:id="1688"/>
      <w:r>
        <w:rPr>
          <w:rStyle w:val="46"/>
          <w:rFonts w:hint="eastAsia" w:ascii="Times New Roman" w:hAnsi="宋体" w:eastAsia="宋体"/>
          <w:b/>
          <w:bCs w:val="0"/>
          <w:color w:val="000000" w:themeColor="text1"/>
          <w:sz w:val="28"/>
          <w:szCs w:val="28"/>
          <w:highlight w:val="none"/>
          <w14:textFill>
            <w14:solidFill>
              <w14:schemeClr w14:val="tx1"/>
            </w14:solidFill>
          </w14:textFill>
        </w:rPr>
        <w:t>一:评审办法</w:t>
      </w:r>
    </w:p>
    <w:p w14:paraId="4BFAFA8B">
      <w:pPr>
        <w:spacing w:line="360" w:lineRule="auto"/>
        <w:jc w:val="center"/>
        <w:rPr>
          <w:rFonts w:hint="eastAsia" w:hAnsi="宋体"/>
          <w:b/>
          <w:color w:val="000000" w:themeColor="text1"/>
          <w:sz w:val="30"/>
          <w:szCs w:val="30"/>
          <w:highlight w:val="none"/>
          <w14:textFill>
            <w14:solidFill>
              <w14:schemeClr w14:val="tx1"/>
            </w14:solidFill>
          </w14:textFill>
        </w:rPr>
      </w:pPr>
      <w:r>
        <w:rPr>
          <w:rFonts w:hint="eastAsia" w:ascii="Times New Roman" w:hAnsi="宋体" w:eastAsia="宋体" w:cs="Times New Roman"/>
          <w:b/>
          <w:color w:val="000000" w:themeColor="text1"/>
          <w:sz w:val="30"/>
          <w:szCs w:val="30"/>
          <w:highlight w:val="none"/>
          <w:lang w:eastAsia="zh-CN"/>
          <w14:textFill>
            <w14:solidFill>
              <w14:schemeClr w14:val="tx1"/>
            </w14:solidFill>
          </w14:textFill>
        </w:rPr>
        <w:t>广西</w:t>
      </w:r>
      <w:r>
        <w:rPr>
          <w:rFonts w:hint="eastAsia" w:ascii="Times New Roman" w:hAnsi="宋体" w:eastAsia="宋体" w:cs="Times New Roman"/>
          <w:b/>
          <w:color w:val="000000" w:themeColor="text1"/>
          <w:sz w:val="30"/>
          <w:szCs w:val="30"/>
          <w:highlight w:val="none"/>
          <w:lang w:val="en-US" w:eastAsia="zh-CN"/>
          <w14:textFill>
            <w14:solidFill>
              <w14:schemeClr w14:val="tx1"/>
            </w14:solidFill>
          </w14:textFill>
        </w:rPr>
        <w:t>桂林项目</w:t>
      </w:r>
      <w:r>
        <w:rPr>
          <w:rFonts w:hint="eastAsia" w:ascii="Times New Roman" w:hAnsi="宋体" w:eastAsia="宋体" w:cs="Times New Roman"/>
          <w:b/>
          <w:color w:val="000000" w:themeColor="text1"/>
          <w:sz w:val="30"/>
          <w:szCs w:val="30"/>
          <w:highlight w:val="none"/>
          <w14:textFill>
            <w14:solidFill>
              <w14:schemeClr w14:val="tx1"/>
            </w14:solidFill>
          </w14:textFill>
        </w:rPr>
        <w:t>路面封层撒布施工劳务分包工程分</w:t>
      </w:r>
      <w:r>
        <w:rPr>
          <w:rFonts w:hint="eastAsia" w:hAnsi="宋体"/>
          <w:b/>
          <w:color w:val="000000" w:themeColor="text1"/>
          <w:sz w:val="30"/>
          <w:szCs w:val="30"/>
          <w:highlight w:val="none"/>
          <w14:textFill>
            <w14:solidFill>
              <w14:schemeClr w14:val="tx1"/>
            </w14:solidFill>
          </w14:textFill>
        </w:rPr>
        <w:t>包工程</w:t>
      </w:r>
    </w:p>
    <w:p w14:paraId="1652FACC">
      <w:pPr>
        <w:spacing w:line="360" w:lineRule="auto"/>
        <w:jc w:val="center"/>
        <w:rPr>
          <w:b/>
          <w:color w:val="000000" w:themeColor="text1"/>
          <w:sz w:val="30"/>
          <w:szCs w:val="30"/>
          <w:highlight w:val="none"/>
          <w14:textFill>
            <w14:solidFill>
              <w14:schemeClr w14:val="tx1"/>
            </w14:solidFill>
          </w14:textFill>
        </w:rPr>
      </w:pPr>
      <w:r>
        <w:rPr>
          <w:rFonts w:hAnsi="宋体"/>
          <w:b/>
          <w:color w:val="000000" w:themeColor="text1"/>
          <w:sz w:val="30"/>
          <w:szCs w:val="30"/>
          <w:highlight w:val="none"/>
          <w14:textFill>
            <w14:solidFill>
              <w14:schemeClr w14:val="tx1"/>
            </w14:solidFill>
          </w14:textFill>
        </w:rPr>
        <w:t>采购</w:t>
      </w:r>
      <w:r>
        <w:rPr>
          <w:rFonts w:hint="eastAsia" w:hAnsi="宋体"/>
          <w:b/>
          <w:color w:val="000000" w:themeColor="text1"/>
          <w:sz w:val="30"/>
          <w:szCs w:val="30"/>
          <w:highlight w:val="none"/>
          <w14:textFill>
            <w14:solidFill>
              <w14:schemeClr w14:val="tx1"/>
            </w14:solidFill>
          </w14:textFill>
        </w:rPr>
        <w:t>评审方法</w:t>
      </w:r>
    </w:p>
    <w:p w14:paraId="086C2E38">
      <w:pPr>
        <w:pStyle w:val="53"/>
        <w:spacing w:before="240" w:beforeLines="100" w:line="360" w:lineRule="auto"/>
        <w:jc w:val="both"/>
        <w:rPr>
          <w:rStyle w:val="46"/>
          <w:rFonts w:hint="eastAsia" w:ascii="Times New Roman" w:eastAsia="宋体" w:cs="Times New Roman"/>
          <w:b w:val="0"/>
          <w:bCs w:val="0"/>
          <w:color w:val="000000" w:themeColor="text1"/>
          <w:szCs w:val="24"/>
          <w:highlight w:val="none"/>
          <w14:textFill>
            <w14:solidFill>
              <w14:schemeClr w14:val="tx1"/>
            </w14:solidFill>
          </w14:textFill>
        </w:rPr>
      </w:pPr>
      <w:r>
        <w:rPr>
          <w:rStyle w:val="46"/>
          <w:rFonts w:ascii="Times New Roman" w:eastAsia="宋体" w:cs="Times New Roman"/>
          <w:b w:val="0"/>
          <w:bCs w:val="0"/>
          <w:color w:val="000000" w:themeColor="text1"/>
          <w:szCs w:val="24"/>
          <w:highlight w:val="none"/>
          <w14:textFill>
            <w14:solidFill>
              <w14:schemeClr w14:val="tx1"/>
            </w14:solidFill>
          </w14:textFill>
        </w:rPr>
        <w:t>1.</w:t>
      </w:r>
      <w:r>
        <w:rPr>
          <w:rStyle w:val="46"/>
          <w:rFonts w:ascii="Times New Roman" w:eastAsia="宋体" w:cs="Times New Roman"/>
          <w:b/>
          <w:bCs w:val="0"/>
          <w:color w:val="000000" w:themeColor="text1"/>
          <w:szCs w:val="24"/>
          <w:highlight w:val="none"/>
          <w14:textFill>
            <w14:solidFill>
              <w14:schemeClr w14:val="tx1"/>
            </w14:solidFill>
          </w14:textFill>
        </w:rPr>
        <w:t>总  则</w:t>
      </w:r>
    </w:p>
    <w:p w14:paraId="3935C01C">
      <w:pPr>
        <w:spacing w:line="360" w:lineRule="auto"/>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1.</w:t>
      </w:r>
      <w:r>
        <w:rPr>
          <w:rFonts w:hint="eastAsia"/>
          <w:b/>
          <w:color w:val="000000" w:themeColor="text1"/>
          <w:sz w:val="24"/>
          <w:highlight w:val="none"/>
          <w14:textFill>
            <w14:solidFill>
              <w14:schemeClr w14:val="tx1"/>
            </w14:solidFill>
          </w14:textFill>
        </w:rPr>
        <w:t>1定义</w:t>
      </w:r>
    </w:p>
    <w:p w14:paraId="5E17BAA0">
      <w:pPr>
        <w:spacing w:line="360" w:lineRule="auto"/>
        <w:ind w:left="1018" w:leftChars="199" w:hanging="600" w:hangingChars="250"/>
        <w:rPr>
          <w:rFonts w:hint="eastAsia" w:hAnsi="宋体"/>
          <w:color w:val="000000" w:themeColor="text1"/>
          <w:sz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t>1.</w:t>
      </w:r>
      <w:r>
        <w:rPr>
          <w:rFonts w:hint="eastAsia" w:hAnsi="宋体"/>
          <w:color w:val="000000" w:themeColor="text1"/>
          <w:sz w:val="24"/>
          <w:highlight w:val="none"/>
          <w14:textFill>
            <w14:solidFill>
              <w14:schemeClr w14:val="tx1"/>
            </w14:solidFill>
          </w14:textFill>
        </w:rPr>
        <w:t>1</w:t>
      </w:r>
      <w:r>
        <w:rPr>
          <w:rFonts w:hAnsi="宋体"/>
          <w:color w:val="000000" w:themeColor="text1"/>
          <w:sz w:val="24"/>
          <w:highlight w:val="none"/>
          <w14:textFill>
            <w14:solidFill>
              <w14:schemeClr w14:val="tx1"/>
            </w14:solidFill>
          </w14:textFill>
        </w:rPr>
        <w:t>.1</w:t>
      </w:r>
      <w:r>
        <w:rPr>
          <w:rFonts w:hint="eastAsia" w:hAnsi="宋体"/>
          <w:color w:val="000000" w:themeColor="text1"/>
          <w:sz w:val="24"/>
          <w:highlight w:val="none"/>
          <w14:textFill>
            <w14:solidFill>
              <w14:schemeClr w14:val="tx1"/>
            </w14:solidFill>
          </w14:textFill>
        </w:rPr>
        <w:t>综合评分法：将响应单位报送的响应文件中的企业资质资料、技术方案、经济报价等，按照不同的权重进行评分，汇总得出综合分值的办法。</w:t>
      </w:r>
    </w:p>
    <w:p w14:paraId="4F5F7EC4">
      <w:pPr>
        <w:spacing w:line="360" w:lineRule="auto"/>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1.</w:t>
      </w:r>
      <w:r>
        <w:rPr>
          <w:rFonts w:hint="eastAsia"/>
          <w:b/>
          <w:color w:val="000000" w:themeColor="text1"/>
          <w:sz w:val="24"/>
          <w:highlight w:val="none"/>
          <w14:textFill>
            <w14:solidFill>
              <w14:schemeClr w14:val="tx1"/>
            </w14:solidFill>
          </w14:textFill>
        </w:rPr>
        <w:t>2</w:t>
      </w:r>
      <w:r>
        <w:rPr>
          <w:b/>
          <w:color w:val="000000" w:themeColor="text1"/>
          <w:sz w:val="24"/>
          <w:highlight w:val="none"/>
          <w14:textFill>
            <w14:solidFill>
              <w14:schemeClr w14:val="tx1"/>
            </w14:solidFill>
          </w14:textFill>
        </w:rPr>
        <w:t>适用范围</w:t>
      </w:r>
    </w:p>
    <w:p w14:paraId="1D8EFB99">
      <w:pPr>
        <w:spacing w:line="360" w:lineRule="auto"/>
        <w:ind w:left="1018" w:leftChars="199" w:hanging="600" w:hangingChars="250"/>
        <w:rPr>
          <w:rFonts w:hint="eastAsia" w:hAnsi="宋体"/>
          <w:color w:val="000000" w:themeColor="text1"/>
          <w:sz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t>1.2.1本评审方法仅适用于</w:t>
      </w:r>
      <w:r>
        <w:rPr>
          <w:rFonts w:hint="eastAsia" w:hAnsi="宋体"/>
          <w:color w:val="000000" w:themeColor="text1"/>
          <w:sz w:val="24"/>
          <w:highlight w:val="none"/>
          <w:u w:val="single"/>
          <w14:textFill>
            <w14:solidFill>
              <w14:schemeClr w14:val="tx1"/>
            </w14:solidFill>
          </w14:textFill>
        </w:rPr>
        <w:t>中建路桥集团有限公司</w:t>
      </w:r>
      <w:r>
        <w:rPr>
          <w:rFonts w:hint="eastAsia" w:ascii="Times New Roman" w:hAnsi="宋体" w:eastAsia="宋体" w:cs="Times New Roman"/>
          <w:color w:val="000000" w:themeColor="text1"/>
          <w:sz w:val="24"/>
          <w:highlight w:val="none"/>
          <w:u w:val="single"/>
          <w:lang w:eastAsia="zh-CN"/>
          <w14:textFill>
            <w14:solidFill>
              <w14:schemeClr w14:val="tx1"/>
            </w14:solidFill>
          </w14:textFill>
        </w:rPr>
        <w:t>广西</w:t>
      </w:r>
      <w:r>
        <w:rPr>
          <w:rFonts w:hint="eastAsia" w:ascii="Times New Roman" w:hAnsi="宋体" w:eastAsia="宋体" w:cs="Times New Roman"/>
          <w:color w:val="000000" w:themeColor="text1"/>
          <w:sz w:val="24"/>
          <w:highlight w:val="none"/>
          <w:u w:val="single"/>
          <w:lang w:val="en-US" w:eastAsia="zh-CN"/>
          <w14:textFill>
            <w14:solidFill>
              <w14:schemeClr w14:val="tx1"/>
            </w14:solidFill>
          </w14:textFill>
        </w:rPr>
        <w:t>桂林项目</w:t>
      </w:r>
      <w:r>
        <w:rPr>
          <w:rFonts w:hint="eastAsia" w:ascii="Times New Roman" w:hAnsi="宋体" w:eastAsia="宋体" w:cs="Times New Roman"/>
          <w:color w:val="000000" w:themeColor="text1"/>
          <w:sz w:val="24"/>
          <w:highlight w:val="none"/>
          <w:u w:val="single"/>
          <w14:textFill>
            <w14:solidFill>
              <w14:schemeClr w14:val="tx1"/>
            </w14:solidFill>
          </w14:textFill>
        </w:rPr>
        <w:t>路面封层撒布施工劳务分</w:t>
      </w:r>
      <w:r>
        <w:rPr>
          <w:rFonts w:hint="eastAsia" w:hAnsi="宋体"/>
          <w:color w:val="000000" w:themeColor="text1"/>
          <w:sz w:val="24"/>
          <w:highlight w:val="none"/>
          <w:u w:val="single"/>
          <w14:textFill>
            <w14:solidFill>
              <w14:schemeClr w14:val="tx1"/>
            </w14:solidFill>
          </w14:textFill>
        </w:rPr>
        <w:t>包工程</w:t>
      </w:r>
      <w:r>
        <w:rPr>
          <w:rFonts w:hAnsi="宋体"/>
          <w:color w:val="000000" w:themeColor="text1"/>
          <w:sz w:val="24"/>
          <w:highlight w:val="none"/>
          <w14:textFill>
            <w14:solidFill>
              <w14:schemeClr w14:val="tx1"/>
            </w14:solidFill>
          </w14:textFill>
        </w:rPr>
        <w:t>的采购评</w:t>
      </w:r>
      <w:r>
        <w:rPr>
          <w:rFonts w:hint="eastAsia" w:hAnsi="宋体"/>
          <w:color w:val="000000" w:themeColor="text1"/>
          <w:sz w:val="24"/>
          <w:highlight w:val="none"/>
          <w14:textFill>
            <w14:solidFill>
              <w14:schemeClr w14:val="tx1"/>
            </w14:solidFill>
          </w14:textFill>
        </w:rPr>
        <w:t>审</w:t>
      </w:r>
      <w:r>
        <w:rPr>
          <w:rFonts w:hAnsi="宋体"/>
          <w:color w:val="000000" w:themeColor="text1"/>
          <w:sz w:val="24"/>
          <w:highlight w:val="none"/>
          <w14:textFill>
            <w14:solidFill>
              <w14:schemeClr w14:val="tx1"/>
            </w14:solidFill>
          </w14:textFill>
        </w:rPr>
        <w:t>活动。</w:t>
      </w:r>
    </w:p>
    <w:p w14:paraId="1156E09F">
      <w:pPr>
        <w:spacing w:line="360" w:lineRule="auto"/>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1.</w:t>
      </w:r>
      <w:r>
        <w:rPr>
          <w:rFonts w:hint="eastAsia"/>
          <w:b/>
          <w:color w:val="000000" w:themeColor="text1"/>
          <w:sz w:val="24"/>
          <w:highlight w:val="none"/>
          <w14:textFill>
            <w14:solidFill>
              <w14:schemeClr w14:val="tx1"/>
            </w14:solidFill>
          </w14:textFill>
        </w:rPr>
        <w:t>3</w:t>
      </w:r>
      <w:r>
        <w:rPr>
          <w:b/>
          <w:color w:val="000000" w:themeColor="text1"/>
          <w:sz w:val="24"/>
          <w:highlight w:val="none"/>
          <w14:textFill>
            <w14:solidFill>
              <w14:schemeClr w14:val="tx1"/>
            </w14:solidFill>
          </w14:textFill>
        </w:rPr>
        <w:t>与采购文件的关系</w:t>
      </w:r>
    </w:p>
    <w:p w14:paraId="4CF3E48A">
      <w:pPr>
        <w:spacing w:line="360" w:lineRule="auto"/>
        <w:ind w:left="1132" w:leftChars="200" w:hanging="712" w:hangingChars="297"/>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3</w:t>
      </w:r>
      <w:r>
        <w:rPr>
          <w:color w:val="000000" w:themeColor="text1"/>
          <w:sz w:val="24"/>
          <w:highlight w:val="none"/>
          <w14:textFill>
            <w14:solidFill>
              <w14:schemeClr w14:val="tx1"/>
            </w14:solidFill>
          </w14:textFill>
        </w:rPr>
        <w:t>.1本评审方法是本工程采购文件的组成部分之一。</w:t>
      </w:r>
    </w:p>
    <w:p w14:paraId="4393657D">
      <w:pPr>
        <w:spacing w:line="360" w:lineRule="auto"/>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1.</w:t>
      </w:r>
      <w:r>
        <w:rPr>
          <w:rFonts w:hint="eastAsia"/>
          <w:b/>
          <w:color w:val="000000" w:themeColor="text1"/>
          <w:sz w:val="24"/>
          <w:highlight w:val="none"/>
          <w14:textFill>
            <w14:solidFill>
              <w14:schemeClr w14:val="tx1"/>
            </w14:solidFill>
          </w14:textFill>
        </w:rPr>
        <w:t>4</w:t>
      </w:r>
      <w:r>
        <w:rPr>
          <w:b/>
          <w:color w:val="000000" w:themeColor="text1"/>
          <w:sz w:val="24"/>
          <w:highlight w:val="none"/>
          <w14:textFill>
            <w14:solidFill>
              <w14:schemeClr w14:val="tx1"/>
            </w14:solidFill>
          </w14:textFill>
        </w:rPr>
        <w:t>评审原则</w:t>
      </w:r>
    </w:p>
    <w:p w14:paraId="08A940B5">
      <w:pPr>
        <w:spacing w:line="360" w:lineRule="auto"/>
        <w:ind w:left="1132" w:leftChars="200" w:hanging="712" w:hangingChars="297"/>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4</w:t>
      </w:r>
      <w:r>
        <w:rPr>
          <w:color w:val="000000" w:themeColor="text1"/>
          <w:sz w:val="24"/>
          <w:highlight w:val="none"/>
          <w14:textFill>
            <w14:solidFill>
              <w14:schemeClr w14:val="tx1"/>
            </w14:solidFill>
          </w14:textFill>
        </w:rPr>
        <w:t>.1评审工作必须遵循公平、公正、科学、择优的原则。</w:t>
      </w:r>
    </w:p>
    <w:p w14:paraId="6024207E">
      <w:pPr>
        <w:spacing w:line="360" w:lineRule="auto"/>
        <w:ind w:left="1132" w:leftChars="200" w:hanging="712" w:hangingChars="297"/>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4</w:t>
      </w:r>
      <w:r>
        <w:rPr>
          <w:color w:val="000000" w:themeColor="text1"/>
          <w:sz w:val="24"/>
          <w:highlight w:val="none"/>
          <w14:textFill>
            <w14:solidFill>
              <w14:schemeClr w14:val="tx1"/>
            </w14:solidFill>
          </w14:textFill>
        </w:rPr>
        <w:t>.2依法评审、严格保密。</w:t>
      </w:r>
    </w:p>
    <w:p w14:paraId="64FF5936">
      <w:pPr>
        <w:spacing w:line="360" w:lineRule="auto"/>
        <w:ind w:left="1132" w:leftChars="200" w:hanging="712" w:hangingChars="297"/>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4</w:t>
      </w:r>
      <w:r>
        <w:rPr>
          <w:color w:val="000000" w:themeColor="text1"/>
          <w:sz w:val="24"/>
          <w:highlight w:val="none"/>
          <w14:textFill>
            <w14:solidFill>
              <w14:schemeClr w14:val="tx1"/>
            </w14:solidFill>
          </w14:textFill>
        </w:rPr>
        <w:t>.3反对不正当的竞争。</w:t>
      </w:r>
    </w:p>
    <w:p w14:paraId="330E6BD9">
      <w:pPr>
        <w:spacing w:line="360" w:lineRule="auto"/>
        <w:ind w:left="1132" w:leftChars="200" w:hanging="712" w:hangingChars="297"/>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4</w:t>
      </w:r>
      <w:r>
        <w:rPr>
          <w:color w:val="000000" w:themeColor="text1"/>
          <w:sz w:val="24"/>
          <w:highlight w:val="none"/>
          <w14:textFill>
            <w14:solidFill>
              <w14:schemeClr w14:val="tx1"/>
            </w14:solidFill>
          </w14:textFill>
        </w:rPr>
        <w:t>.4定性的结论由</w:t>
      </w:r>
      <w:r>
        <w:rPr>
          <w:rFonts w:hint="eastAsia"/>
          <w:color w:val="000000" w:themeColor="text1"/>
          <w:sz w:val="24"/>
          <w:highlight w:val="none"/>
          <w14:textFill>
            <w14:solidFill>
              <w14:schemeClr w14:val="tx1"/>
            </w14:solidFill>
          </w14:textFill>
        </w:rPr>
        <w:t>采购小组</w:t>
      </w:r>
      <w:r>
        <w:rPr>
          <w:color w:val="000000" w:themeColor="text1"/>
          <w:sz w:val="24"/>
          <w:highlight w:val="none"/>
          <w14:textFill>
            <w14:solidFill>
              <w14:schemeClr w14:val="tx1"/>
            </w14:solidFill>
          </w14:textFill>
        </w:rPr>
        <w:t>成员按照少数服从多数的原则决定。</w:t>
      </w:r>
    </w:p>
    <w:p w14:paraId="4B4C27A4">
      <w:pPr>
        <w:pStyle w:val="53"/>
        <w:spacing w:before="0" w:beforeLines="0" w:line="360" w:lineRule="auto"/>
        <w:jc w:val="both"/>
        <w:rPr>
          <w:rFonts w:ascii="Times New Roman" w:eastAsia="宋体" w:cs="Times New Roman"/>
          <w:bCs w:val="0"/>
          <w:color w:val="000000" w:themeColor="text1"/>
          <w:szCs w:val="24"/>
          <w:highlight w:val="none"/>
          <w14:textFill>
            <w14:solidFill>
              <w14:schemeClr w14:val="tx1"/>
            </w14:solidFill>
          </w14:textFill>
        </w:rPr>
      </w:pPr>
      <w:r>
        <w:rPr>
          <w:rStyle w:val="46"/>
          <w:rFonts w:hint="eastAsia" w:ascii="Times New Roman" w:eastAsia="宋体" w:cs="Times New Roman"/>
          <w:b/>
          <w:bCs w:val="0"/>
          <w:color w:val="000000" w:themeColor="text1"/>
          <w:szCs w:val="24"/>
          <w:highlight w:val="none"/>
          <w14:textFill>
            <w14:solidFill>
              <w14:schemeClr w14:val="tx1"/>
            </w14:solidFill>
          </w14:textFill>
        </w:rPr>
        <w:t>2</w:t>
      </w:r>
      <w:r>
        <w:rPr>
          <w:rStyle w:val="46"/>
          <w:rFonts w:ascii="Times New Roman" w:eastAsia="宋体" w:cs="Times New Roman"/>
          <w:b/>
          <w:bCs w:val="0"/>
          <w:color w:val="000000" w:themeColor="text1"/>
          <w:szCs w:val="24"/>
          <w:highlight w:val="none"/>
          <w14:textFill>
            <w14:solidFill>
              <w14:schemeClr w14:val="tx1"/>
            </w14:solidFill>
          </w14:textFill>
        </w:rPr>
        <w:t>.评审内容及方法</w:t>
      </w:r>
    </w:p>
    <w:p w14:paraId="4399A72E">
      <w:pPr>
        <w:spacing w:line="360" w:lineRule="auto"/>
        <w:ind w:left="592" w:leftChars="1" w:hanging="590" w:hangingChars="245"/>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w:t>
      </w:r>
      <w:r>
        <w:rPr>
          <w:b/>
          <w:color w:val="000000" w:themeColor="text1"/>
          <w:sz w:val="24"/>
          <w:highlight w:val="none"/>
          <w14:textFill>
            <w14:solidFill>
              <w14:schemeClr w14:val="tx1"/>
            </w14:solidFill>
          </w14:textFill>
        </w:rPr>
        <w:t>.</w:t>
      </w:r>
      <w:r>
        <w:rPr>
          <w:rFonts w:hint="eastAsia"/>
          <w:b/>
          <w:color w:val="000000" w:themeColor="text1"/>
          <w:sz w:val="24"/>
          <w:highlight w:val="none"/>
          <w14:textFill>
            <w14:solidFill>
              <w14:schemeClr w14:val="tx1"/>
            </w14:solidFill>
          </w14:textFill>
        </w:rPr>
        <w:t>1</w:t>
      </w:r>
      <w:r>
        <w:rPr>
          <w:b/>
          <w:color w:val="000000" w:themeColor="text1"/>
          <w:sz w:val="24"/>
          <w:highlight w:val="none"/>
          <w14:textFill>
            <w14:solidFill>
              <w14:schemeClr w14:val="tx1"/>
            </w14:solidFill>
          </w14:textFill>
        </w:rPr>
        <w:t>.</w:t>
      </w:r>
      <w:r>
        <w:rPr>
          <w:rFonts w:hint="eastAsia"/>
          <w:b/>
          <w:color w:val="000000" w:themeColor="text1"/>
          <w:sz w:val="24"/>
          <w:highlight w:val="none"/>
          <w14:textFill>
            <w14:solidFill>
              <w14:schemeClr w14:val="tx1"/>
            </w14:solidFill>
          </w14:textFill>
        </w:rPr>
        <w:t>商务评审</w:t>
      </w:r>
    </w:p>
    <w:p w14:paraId="78AF5910">
      <w:pPr>
        <w:spacing w:line="360" w:lineRule="auto"/>
        <w:ind w:left="1132" w:leftChars="200" w:hanging="712" w:hangingChars="297"/>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2.1.1企业资质是否符合采购分包工程要求，上报资料是否齐全、真实、有效。</w:t>
      </w:r>
    </w:p>
    <w:p w14:paraId="79F8B458">
      <w:pPr>
        <w:spacing w:line="360" w:lineRule="auto"/>
        <w:ind w:left="1132" w:leftChars="200" w:hanging="712" w:hangingChars="297"/>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2.1.2上报拟定管理人员资料是否齐全、真实、有效。</w:t>
      </w:r>
    </w:p>
    <w:p w14:paraId="552B85C9">
      <w:pPr>
        <w:spacing w:line="360" w:lineRule="auto"/>
        <w:ind w:left="1132" w:leftChars="200" w:hanging="712" w:hangingChars="297"/>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2.1.3所报企业施工业绩是否真实等。</w:t>
      </w:r>
    </w:p>
    <w:p w14:paraId="01B84691">
      <w:pPr>
        <w:spacing w:line="360" w:lineRule="auto"/>
        <w:ind w:left="1132" w:leftChars="200" w:hanging="712" w:hangingChars="297"/>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2.1.4</w:t>
      </w:r>
      <w:r>
        <w:rPr>
          <w:color w:val="000000" w:themeColor="text1"/>
          <w:sz w:val="24"/>
          <w:highlight w:val="none"/>
          <w14:textFill>
            <w14:solidFill>
              <w14:schemeClr w14:val="tx1"/>
            </w14:solidFill>
          </w14:textFill>
        </w:rPr>
        <w:t>详细评分指标见附表</w:t>
      </w:r>
      <w:r>
        <w:rPr>
          <w:rFonts w:hint="eastAsia"/>
          <w:color w:val="000000" w:themeColor="text1"/>
          <w:sz w:val="24"/>
          <w:highlight w:val="none"/>
          <w14:textFill>
            <w14:solidFill>
              <w14:schemeClr w14:val="tx1"/>
            </w14:solidFill>
          </w14:textFill>
        </w:rPr>
        <w:t>1</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商务资料</w:t>
      </w:r>
      <w:r>
        <w:rPr>
          <w:color w:val="000000" w:themeColor="text1"/>
          <w:sz w:val="24"/>
          <w:highlight w:val="none"/>
          <w14:textFill>
            <w14:solidFill>
              <w14:schemeClr w14:val="tx1"/>
            </w14:solidFill>
          </w14:textFill>
        </w:rPr>
        <w:t>评分表》。</w:t>
      </w:r>
    </w:p>
    <w:p w14:paraId="1577D449">
      <w:pPr>
        <w:spacing w:line="360" w:lineRule="auto"/>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2.2</w:t>
      </w:r>
      <w:r>
        <w:rPr>
          <w:b/>
          <w:color w:val="000000" w:themeColor="text1"/>
          <w:sz w:val="24"/>
          <w:highlight w:val="none"/>
          <w14:textFill>
            <w14:solidFill>
              <w14:schemeClr w14:val="tx1"/>
            </w14:solidFill>
          </w14:textFill>
        </w:rPr>
        <w:t>技术评审</w:t>
      </w:r>
    </w:p>
    <w:p w14:paraId="3117C36C">
      <w:pPr>
        <w:spacing w:line="360" w:lineRule="auto"/>
        <w:ind w:left="1018" w:leftChars="199" w:hanging="600" w:hangingChars="25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2.2.1评审施工方案是否全面且针对性强，难点、重点把握准确，措施可靠、实用</w:t>
      </w:r>
      <w:r>
        <w:rPr>
          <w:rFonts w:hint="eastAsia"/>
          <w:color w:val="000000" w:themeColor="text1"/>
          <w:sz w:val="24"/>
          <w:highlight w:val="none"/>
          <w14:textFill>
            <w14:solidFill>
              <w14:schemeClr w14:val="tx1"/>
            </w14:solidFill>
          </w14:textFill>
        </w:rPr>
        <w:t>；尤其对重点难点问题的实施方案是否经济、合理、可行</w:t>
      </w:r>
      <w:r>
        <w:rPr>
          <w:color w:val="000000" w:themeColor="text1"/>
          <w:sz w:val="24"/>
          <w:highlight w:val="none"/>
          <w14:textFill>
            <w14:solidFill>
              <w14:schemeClr w14:val="tx1"/>
            </w14:solidFill>
          </w14:textFill>
        </w:rPr>
        <w:t>。</w:t>
      </w:r>
    </w:p>
    <w:p w14:paraId="77B0DAFA">
      <w:pPr>
        <w:spacing w:line="360" w:lineRule="auto"/>
        <w:ind w:left="1018" w:leftChars="199" w:hanging="600" w:hangingChars="25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2.2.</w:t>
      </w:r>
      <w:r>
        <w:rPr>
          <w:rFonts w:hint="eastAsia"/>
          <w:color w:val="000000" w:themeColor="text1"/>
          <w:sz w:val="24"/>
          <w:highlight w:val="none"/>
          <w14:textFill>
            <w14:solidFill>
              <w14:schemeClr w14:val="tx1"/>
            </w14:solidFill>
          </w14:textFill>
        </w:rPr>
        <w:t>2</w:t>
      </w:r>
      <w:r>
        <w:rPr>
          <w:color w:val="000000" w:themeColor="text1"/>
          <w:sz w:val="24"/>
          <w:highlight w:val="none"/>
          <w14:textFill>
            <w14:solidFill>
              <w14:schemeClr w14:val="tx1"/>
            </w14:solidFill>
          </w14:textFill>
        </w:rPr>
        <w:t>评审施工进度计划及保证措施是否满足合同工期，保证措施、补救措施齐备合理。</w:t>
      </w:r>
    </w:p>
    <w:p w14:paraId="56CD935E">
      <w:pPr>
        <w:spacing w:line="360" w:lineRule="auto"/>
        <w:ind w:left="1018" w:leftChars="199" w:hanging="600" w:hangingChars="25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2.2.</w:t>
      </w:r>
      <w:r>
        <w:rPr>
          <w:rFonts w:hint="eastAsia"/>
          <w:color w:val="000000" w:themeColor="text1"/>
          <w:sz w:val="24"/>
          <w:highlight w:val="none"/>
          <w14:textFill>
            <w14:solidFill>
              <w14:schemeClr w14:val="tx1"/>
            </w14:solidFill>
          </w14:textFill>
        </w:rPr>
        <w:t>3</w:t>
      </w:r>
      <w:r>
        <w:rPr>
          <w:color w:val="000000" w:themeColor="text1"/>
          <w:sz w:val="24"/>
          <w:highlight w:val="none"/>
          <w14:textFill>
            <w14:solidFill>
              <w14:schemeClr w14:val="tx1"/>
            </w14:solidFill>
          </w14:textFill>
        </w:rPr>
        <w:t>评审工程质量保证措施、过程控制措施、质量事故处理应急预案是否完整、可</w:t>
      </w:r>
      <w:r>
        <w:rPr>
          <w:rFonts w:hint="eastAsia"/>
          <w:color w:val="000000" w:themeColor="text1"/>
          <w:sz w:val="24"/>
          <w:highlight w:val="none"/>
          <w14:textFill>
            <w14:solidFill>
              <w14:schemeClr w14:val="tx1"/>
            </w14:solidFill>
          </w14:textFill>
        </w:rPr>
        <w:t>行</w:t>
      </w:r>
      <w:r>
        <w:rPr>
          <w:color w:val="000000" w:themeColor="text1"/>
          <w:sz w:val="24"/>
          <w:highlight w:val="none"/>
          <w14:textFill>
            <w14:solidFill>
              <w14:schemeClr w14:val="tx1"/>
            </w14:solidFill>
          </w14:textFill>
        </w:rPr>
        <w:t>、有效；质量目标是否明确并符合项目实际和</w:t>
      </w:r>
      <w:r>
        <w:rPr>
          <w:rFonts w:hint="eastAsia"/>
          <w:color w:val="000000" w:themeColor="text1"/>
          <w:sz w:val="24"/>
          <w:highlight w:val="none"/>
          <w14:textFill>
            <w14:solidFill>
              <w14:schemeClr w14:val="tx1"/>
            </w14:solidFill>
          </w14:textFill>
        </w:rPr>
        <w:t>采购人</w:t>
      </w:r>
      <w:r>
        <w:rPr>
          <w:color w:val="000000" w:themeColor="text1"/>
          <w:sz w:val="24"/>
          <w:highlight w:val="none"/>
          <w14:textFill>
            <w14:solidFill>
              <w14:schemeClr w14:val="tx1"/>
            </w14:solidFill>
          </w14:textFill>
        </w:rPr>
        <w:t>要求，能否保证工程按合同要求的质量标准组织实施</w:t>
      </w:r>
      <w:r>
        <w:rPr>
          <w:rFonts w:hint="eastAsia"/>
          <w:color w:val="000000" w:themeColor="text1"/>
          <w:sz w:val="24"/>
          <w:highlight w:val="none"/>
          <w14:textFill>
            <w14:solidFill>
              <w14:schemeClr w14:val="tx1"/>
            </w14:solidFill>
          </w14:textFill>
        </w:rPr>
        <w:t>。</w:t>
      </w:r>
    </w:p>
    <w:p w14:paraId="279B6261">
      <w:pPr>
        <w:spacing w:line="360" w:lineRule="auto"/>
        <w:ind w:left="1018" w:leftChars="199" w:hanging="600" w:hangingChars="25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2.2.</w:t>
      </w:r>
      <w:r>
        <w:rPr>
          <w:rFonts w:hint="eastAsia"/>
          <w:color w:val="000000" w:themeColor="text1"/>
          <w:sz w:val="24"/>
          <w:highlight w:val="none"/>
          <w14:textFill>
            <w14:solidFill>
              <w14:schemeClr w14:val="tx1"/>
            </w14:solidFill>
          </w14:textFill>
        </w:rPr>
        <w:t>4</w:t>
      </w:r>
      <w:r>
        <w:rPr>
          <w:color w:val="000000" w:themeColor="text1"/>
          <w:sz w:val="24"/>
          <w:highlight w:val="none"/>
          <w14:textFill>
            <w14:solidFill>
              <w14:schemeClr w14:val="tx1"/>
            </w14:solidFill>
          </w14:textFill>
        </w:rPr>
        <w:t>评审投入的机械设备是否齐全、符合要求，配置是否合理，能否满足本工程合同中质量目标、工期目标的要求。</w:t>
      </w:r>
    </w:p>
    <w:p w14:paraId="0F19E5EE">
      <w:pPr>
        <w:spacing w:line="360" w:lineRule="auto"/>
        <w:ind w:left="1018" w:leftChars="199" w:hanging="600" w:hangingChars="25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2.2.</w:t>
      </w:r>
      <w:r>
        <w:rPr>
          <w:rFonts w:hint="eastAsia"/>
          <w:color w:val="000000" w:themeColor="text1"/>
          <w:sz w:val="24"/>
          <w:highlight w:val="none"/>
          <w14:textFill>
            <w14:solidFill>
              <w14:schemeClr w14:val="tx1"/>
            </w14:solidFill>
          </w14:textFill>
        </w:rPr>
        <w:t>5</w:t>
      </w:r>
      <w:r>
        <w:rPr>
          <w:color w:val="000000" w:themeColor="text1"/>
          <w:sz w:val="24"/>
          <w:highlight w:val="none"/>
          <w14:textFill>
            <w14:solidFill>
              <w14:schemeClr w14:val="tx1"/>
            </w14:solidFill>
          </w14:textFill>
        </w:rPr>
        <w:t>评审投入的劳动力资源充裕、用工计划完整，材料使用计划合理，能够满足采购要求。</w:t>
      </w:r>
    </w:p>
    <w:p w14:paraId="6F9681E6">
      <w:pPr>
        <w:spacing w:line="360" w:lineRule="auto"/>
        <w:ind w:left="1018" w:leftChars="199" w:hanging="600" w:hangingChars="25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2.2.</w:t>
      </w:r>
      <w:r>
        <w:rPr>
          <w:rFonts w:hint="eastAsia"/>
          <w:color w:val="000000" w:themeColor="text1"/>
          <w:sz w:val="24"/>
          <w:highlight w:val="none"/>
          <w14:textFill>
            <w14:solidFill>
              <w14:schemeClr w14:val="tx1"/>
            </w14:solidFill>
          </w14:textFill>
        </w:rPr>
        <w:t>6</w:t>
      </w:r>
      <w:r>
        <w:rPr>
          <w:color w:val="000000" w:themeColor="text1"/>
          <w:sz w:val="24"/>
          <w:highlight w:val="none"/>
          <w14:textFill>
            <w14:solidFill>
              <w14:schemeClr w14:val="tx1"/>
            </w14:solidFill>
          </w14:textFill>
        </w:rPr>
        <w:t>评审现场组织机构是否合理，是否齐全高效，职责是否明确合理</w:t>
      </w:r>
      <w:r>
        <w:rPr>
          <w:rFonts w:hint="eastAsia"/>
          <w:color w:val="000000" w:themeColor="text1"/>
          <w:sz w:val="24"/>
          <w:highlight w:val="none"/>
          <w14:textFill>
            <w14:solidFill>
              <w14:schemeClr w14:val="tx1"/>
            </w14:solidFill>
          </w14:textFill>
        </w:rPr>
        <w:t>等</w:t>
      </w:r>
      <w:r>
        <w:rPr>
          <w:color w:val="000000" w:themeColor="text1"/>
          <w:sz w:val="24"/>
          <w:highlight w:val="none"/>
          <w14:textFill>
            <w14:solidFill>
              <w14:schemeClr w14:val="tx1"/>
            </w14:solidFill>
          </w14:textFill>
        </w:rPr>
        <w:t>。</w:t>
      </w:r>
    </w:p>
    <w:p w14:paraId="7C02355C">
      <w:pPr>
        <w:spacing w:line="360" w:lineRule="auto"/>
        <w:ind w:left="1018" w:leftChars="199" w:hanging="600" w:hanging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2.2.7</w:t>
      </w:r>
      <w:r>
        <w:rPr>
          <w:rFonts w:hAnsi="宋体"/>
          <w:color w:val="000000" w:themeColor="text1"/>
          <w:sz w:val="24"/>
          <w:highlight w:val="none"/>
          <w14:textFill>
            <w14:solidFill>
              <w14:schemeClr w14:val="tx1"/>
            </w14:solidFill>
          </w14:textFill>
        </w:rPr>
        <w:t>详细评分指标见附表</w:t>
      </w:r>
      <w:r>
        <w:rPr>
          <w:rFonts w:hint="eastAsia" w:hAnsi="宋体"/>
          <w:color w:val="000000" w:themeColor="text1"/>
          <w:sz w:val="24"/>
          <w:highlight w:val="none"/>
          <w14:textFill>
            <w14:solidFill>
              <w14:schemeClr w14:val="tx1"/>
            </w14:solidFill>
          </w14:textFill>
        </w:rPr>
        <w:t>2</w:t>
      </w:r>
      <w:r>
        <w:rPr>
          <w:rFonts w:hAnsi="宋体"/>
          <w:color w:val="000000" w:themeColor="text1"/>
          <w:sz w:val="24"/>
          <w:highlight w:val="none"/>
          <w14:textFill>
            <w14:solidFill>
              <w14:schemeClr w14:val="tx1"/>
            </w14:solidFill>
          </w14:textFill>
        </w:rPr>
        <w:t>《</w:t>
      </w:r>
      <w:r>
        <w:rPr>
          <w:rFonts w:hint="eastAsia" w:hAnsi="宋体"/>
          <w:color w:val="000000" w:themeColor="text1"/>
          <w:sz w:val="24"/>
          <w:highlight w:val="none"/>
          <w14:textFill>
            <w14:solidFill>
              <w14:schemeClr w14:val="tx1"/>
            </w14:solidFill>
          </w14:textFill>
        </w:rPr>
        <w:t>施工技术方案</w:t>
      </w:r>
      <w:r>
        <w:rPr>
          <w:rFonts w:hAnsi="宋体"/>
          <w:color w:val="000000" w:themeColor="text1"/>
          <w:sz w:val="24"/>
          <w:highlight w:val="none"/>
          <w14:textFill>
            <w14:solidFill>
              <w14:schemeClr w14:val="tx1"/>
            </w14:solidFill>
          </w14:textFill>
        </w:rPr>
        <w:t>评分表》。</w:t>
      </w:r>
    </w:p>
    <w:p w14:paraId="7BC5FE55">
      <w:pPr>
        <w:spacing w:line="360" w:lineRule="auto"/>
        <w:ind w:left="582" w:leftChars="33" w:hanging="513" w:hangingChars="213"/>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w:t>
      </w:r>
      <w:r>
        <w:rPr>
          <w:b/>
          <w:color w:val="000000" w:themeColor="text1"/>
          <w:sz w:val="24"/>
          <w:highlight w:val="none"/>
          <w14:textFill>
            <w14:solidFill>
              <w14:schemeClr w14:val="tx1"/>
            </w14:solidFill>
          </w14:textFill>
        </w:rPr>
        <w:t>.3.经济评审</w:t>
      </w:r>
    </w:p>
    <w:p w14:paraId="75BB0314">
      <w:pPr>
        <w:spacing w:line="360" w:lineRule="auto"/>
        <w:ind w:left="1119" w:leftChars="247" w:hanging="600" w:hangingChars="25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2.3.1</w:t>
      </w:r>
      <w:r>
        <w:rPr>
          <w:rFonts w:hint="eastAsia"/>
          <w:color w:val="000000" w:themeColor="text1"/>
          <w:sz w:val="24"/>
          <w:highlight w:val="none"/>
          <w14:textFill>
            <w14:solidFill>
              <w14:schemeClr w14:val="tx1"/>
            </w14:solidFill>
          </w14:textFill>
        </w:rPr>
        <w:t>采购人</w:t>
      </w:r>
      <w:r>
        <w:rPr>
          <w:color w:val="000000" w:themeColor="text1"/>
          <w:sz w:val="24"/>
          <w:highlight w:val="none"/>
          <w14:textFill>
            <w14:solidFill>
              <w14:schemeClr w14:val="tx1"/>
            </w14:solidFill>
          </w14:textFill>
        </w:rPr>
        <w:t>评审</w:t>
      </w:r>
      <w:r>
        <w:rPr>
          <w:rFonts w:hint="eastAsia"/>
          <w:color w:val="000000" w:themeColor="text1"/>
          <w:sz w:val="24"/>
          <w:highlight w:val="none"/>
          <w14:textFill>
            <w14:solidFill>
              <w14:schemeClr w14:val="tx1"/>
            </w14:solidFill>
          </w14:textFill>
        </w:rPr>
        <w:t>小组按照上述</w:t>
      </w:r>
      <w:r>
        <w:rPr>
          <w:color w:val="000000" w:themeColor="text1"/>
          <w:sz w:val="24"/>
          <w:highlight w:val="none"/>
          <w14:textFill>
            <w14:solidFill>
              <w14:schemeClr w14:val="tx1"/>
            </w14:solidFill>
          </w14:textFill>
        </w:rPr>
        <w:t>要求对响应单位商务及技术文件进行评审</w:t>
      </w:r>
      <w:r>
        <w:rPr>
          <w:rFonts w:hint="eastAsia"/>
          <w:color w:val="000000" w:themeColor="text1"/>
          <w:sz w:val="24"/>
          <w:highlight w:val="none"/>
          <w14:textFill>
            <w14:solidFill>
              <w14:schemeClr w14:val="tx1"/>
            </w14:solidFill>
          </w14:textFill>
        </w:rPr>
        <w:t>，响应单位商务部分及技术部分打分均超过60分（百分制）、且报价最低的</w:t>
      </w:r>
      <w:r>
        <w:rPr>
          <w:rFonts w:hint="eastAsia"/>
          <w:color w:val="000000" w:themeColor="text1"/>
          <w:sz w:val="24"/>
          <w:highlight w:val="none"/>
          <w:lang w:val="en-US" w:eastAsia="zh-CN"/>
          <w14:textFill>
            <w14:solidFill>
              <w14:schemeClr w14:val="tx1"/>
            </w14:solidFill>
          </w14:textFill>
        </w:rPr>
        <w:t>3</w:t>
      </w:r>
      <w:r>
        <w:rPr>
          <w:rFonts w:hint="eastAsia"/>
          <w:color w:val="000000" w:themeColor="text1"/>
          <w:sz w:val="24"/>
          <w:highlight w:val="none"/>
          <w14:textFill>
            <w14:solidFill>
              <w14:schemeClr w14:val="tx1"/>
            </w14:solidFill>
          </w14:textFill>
        </w:rPr>
        <w:t>家响应单位，采购人将与之进行二次议价。</w:t>
      </w:r>
    </w:p>
    <w:p w14:paraId="22720E61">
      <w:pPr>
        <w:spacing w:line="360" w:lineRule="auto"/>
        <w:ind w:left="1119" w:leftChars="247" w:hanging="600" w:hanging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2.3.2各响应单位确认最终报价后，将按照以下步骤进行经济部分打分：</w:t>
      </w:r>
    </w:p>
    <w:p w14:paraId="0C9E5950">
      <w:pPr>
        <w:spacing w:line="360" w:lineRule="auto"/>
        <w:ind w:left="1059" w:leftChars="447" w:hanging="120" w:hangingChars="5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（1）确定评审基准价。</w:t>
      </w:r>
      <w:r>
        <w:rPr>
          <w:rFonts w:hint="eastAsia" w:hAnsi="宋体"/>
          <w:color w:val="000000" w:themeColor="text1"/>
          <w:sz w:val="24"/>
          <w:highlight w:val="none"/>
          <w14:textFill>
            <w14:solidFill>
              <w14:schemeClr w14:val="tx1"/>
            </w14:solidFill>
          </w14:textFill>
        </w:rPr>
        <w:t>最低报价作为评审基准价。</w:t>
      </w:r>
    </w:p>
    <w:p w14:paraId="31D4FCC6">
      <w:pPr>
        <w:spacing w:line="360" w:lineRule="auto"/>
        <w:ind w:left="1059" w:leftChars="447" w:hanging="120" w:hangingChars="5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w:t>
      </w:r>
      <w:r>
        <w:rPr>
          <w:rFonts w:hint="eastAsia" w:hAnsi="宋体"/>
          <w:b/>
          <w:color w:val="000000" w:themeColor="text1"/>
          <w:sz w:val="24"/>
          <w:highlight w:val="none"/>
          <w14:textFill>
            <w14:solidFill>
              <w14:schemeClr w14:val="tx1"/>
            </w14:solidFill>
          </w14:textFill>
        </w:rPr>
        <w:t>根据</w:t>
      </w:r>
      <w:r>
        <w:rPr>
          <w:rFonts w:hAnsi="宋体"/>
          <w:b/>
          <w:color w:val="000000" w:themeColor="text1"/>
          <w:sz w:val="24"/>
          <w:highlight w:val="none"/>
          <w14:textFill>
            <w14:solidFill>
              <w14:schemeClr w14:val="tx1"/>
            </w14:solidFill>
          </w14:textFill>
        </w:rPr>
        <w:t>各</w:t>
      </w:r>
      <w:r>
        <w:rPr>
          <w:rFonts w:hint="eastAsia" w:hAnsi="宋体"/>
          <w:b/>
          <w:color w:val="000000" w:themeColor="text1"/>
          <w:sz w:val="24"/>
          <w:highlight w:val="none"/>
          <w14:textFill>
            <w14:solidFill>
              <w14:schemeClr w14:val="tx1"/>
            </w14:solidFill>
          </w14:textFill>
        </w:rPr>
        <w:t>响应单位最终确认报价与基准价</w:t>
      </w:r>
      <w:r>
        <w:rPr>
          <w:rFonts w:hAnsi="宋体"/>
          <w:b/>
          <w:color w:val="000000" w:themeColor="text1"/>
          <w:sz w:val="24"/>
          <w:highlight w:val="none"/>
          <w14:textFill>
            <w14:solidFill>
              <w14:schemeClr w14:val="tx1"/>
            </w14:solidFill>
          </w14:textFill>
        </w:rPr>
        <w:t>的差异值</w:t>
      </w:r>
      <w:r>
        <w:rPr>
          <w:rFonts w:hint="eastAsia" w:hAnsi="宋体"/>
          <w:b/>
          <w:color w:val="000000" w:themeColor="text1"/>
          <w:sz w:val="24"/>
          <w:highlight w:val="none"/>
          <w14:textFill>
            <w14:solidFill>
              <w14:schemeClr w14:val="tx1"/>
            </w14:solidFill>
          </w14:textFill>
        </w:rPr>
        <w:t>进行评分。</w:t>
      </w:r>
      <w:r>
        <w:rPr>
          <w:rFonts w:hint="eastAsia" w:hAnsi="宋体"/>
          <w:color w:val="000000" w:themeColor="text1"/>
          <w:sz w:val="24"/>
          <w:highlight w:val="none"/>
          <w14:textFill>
            <w14:solidFill>
              <w14:schemeClr w14:val="tx1"/>
            </w14:solidFill>
          </w14:textFill>
        </w:rPr>
        <w:t>响应单位的最终确认报价等</w:t>
      </w:r>
      <w:r>
        <w:rPr>
          <w:rFonts w:hAnsi="宋体"/>
          <w:color w:val="000000" w:themeColor="text1"/>
          <w:sz w:val="24"/>
          <w:highlight w:val="none"/>
          <w14:textFill>
            <w14:solidFill>
              <w14:schemeClr w14:val="tx1"/>
            </w14:solidFill>
          </w14:textFill>
        </w:rPr>
        <w:t>于基准价的为最优</w:t>
      </w:r>
      <w:r>
        <w:rPr>
          <w:rFonts w:hint="eastAsia" w:hAnsi="宋体"/>
          <w:color w:val="000000" w:themeColor="text1"/>
          <w:sz w:val="24"/>
          <w:highlight w:val="none"/>
          <w14:textFill>
            <w14:solidFill>
              <w14:schemeClr w14:val="tx1"/>
            </w14:solidFill>
          </w14:textFill>
        </w:rPr>
        <w:t>报价</w:t>
      </w:r>
      <w:r>
        <w:rPr>
          <w:rFonts w:hAnsi="宋体"/>
          <w:color w:val="000000" w:themeColor="text1"/>
          <w:sz w:val="24"/>
          <w:highlight w:val="none"/>
          <w14:textFill>
            <w14:solidFill>
              <w14:schemeClr w14:val="tx1"/>
            </w14:solidFill>
          </w14:textFill>
        </w:rPr>
        <w:t>，报价得满分。</w:t>
      </w:r>
      <w:r>
        <w:rPr>
          <w:rFonts w:hint="eastAsia" w:hAnsi="宋体"/>
          <w:color w:val="000000" w:themeColor="text1"/>
          <w:sz w:val="24"/>
          <w:highlight w:val="none"/>
          <w14:textFill>
            <w14:solidFill>
              <w14:schemeClr w14:val="tx1"/>
            </w14:solidFill>
          </w14:textFill>
        </w:rPr>
        <w:t>每高于基准价最优值区间</w:t>
      </w: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扣5分，以此类推等比扣减，扣完为止。</w:t>
      </w:r>
    </w:p>
    <w:p w14:paraId="52F1FFEF">
      <w:pPr>
        <w:spacing w:line="360" w:lineRule="auto"/>
        <w:ind w:left="1119" w:leftChars="247" w:hanging="600" w:hangingChars="250"/>
        <w:rPr>
          <w:rFonts w:hint="eastAsia" w:hAnsi="宋体"/>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2.3.3</w:t>
      </w:r>
      <w:r>
        <w:rPr>
          <w:rFonts w:hAnsi="宋体"/>
          <w:color w:val="000000" w:themeColor="text1"/>
          <w:sz w:val="24"/>
          <w:highlight w:val="none"/>
          <w14:textFill>
            <w14:solidFill>
              <w14:schemeClr w14:val="tx1"/>
            </w14:solidFill>
          </w14:textFill>
        </w:rPr>
        <w:t>详细评分指标见附表</w:t>
      </w:r>
      <w:r>
        <w:rPr>
          <w:rFonts w:hint="eastAsia" w:hAnsi="宋体"/>
          <w:color w:val="000000" w:themeColor="text1"/>
          <w:sz w:val="24"/>
          <w:highlight w:val="none"/>
          <w14:textFill>
            <w14:solidFill>
              <w14:schemeClr w14:val="tx1"/>
            </w14:solidFill>
          </w14:textFill>
        </w:rPr>
        <w:t>3</w:t>
      </w:r>
      <w:r>
        <w:rPr>
          <w:rFonts w:hAnsi="宋体"/>
          <w:color w:val="000000" w:themeColor="text1"/>
          <w:sz w:val="24"/>
          <w:highlight w:val="none"/>
          <w14:textFill>
            <w14:solidFill>
              <w14:schemeClr w14:val="tx1"/>
            </w14:solidFill>
          </w14:textFill>
        </w:rPr>
        <w:t>《经济</w:t>
      </w:r>
      <w:r>
        <w:rPr>
          <w:rFonts w:hint="eastAsia" w:hAnsi="宋体"/>
          <w:color w:val="000000" w:themeColor="text1"/>
          <w:sz w:val="24"/>
          <w:highlight w:val="none"/>
          <w14:textFill>
            <w14:solidFill>
              <w14:schemeClr w14:val="tx1"/>
            </w14:solidFill>
          </w14:textFill>
        </w:rPr>
        <w:t>报价</w:t>
      </w:r>
      <w:r>
        <w:rPr>
          <w:rFonts w:hAnsi="宋体"/>
          <w:color w:val="000000" w:themeColor="text1"/>
          <w:sz w:val="24"/>
          <w:highlight w:val="none"/>
          <w14:textFill>
            <w14:solidFill>
              <w14:schemeClr w14:val="tx1"/>
            </w14:solidFill>
          </w14:textFill>
        </w:rPr>
        <w:t>评分表》。</w:t>
      </w:r>
    </w:p>
    <w:p w14:paraId="28F46305">
      <w:pPr>
        <w:spacing w:line="360" w:lineRule="auto"/>
        <w:ind w:left="582" w:leftChars="33" w:hanging="513" w:hangingChars="213"/>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2.4</w:t>
      </w:r>
      <w:r>
        <w:rPr>
          <w:b/>
          <w:color w:val="000000" w:themeColor="text1"/>
          <w:sz w:val="24"/>
          <w:highlight w:val="none"/>
          <w14:textFill>
            <w14:solidFill>
              <w14:schemeClr w14:val="tx1"/>
            </w14:solidFill>
          </w14:textFill>
        </w:rPr>
        <w:t>.澄清或补正</w:t>
      </w:r>
    </w:p>
    <w:p w14:paraId="42877F92">
      <w:pPr>
        <w:spacing w:line="360" w:lineRule="auto"/>
        <w:ind w:left="1119" w:leftChars="247" w:hanging="600" w:hanging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2.4</w:t>
      </w:r>
      <w:r>
        <w:rPr>
          <w:color w:val="000000" w:themeColor="text1"/>
          <w:sz w:val="24"/>
          <w:highlight w:val="none"/>
          <w14:textFill>
            <w14:solidFill>
              <w14:schemeClr w14:val="tx1"/>
            </w14:solidFill>
          </w14:textFill>
        </w:rPr>
        <w:t>.1在评审阶段，</w:t>
      </w:r>
      <w:r>
        <w:rPr>
          <w:rFonts w:hint="eastAsia"/>
          <w:color w:val="000000" w:themeColor="text1"/>
          <w:sz w:val="24"/>
          <w:highlight w:val="none"/>
          <w14:textFill>
            <w14:solidFill>
              <w14:schemeClr w14:val="tx1"/>
            </w14:solidFill>
          </w14:textFill>
        </w:rPr>
        <w:t>采购</w:t>
      </w:r>
      <w:r>
        <w:rPr>
          <w:color w:val="000000" w:themeColor="text1"/>
          <w:sz w:val="24"/>
          <w:highlight w:val="none"/>
          <w14:textFill>
            <w14:solidFill>
              <w14:schemeClr w14:val="tx1"/>
            </w14:solidFill>
          </w14:textFill>
        </w:rPr>
        <w:t>小组认为必要时，可要求响应单位澄清或补正响应文件中的问题，或者要求其补充某些资料，包括单价的分析资料等；对此，响应单位不得拒绝。</w:t>
      </w:r>
    </w:p>
    <w:p w14:paraId="6335EC30">
      <w:pPr>
        <w:spacing w:line="360" w:lineRule="auto"/>
        <w:ind w:left="1119" w:leftChars="247" w:hanging="600" w:hanging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2.4</w:t>
      </w:r>
      <w:r>
        <w:rPr>
          <w:color w:val="000000" w:themeColor="text1"/>
          <w:sz w:val="24"/>
          <w:highlight w:val="none"/>
          <w14:textFill>
            <w14:solidFill>
              <w14:schemeClr w14:val="tx1"/>
            </w14:solidFill>
          </w14:textFill>
        </w:rPr>
        <w:t>.2响应单位须以书面形式提供澄清或补正文件，并作为响应文件的组成部分。</w:t>
      </w:r>
    </w:p>
    <w:p w14:paraId="26B2D9B6">
      <w:pPr>
        <w:spacing w:line="360" w:lineRule="auto"/>
        <w:ind w:left="582" w:leftChars="33" w:hanging="513" w:hangingChars="213"/>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2.5.</w:t>
      </w:r>
      <w:r>
        <w:rPr>
          <w:b/>
          <w:color w:val="000000" w:themeColor="text1"/>
          <w:sz w:val="24"/>
          <w:highlight w:val="none"/>
          <w14:textFill>
            <w14:solidFill>
              <w14:schemeClr w14:val="tx1"/>
            </w14:solidFill>
          </w14:textFill>
        </w:rPr>
        <w:t>汇总评分结果</w:t>
      </w:r>
    </w:p>
    <w:p w14:paraId="3656E0A7">
      <w:pPr>
        <w:spacing w:line="360" w:lineRule="auto"/>
        <w:ind w:left="1119" w:leftChars="247" w:hanging="600" w:hanging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2.5</w:t>
      </w: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采购</w:t>
      </w:r>
      <w:r>
        <w:rPr>
          <w:color w:val="000000" w:themeColor="text1"/>
          <w:sz w:val="24"/>
          <w:highlight w:val="none"/>
          <w14:textFill>
            <w14:solidFill>
              <w14:schemeClr w14:val="tx1"/>
            </w14:solidFill>
          </w14:textFill>
        </w:rPr>
        <w:t>小组成员</w:t>
      </w:r>
      <w:r>
        <w:rPr>
          <w:rFonts w:hint="eastAsia"/>
          <w:color w:val="000000" w:themeColor="text1"/>
          <w:sz w:val="24"/>
          <w:highlight w:val="none"/>
          <w14:textFill>
            <w14:solidFill>
              <w14:schemeClr w14:val="tx1"/>
            </w14:solidFill>
          </w14:textFill>
        </w:rPr>
        <w:t>负责</w:t>
      </w:r>
      <w:r>
        <w:rPr>
          <w:color w:val="000000" w:themeColor="text1"/>
          <w:sz w:val="24"/>
          <w:highlight w:val="none"/>
          <w14:textFill>
            <w14:solidFill>
              <w14:schemeClr w14:val="tx1"/>
            </w14:solidFill>
          </w14:textFill>
        </w:rPr>
        <w:t>各</w:t>
      </w:r>
      <w:r>
        <w:rPr>
          <w:rFonts w:hint="eastAsia"/>
          <w:color w:val="000000" w:themeColor="text1"/>
          <w:sz w:val="24"/>
          <w:highlight w:val="none"/>
          <w14:textFill>
            <w14:solidFill>
              <w14:schemeClr w14:val="tx1"/>
            </w14:solidFill>
          </w14:textFill>
        </w:rPr>
        <w:t>自相关内容的</w:t>
      </w:r>
      <w:r>
        <w:rPr>
          <w:color w:val="000000" w:themeColor="text1"/>
          <w:sz w:val="24"/>
          <w:highlight w:val="none"/>
          <w14:textFill>
            <w14:solidFill>
              <w14:schemeClr w14:val="tx1"/>
            </w14:solidFill>
          </w14:textFill>
        </w:rPr>
        <w:t>评分，并</w:t>
      </w:r>
      <w:r>
        <w:rPr>
          <w:rFonts w:hint="eastAsia"/>
          <w:color w:val="000000" w:themeColor="text1"/>
          <w:sz w:val="24"/>
          <w:highlight w:val="none"/>
          <w14:textFill>
            <w14:solidFill>
              <w14:schemeClr w14:val="tx1"/>
            </w14:solidFill>
          </w14:textFill>
        </w:rPr>
        <w:t>将</w:t>
      </w:r>
      <w:r>
        <w:rPr>
          <w:color w:val="000000" w:themeColor="text1"/>
          <w:sz w:val="24"/>
          <w:highlight w:val="none"/>
          <w14:textFill>
            <w14:solidFill>
              <w14:schemeClr w14:val="tx1"/>
            </w14:solidFill>
          </w14:textFill>
        </w:rPr>
        <w:t>计算</w:t>
      </w:r>
      <w:r>
        <w:rPr>
          <w:rFonts w:hint="eastAsia"/>
          <w:color w:val="000000" w:themeColor="text1"/>
          <w:sz w:val="24"/>
          <w:highlight w:val="none"/>
          <w14:textFill>
            <w14:solidFill>
              <w14:schemeClr w14:val="tx1"/>
            </w14:solidFill>
          </w14:textFill>
        </w:rPr>
        <w:t>结果</w:t>
      </w:r>
      <w:r>
        <w:rPr>
          <w:color w:val="000000" w:themeColor="text1"/>
          <w:sz w:val="24"/>
          <w:highlight w:val="none"/>
          <w14:textFill>
            <w14:solidFill>
              <w14:schemeClr w14:val="tx1"/>
            </w14:solidFill>
          </w14:textFill>
        </w:rPr>
        <w:t>加权得分</w:t>
      </w:r>
      <w:r>
        <w:rPr>
          <w:rFonts w:hint="eastAsia"/>
          <w:color w:val="000000" w:themeColor="text1"/>
          <w:sz w:val="24"/>
          <w:highlight w:val="none"/>
          <w14:textFill>
            <w14:solidFill>
              <w14:schemeClr w14:val="tx1"/>
            </w14:solidFill>
          </w14:textFill>
        </w:rPr>
        <w:t>后汇总出各响应单位的最终评分</w:t>
      </w:r>
      <w:r>
        <w:rPr>
          <w:color w:val="000000" w:themeColor="text1"/>
          <w:sz w:val="24"/>
          <w:highlight w:val="none"/>
          <w14:textFill>
            <w14:solidFill>
              <w14:schemeClr w14:val="tx1"/>
            </w14:solidFill>
          </w14:textFill>
        </w:rPr>
        <w:t>。</w:t>
      </w:r>
    </w:p>
    <w:p w14:paraId="3DF52FB9">
      <w:pPr>
        <w:spacing w:line="360" w:lineRule="auto"/>
        <w:ind w:left="1117" w:leftChars="532"/>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响应单位综合得分＝A1*K1+A2*K2</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 xml:space="preserve"> A</w:t>
      </w:r>
      <w:r>
        <w:rPr>
          <w:rFonts w:hint="eastAsia"/>
          <w:color w:val="000000" w:themeColor="text1"/>
          <w:sz w:val="24"/>
          <w:highlight w:val="none"/>
          <w14:textFill>
            <w14:solidFill>
              <w14:schemeClr w14:val="tx1"/>
            </w14:solidFill>
          </w14:textFill>
        </w:rPr>
        <w:t>3</w:t>
      </w:r>
      <w:r>
        <w:rPr>
          <w:color w:val="000000" w:themeColor="text1"/>
          <w:sz w:val="24"/>
          <w:highlight w:val="none"/>
          <w14:textFill>
            <w14:solidFill>
              <w14:schemeClr w14:val="tx1"/>
            </w14:solidFill>
          </w14:textFill>
        </w:rPr>
        <w:t>*K</w:t>
      </w:r>
      <w:r>
        <w:rPr>
          <w:rFonts w:hint="eastAsia"/>
          <w:color w:val="000000" w:themeColor="text1"/>
          <w:sz w:val="24"/>
          <w:highlight w:val="none"/>
          <w14:textFill>
            <w14:solidFill>
              <w14:schemeClr w14:val="tx1"/>
            </w14:solidFill>
          </w14:textFill>
        </w:rPr>
        <w:t>3（A1、A2、A3分别为商务、技术、经济部分的评分，</w:t>
      </w:r>
      <w:r>
        <w:rPr>
          <w:color w:val="000000" w:themeColor="text1"/>
          <w:sz w:val="24"/>
          <w:highlight w:val="none"/>
          <w14:textFill>
            <w14:solidFill>
              <w14:schemeClr w14:val="tx1"/>
            </w14:solidFill>
          </w14:textFill>
        </w:rPr>
        <w:t>K1</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K</w:t>
      </w:r>
      <w:r>
        <w:rPr>
          <w:rFonts w:hint="eastAsia"/>
          <w:color w:val="000000" w:themeColor="text1"/>
          <w:sz w:val="24"/>
          <w:highlight w:val="none"/>
          <w14:textFill>
            <w14:solidFill>
              <w14:schemeClr w14:val="tx1"/>
            </w14:solidFill>
          </w14:textFill>
        </w:rPr>
        <w:t>2、</w:t>
      </w:r>
      <w:r>
        <w:rPr>
          <w:color w:val="000000" w:themeColor="text1"/>
          <w:sz w:val="24"/>
          <w:highlight w:val="none"/>
          <w14:textFill>
            <w14:solidFill>
              <w14:schemeClr w14:val="tx1"/>
            </w14:solidFill>
          </w14:textFill>
        </w:rPr>
        <w:t>K</w:t>
      </w:r>
      <w:r>
        <w:rPr>
          <w:rFonts w:hint="eastAsia"/>
          <w:color w:val="000000" w:themeColor="text1"/>
          <w:sz w:val="24"/>
          <w:highlight w:val="none"/>
          <w14:textFill>
            <w14:solidFill>
              <w14:schemeClr w14:val="tx1"/>
            </w14:solidFill>
          </w14:textFill>
        </w:rPr>
        <w:t>3分别为商务、技术、经济部分在综合得分中所占的权重）</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详</w:t>
      </w:r>
      <w:r>
        <w:rPr>
          <w:color w:val="000000" w:themeColor="text1"/>
          <w:sz w:val="24"/>
          <w:highlight w:val="none"/>
          <w14:textFill>
            <w14:solidFill>
              <w14:schemeClr w14:val="tx1"/>
            </w14:solidFill>
          </w14:textFill>
        </w:rPr>
        <w:t>见附表</w:t>
      </w:r>
      <w:r>
        <w:rPr>
          <w:rFonts w:hint="eastAsia"/>
          <w:color w:val="000000" w:themeColor="text1"/>
          <w:sz w:val="24"/>
          <w:highlight w:val="none"/>
          <w14:textFill>
            <w14:solidFill>
              <w14:schemeClr w14:val="tx1"/>
            </w14:solidFill>
          </w14:textFill>
        </w:rPr>
        <w:t>4</w:t>
      </w:r>
      <w:r>
        <w:rPr>
          <w:color w:val="000000" w:themeColor="text1"/>
          <w:sz w:val="24"/>
          <w:highlight w:val="none"/>
          <w14:textFill>
            <w14:solidFill>
              <w14:schemeClr w14:val="tx1"/>
            </w14:solidFill>
          </w14:textFill>
        </w:rPr>
        <w:t>《综合得分表》。</w:t>
      </w:r>
    </w:p>
    <w:p w14:paraId="0234A9DF">
      <w:pPr>
        <w:spacing w:line="360" w:lineRule="auto"/>
        <w:ind w:left="1119" w:leftChars="247" w:hanging="600" w:hanging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2.5</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2</w:t>
      </w:r>
      <w:r>
        <w:rPr>
          <w:color w:val="000000" w:themeColor="text1"/>
          <w:sz w:val="24"/>
          <w:highlight w:val="none"/>
          <w14:textFill>
            <w14:solidFill>
              <w14:schemeClr w14:val="tx1"/>
            </w14:solidFill>
          </w14:textFill>
        </w:rPr>
        <w:t>评审小组</w:t>
      </w:r>
      <w:r>
        <w:rPr>
          <w:rFonts w:hint="eastAsia"/>
          <w:color w:val="000000" w:themeColor="text1"/>
          <w:sz w:val="24"/>
          <w:highlight w:val="none"/>
          <w14:textFill>
            <w14:solidFill>
              <w14:schemeClr w14:val="tx1"/>
            </w14:solidFill>
          </w14:textFill>
        </w:rPr>
        <w:t>按照</w:t>
      </w:r>
      <w:r>
        <w:rPr>
          <w:color w:val="000000" w:themeColor="text1"/>
          <w:sz w:val="24"/>
          <w:highlight w:val="none"/>
          <w14:textFill>
            <w14:solidFill>
              <w14:schemeClr w14:val="tx1"/>
            </w14:solidFill>
          </w14:textFill>
        </w:rPr>
        <w:t>最终汇总</w:t>
      </w:r>
      <w:r>
        <w:rPr>
          <w:rFonts w:hint="eastAsia"/>
          <w:color w:val="000000" w:themeColor="text1"/>
          <w:sz w:val="24"/>
          <w:highlight w:val="none"/>
          <w14:textFill>
            <w14:solidFill>
              <w14:schemeClr w14:val="tx1"/>
            </w14:solidFill>
          </w14:textFill>
        </w:rPr>
        <w:t>分数进行</w:t>
      </w:r>
      <w:r>
        <w:rPr>
          <w:color w:val="000000" w:themeColor="text1"/>
          <w:sz w:val="24"/>
          <w:highlight w:val="none"/>
          <w14:textFill>
            <w14:solidFill>
              <w14:schemeClr w14:val="tx1"/>
            </w14:solidFill>
          </w14:textFill>
        </w:rPr>
        <w:t>排序，推荐出</w:t>
      </w:r>
      <w:r>
        <w:rPr>
          <w:rFonts w:hint="eastAsia"/>
          <w:color w:val="000000" w:themeColor="text1"/>
          <w:sz w:val="24"/>
          <w:highlight w:val="none"/>
          <w14:textFill>
            <w14:solidFill>
              <w14:schemeClr w14:val="tx1"/>
            </w14:solidFill>
          </w14:textFill>
        </w:rPr>
        <w:t>备选成交单位</w:t>
      </w:r>
      <w:r>
        <w:rPr>
          <w:color w:val="000000" w:themeColor="text1"/>
          <w:sz w:val="24"/>
          <w:highlight w:val="none"/>
          <w14:textFill>
            <w14:solidFill>
              <w14:schemeClr w14:val="tx1"/>
            </w14:solidFill>
          </w14:textFill>
        </w:rPr>
        <w:t>名单</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如存在最终得分相同的单位</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最终报价低者排名在前。</w:t>
      </w:r>
    </w:p>
    <w:p w14:paraId="39658570">
      <w:pPr>
        <w:spacing w:line="360" w:lineRule="auto"/>
        <w:rPr>
          <w:rFonts w:hint="eastAsia" w:hAnsi="宋体"/>
          <w:color w:val="000000" w:themeColor="text1"/>
          <w:sz w:val="24"/>
          <w:highlight w:val="none"/>
          <w14:textFill>
            <w14:solidFill>
              <w14:schemeClr w14:val="tx1"/>
            </w14:solidFill>
          </w14:textFill>
        </w:rPr>
      </w:pPr>
    </w:p>
    <w:p w14:paraId="06BCE0BA">
      <w:pPr>
        <w:spacing w:line="360" w:lineRule="auto"/>
        <w:rPr>
          <w:rFonts w:hint="eastAsia" w:hAnsi="宋体"/>
          <w:color w:val="000000" w:themeColor="text1"/>
          <w:sz w:val="24"/>
          <w:highlight w:val="none"/>
          <w14:textFill>
            <w14:solidFill>
              <w14:schemeClr w14:val="tx1"/>
            </w14:solidFill>
          </w14:textFill>
        </w:rPr>
      </w:pPr>
    </w:p>
    <w:p w14:paraId="4D701B43">
      <w:pPr>
        <w:spacing w:line="360" w:lineRule="auto"/>
        <w:rPr>
          <w:rFonts w:hint="eastAsia" w:hAnsi="宋体"/>
          <w:color w:val="000000" w:themeColor="text1"/>
          <w:sz w:val="24"/>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591C129C">
      <w:pPr>
        <w:spacing w:line="360" w:lineRule="auto"/>
        <w:rPr>
          <w:color w:val="000000" w:themeColor="text1"/>
          <w:sz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t>附表</w:t>
      </w:r>
      <w:r>
        <w:rPr>
          <w:rFonts w:hint="eastAsia" w:hAnsi="宋体"/>
          <w:color w:val="000000" w:themeColor="text1"/>
          <w:sz w:val="24"/>
          <w:highlight w:val="none"/>
          <w14:textFill>
            <w14:solidFill>
              <w14:schemeClr w14:val="tx1"/>
            </w14:solidFill>
          </w14:textFill>
        </w:rPr>
        <w:t>1</w:t>
      </w:r>
      <w:r>
        <w:rPr>
          <w:rFonts w:hAnsi="宋体"/>
          <w:color w:val="000000" w:themeColor="text1"/>
          <w:sz w:val="24"/>
          <w:highlight w:val="none"/>
          <w14:textFill>
            <w14:solidFill>
              <w14:schemeClr w14:val="tx1"/>
            </w14:solidFill>
          </w14:textFill>
        </w:rPr>
        <w:t>　</w:t>
      </w:r>
    </w:p>
    <w:p w14:paraId="2502CEC7">
      <w:pPr>
        <w:spacing w:line="360" w:lineRule="auto"/>
        <w:jc w:val="center"/>
        <w:rPr>
          <w:rFonts w:hint="eastAsia" w:hAnsi="宋体"/>
          <w:b/>
          <w:color w:val="000000" w:themeColor="text1"/>
          <w:sz w:val="24"/>
          <w:highlight w:val="none"/>
          <w14:textFill>
            <w14:solidFill>
              <w14:schemeClr w14:val="tx1"/>
            </w14:solidFill>
          </w14:textFill>
        </w:rPr>
      </w:pPr>
      <w:r>
        <w:rPr>
          <w:rFonts w:hint="eastAsia" w:hAnsi="宋体"/>
          <w:b/>
          <w:color w:val="000000" w:themeColor="text1"/>
          <w:sz w:val="24"/>
          <w:highlight w:val="none"/>
          <w14:textFill>
            <w14:solidFill>
              <w14:schemeClr w14:val="tx1"/>
            </w14:solidFill>
          </w14:textFill>
        </w:rPr>
        <w:t>商务资料</w:t>
      </w:r>
      <w:r>
        <w:rPr>
          <w:rFonts w:hAnsi="宋体"/>
          <w:b/>
          <w:color w:val="000000" w:themeColor="text1"/>
          <w:sz w:val="24"/>
          <w:highlight w:val="none"/>
          <w14:textFill>
            <w14:solidFill>
              <w14:schemeClr w14:val="tx1"/>
            </w14:solidFill>
          </w14:textFill>
        </w:rPr>
        <w:t>评分表</w:t>
      </w:r>
    </w:p>
    <w:p w14:paraId="77C3758A">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响应单位名称：</w:t>
      </w:r>
    </w:p>
    <w:tbl>
      <w:tblPr>
        <w:tblStyle w:val="31"/>
        <w:tblW w:w="911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55"/>
        <w:gridCol w:w="1980"/>
        <w:gridCol w:w="737"/>
        <w:gridCol w:w="2154"/>
        <w:gridCol w:w="2891"/>
        <w:gridCol w:w="793"/>
      </w:tblGrid>
      <w:tr w14:paraId="53A562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41" w:hRule="atLeast"/>
          <w:tblHeader/>
          <w:jc w:val="center"/>
        </w:trPr>
        <w:tc>
          <w:tcPr>
            <w:tcW w:w="555" w:type="dxa"/>
            <w:vMerge w:val="restart"/>
            <w:vAlign w:val="center"/>
          </w:tcPr>
          <w:p w14:paraId="208139C1">
            <w:pPr>
              <w:jc w:val="center"/>
              <w:rPr>
                <w:rFonts w:ascii="Arial" w:hAnsi="Arial" w:cs="Arial"/>
                <w:b/>
                <w:color w:val="000000" w:themeColor="text1"/>
                <w:szCs w:val="21"/>
                <w:highlight w:val="none"/>
                <w14:textFill>
                  <w14:solidFill>
                    <w14:schemeClr w14:val="tx1"/>
                  </w14:solidFill>
                </w14:textFill>
              </w:rPr>
            </w:pPr>
            <w:r>
              <w:rPr>
                <w:rFonts w:ascii="Arial" w:hAnsi="Arial" w:cs="Arial"/>
                <w:b/>
                <w:color w:val="000000" w:themeColor="text1"/>
                <w:szCs w:val="21"/>
                <w:highlight w:val="none"/>
                <w14:textFill>
                  <w14:solidFill>
                    <w14:schemeClr w14:val="tx1"/>
                  </w14:solidFill>
                </w14:textFill>
              </w:rPr>
              <w:t>序号</w:t>
            </w:r>
          </w:p>
        </w:tc>
        <w:tc>
          <w:tcPr>
            <w:tcW w:w="1980" w:type="dxa"/>
            <w:vMerge w:val="restart"/>
            <w:vAlign w:val="center"/>
          </w:tcPr>
          <w:p w14:paraId="18915617">
            <w:pPr>
              <w:jc w:val="center"/>
              <w:rPr>
                <w:rFonts w:ascii="Arial" w:hAnsi="Arial" w:cs="Arial"/>
                <w:b/>
                <w:color w:val="000000" w:themeColor="text1"/>
                <w:szCs w:val="21"/>
                <w:highlight w:val="none"/>
                <w14:textFill>
                  <w14:solidFill>
                    <w14:schemeClr w14:val="tx1"/>
                  </w14:solidFill>
                </w14:textFill>
              </w:rPr>
            </w:pPr>
            <w:r>
              <w:rPr>
                <w:rFonts w:ascii="Arial" w:hAnsi="Arial" w:cs="Arial"/>
                <w:b/>
                <w:color w:val="000000" w:themeColor="text1"/>
                <w:szCs w:val="21"/>
                <w:highlight w:val="none"/>
                <w14:textFill>
                  <w14:solidFill>
                    <w14:schemeClr w14:val="tx1"/>
                  </w14:solidFill>
                </w14:textFill>
              </w:rPr>
              <w:t>评分项目</w:t>
            </w:r>
          </w:p>
        </w:tc>
        <w:tc>
          <w:tcPr>
            <w:tcW w:w="737" w:type="dxa"/>
            <w:vMerge w:val="restart"/>
            <w:vAlign w:val="center"/>
          </w:tcPr>
          <w:p w14:paraId="1AA073F2">
            <w:pPr>
              <w:jc w:val="center"/>
              <w:rPr>
                <w:rFonts w:ascii="Arial" w:hAnsi="Arial" w:cs="Arial"/>
                <w:b/>
                <w:color w:val="000000" w:themeColor="text1"/>
                <w:szCs w:val="21"/>
                <w:highlight w:val="none"/>
                <w14:textFill>
                  <w14:solidFill>
                    <w14:schemeClr w14:val="tx1"/>
                  </w14:solidFill>
                </w14:textFill>
              </w:rPr>
            </w:pPr>
            <w:r>
              <w:rPr>
                <w:rFonts w:hint="eastAsia" w:ascii="Arial" w:hAnsi="Arial" w:cs="Arial"/>
                <w:b/>
                <w:color w:val="000000" w:themeColor="text1"/>
                <w:szCs w:val="21"/>
                <w:highlight w:val="none"/>
                <w14:textFill>
                  <w14:solidFill>
                    <w14:schemeClr w14:val="tx1"/>
                  </w14:solidFill>
                </w14:textFill>
              </w:rPr>
              <w:t>满</w:t>
            </w:r>
            <w:r>
              <w:rPr>
                <w:rFonts w:ascii="Arial" w:hAnsi="Arial" w:cs="Arial"/>
                <w:b/>
                <w:color w:val="000000" w:themeColor="text1"/>
                <w:szCs w:val="21"/>
                <w:highlight w:val="none"/>
                <w14:textFill>
                  <w14:solidFill>
                    <w14:schemeClr w14:val="tx1"/>
                  </w14:solidFill>
                </w14:textFill>
              </w:rPr>
              <w:t>分</w:t>
            </w:r>
          </w:p>
        </w:tc>
        <w:tc>
          <w:tcPr>
            <w:tcW w:w="2154" w:type="dxa"/>
            <w:vMerge w:val="restart"/>
            <w:vAlign w:val="center"/>
          </w:tcPr>
          <w:p w14:paraId="188CB840">
            <w:pPr>
              <w:jc w:val="center"/>
              <w:rPr>
                <w:rFonts w:ascii="Arial" w:hAnsi="Arial" w:cs="Arial"/>
                <w:b/>
                <w:color w:val="000000" w:themeColor="text1"/>
                <w:szCs w:val="21"/>
                <w:highlight w:val="none"/>
                <w14:textFill>
                  <w14:solidFill>
                    <w14:schemeClr w14:val="tx1"/>
                  </w14:solidFill>
                </w14:textFill>
              </w:rPr>
            </w:pPr>
            <w:r>
              <w:rPr>
                <w:rFonts w:ascii="Arial" w:hAnsi="Arial" w:cs="Arial"/>
                <w:b/>
                <w:color w:val="000000" w:themeColor="text1"/>
                <w:szCs w:val="21"/>
                <w:highlight w:val="none"/>
                <w14:textFill>
                  <w14:solidFill>
                    <w14:schemeClr w14:val="tx1"/>
                  </w14:solidFill>
                </w14:textFill>
              </w:rPr>
              <w:t>评分标准</w:t>
            </w:r>
          </w:p>
        </w:tc>
        <w:tc>
          <w:tcPr>
            <w:tcW w:w="2891" w:type="dxa"/>
            <w:vMerge w:val="restart"/>
            <w:tcBorders>
              <w:right w:val="single" w:color="auto" w:sz="4" w:space="0"/>
            </w:tcBorders>
            <w:vAlign w:val="center"/>
          </w:tcPr>
          <w:p w14:paraId="69851E9A">
            <w:pPr>
              <w:jc w:val="center"/>
              <w:rPr>
                <w:rFonts w:ascii="Arial" w:hAnsi="Arial" w:cs="Arial"/>
                <w:b/>
                <w:color w:val="000000" w:themeColor="text1"/>
                <w:szCs w:val="21"/>
                <w:highlight w:val="none"/>
                <w14:textFill>
                  <w14:solidFill>
                    <w14:schemeClr w14:val="tx1"/>
                  </w14:solidFill>
                </w14:textFill>
              </w:rPr>
            </w:pPr>
            <w:r>
              <w:rPr>
                <w:rFonts w:hint="eastAsia" w:ascii="Arial" w:hAnsi="Arial" w:cs="Arial"/>
                <w:b/>
                <w:color w:val="000000" w:themeColor="text1"/>
                <w:szCs w:val="21"/>
                <w:highlight w:val="none"/>
                <w14:textFill>
                  <w14:solidFill>
                    <w14:schemeClr w14:val="tx1"/>
                  </w14:solidFill>
                </w14:textFill>
              </w:rPr>
              <w:t>扣分原因</w:t>
            </w:r>
          </w:p>
        </w:tc>
        <w:tc>
          <w:tcPr>
            <w:tcW w:w="793" w:type="dxa"/>
            <w:vMerge w:val="restart"/>
            <w:tcBorders>
              <w:left w:val="single" w:color="auto" w:sz="4" w:space="0"/>
            </w:tcBorders>
            <w:vAlign w:val="center"/>
          </w:tcPr>
          <w:p w14:paraId="32F3F25B">
            <w:pPr>
              <w:jc w:val="center"/>
              <w:rPr>
                <w:rFonts w:ascii="Arial" w:hAnsi="Arial" w:cs="Arial"/>
                <w:b/>
                <w:color w:val="000000" w:themeColor="text1"/>
                <w:szCs w:val="21"/>
                <w:highlight w:val="none"/>
                <w14:textFill>
                  <w14:solidFill>
                    <w14:schemeClr w14:val="tx1"/>
                  </w14:solidFill>
                </w14:textFill>
              </w:rPr>
            </w:pPr>
            <w:r>
              <w:rPr>
                <w:rFonts w:hint="eastAsia" w:ascii="Arial" w:hAnsi="Arial" w:cs="Arial"/>
                <w:b/>
                <w:color w:val="000000" w:themeColor="text1"/>
                <w:szCs w:val="21"/>
                <w:highlight w:val="none"/>
                <w14:textFill>
                  <w14:solidFill>
                    <w14:schemeClr w14:val="tx1"/>
                  </w14:solidFill>
                </w14:textFill>
              </w:rPr>
              <w:t>得分</w:t>
            </w:r>
          </w:p>
        </w:tc>
      </w:tr>
      <w:tr w14:paraId="0006AB3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38" w:hRule="atLeast"/>
          <w:tblHeader/>
          <w:jc w:val="center"/>
        </w:trPr>
        <w:tc>
          <w:tcPr>
            <w:tcW w:w="555" w:type="dxa"/>
            <w:vMerge w:val="continue"/>
            <w:vAlign w:val="center"/>
          </w:tcPr>
          <w:p w14:paraId="0AD0FE16">
            <w:pPr>
              <w:jc w:val="center"/>
              <w:rPr>
                <w:rFonts w:ascii="Arial" w:hAnsi="Arial" w:cs="Arial"/>
                <w:color w:val="000000" w:themeColor="text1"/>
                <w:szCs w:val="21"/>
                <w:highlight w:val="none"/>
                <w14:textFill>
                  <w14:solidFill>
                    <w14:schemeClr w14:val="tx1"/>
                  </w14:solidFill>
                </w14:textFill>
              </w:rPr>
            </w:pPr>
          </w:p>
        </w:tc>
        <w:tc>
          <w:tcPr>
            <w:tcW w:w="1980" w:type="dxa"/>
            <w:vMerge w:val="continue"/>
            <w:vAlign w:val="center"/>
          </w:tcPr>
          <w:p w14:paraId="0EB03942">
            <w:pPr>
              <w:jc w:val="center"/>
              <w:rPr>
                <w:rFonts w:ascii="Arial" w:hAnsi="Arial" w:cs="Arial"/>
                <w:color w:val="000000" w:themeColor="text1"/>
                <w:szCs w:val="21"/>
                <w:highlight w:val="none"/>
                <w14:textFill>
                  <w14:solidFill>
                    <w14:schemeClr w14:val="tx1"/>
                  </w14:solidFill>
                </w14:textFill>
              </w:rPr>
            </w:pPr>
          </w:p>
        </w:tc>
        <w:tc>
          <w:tcPr>
            <w:tcW w:w="737" w:type="dxa"/>
            <w:vMerge w:val="continue"/>
            <w:vAlign w:val="center"/>
          </w:tcPr>
          <w:p w14:paraId="19915359">
            <w:pPr>
              <w:jc w:val="center"/>
              <w:rPr>
                <w:rFonts w:ascii="Arial" w:hAnsi="Arial" w:cs="Arial"/>
                <w:color w:val="000000" w:themeColor="text1"/>
                <w:szCs w:val="21"/>
                <w:highlight w:val="none"/>
                <w14:textFill>
                  <w14:solidFill>
                    <w14:schemeClr w14:val="tx1"/>
                  </w14:solidFill>
                </w14:textFill>
              </w:rPr>
            </w:pPr>
          </w:p>
        </w:tc>
        <w:tc>
          <w:tcPr>
            <w:tcW w:w="2154" w:type="dxa"/>
            <w:vMerge w:val="continue"/>
            <w:vAlign w:val="center"/>
          </w:tcPr>
          <w:p w14:paraId="773743E9">
            <w:pPr>
              <w:jc w:val="center"/>
              <w:rPr>
                <w:rFonts w:ascii="Arial" w:hAnsi="Arial" w:cs="Arial"/>
                <w:color w:val="000000" w:themeColor="text1"/>
                <w:szCs w:val="21"/>
                <w:highlight w:val="none"/>
                <w14:textFill>
                  <w14:solidFill>
                    <w14:schemeClr w14:val="tx1"/>
                  </w14:solidFill>
                </w14:textFill>
              </w:rPr>
            </w:pPr>
          </w:p>
        </w:tc>
        <w:tc>
          <w:tcPr>
            <w:tcW w:w="2891" w:type="dxa"/>
            <w:vMerge w:val="continue"/>
            <w:tcBorders>
              <w:right w:val="single" w:color="auto" w:sz="4" w:space="0"/>
            </w:tcBorders>
            <w:vAlign w:val="center"/>
          </w:tcPr>
          <w:p w14:paraId="1E3545E5">
            <w:pPr>
              <w:rPr>
                <w:rFonts w:ascii="Arial" w:hAnsi="Arial" w:cs="Arial"/>
                <w:color w:val="000000" w:themeColor="text1"/>
                <w:szCs w:val="21"/>
                <w:highlight w:val="none"/>
                <w14:textFill>
                  <w14:solidFill>
                    <w14:schemeClr w14:val="tx1"/>
                  </w14:solidFill>
                </w14:textFill>
              </w:rPr>
            </w:pPr>
          </w:p>
        </w:tc>
        <w:tc>
          <w:tcPr>
            <w:tcW w:w="793" w:type="dxa"/>
            <w:vMerge w:val="continue"/>
            <w:tcBorders>
              <w:left w:val="single" w:color="auto" w:sz="4" w:space="0"/>
            </w:tcBorders>
            <w:vAlign w:val="center"/>
          </w:tcPr>
          <w:p w14:paraId="7CC72C98">
            <w:pPr>
              <w:rPr>
                <w:rFonts w:ascii="Arial" w:hAnsi="Arial" w:cs="Arial"/>
                <w:color w:val="000000" w:themeColor="text1"/>
                <w:szCs w:val="21"/>
                <w:highlight w:val="none"/>
                <w14:textFill>
                  <w14:solidFill>
                    <w14:schemeClr w14:val="tx1"/>
                  </w14:solidFill>
                </w14:textFill>
              </w:rPr>
            </w:pPr>
          </w:p>
        </w:tc>
      </w:tr>
      <w:tr w14:paraId="15E442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211" w:hRule="atLeast"/>
          <w:jc w:val="center"/>
        </w:trPr>
        <w:tc>
          <w:tcPr>
            <w:tcW w:w="555" w:type="dxa"/>
            <w:vAlign w:val="center"/>
          </w:tcPr>
          <w:p w14:paraId="1AE361AE">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w:t>
            </w:r>
          </w:p>
        </w:tc>
        <w:tc>
          <w:tcPr>
            <w:tcW w:w="1980" w:type="dxa"/>
            <w:vAlign w:val="center"/>
          </w:tcPr>
          <w:p w14:paraId="20271DFD">
            <w:pPr>
              <w:rPr>
                <w:rFonts w:ascii="Arial" w:hAnsi="Arial"/>
                <w:color w:val="000000" w:themeColor="text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企业营业执照、资质等级、安全生产许可证复印件是否齐全、有效，是否符合采购文件要求</w:t>
            </w:r>
          </w:p>
        </w:tc>
        <w:tc>
          <w:tcPr>
            <w:tcW w:w="737" w:type="dxa"/>
            <w:vAlign w:val="center"/>
          </w:tcPr>
          <w:p w14:paraId="17B648DB">
            <w:pPr>
              <w:autoSpaceDE w:val="0"/>
              <w:autoSpaceDN w:val="0"/>
              <w:jc w:val="center"/>
              <w:rPr>
                <w:rFonts w:ascii="Arial" w:hAnsi="Arial"/>
                <w:color w:val="000000" w:themeColor="text1"/>
                <w:szCs w:val="21"/>
                <w:highlight w:val="none"/>
                <w14:textFill>
                  <w14:solidFill>
                    <w14:schemeClr w14:val="tx1"/>
                  </w14:solidFill>
                </w14:textFill>
              </w:rPr>
            </w:pPr>
            <w:r>
              <w:rPr>
                <w:rFonts w:hint="eastAsia" w:ascii="Arial" w:hAnsi="Arial"/>
                <w:color w:val="000000" w:themeColor="text1"/>
                <w:szCs w:val="21"/>
                <w:highlight w:val="none"/>
                <w14:textFill>
                  <w14:solidFill>
                    <w14:schemeClr w14:val="tx1"/>
                  </w14:solidFill>
                </w14:textFill>
              </w:rPr>
              <w:t>12</w:t>
            </w:r>
          </w:p>
        </w:tc>
        <w:tc>
          <w:tcPr>
            <w:tcW w:w="2154" w:type="dxa"/>
            <w:vAlign w:val="center"/>
          </w:tcPr>
          <w:p w14:paraId="4715BA26">
            <w:pPr>
              <w:autoSpaceDE w:val="0"/>
              <w:autoSpaceDN w:val="0"/>
              <w:spacing w:before="78"/>
              <w:ind w:right="-20"/>
              <w:rPr>
                <w:rFonts w:ascii="Arial" w:hAnsi="Arial"/>
                <w:color w:val="000000" w:themeColor="text1"/>
                <w:szCs w:val="2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企业营业执照、资质等级、安全生产许可证有复印件的各得2分，没有复印件的那项不得分；证件在有效期的各得2分，不在有效期的那项不得分</w:t>
            </w:r>
          </w:p>
        </w:tc>
        <w:tc>
          <w:tcPr>
            <w:tcW w:w="2891" w:type="dxa"/>
            <w:tcBorders>
              <w:right w:val="single" w:color="auto" w:sz="4" w:space="0"/>
            </w:tcBorders>
            <w:vAlign w:val="center"/>
          </w:tcPr>
          <w:p w14:paraId="27930D50">
            <w:pPr>
              <w:rPr>
                <w:rFonts w:ascii="Arial" w:hAnsi="Arial"/>
                <w:color w:val="000000" w:themeColor="text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企业营业执照：（4分）</w:t>
            </w:r>
          </w:p>
          <w:p w14:paraId="4F7270CE">
            <w:pPr>
              <w:rPr>
                <w:rFonts w:ascii="Arial" w:hAnsi="Arial"/>
                <w:color w:val="000000" w:themeColor="text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有□无□   有效□无效□</w:t>
            </w:r>
          </w:p>
          <w:p w14:paraId="745E7842">
            <w:pPr>
              <w:rPr>
                <w:rFonts w:ascii="Arial" w:hAnsi="Arial"/>
                <w:color w:val="000000" w:themeColor="text1"/>
                <w:highlight w:val="none"/>
                <w14:textFill>
                  <w14:solidFill>
                    <w14:schemeClr w14:val="tx1"/>
                  </w14:solidFill>
                </w14:textFill>
              </w:rPr>
            </w:pPr>
          </w:p>
          <w:p w14:paraId="67386B9E">
            <w:pPr>
              <w:rPr>
                <w:rFonts w:ascii="Arial" w:hAnsi="Arial"/>
                <w:color w:val="000000" w:themeColor="text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资质等级：（4分）</w:t>
            </w:r>
          </w:p>
          <w:p w14:paraId="7A857F1C">
            <w:pPr>
              <w:rPr>
                <w:rFonts w:ascii="Arial" w:hAnsi="Arial"/>
                <w:color w:val="000000" w:themeColor="text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有□无□   符合□不符合□</w:t>
            </w:r>
          </w:p>
          <w:p w14:paraId="6E6A58E5">
            <w:pPr>
              <w:rPr>
                <w:rFonts w:ascii="Arial" w:hAnsi="Arial"/>
                <w:color w:val="000000" w:themeColor="text1"/>
                <w:highlight w:val="none"/>
                <w14:textFill>
                  <w14:solidFill>
                    <w14:schemeClr w14:val="tx1"/>
                  </w14:solidFill>
                </w14:textFill>
              </w:rPr>
            </w:pPr>
          </w:p>
          <w:p w14:paraId="00E12F9F">
            <w:pPr>
              <w:rPr>
                <w:rFonts w:ascii="Arial" w:hAnsi="Arial"/>
                <w:color w:val="000000" w:themeColor="text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安全生产许可证：（4分）</w:t>
            </w:r>
          </w:p>
          <w:p w14:paraId="59ECA5ED">
            <w:pPr>
              <w:rPr>
                <w:rFonts w:ascii="Arial" w:hAnsi="Arial"/>
                <w:color w:val="000000" w:themeColor="text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有□无□   有效□无效□</w:t>
            </w:r>
          </w:p>
        </w:tc>
        <w:tc>
          <w:tcPr>
            <w:tcW w:w="793" w:type="dxa"/>
            <w:tcBorders>
              <w:left w:val="single" w:color="auto" w:sz="4" w:space="0"/>
            </w:tcBorders>
            <w:vAlign w:val="center"/>
          </w:tcPr>
          <w:p w14:paraId="66A653A8">
            <w:pPr>
              <w:rPr>
                <w:rFonts w:ascii="Arial" w:hAnsi="Arial" w:cs="Arial"/>
                <w:color w:val="000000" w:themeColor="text1"/>
                <w:szCs w:val="21"/>
                <w:highlight w:val="none"/>
                <w14:textFill>
                  <w14:solidFill>
                    <w14:schemeClr w14:val="tx1"/>
                  </w14:solidFill>
                </w14:textFill>
              </w:rPr>
            </w:pPr>
          </w:p>
        </w:tc>
      </w:tr>
      <w:tr w14:paraId="639CC66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606" w:hRule="atLeast"/>
          <w:jc w:val="center"/>
        </w:trPr>
        <w:tc>
          <w:tcPr>
            <w:tcW w:w="555" w:type="dxa"/>
            <w:vAlign w:val="center"/>
          </w:tcPr>
          <w:p w14:paraId="70CB92A2">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w:t>
            </w:r>
          </w:p>
        </w:tc>
        <w:tc>
          <w:tcPr>
            <w:tcW w:w="1980" w:type="dxa"/>
            <w:vAlign w:val="center"/>
          </w:tcPr>
          <w:p w14:paraId="4CC54C55">
            <w:pP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工程拟定主要人员结构是否合理、齐全，主要负责人有无类似工程施工履历</w:t>
            </w:r>
          </w:p>
        </w:tc>
        <w:tc>
          <w:tcPr>
            <w:tcW w:w="737" w:type="dxa"/>
            <w:vAlign w:val="center"/>
          </w:tcPr>
          <w:p w14:paraId="480E3FE8">
            <w:pPr>
              <w:jc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1</w:t>
            </w:r>
            <w:r>
              <w:rPr>
                <w:rFonts w:hint="eastAsia" w:ascii="Arial" w:hAnsi="Arial" w:cs="Arial"/>
                <w:color w:val="000000" w:themeColor="text1"/>
                <w:szCs w:val="21"/>
                <w:highlight w:val="none"/>
                <w14:textFill>
                  <w14:solidFill>
                    <w14:schemeClr w14:val="tx1"/>
                  </w14:solidFill>
                </w14:textFill>
              </w:rPr>
              <w:t>8</w:t>
            </w:r>
          </w:p>
        </w:tc>
        <w:tc>
          <w:tcPr>
            <w:tcW w:w="2154" w:type="dxa"/>
          </w:tcPr>
          <w:p w14:paraId="65B677C1">
            <w:pPr>
              <w:autoSpaceDE w:val="0"/>
              <w:autoSpaceDN w:val="0"/>
              <w:spacing w:before="78" w:line="240" w:lineRule="atLeast"/>
              <w:ind w:right="-20"/>
              <w:rPr>
                <w:rFonts w:ascii="Arial" w:hAnsi="Arial"/>
                <w:color w:val="000000" w:themeColor="text1"/>
                <w:szCs w:val="21"/>
                <w:highlight w:val="none"/>
                <w14:textFill>
                  <w14:solidFill>
                    <w14:schemeClr w14:val="tx1"/>
                  </w14:solidFill>
                </w14:textFill>
              </w:rPr>
            </w:pPr>
            <w:r>
              <w:rPr>
                <w:rFonts w:hint="eastAsia" w:ascii="Arial" w:hAnsi="Arial"/>
                <w:color w:val="000000" w:themeColor="text1"/>
                <w:szCs w:val="21"/>
                <w:highlight w:val="none"/>
                <w14:textFill>
                  <w14:solidFill>
                    <w14:schemeClr w14:val="tx1"/>
                  </w14:solidFill>
                </w14:textFill>
              </w:rPr>
              <w:t>人员配置合理的得</w:t>
            </w:r>
            <w:r>
              <w:rPr>
                <w:rFonts w:ascii="Arial" w:hAnsi="Arial"/>
                <w:color w:val="000000" w:themeColor="text1"/>
                <w:szCs w:val="21"/>
                <w:highlight w:val="none"/>
                <w14:textFill>
                  <w14:solidFill>
                    <w14:schemeClr w14:val="tx1"/>
                  </w14:solidFill>
                </w14:textFill>
              </w:rPr>
              <w:t>4</w:t>
            </w:r>
            <w:r>
              <w:rPr>
                <w:rFonts w:hint="eastAsia" w:ascii="Arial" w:hAnsi="Arial"/>
                <w:color w:val="000000" w:themeColor="text1"/>
                <w:szCs w:val="21"/>
                <w:highlight w:val="none"/>
                <w14:textFill>
                  <w14:solidFill>
                    <w14:schemeClr w14:val="tx1"/>
                  </w14:solidFill>
                </w14:textFill>
              </w:rPr>
              <w:t>分；人员结构齐全的得</w:t>
            </w:r>
            <w:r>
              <w:rPr>
                <w:rFonts w:ascii="Arial" w:hAnsi="Arial"/>
                <w:color w:val="000000" w:themeColor="text1"/>
                <w:szCs w:val="21"/>
                <w:highlight w:val="none"/>
                <w14:textFill>
                  <w14:solidFill>
                    <w14:schemeClr w14:val="tx1"/>
                  </w14:solidFill>
                </w14:textFill>
              </w:rPr>
              <w:t>4</w:t>
            </w:r>
            <w:r>
              <w:rPr>
                <w:rFonts w:hint="eastAsia" w:ascii="Arial" w:hAnsi="Arial"/>
                <w:color w:val="000000" w:themeColor="text1"/>
                <w:szCs w:val="21"/>
                <w:highlight w:val="none"/>
                <w14:textFill>
                  <w14:solidFill>
                    <w14:schemeClr w14:val="tx1"/>
                  </w14:solidFill>
                </w14:textFill>
              </w:rPr>
              <w:t>分；主要负责人有类似工程施工履历的得</w:t>
            </w:r>
            <w:r>
              <w:rPr>
                <w:rFonts w:ascii="Arial" w:hAnsi="Arial"/>
                <w:color w:val="000000" w:themeColor="text1"/>
                <w:szCs w:val="21"/>
                <w:highlight w:val="none"/>
                <w14:textFill>
                  <w14:solidFill>
                    <w14:schemeClr w14:val="tx1"/>
                  </w14:solidFill>
                </w14:textFill>
              </w:rPr>
              <w:t>5</w:t>
            </w:r>
            <w:r>
              <w:rPr>
                <w:rFonts w:hint="eastAsia" w:ascii="Arial" w:hAnsi="Arial"/>
                <w:color w:val="000000" w:themeColor="text1"/>
                <w:szCs w:val="21"/>
                <w:highlight w:val="none"/>
                <w14:textFill>
                  <w14:solidFill>
                    <w14:schemeClr w14:val="tx1"/>
                  </w14:solidFill>
                </w14:textFill>
              </w:rPr>
              <w:t>分；主要人员持证情况得</w:t>
            </w:r>
            <w:r>
              <w:rPr>
                <w:rFonts w:ascii="Arial" w:hAnsi="Arial"/>
                <w:color w:val="000000" w:themeColor="text1"/>
                <w:szCs w:val="21"/>
                <w:highlight w:val="none"/>
                <w14:textFill>
                  <w14:solidFill>
                    <w14:schemeClr w14:val="tx1"/>
                  </w14:solidFill>
                </w14:textFill>
              </w:rPr>
              <w:t>5</w:t>
            </w:r>
            <w:r>
              <w:rPr>
                <w:rFonts w:hint="eastAsia" w:ascii="Arial" w:hAnsi="Arial"/>
                <w:color w:val="000000" w:themeColor="text1"/>
                <w:szCs w:val="21"/>
                <w:highlight w:val="none"/>
                <w14:textFill>
                  <w14:solidFill>
                    <w14:schemeClr w14:val="tx1"/>
                  </w14:solidFill>
                </w14:textFill>
              </w:rPr>
              <w:t>分。否则不得分</w:t>
            </w:r>
          </w:p>
        </w:tc>
        <w:tc>
          <w:tcPr>
            <w:tcW w:w="2891" w:type="dxa"/>
            <w:tcBorders>
              <w:right w:val="single" w:color="auto" w:sz="4" w:space="0"/>
            </w:tcBorders>
            <w:vAlign w:val="center"/>
          </w:tcPr>
          <w:p w14:paraId="241D041A">
            <w:pPr>
              <w:spacing w:line="240" w:lineRule="atLeast"/>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人员配置：</w:t>
            </w:r>
          </w:p>
          <w:p w14:paraId="08331CE2">
            <w:pPr>
              <w:spacing w:line="240" w:lineRule="atLeast"/>
              <w:rPr>
                <w:rFonts w:ascii="Arial" w:hAnsi="Arial"/>
                <w:color w:val="000000" w:themeColor="text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合  理</w:t>
            </w:r>
            <w:r>
              <w:rPr>
                <w:rFonts w:hint="eastAsia" w:ascii="Arial" w:hAnsi="Arial"/>
                <w:color w:val="000000" w:themeColor="text1"/>
                <w:highlight w:val="none"/>
                <w14:textFill>
                  <w14:solidFill>
                    <w14:schemeClr w14:val="tx1"/>
                  </w14:solidFill>
                </w14:textFill>
              </w:rPr>
              <w:t>□    不合理□</w:t>
            </w:r>
          </w:p>
          <w:p w14:paraId="2BE7CFDD">
            <w:pPr>
              <w:spacing w:line="240" w:lineRule="atLeast"/>
              <w:rPr>
                <w:rFonts w:ascii="Arial" w:hAnsi="Arial"/>
                <w:color w:val="000000" w:themeColor="text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齐  全□    不齐全□</w:t>
            </w:r>
          </w:p>
          <w:p w14:paraId="771E08E1">
            <w:pPr>
              <w:spacing w:line="240" w:lineRule="atLeast"/>
              <w:rPr>
                <w:rFonts w:ascii="Arial" w:hAnsi="Arial"/>
                <w:color w:val="000000" w:themeColor="text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有  证□    无  证□</w:t>
            </w:r>
          </w:p>
          <w:p w14:paraId="56479766">
            <w:pPr>
              <w:spacing w:line="240" w:lineRule="atLeast"/>
              <w:rPr>
                <w:rFonts w:ascii="Arial" w:hAnsi="Arial" w:cs="Arial"/>
                <w:color w:val="000000" w:themeColor="text1"/>
                <w:szCs w:val="2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施工经验    有□无□</w:t>
            </w:r>
          </w:p>
        </w:tc>
        <w:tc>
          <w:tcPr>
            <w:tcW w:w="793" w:type="dxa"/>
            <w:tcBorders>
              <w:left w:val="single" w:color="auto" w:sz="4" w:space="0"/>
            </w:tcBorders>
            <w:vAlign w:val="center"/>
          </w:tcPr>
          <w:p w14:paraId="1388010B">
            <w:pPr>
              <w:spacing w:line="240" w:lineRule="atLeast"/>
              <w:rPr>
                <w:rFonts w:ascii="Arial" w:hAnsi="Arial" w:cs="Arial"/>
                <w:color w:val="000000" w:themeColor="text1"/>
                <w:szCs w:val="21"/>
                <w:highlight w:val="none"/>
                <w14:textFill>
                  <w14:solidFill>
                    <w14:schemeClr w14:val="tx1"/>
                  </w14:solidFill>
                </w14:textFill>
              </w:rPr>
            </w:pPr>
          </w:p>
        </w:tc>
      </w:tr>
      <w:tr w14:paraId="11E6B24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05" w:hRule="atLeast"/>
          <w:jc w:val="center"/>
        </w:trPr>
        <w:tc>
          <w:tcPr>
            <w:tcW w:w="555" w:type="dxa"/>
            <w:vAlign w:val="center"/>
          </w:tcPr>
          <w:p w14:paraId="10755616">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3</w:t>
            </w:r>
          </w:p>
        </w:tc>
        <w:tc>
          <w:tcPr>
            <w:tcW w:w="1980" w:type="dxa"/>
            <w:vAlign w:val="center"/>
          </w:tcPr>
          <w:p w14:paraId="00744198">
            <w:pPr>
              <w:widowControl/>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有无业绩及相关证明材料</w:t>
            </w:r>
          </w:p>
        </w:tc>
        <w:tc>
          <w:tcPr>
            <w:tcW w:w="737" w:type="dxa"/>
            <w:vAlign w:val="center"/>
          </w:tcPr>
          <w:p w14:paraId="07050F28">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30</w:t>
            </w:r>
          </w:p>
        </w:tc>
        <w:tc>
          <w:tcPr>
            <w:tcW w:w="2154" w:type="dxa"/>
            <w:vAlign w:val="center"/>
          </w:tcPr>
          <w:p w14:paraId="68232814">
            <w:pPr>
              <w:spacing w:line="240" w:lineRule="atLeast"/>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业绩少的得10分；业绩一般的得20分；业绩多的得30分。无业绩或无业绩证明材料的不得分。</w:t>
            </w:r>
          </w:p>
        </w:tc>
        <w:tc>
          <w:tcPr>
            <w:tcW w:w="2891" w:type="dxa"/>
            <w:tcBorders>
              <w:right w:val="single" w:color="auto" w:sz="4" w:space="0"/>
            </w:tcBorders>
            <w:vAlign w:val="center"/>
          </w:tcPr>
          <w:p w14:paraId="27C57599">
            <w:pPr>
              <w:spacing w:line="240" w:lineRule="atLeast"/>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业绩资料：</w:t>
            </w:r>
          </w:p>
          <w:p w14:paraId="5D3D4725">
            <w:pPr>
              <w:spacing w:line="240" w:lineRule="atLeast"/>
              <w:rPr>
                <w:rFonts w:ascii="Arial" w:hAnsi="Arial"/>
                <w:color w:val="000000" w:themeColor="text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很多</w:t>
            </w:r>
            <w:r>
              <w:rPr>
                <w:rFonts w:hint="eastAsia" w:ascii="Arial" w:hAnsi="Arial"/>
                <w:color w:val="000000" w:themeColor="text1"/>
                <w:highlight w:val="none"/>
                <w14:textFill>
                  <w14:solidFill>
                    <w14:schemeClr w14:val="tx1"/>
                  </w14:solidFill>
                </w14:textFill>
              </w:rPr>
              <w:t xml:space="preserve">□    一般□  </w:t>
            </w:r>
          </w:p>
          <w:p w14:paraId="12DF4B1C">
            <w:pPr>
              <w:spacing w:line="240" w:lineRule="atLeast"/>
              <w:rPr>
                <w:rFonts w:ascii="Arial" w:hAnsi="Arial" w:cs="Arial"/>
                <w:color w:val="000000" w:themeColor="text1"/>
                <w:szCs w:val="2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很少□      无□</w:t>
            </w:r>
          </w:p>
        </w:tc>
        <w:tc>
          <w:tcPr>
            <w:tcW w:w="793" w:type="dxa"/>
            <w:tcBorders>
              <w:left w:val="single" w:color="auto" w:sz="4" w:space="0"/>
            </w:tcBorders>
            <w:vAlign w:val="center"/>
          </w:tcPr>
          <w:p w14:paraId="1B511D88">
            <w:pPr>
              <w:spacing w:line="240" w:lineRule="atLeast"/>
              <w:rPr>
                <w:rFonts w:ascii="Arial" w:hAnsi="Arial" w:cs="Arial"/>
                <w:color w:val="000000" w:themeColor="text1"/>
                <w:szCs w:val="21"/>
                <w:highlight w:val="none"/>
                <w14:textFill>
                  <w14:solidFill>
                    <w14:schemeClr w14:val="tx1"/>
                  </w14:solidFill>
                </w14:textFill>
              </w:rPr>
            </w:pPr>
          </w:p>
        </w:tc>
      </w:tr>
      <w:tr w14:paraId="7DCF7D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05" w:hRule="atLeast"/>
          <w:jc w:val="center"/>
        </w:trPr>
        <w:tc>
          <w:tcPr>
            <w:tcW w:w="555" w:type="dxa"/>
            <w:vAlign w:val="center"/>
          </w:tcPr>
          <w:p w14:paraId="5A519598">
            <w:pPr>
              <w:jc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4</w:t>
            </w:r>
          </w:p>
        </w:tc>
        <w:tc>
          <w:tcPr>
            <w:tcW w:w="1980" w:type="dxa"/>
            <w:vAlign w:val="center"/>
          </w:tcPr>
          <w:p w14:paraId="06E4DF95">
            <w:pPr>
              <w:widowControl/>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与我单位或中建系统是否有合作经历</w:t>
            </w:r>
          </w:p>
        </w:tc>
        <w:tc>
          <w:tcPr>
            <w:tcW w:w="737" w:type="dxa"/>
            <w:vAlign w:val="center"/>
          </w:tcPr>
          <w:p w14:paraId="1562182B">
            <w:pPr>
              <w:jc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2</w:t>
            </w:r>
            <w:r>
              <w:rPr>
                <w:rFonts w:hint="eastAsia" w:ascii="Arial" w:hAnsi="Arial" w:cs="Arial"/>
                <w:color w:val="000000" w:themeColor="text1"/>
                <w:szCs w:val="21"/>
                <w:highlight w:val="none"/>
                <w14:textFill>
                  <w14:solidFill>
                    <w14:schemeClr w14:val="tx1"/>
                  </w14:solidFill>
                </w14:textFill>
              </w:rPr>
              <w:t>0</w:t>
            </w:r>
          </w:p>
        </w:tc>
        <w:tc>
          <w:tcPr>
            <w:tcW w:w="2154" w:type="dxa"/>
            <w:vAlign w:val="center"/>
          </w:tcPr>
          <w:p w14:paraId="6F45F692">
            <w:pPr>
              <w:widowControl/>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与我单位有合作经历的加5分；与中建系统其他单位有合作经历的加5分；合作次数&gt;</w:t>
            </w:r>
            <w:r>
              <w:rPr>
                <w:rFonts w:ascii="Arial" w:hAnsi="Arial" w:cs="Arial"/>
                <w:bCs/>
                <w:color w:val="000000" w:themeColor="text1"/>
                <w:szCs w:val="21"/>
                <w:highlight w:val="none"/>
                <w14:textFill>
                  <w14:solidFill>
                    <w14:schemeClr w14:val="tx1"/>
                  </w14:solidFill>
                </w14:textFill>
              </w:rPr>
              <w:t>1</w:t>
            </w:r>
            <w:r>
              <w:rPr>
                <w:rFonts w:hint="eastAsia" w:ascii="Arial" w:hAnsi="Arial" w:cs="Arial"/>
                <w:bCs/>
                <w:color w:val="000000" w:themeColor="text1"/>
                <w:szCs w:val="21"/>
                <w:highlight w:val="none"/>
                <w14:textFill>
                  <w14:solidFill>
                    <w14:schemeClr w14:val="tx1"/>
                  </w14:solidFill>
                </w14:textFill>
              </w:rPr>
              <w:t>次时，每增加一次加5分，两方面均有合作可同时加分。无合作的不加分。</w:t>
            </w:r>
          </w:p>
        </w:tc>
        <w:tc>
          <w:tcPr>
            <w:tcW w:w="2891" w:type="dxa"/>
            <w:tcBorders>
              <w:right w:val="single" w:color="auto" w:sz="4" w:space="0"/>
            </w:tcBorders>
            <w:vAlign w:val="center"/>
          </w:tcPr>
          <w:p w14:paraId="6A112DC8">
            <w:pPr>
              <w:spacing w:line="240" w:lineRule="atLeast"/>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合作经历：</w:t>
            </w:r>
          </w:p>
          <w:p w14:paraId="30163D7B">
            <w:pPr>
              <w:spacing w:line="240" w:lineRule="atLeast"/>
              <w:rPr>
                <w:rFonts w:ascii="Arial" w:hAnsi="Arial"/>
                <w:color w:val="000000" w:themeColor="text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与我单位：有</w:t>
            </w:r>
            <w:r>
              <w:rPr>
                <w:rFonts w:hint="eastAsia" w:ascii="Arial" w:hAnsi="Arial"/>
                <w:color w:val="000000" w:themeColor="text1"/>
                <w:highlight w:val="none"/>
                <w14:textFill>
                  <w14:solidFill>
                    <w14:schemeClr w14:val="tx1"/>
                  </w14:solidFill>
                </w14:textFill>
              </w:rPr>
              <w:t>□  无□</w:t>
            </w:r>
          </w:p>
          <w:p w14:paraId="604159C5">
            <w:pPr>
              <w:spacing w:line="240" w:lineRule="atLeast"/>
              <w:rPr>
                <w:rFonts w:ascii="Arial" w:hAnsi="Arial" w:cs="Arial"/>
                <w:color w:val="000000" w:themeColor="text1"/>
                <w:szCs w:val="2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与中建系统：</w:t>
            </w:r>
            <w:r>
              <w:rPr>
                <w:rFonts w:hint="eastAsia" w:ascii="Arial" w:hAnsi="Arial" w:cs="Arial"/>
                <w:color w:val="000000" w:themeColor="text1"/>
                <w:szCs w:val="21"/>
                <w:highlight w:val="none"/>
                <w14:textFill>
                  <w14:solidFill>
                    <w14:schemeClr w14:val="tx1"/>
                  </w14:solidFill>
                </w14:textFill>
              </w:rPr>
              <w:t>有</w:t>
            </w:r>
            <w:r>
              <w:rPr>
                <w:rFonts w:hint="eastAsia" w:ascii="Arial" w:hAnsi="Arial"/>
                <w:color w:val="000000" w:themeColor="text1"/>
                <w:highlight w:val="none"/>
                <w14:textFill>
                  <w14:solidFill>
                    <w14:schemeClr w14:val="tx1"/>
                  </w14:solidFill>
                </w14:textFill>
              </w:rPr>
              <w:t>□  无□</w:t>
            </w:r>
          </w:p>
        </w:tc>
        <w:tc>
          <w:tcPr>
            <w:tcW w:w="793" w:type="dxa"/>
            <w:tcBorders>
              <w:left w:val="single" w:color="auto" w:sz="4" w:space="0"/>
            </w:tcBorders>
            <w:vAlign w:val="center"/>
          </w:tcPr>
          <w:p w14:paraId="461DBC59">
            <w:pPr>
              <w:spacing w:line="240" w:lineRule="atLeast"/>
              <w:rPr>
                <w:rFonts w:ascii="Arial" w:hAnsi="Arial" w:cs="Arial"/>
                <w:color w:val="000000" w:themeColor="text1"/>
                <w:szCs w:val="21"/>
                <w:highlight w:val="none"/>
                <w14:textFill>
                  <w14:solidFill>
                    <w14:schemeClr w14:val="tx1"/>
                  </w14:solidFill>
                </w14:textFill>
              </w:rPr>
            </w:pPr>
          </w:p>
        </w:tc>
      </w:tr>
      <w:tr w14:paraId="184C960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20" w:hRule="atLeast"/>
          <w:jc w:val="center"/>
        </w:trPr>
        <w:tc>
          <w:tcPr>
            <w:tcW w:w="555" w:type="dxa"/>
            <w:vAlign w:val="center"/>
          </w:tcPr>
          <w:p w14:paraId="1C17D2F1">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5</w:t>
            </w:r>
          </w:p>
        </w:tc>
        <w:tc>
          <w:tcPr>
            <w:tcW w:w="1980" w:type="dxa"/>
            <w:vAlign w:val="center"/>
          </w:tcPr>
          <w:p w14:paraId="59043733">
            <w:pP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信誉是否良好</w:t>
            </w:r>
          </w:p>
        </w:tc>
        <w:tc>
          <w:tcPr>
            <w:tcW w:w="737" w:type="dxa"/>
            <w:vAlign w:val="center"/>
          </w:tcPr>
          <w:p w14:paraId="11C67C97">
            <w:pPr>
              <w:jc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2</w:t>
            </w:r>
            <w:r>
              <w:rPr>
                <w:rFonts w:hint="eastAsia" w:ascii="Arial" w:hAnsi="Arial" w:cs="Arial"/>
                <w:color w:val="000000" w:themeColor="text1"/>
                <w:szCs w:val="21"/>
                <w:highlight w:val="none"/>
                <w14:textFill>
                  <w14:solidFill>
                    <w14:schemeClr w14:val="tx1"/>
                  </w14:solidFill>
                </w14:textFill>
              </w:rPr>
              <w:t>0</w:t>
            </w:r>
          </w:p>
        </w:tc>
        <w:tc>
          <w:tcPr>
            <w:tcW w:w="2154" w:type="dxa"/>
          </w:tcPr>
          <w:p w14:paraId="06A67743">
            <w:pPr>
              <w:autoSpaceDE w:val="0"/>
              <w:autoSpaceDN w:val="0"/>
              <w:spacing w:before="78" w:line="240" w:lineRule="atLeast"/>
              <w:ind w:right="-20"/>
              <w:rPr>
                <w:rFonts w:ascii="Arial" w:hAnsi="Arial"/>
                <w:color w:val="000000" w:themeColor="text1"/>
                <w:szCs w:val="21"/>
                <w:highlight w:val="none"/>
                <w14:textFill>
                  <w14:solidFill>
                    <w14:schemeClr w14:val="tx1"/>
                  </w14:solidFill>
                </w14:textFill>
              </w:rPr>
            </w:pPr>
            <w:r>
              <w:rPr>
                <w:rFonts w:hint="eastAsia" w:ascii="Arial" w:hAnsi="Arial"/>
                <w:color w:val="000000" w:themeColor="text1"/>
                <w:szCs w:val="21"/>
                <w:highlight w:val="none"/>
                <w14:textFill>
                  <w14:solidFill>
                    <w14:schemeClr w14:val="tx1"/>
                  </w14:solidFill>
                </w14:textFill>
              </w:rPr>
              <w:t>在上年度在中建系统内部评为优质分供商的得20分，在我单位信用评价等级中逐级减</w:t>
            </w:r>
            <w:r>
              <w:rPr>
                <w:rFonts w:ascii="Arial" w:hAnsi="Arial"/>
                <w:color w:val="000000" w:themeColor="text1"/>
                <w:szCs w:val="21"/>
                <w:highlight w:val="none"/>
                <w14:textFill>
                  <w14:solidFill>
                    <w14:schemeClr w14:val="tx1"/>
                  </w14:solidFill>
                </w14:textFill>
              </w:rPr>
              <w:t>5</w:t>
            </w:r>
            <w:r>
              <w:rPr>
                <w:rFonts w:hint="eastAsia" w:ascii="Arial" w:hAnsi="Arial"/>
                <w:color w:val="000000" w:themeColor="text1"/>
                <w:szCs w:val="21"/>
                <w:highlight w:val="none"/>
                <w14:textFill>
                  <w14:solidFill>
                    <w14:schemeClr w14:val="tx1"/>
                  </w14:solidFill>
                </w14:textFill>
              </w:rPr>
              <w:t>分（即</w:t>
            </w:r>
            <w:r>
              <w:rPr>
                <w:rFonts w:ascii="Arial" w:hAnsi="Arial"/>
                <w:color w:val="000000" w:themeColor="text1"/>
                <w:szCs w:val="21"/>
                <w:highlight w:val="none"/>
                <w14:textFill>
                  <w14:solidFill>
                    <w14:schemeClr w14:val="tx1"/>
                  </w14:solidFill>
                </w14:textFill>
              </w:rPr>
              <w:t>AA</w:t>
            </w:r>
            <w:r>
              <w:rPr>
                <w:rFonts w:hint="eastAsia" w:ascii="Arial" w:hAnsi="Arial"/>
                <w:color w:val="000000" w:themeColor="text1"/>
                <w:szCs w:val="21"/>
                <w:highlight w:val="none"/>
                <w14:textFill>
                  <w14:solidFill>
                    <w14:schemeClr w14:val="tx1"/>
                  </w14:solidFill>
                </w14:textFill>
              </w:rPr>
              <w:t>级得2</w:t>
            </w:r>
            <w:r>
              <w:rPr>
                <w:rFonts w:ascii="Arial" w:hAnsi="Arial"/>
                <w:color w:val="000000" w:themeColor="text1"/>
                <w:szCs w:val="21"/>
                <w:highlight w:val="none"/>
                <w14:textFill>
                  <w14:solidFill>
                    <w14:schemeClr w14:val="tx1"/>
                  </w14:solidFill>
                </w14:textFill>
              </w:rPr>
              <w:t>0</w:t>
            </w:r>
            <w:r>
              <w:rPr>
                <w:rFonts w:hint="eastAsia" w:ascii="Arial" w:hAnsi="Arial"/>
                <w:color w:val="000000" w:themeColor="text1"/>
                <w:szCs w:val="21"/>
                <w:highlight w:val="none"/>
                <w14:textFill>
                  <w14:solidFill>
                    <w14:schemeClr w14:val="tx1"/>
                  </w14:solidFill>
                </w14:textFill>
              </w:rPr>
              <w:t>分，</w:t>
            </w:r>
            <w:r>
              <w:rPr>
                <w:rFonts w:ascii="Arial" w:hAnsi="Arial"/>
                <w:color w:val="000000" w:themeColor="text1"/>
                <w:szCs w:val="21"/>
                <w:highlight w:val="none"/>
                <w14:textFill>
                  <w14:solidFill>
                    <w14:schemeClr w14:val="tx1"/>
                  </w14:solidFill>
                </w14:textFill>
              </w:rPr>
              <w:t>C</w:t>
            </w:r>
            <w:r>
              <w:rPr>
                <w:rFonts w:hint="eastAsia" w:ascii="Arial" w:hAnsi="Arial"/>
                <w:color w:val="000000" w:themeColor="text1"/>
                <w:szCs w:val="21"/>
                <w:highlight w:val="none"/>
                <w14:textFill>
                  <w14:solidFill>
                    <w14:schemeClr w14:val="tx1"/>
                  </w14:solidFill>
                </w14:textFill>
              </w:rPr>
              <w:t>级得5分），首次合作或其他情况得</w:t>
            </w:r>
            <w:r>
              <w:rPr>
                <w:rFonts w:ascii="Arial" w:hAnsi="Arial"/>
                <w:color w:val="000000" w:themeColor="text1"/>
                <w:szCs w:val="21"/>
                <w:highlight w:val="none"/>
                <w14:textFill>
                  <w14:solidFill>
                    <w14:schemeClr w14:val="tx1"/>
                  </w14:solidFill>
                </w14:textFill>
              </w:rPr>
              <w:t>10</w:t>
            </w:r>
            <w:r>
              <w:rPr>
                <w:rFonts w:hint="eastAsia" w:ascii="Arial" w:hAnsi="Arial"/>
                <w:color w:val="000000" w:themeColor="text1"/>
                <w:szCs w:val="21"/>
                <w:highlight w:val="none"/>
                <w14:textFill>
                  <w14:solidFill>
                    <w14:schemeClr w14:val="tx1"/>
                  </w14:solidFill>
                </w14:textFill>
              </w:rPr>
              <w:t>分。</w:t>
            </w:r>
          </w:p>
        </w:tc>
        <w:tc>
          <w:tcPr>
            <w:tcW w:w="2891" w:type="dxa"/>
            <w:tcBorders>
              <w:right w:val="single" w:color="auto" w:sz="4" w:space="0"/>
            </w:tcBorders>
            <w:vAlign w:val="center"/>
          </w:tcPr>
          <w:p w14:paraId="3B3A06FA">
            <w:pPr>
              <w:spacing w:line="240" w:lineRule="atLeast"/>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信誉：</w:t>
            </w:r>
          </w:p>
          <w:p w14:paraId="3C2A8328">
            <w:pPr>
              <w:spacing w:line="240" w:lineRule="atLeast"/>
              <w:rPr>
                <w:rFonts w:ascii="Arial" w:hAnsi="Arial" w:cs="Arial"/>
                <w:b/>
                <w:color w:val="000000" w:themeColor="text1"/>
                <w:szCs w:val="2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优质□   其他□</w:t>
            </w:r>
          </w:p>
        </w:tc>
        <w:tc>
          <w:tcPr>
            <w:tcW w:w="793" w:type="dxa"/>
            <w:tcBorders>
              <w:left w:val="single" w:color="auto" w:sz="4" w:space="0"/>
            </w:tcBorders>
            <w:vAlign w:val="center"/>
          </w:tcPr>
          <w:p w14:paraId="45F6634F">
            <w:pPr>
              <w:spacing w:line="240" w:lineRule="atLeast"/>
              <w:rPr>
                <w:rFonts w:ascii="Arial" w:hAnsi="Arial" w:cs="Arial"/>
                <w:color w:val="000000" w:themeColor="text1"/>
                <w:szCs w:val="21"/>
                <w:highlight w:val="none"/>
                <w14:textFill>
                  <w14:solidFill>
                    <w14:schemeClr w14:val="tx1"/>
                  </w14:solidFill>
                </w14:textFill>
              </w:rPr>
            </w:pPr>
          </w:p>
        </w:tc>
      </w:tr>
      <w:tr w14:paraId="429971B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20" w:hRule="atLeast"/>
          <w:jc w:val="center"/>
        </w:trPr>
        <w:tc>
          <w:tcPr>
            <w:tcW w:w="555" w:type="dxa"/>
            <w:vAlign w:val="center"/>
          </w:tcPr>
          <w:p w14:paraId="4D238911">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6</w:t>
            </w:r>
          </w:p>
        </w:tc>
        <w:tc>
          <w:tcPr>
            <w:tcW w:w="1980" w:type="dxa"/>
            <w:vAlign w:val="center"/>
          </w:tcPr>
          <w:p w14:paraId="674E2FCF">
            <w:pP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垫资能力及其他优惠条件</w:t>
            </w:r>
          </w:p>
        </w:tc>
        <w:tc>
          <w:tcPr>
            <w:tcW w:w="737" w:type="dxa"/>
            <w:vAlign w:val="center"/>
          </w:tcPr>
          <w:p w14:paraId="3D8D01D9">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加分项</w:t>
            </w:r>
          </w:p>
        </w:tc>
        <w:tc>
          <w:tcPr>
            <w:tcW w:w="2154" w:type="dxa"/>
          </w:tcPr>
          <w:p w14:paraId="658CC004">
            <w:pPr>
              <w:autoSpaceDE w:val="0"/>
              <w:autoSpaceDN w:val="0"/>
              <w:spacing w:before="78" w:line="240" w:lineRule="atLeast"/>
              <w:ind w:right="-20"/>
              <w:rPr>
                <w:rFonts w:ascii="Arial" w:hAnsi="Arial"/>
                <w:color w:val="000000" w:themeColor="text1"/>
                <w:szCs w:val="21"/>
                <w:highlight w:val="none"/>
                <w14:textFill>
                  <w14:solidFill>
                    <w14:schemeClr w14:val="tx1"/>
                  </w14:solidFill>
                </w14:textFill>
              </w:rPr>
            </w:pPr>
            <w:r>
              <w:rPr>
                <w:rFonts w:hint="eastAsia" w:ascii="Arial" w:hAnsi="Arial"/>
                <w:color w:val="000000" w:themeColor="text1"/>
                <w:szCs w:val="21"/>
                <w:highlight w:val="none"/>
                <w14:textFill>
                  <w14:solidFill>
                    <w14:schemeClr w14:val="tx1"/>
                  </w14:solidFill>
                </w14:textFill>
              </w:rPr>
              <w:t>根据响应单位提供的承诺给与一定的加分，上限20分（百分制）</w:t>
            </w:r>
          </w:p>
        </w:tc>
        <w:tc>
          <w:tcPr>
            <w:tcW w:w="2891" w:type="dxa"/>
            <w:tcBorders>
              <w:right w:val="single" w:color="auto" w:sz="4" w:space="0"/>
            </w:tcBorders>
            <w:vAlign w:val="center"/>
          </w:tcPr>
          <w:p w14:paraId="63AF3FA7">
            <w:pPr>
              <w:spacing w:line="240" w:lineRule="atLeast"/>
              <w:rPr>
                <w:rFonts w:ascii="Arial" w:hAnsi="Arial"/>
                <w:color w:val="000000" w:themeColor="text1"/>
                <w:highlight w:val="none"/>
                <w14:textFill>
                  <w14:solidFill>
                    <w14:schemeClr w14:val="tx1"/>
                  </w14:solidFill>
                </w14:textFill>
              </w:rPr>
            </w:pPr>
          </w:p>
        </w:tc>
        <w:tc>
          <w:tcPr>
            <w:tcW w:w="793" w:type="dxa"/>
            <w:tcBorders>
              <w:left w:val="single" w:color="auto" w:sz="4" w:space="0"/>
            </w:tcBorders>
            <w:vAlign w:val="center"/>
          </w:tcPr>
          <w:p w14:paraId="5529E094">
            <w:pPr>
              <w:jc w:val="center"/>
              <w:rPr>
                <w:rFonts w:ascii="Arial" w:hAnsi="Arial" w:cs="Arial"/>
                <w:color w:val="000000" w:themeColor="text1"/>
                <w:szCs w:val="21"/>
                <w:highlight w:val="none"/>
                <w14:textFill>
                  <w14:solidFill>
                    <w14:schemeClr w14:val="tx1"/>
                  </w14:solidFill>
                </w14:textFill>
              </w:rPr>
            </w:pPr>
          </w:p>
        </w:tc>
      </w:tr>
      <w:tr w14:paraId="621CA5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5426" w:type="dxa"/>
            <w:gridSpan w:val="4"/>
            <w:vAlign w:val="center"/>
          </w:tcPr>
          <w:p w14:paraId="13AC8586">
            <w:pPr>
              <w:jc w:val="center"/>
              <w:rPr>
                <w:rFonts w:ascii="Arial" w:hAnsi="Arial" w:cs="宋体"/>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合 计（100）</w:t>
            </w:r>
          </w:p>
        </w:tc>
        <w:tc>
          <w:tcPr>
            <w:tcW w:w="3684" w:type="dxa"/>
            <w:gridSpan w:val="2"/>
            <w:vAlign w:val="center"/>
          </w:tcPr>
          <w:p w14:paraId="5C8B2BD0">
            <w:pPr>
              <w:rPr>
                <w:rFonts w:ascii="Arial" w:hAnsi="Arial" w:cs="Arial"/>
                <w:bCs/>
                <w:color w:val="000000" w:themeColor="text1"/>
                <w:szCs w:val="21"/>
                <w:highlight w:val="none"/>
                <w14:textFill>
                  <w14:solidFill>
                    <w14:schemeClr w14:val="tx1"/>
                  </w14:solidFill>
                </w14:textFill>
              </w:rPr>
            </w:pPr>
          </w:p>
        </w:tc>
      </w:tr>
    </w:tbl>
    <w:p w14:paraId="7FF2D40D">
      <w:pPr>
        <w:spacing w:line="360" w:lineRule="auto"/>
        <w:rPr>
          <w:rFonts w:hint="eastAsia" w:hAnsi="宋体"/>
          <w:color w:val="000000" w:themeColor="text1"/>
          <w:sz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t>附表</w:t>
      </w:r>
      <w:r>
        <w:rPr>
          <w:rFonts w:hint="eastAsia" w:hAnsi="宋体"/>
          <w:color w:val="000000" w:themeColor="text1"/>
          <w:sz w:val="24"/>
          <w:highlight w:val="none"/>
          <w14:textFill>
            <w14:solidFill>
              <w14:schemeClr w14:val="tx1"/>
            </w14:solidFill>
          </w14:textFill>
        </w:rPr>
        <w:t>2</w:t>
      </w:r>
    </w:p>
    <w:p w14:paraId="21BDFBDF">
      <w:pPr>
        <w:jc w:val="center"/>
        <w:rPr>
          <w:rFonts w:hint="eastAsia" w:hAnsi="宋体"/>
          <w:b/>
          <w:color w:val="000000" w:themeColor="text1"/>
          <w:sz w:val="24"/>
          <w:highlight w:val="none"/>
          <w14:textFill>
            <w14:solidFill>
              <w14:schemeClr w14:val="tx1"/>
            </w14:solidFill>
          </w14:textFill>
        </w:rPr>
      </w:pPr>
      <w:r>
        <w:rPr>
          <w:rFonts w:hint="eastAsia" w:hAnsi="宋体"/>
          <w:b/>
          <w:color w:val="000000" w:themeColor="text1"/>
          <w:sz w:val="24"/>
          <w:highlight w:val="none"/>
          <w14:textFill>
            <w14:solidFill>
              <w14:schemeClr w14:val="tx1"/>
            </w14:solidFill>
          </w14:textFill>
        </w:rPr>
        <w:t>施工</w:t>
      </w:r>
      <w:r>
        <w:rPr>
          <w:rFonts w:hAnsi="宋体"/>
          <w:b/>
          <w:color w:val="000000" w:themeColor="text1"/>
          <w:sz w:val="24"/>
          <w:highlight w:val="none"/>
          <w14:textFill>
            <w14:solidFill>
              <w14:schemeClr w14:val="tx1"/>
            </w14:solidFill>
          </w14:textFill>
        </w:rPr>
        <w:t>技术</w:t>
      </w:r>
      <w:r>
        <w:rPr>
          <w:rFonts w:hint="eastAsia" w:hAnsi="宋体"/>
          <w:b/>
          <w:color w:val="000000" w:themeColor="text1"/>
          <w:sz w:val="24"/>
          <w:highlight w:val="none"/>
          <w14:textFill>
            <w14:solidFill>
              <w14:schemeClr w14:val="tx1"/>
            </w14:solidFill>
          </w14:textFill>
        </w:rPr>
        <w:t>方案</w:t>
      </w:r>
      <w:r>
        <w:rPr>
          <w:rFonts w:hAnsi="宋体"/>
          <w:b/>
          <w:color w:val="000000" w:themeColor="text1"/>
          <w:sz w:val="24"/>
          <w:highlight w:val="none"/>
          <w14:textFill>
            <w14:solidFill>
              <w14:schemeClr w14:val="tx1"/>
            </w14:solidFill>
          </w14:textFill>
        </w:rPr>
        <w:t>评分表</w:t>
      </w:r>
    </w:p>
    <w:p w14:paraId="10746B50">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响应单位名称：</w:t>
      </w:r>
    </w:p>
    <w:tbl>
      <w:tblPr>
        <w:tblStyle w:val="31"/>
        <w:tblW w:w="955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72"/>
        <w:gridCol w:w="1593"/>
        <w:gridCol w:w="871"/>
        <w:gridCol w:w="4068"/>
        <w:gridCol w:w="1110"/>
        <w:gridCol w:w="1139"/>
      </w:tblGrid>
      <w:tr w14:paraId="0D42F32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41" w:hRule="atLeast"/>
          <w:tblHeader/>
          <w:jc w:val="center"/>
        </w:trPr>
        <w:tc>
          <w:tcPr>
            <w:tcW w:w="772" w:type="dxa"/>
            <w:vMerge w:val="restart"/>
            <w:vAlign w:val="center"/>
          </w:tcPr>
          <w:p w14:paraId="5D45929C">
            <w:pPr>
              <w:jc w:val="center"/>
              <w:rPr>
                <w:rFonts w:ascii="Arial" w:hAnsi="Arial" w:cs="Arial"/>
                <w:b/>
                <w:color w:val="000000" w:themeColor="text1"/>
                <w:szCs w:val="21"/>
                <w:highlight w:val="none"/>
                <w14:textFill>
                  <w14:solidFill>
                    <w14:schemeClr w14:val="tx1"/>
                  </w14:solidFill>
                </w14:textFill>
              </w:rPr>
            </w:pPr>
            <w:r>
              <w:rPr>
                <w:rFonts w:ascii="Arial" w:hAnsi="Arial" w:cs="Arial"/>
                <w:b/>
                <w:color w:val="000000" w:themeColor="text1"/>
                <w:szCs w:val="21"/>
                <w:highlight w:val="none"/>
                <w14:textFill>
                  <w14:solidFill>
                    <w14:schemeClr w14:val="tx1"/>
                  </w14:solidFill>
                </w14:textFill>
              </w:rPr>
              <w:t>序号</w:t>
            </w:r>
          </w:p>
        </w:tc>
        <w:tc>
          <w:tcPr>
            <w:tcW w:w="1593" w:type="dxa"/>
            <w:vMerge w:val="restart"/>
            <w:vAlign w:val="center"/>
          </w:tcPr>
          <w:p w14:paraId="51164D80">
            <w:pPr>
              <w:jc w:val="center"/>
              <w:rPr>
                <w:rFonts w:ascii="Arial" w:hAnsi="Arial" w:cs="Arial"/>
                <w:b/>
                <w:color w:val="000000" w:themeColor="text1"/>
                <w:szCs w:val="21"/>
                <w:highlight w:val="none"/>
                <w14:textFill>
                  <w14:solidFill>
                    <w14:schemeClr w14:val="tx1"/>
                  </w14:solidFill>
                </w14:textFill>
              </w:rPr>
            </w:pPr>
            <w:r>
              <w:rPr>
                <w:rFonts w:ascii="Arial" w:hAnsi="Arial" w:cs="Arial"/>
                <w:b/>
                <w:color w:val="000000" w:themeColor="text1"/>
                <w:szCs w:val="21"/>
                <w:highlight w:val="none"/>
                <w14:textFill>
                  <w14:solidFill>
                    <w14:schemeClr w14:val="tx1"/>
                  </w14:solidFill>
                </w14:textFill>
              </w:rPr>
              <w:t>评分项目</w:t>
            </w:r>
          </w:p>
        </w:tc>
        <w:tc>
          <w:tcPr>
            <w:tcW w:w="871" w:type="dxa"/>
            <w:vMerge w:val="restart"/>
            <w:vAlign w:val="center"/>
          </w:tcPr>
          <w:p w14:paraId="5FA817BE">
            <w:pPr>
              <w:jc w:val="center"/>
              <w:rPr>
                <w:rFonts w:ascii="Arial" w:hAnsi="Arial" w:cs="Arial"/>
                <w:b/>
                <w:color w:val="000000" w:themeColor="text1"/>
                <w:szCs w:val="21"/>
                <w:highlight w:val="none"/>
                <w14:textFill>
                  <w14:solidFill>
                    <w14:schemeClr w14:val="tx1"/>
                  </w14:solidFill>
                </w14:textFill>
              </w:rPr>
            </w:pPr>
            <w:r>
              <w:rPr>
                <w:rFonts w:hint="eastAsia" w:ascii="Arial" w:hAnsi="Arial" w:cs="Arial"/>
                <w:b/>
                <w:color w:val="000000" w:themeColor="text1"/>
                <w:szCs w:val="21"/>
                <w:highlight w:val="none"/>
                <w14:textFill>
                  <w14:solidFill>
                    <w14:schemeClr w14:val="tx1"/>
                  </w14:solidFill>
                </w14:textFill>
              </w:rPr>
              <w:t>满</w:t>
            </w:r>
            <w:r>
              <w:rPr>
                <w:rFonts w:ascii="Arial" w:hAnsi="Arial" w:cs="Arial"/>
                <w:b/>
                <w:color w:val="000000" w:themeColor="text1"/>
                <w:szCs w:val="21"/>
                <w:highlight w:val="none"/>
                <w14:textFill>
                  <w14:solidFill>
                    <w14:schemeClr w14:val="tx1"/>
                  </w14:solidFill>
                </w14:textFill>
              </w:rPr>
              <w:t>分</w:t>
            </w:r>
          </w:p>
        </w:tc>
        <w:tc>
          <w:tcPr>
            <w:tcW w:w="4068" w:type="dxa"/>
            <w:vMerge w:val="restart"/>
            <w:vAlign w:val="center"/>
          </w:tcPr>
          <w:p w14:paraId="4EA3B19C">
            <w:pPr>
              <w:jc w:val="center"/>
              <w:rPr>
                <w:rFonts w:ascii="Arial" w:hAnsi="Arial" w:cs="Arial"/>
                <w:b/>
                <w:color w:val="000000" w:themeColor="text1"/>
                <w:szCs w:val="21"/>
                <w:highlight w:val="none"/>
                <w14:textFill>
                  <w14:solidFill>
                    <w14:schemeClr w14:val="tx1"/>
                  </w14:solidFill>
                </w14:textFill>
              </w:rPr>
            </w:pPr>
            <w:r>
              <w:rPr>
                <w:rFonts w:ascii="Arial" w:hAnsi="Arial" w:cs="Arial"/>
                <w:b/>
                <w:color w:val="000000" w:themeColor="text1"/>
                <w:szCs w:val="21"/>
                <w:highlight w:val="none"/>
                <w14:textFill>
                  <w14:solidFill>
                    <w14:schemeClr w14:val="tx1"/>
                  </w14:solidFill>
                </w14:textFill>
              </w:rPr>
              <w:t>评分标准</w:t>
            </w:r>
          </w:p>
        </w:tc>
        <w:tc>
          <w:tcPr>
            <w:tcW w:w="1110" w:type="dxa"/>
            <w:vMerge w:val="restart"/>
            <w:tcBorders>
              <w:right w:val="single" w:color="auto" w:sz="4" w:space="0"/>
            </w:tcBorders>
            <w:vAlign w:val="center"/>
          </w:tcPr>
          <w:p w14:paraId="78E1827D">
            <w:pPr>
              <w:jc w:val="center"/>
              <w:rPr>
                <w:rFonts w:ascii="Arial" w:hAnsi="Arial" w:cs="Arial"/>
                <w:b/>
                <w:color w:val="000000" w:themeColor="text1"/>
                <w:szCs w:val="21"/>
                <w:highlight w:val="none"/>
                <w14:textFill>
                  <w14:solidFill>
                    <w14:schemeClr w14:val="tx1"/>
                  </w14:solidFill>
                </w14:textFill>
              </w:rPr>
            </w:pPr>
            <w:r>
              <w:rPr>
                <w:rFonts w:hint="eastAsia" w:ascii="Arial" w:hAnsi="Arial" w:cs="Arial"/>
                <w:b/>
                <w:color w:val="000000" w:themeColor="text1"/>
                <w:szCs w:val="21"/>
                <w:highlight w:val="none"/>
                <w14:textFill>
                  <w14:solidFill>
                    <w14:schemeClr w14:val="tx1"/>
                  </w14:solidFill>
                </w14:textFill>
              </w:rPr>
              <w:t>选择分值</w:t>
            </w:r>
          </w:p>
        </w:tc>
        <w:tc>
          <w:tcPr>
            <w:tcW w:w="1139" w:type="dxa"/>
            <w:vMerge w:val="restart"/>
            <w:tcBorders>
              <w:left w:val="single" w:color="auto" w:sz="4" w:space="0"/>
            </w:tcBorders>
            <w:vAlign w:val="center"/>
          </w:tcPr>
          <w:p w14:paraId="7E57E6EC">
            <w:pPr>
              <w:jc w:val="center"/>
              <w:rPr>
                <w:rFonts w:ascii="Arial" w:hAnsi="Arial" w:cs="Arial"/>
                <w:b/>
                <w:color w:val="000000" w:themeColor="text1"/>
                <w:szCs w:val="21"/>
                <w:highlight w:val="none"/>
                <w14:textFill>
                  <w14:solidFill>
                    <w14:schemeClr w14:val="tx1"/>
                  </w14:solidFill>
                </w14:textFill>
              </w:rPr>
            </w:pPr>
            <w:r>
              <w:rPr>
                <w:rFonts w:hint="eastAsia" w:ascii="Arial" w:hAnsi="Arial" w:cs="Arial"/>
                <w:b/>
                <w:color w:val="000000" w:themeColor="text1"/>
                <w:szCs w:val="21"/>
                <w:highlight w:val="none"/>
                <w14:textFill>
                  <w14:solidFill>
                    <w14:schemeClr w14:val="tx1"/>
                  </w14:solidFill>
                </w14:textFill>
              </w:rPr>
              <w:t>得分</w:t>
            </w:r>
          </w:p>
        </w:tc>
      </w:tr>
      <w:tr w14:paraId="203230D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41" w:hRule="atLeast"/>
          <w:tblHeader/>
          <w:jc w:val="center"/>
        </w:trPr>
        <w:tc>
          <w:tcPr>
            <w:tcW w:w="772" w:type="dxa"/>
            <w:vMerge w:val="continue"/>
            <w:vAlign w:val="center"/>
          </w:tcPr>
          <w:p w14:paraId="5C761B84">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3A0A91B0">
            <w:pPr>
              <w:jc w:val="center"/>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4283D4A5">
            <w:pPr>
              <w:jc w:val="center"/>
              <w:rPr>
                <w:rFonts w:ascii="Arial" w:hAnsi="Arial" w:cs="Arial"/>
                <w:color w:val="000000" w:themeColor="text1"/>
                <w:szCs w:val="21"/>
                <w:highlight w:val="none"/>
                <w14:textFill>
                  <w14:solidFill>
                    <w14:schemeClr w14:val="tx1"/>
                  </w14:solidFill>
                </w14:textFill>
              </w:rPr>
            </w:pPr>
          </w:p>
        </w:tc>
        <w:tc>
          <w:tcPr>
            <w:tcW w:w="4068" w:type="dxa"/>
            <w:vMerge w:val="continue"/>
            <w:vAlign w:val="center"/>
          </w:tcPr>
          <w:p w14:paraId="56819143">
            <w:pPr>
              <w:jc w:val="center"/>
              <w:rPr>
                <w:rFonts w:ascii="Arial" w:hAnsi="Arial" w:cs="Arial"/>
                <w:color w:val="000000" w:themeColor="text1"/>
                <w:szCs w:val="21"/>
                <w:highlight w:val="none"/>
                <w14:textFill>
                  <w14:solidFill>
                    <w14:schemeClr w14:val="tx1"/>
                  </w14:solidFill>
                </w14:textFill>
              </w:rPr>
            </w:pPr>
          </w:p>
        </w:tc>
        <w:tc>
          <w:tcPr>
            <w:tcW w:w="1110" w:type="dxa"/>
            <w:vMerge w:val="continue"/>
            <w:tcBorders>
              <w:right w:val="single" w:color="auto" w:sz="4" w:space="0"/>
            </w:tcBorders>
            <w:vAlign w:val="center"/>
          </w:tcPr>
          <w:p w14:paraId="43AE9094">
            <w:pPr>
              <w:jc w:val="center"/>
              <w:rPr>
                <w:rFonts w:ascii="Arial" w:hAnsi="Arial" w:cs="Arial"/>
                <w:color w:val="000000" w:themeColor="text1"/>
                <w:szCs w:val="21"/>
                <w:highlight w:val="none"/>
                <w14:textFill>
                  <w14:solidFill>
                    <w14:schemeClr w14:val="tx1"/>
                  </w14:solidFill>
                </w14:textFill>
              </w:rPr>
            </w:pPr>
          </w:p>
        </w:tc>
        <w:tc>
          <w:tcPr>
            <w:tcW w:w="1139" w:type="dxa"/>
            <w:vMerge w:val="continue"/>
            <w:tcBorders>
              <w:left w:val="single" w:color="auto" w:sz="4" w:space="0"/>
            </w:tcBorders>
            <w:vAlign w:val="center"/>
          </w:tcPr>
          <w:p w14:paraId="1AED646C">
            <w:pPr>
              <w:rPr>
                <w:rFonts w:ascii="Arial" w:hAnsi="Arial" w:cs="Arial"/>
                <w:color w:val="000000" w:themeColor="text1"/>
                <w:szCs w:val="21"/>
                <w:highlight w:val="none"/>
                <w14:textFill>
                  <w14:solidFill>
                    <w14:schemeClr w14:val="tx1"/>
                  </w14:solidFill>
                </w14:textFill>
              </w:rPr>
            </w:pPr>
          </w:p>
        </w:tc>
      </w:tr>
      <w:tr w14:paraId="25C2C4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40897FE0">
            <w:pPr>
              <w:jc w:val="center"/>
              <w:rPr>
                <w:rFonts w:ascii="Arial" w:hAnsi="Arial" w:cs="Arial"/>
                <w:color w:val="000000" w:themeColor="text1"/>
                <w:szCs w:val="21"/>
                <w:highlight w:val="none"/>
                <w14:textFill>
                  <w14:solidFill>
                    <w14:schemeClr w14:val="tx1"/>
                  </w14:solidFill>
                </w14:textFill>
              </w:rPr>
            </w:pPr>
            <w:bookmarkStart w:id="1689" w:name="OLE_LINK1" w:colFirst="1" w:colLast="2"/>
            <w:bookmarkStart w:id="1690" w:name="OLE_LINK2" w:colFirst="1" w:colLast="2"/>
            <w:bookmarkStart w:id="1691" w:name="_Hlk240252769"/>
            <w:r>
              <w:rPr>
                <w:rFonts w:hint="eastAsia" w:ascii="Arial" w:hAnsi="Arial" w:cs="Arial"/>
                <w:color w:val="000000" w:themeColor="text1"/>
                <w:szCs w:val="21"/>
                <w:highlight w:val="none"/>
                <w14:textFill>
                  <w14:solidFill>
                    <w14:schemeClr w14:val="tx1"/>
                  </w14:solidFill>
                </w14:textFill>
              </w:rPr>
              <w:t>1</w:t>
            </w:r>
          </w:p>
        </w:tc>
        <w:tc>
          <w:tcPr>
            <w:tcW w:w="1593" w:type="dxa"/>
            <w:vMerge w:val="restart"/>
            <w:vAlign w:val="center"/>
          </w:tcPr>
          <w:p w14:paraId="75FB9C4C">
            <w:pPr>
              <w:rPr>
                <w:rFonts w:ascii="Arial" w:hAnsi="Arial" w:cs="Arial"/>
                <w:bCs/>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主要施工方案</w:t>
            </w:r>
            <w:r>
              <w:rPr>
                <w:rFonts w:hint="eastAsia" w:ascii="Arial" w:hAnsi="Arial" w:cs="Arial"/>
                <w:color w:val="000000" w:themeColor="text1"/>
                <w:szCs w:val="21"/>
                <w:highlight w:val="none"/>
                <w14:textFill>
                  <w14:solidFill>
                    <w14:schemeClr w14:val="tx1"/>
                  </w14:solidFill>
                </w14:textFill>
              </w:rPr>
              <w:t>和技术措施</w:t>
            </w:r>
          </w:p>
        </w:tc>
        <w:tc>
          <w:tcPr>
            <w:tcW w:w="871" w:type="dxa"/>
            <w:vMerge w:val="restart"/>
            <w:vAlign w:val="center"/>
          </w:tcPr>
          <w:p w14:paraId="50A80D57">
            <w:pPr>
              <w:autoSpaceDE w:val="0"/>
              <w:autoSpaceDN w:val="0"/>
              <w:jc w:val="center"/>
              <w:rPr>
                <w:rFonts w:ascii="Arial" w:hAnsi="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20</w:t>
            </w:r>
          </w:p>
        </w:tc>
        <w:tc>
          <w:tcPr>
            <w:tcW w:w="4068" w:type="dxa"/>
            <w:vAlign w:val="center"/>
          </w:tcPr>
          <w:p w14:paraId="5A1494A7">
            <w:pP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全面且针对性强，难点、重点把握准确，</w:t>
            </w:r>
            <w:r>
              <w:rPr>
                <w:rFonts w:ascii="Arial" w:hAnsi="Arial" w:cs="Arial"/>
                <w:color w:val="000000" w:themeColor="text1"/>
                <w:szCs w:val="21"/>
                <w:highlight w:val="none"/>
                <w14:textFill>
                  <w14:solidFill>
                    <w14:schemeClr w14:val="tx1"/>
                  </w14:solidFill>
                </w14:textFill>
              </w:rPr>
              <w:t>措施</w:t>
            </w:r>
            <w:r>
              <w:rPr>
                <w:rFonts w:hint="eastAsia" w:ascii="Arial" w:hAnsi="Arial" w:cs="Arial"/>
                <w:color w:val="000000" w:themeColor="text1"/>
                <w:szCs w:val="21"/>
                <w:highlight w:val="none"/>
                <w14:textFill>
                  <w14:solidFill>
                    <w14:schemeClr w14:val="tx1"/>
                  </w14:solidFill>
                </w14:textFill>
              </w:rPr>
              <w:t>先进、可靠实用</w:t>
            </w:r>
          </w:p>
        </w:tc>
        <w:tc>
          <w:tcPr>
            <w:tcW w:w="1110" w:type="dxa"/>
            <w:tcBorders>
              <w:right w:val="single" w:color="auto" w:sz="4" w:space="0"/>
            </w:tcBorders>
            <w:vAlign w:val="center"/>
          </w:tcPr>
          <w:p w14:paraId="6297A089">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20</w:t>
            </w:r>
          </w:p>
        </w:tc>
        <w:tc>
          <w:tcPr>
            <w:tcW w:w="1139" w:type="dxa"/>
            <w:vMerge w:val="restart"/>
            <w:tcBorders>
              <w:left w:val="single" w:color="auto" w:sz="4" w:space="0"/>
            </w:tcBorders>
            <w:vAlign w:val="center"/>
          </w:tcPr>
          <w:p w14:paraId="6DF687C0">
            <w:pPr>
              <w:rPr>
                <w:rFonts w:ascii="Arial" w:hAnsi="Arial" w:cs="Arial"/>
                <w:color w:val="000000" w:themeColor="text1"/>
                <w:szCs w:val="21"/>
                <w:highlight w:val="none"/>
                <w14:textFill>
                  <w14:solidFill>
                    <w14:schemeClr w14:val="tx1"/>
                  </w14:solidFill>
                </w14:textFill>
              </w:rPr>
            </w:pPr>
          </w:p>
        </w:tc>
      </w:tr>
      <w:tr w14:paraId="546B82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3C026765">
            <w:pPr>
              <w:widowControl/>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43455446">
            <w:pPr>
              <w:widowControl/>
              <w:rPr>
                <w:rFonts w:ascii="Arial" w:hAnsi="Arial" w:cs="Arial"/>
                <w:color w:val="000000" w:themeColor="text1"/>
                <w:szCs w:val="21"/>
                <w:highlight w:val="none"/>
                <w14:textFill>
                  <w14:solidFill>
                    <w14:schemeClr w14:val="tx1"/>
                  </w14:solidFill>
                </w14:textFill>
              </w:rPr>
            </w:pPr>
          </w:p>
        </w:tc>
        <w:tc>
          <w:tcPr>
            <w:tcW w:w="871" w:type="dxa"/>
            <w:vMerge w:val="continue"/>
          </w:tcPr>
          <w:p w14:paraId="55BEDF50">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1689F0C2">
            <w:pP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较全面针对性较强，难点、重点把握较准确，</w:t>
            </w:r>
            <w:r>
              <w:rPr>
                <w:rFonts w:ascii="Arial" w:hAnsi="Arial" w:cs="Arial"/>
                <w:color w:val="000000" w:themeColor="text1"/>
                <w:szCs w:val="21"/>
                <w:highlight w:val="none"/>
                <w14:textFill>
                  <w14:solidFill>
                    <w14:schemeClr w14:val="tx1"/>
                  </w14:solidFill>
                </w14:textFill>
              </w:rPr>
              <w:t>措施</w:t>
            </w:r>
            <w:r>
              <w:rPr>
                <w:rFonts w:hint="eastAsia" w:ascii="Arial" w:hAnsi="Arial" w:cs="Arial"/>
                <w:color w:val="000000" w:themeColor="text1"/>
                <w:szCs w:val="21"/>
                <w:highlight w:val="none"/>
                <w14:textFill>
                  <w14:solidFill>
                    <w14:schemeClr w14:val="tx1"/>
                  </w14:solidFill>
                </w14:textFill>
              </w:rPr>
              <w:t>较先进、较可靠实用</w:t>
            </w:r>
          </w:p>
        </w:tc>
        <w:tc>
          <w:tcPr>
            <w:tcW w:w="1110" w:type="dxa"/>
            <w:tcBorders>
              <w:right w:val="single" w:color="auto" w:sz="4" w:space="0"/>
            </w:tcBorders>
            <w:vAlign w:val="center"/>
          </w:tcPr>
          <w:p w14:paraId="44E5FD25">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15</w:t>
            </w:r>
          </w:p>
        </w:tc>
        <w:tc>
          <w:tcPr>
            <w:tcW w:w="1139" w:type="dxa"/>
            <w:vMerge w:val="continue"/>
            <w:tcBorders>
              <w:left w:val="single" w:color="auto" w:sz="4" w:space="0"/>
            </w:tcBorders>
            <w:vAlign w:val="center"/>
          </w:tcPr>
          <w:p w14:paraId="462D56E6">
            <w:pPr>
              <w:rPr>
                <w:rFonts w:ascii="Arial" w:hAnsi="Arial" w:cs="Arial"/>
                <w:color w:val="000000" w:themeColor="text1"/>
                <w:szCs w:val="21"/>
                <w:highlight w:val="none"/>
                <w14:textFill>
                  <w14:solidFill>
                    <w14:schemeClr w14:val="tx1"/>
                  </w14:solidFill>
                </w14:textFill>
              </w:rPr>
            </w:pPr>
          </w:p>
        </w:tc>
      </w:tr>
      <w:bookmarkEnd w:id="1689"/>
      <w:bookmarkEnd w:id="1690"/>
      <w:bookmarkEnd w:id="1691"/>
      <w:tr w14:paraId="31F19AD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3B8BBCD5">
            <w:pPr>
              <w:widowControl/>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7AD80A52">
            <w:pPr>
              <w:widowControl/>
              <w:rPr>
                <w:rFonts w:ascii="Arial" w:hAnsi="Arial" w:cs="Arial"/>
                <w:color w:val="000000" w:themeColor="text1"/>
                <w:szCs w:val="21"/>
                <w:highlight w:val="none"/>
                <w14:textFill>
                  <w14:solidFill>
                    <w14:schemeClr w14:val="tx1"/>
                  </w14:solidFill>
                </w14:textFill>
              </w:rPr>
            </w:pPr>
          </w:p>
        </w:tc>
        <w:tc>
          <w:tcPr>
            <w:tcW w:w="871" w:type="dxa"/>
            <w:vMerge w:val="continue"/>
          </w:tcPr>
          <w:p w14:paraId="4D10EEEA">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1DAA5C0E">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针对性</w:t>
            </w:r>
            <w:r>
              <w:rPr>
                <w:rFonts w:ascii="Arial" w:hAnsi="Arial" w:cs="Arial"/>
                <w:color w:val="000000" w:themeColor="text1"/>
                <w:szCs w:val="21"/>
                <w:highlight w:val="none"/>
                <w14:textFill>
                  <w14:solidFill>
                    <w14:schemeClr w14:val="tx1"/>
                  </w14:solidFill>
                </w14:textFill>
              </w:rPr>
              <w:t>一般</w:t>
            </w:r>
            <w:r>
              <w:rPr>
                <w:rFonts w:hint="eastAsia" w:ascii="Arial" w:hAnsi="Arial" w:cs="Arial"/>
                <w:color w:val="000000" w:themeColor="text1"/>
                <w:szCs w:val="21"/>
                <w:highlight w:val="none"/>
                <w14:textFill>
                  <w14:solidFill>
                    <w14:schemeClr w14:val="tx1"/>
                  </w14:solidFill>
                </w14:textFill>
              </w:rPr>
              <w:t>，</w:t>
            </w:r>
            <w:r>
              <w:rPr>
                <w:rFonts w:ascii="Arial" w:hAnsi="Arial" w:cs="Arial"/>
                <w:color w:val="000000" w:themeColor="text1"/>
                <w:szCs w:val="21"/>
                <w:highlight w:val="none"/>
                <w14:textFill>
                  <w14:solidFill>
                    <w14:schemeClr w14:val="tx1"/>
                  </w14:solidFill>
                </w14:textFill>
              </w:rPr>
              <w:t>技术措施</w:t>
            </w:r>
            <w:r>
              <w:rPr>
                <w:rFonts w:hint="eastAsia" w:ascii="Arial" w:hAnsi="Arial" w:cs="Arial"/>
                <w:color w:val="000000" w:themeColor="text1"/>
                <w:szCs w:val="21"/>
                <w:highlight w:val="none"/>
                <w14:textFill>
                  <w14:solidFill>
                    <w14:schemeClr w14:val="tx1"/>
                  </w14:solidFill>
                </w14:textFill>
              </w:rPr>
              <w:t>可行</w:t>
            </w:r>
          </w:p>
        </w:tc>
        <w:tc>
          <w:tcPr>
            <w:tcW w:w="1110" w:type="dxa"/>
            <w:tcBorders>
              <w:right w:val="single" w:color="auto" w:sz="4" w:space="0"/>
            </w:tcBorders>
            <w:vAlign w:val="center"/>
          </w:tcPr>
          <w:p w14:paraId="2B9A3EC8">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10</w:t>
            </w:r>
          </w:p>
        </w:tc>
        <w:tc>
          <w:tcPr>
            <w:tcW w:w="1139" w:type="dxa"/>
            <w:vMerge w:val="continue"/>
            <w:tcBorders>
              <w:left w:val="single" w:color="auto" w:sz="4" w:space="0"/>
            </w:tcBorders>
            <w:vAlign w:val="center"/>
          </w:tcPr>
          <w:p w14:paraId="57675340">
            <w:pPr>
              <w:spacing w:line="240" w:lineRule="atLeast"/>
              <w:rPr>
                <w:rFonts w:ascii="Arial" w:hAnsi="Arial" w:cs="Arial"/>
                <w:color w:val="000000" w:themeColor="text1"/>
                <w:szCs w:val="21"/>
                <w:highlight w:val="none"/>
                <w14:textFill>
                  <w14:solidFill>
                    <w14:schemeClr w14:val="tx1"/>
                  </w14:solidFill>
                </w14:textFill>
              </w:rPr>
            </w:pPr>
          </w:p>
        </w:tc>
      </w:tr>
      <w:tr w14:paraId="1474BE7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CCED73F">
            <w:pPr>
              <w:widowControl/>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46243FE3">
            <w:pPr>
              <w:widowControl/>
              <w:rPr>
                <w:rFonts w:ascii="Arial" w:hAnsi="Arial" w:cs="Arial"/>
                <w:color w:val="000000" w:themeColor="text1"/>
                <w:szCs w:val="21"/>
                <w:highlight w:val="none"/>
                <w14:textFill>
                  <w14:solidFill>
                    <w14:schemeClr w14:val="tx1"/>
                  </w14:solidFill>
                </w14:textFill>
              </w:rPr>
            </w:pPr>
          </w:p>
        </w:tc>
        <w:tc>
          <w:tcPr>
            <w:tcW w:w="871" w:type="dxa"/>
            <w:vMerge w:val="continue"/>
          </w:tcPr>
          <w:p w14:paraId="77B3C38C">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4661DB21">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针对性不强，</w:t>
            </w:r>
            <w:r>
              <w:rPr>
                <w:rFonts w:ascii="Arial" w:hAnsi="Arial" w:cs="Arial"/>
                <w:color w:val="000000" w:themeColor="text1"/>
                <w:szCs w:val="21"/>
                <w:highlight w:val="none"/>
                <w14:textFill>
                  <w14:solidFill>
                    <w14:schemeClr w14:val="tx1"/>
                  </w14:solidFill>
                </w14:textFill>
              </w:rPr>
              <w:t>技术措施</w:t>
            </w:r>
            <w:r>
              <w:rPr>
                <w:rFonts w:hint="eastAsia" w:ascii="Arial" w:hAnsi="Arial" w:cs="Arial"/>
                <w:color w:val="000000" w:themeColor="text1"/>
                <w:szCs w:val="21"/>
                <w:highlight w:val="none"/>
                <w14:textFill>
                  <w14:solidFill>
                    <w14:schemeClr w14:val="tx1"/>
                  </w14:solidFill>
                </w14:textFill>
              </w:rPr>
              <w:t>较差</w:t>
            </w:r>
          </w:p>
        </w:tc>
        <w:tc>
          <w:tcPr>
            <w:tcW w:w="1110" w:type="dxa"/>
            <w:tcBorders>
              <w:right w:val="single" w:color="auto" w:sz="4" w:space="0"/>
            </w:tcBorders>
            <w:vAlign w:val="center"/>
          </w:tcPr>
          <w:p w14:paraId="332051D6">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5</w:t>
            </w:r>
          </w:p>
        </w:tc>
        <w:tc>
          <w:tcPr>
            <w:tcW w:w="1139" w:type="dxa"/>
            <w:vMerge w:val="continue"/>
            <w:tcBorders>
              <w:left w:val="single" w:color="auto" w:sz="4" w:space="0"/>
            </w:tcBorders>
            <w:vAlign w:val="center"/>
          </w:tcPr>
          <w:p w14:paraId="79F05834">
            <w:pPr>
              <w:spacing w:line="240" w:lineRule="atLeast"/>
              <w:rPr>
                <w:rFonts w:ascii="Arial" w:hAnsi="Arial" w:cs="Arial"/>
                <w:color w:val="000000" w:themeColor="text1"/>
                <w:szCs w:val="21"/>
                <w:highlight w:val="none"/>
                <w14:textFill>
                  <w14:solidFill>
                    <w14:schemeClr w14:val="tx1"/>
                  </w14:solidFill>
                </w14:textFill>
              </w:rPr>
            </w:pPr>
          </w:p>
        </w:tc>
      </w:tr>
      <w:tr w14:paraId="444DC5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5DBB097B">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w:t>
            </w:r>
          </w:p>
        </w:tc>
        <w:tc>
          <w:tcPr>
            <w:tcW w:w="1593" w:type="dxa"/>
            <w:vMerge w:val="restart"/>
            <w:vAlign w:val="center"/>
          </w:tcPr>
          <w:p w14:paraId="6B67AD5D">
            <w:pPr>
              <w:rPr>
                <w:rFonts w:ascii="Arial" w:hAnsi="Arial" w:cs="Arial"/>
                <w:bCs/>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质量保证</w:t>
            </w:r>
            <w:r>
              <w:rPr>
                <w:rFonts w:hint="eastAsia" w:ascii="Arial" w:hAnsi="Arial" w:cs="Arial"/>
                <w:color w:val="000000" w:themeColor="text1"/>
                <w:szCs w:val="21"/>
                <w:highlight w:val="none"/>
                <w14:textFill>
                  <w14:solidFill>
                    <w14:schemeClr w14:val="tx1"/>
                  </w14:solidFill>
                </w14:textFill>
              </w:rPr>
              <w:t>及</w:t>
            </w:r>
            <w:r>
              <w:rPr>
                <w:rFonts w:ascii="Arial" w:hAnsi="Arial" w:cs="Arial"/>
                <w:color w:val="000000" w:themeColor="text1"/>
                <w:szCs w:val="21"/>
                <w:highlight w:val="none"/>
                <w14:textFill>
                  <w14:solidFill>
                    <w14:schemeClr w14:val="tx1"/>
                  </w14:solidFill>
                </w14:textFill>
              </w:rPr>
              <w:t>措施</w:t>
            </w:r>
          </w:p>
        </w:tc>
        <w:tc>
          <w:tcPr>
            <w:tcW w:w="871" w:type="dxa"/>
            <w:vMerge w:val="restart"/>
            <w:vAlign w:val="center"/>
          </w:tcPr>
          <w:p w14:paraId="0372C864">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14</w:t>
            </w:r>
          </w:p>
        </w:tc>
        <w:tc>
          <w:tcPr>
            <w:tcW w:w="4068" w:type="dxa"/>
            <w:vAlign w:val="center"/>
          </w:tcPr>
          <w:p w14:paraId="657E64B1">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措施</w:t>
            </w:r>
            <w:r>
              <w:rPr>
                <w:rFonts w:hint="eastAsia" w:ascii="Arial" w:hAnsi="Arial" w:cs="Arial"/>
                <w:color w:val="000000" w:themeColor="text1"/>
                <w:szCs w:val="21"/>
                <w:highlight w:val="none"/>
                <w14:textFill>
                  <w14:solidFill>
                    <w14:schemeClr w14:val="tx1"/>
                  </w14:solidFill>
                </w14:textFill>
              </w:rPr>
              <w:t>合理，严谨周密、切实可行</w:t>
            </w:r>
          </w:p>
        </w:tc>
        <w:tc>
          <w:tcPr>
            <w:tcW w:w="1110" w:type="dxa"/>
            <w:tcBorders>
              <w:right w:val="single" w:color="auto" w:sz="4" w:space="0"/>
            </w:tcBorders>
            <w:vAlign w:val="center"/>
          </w:tcPr>
          <w:p w14:paraId="3CE9B544">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14</w:t>
            </w:r>
          </w:p>
        </w:tc>
        <w:tc>
          <w:tcPr>
            <w:tcW w:w="1139" w:type="dxa"/>
            <w:vMerge w:val="restart"/>
            <w:tcBorders>
              <w:left w:val="single" w:color="auto" w:sz="4" w:space="0"/>
            </w:tcBorders>
            <w:vAlign w:val="center"/>
          </w:tcPr>
          <w:p w14:paraId="6CDBB8CF">
            <w:pPr>
              <w:spacing w:line="240" w:lineRule="atLeast"/>
              <w:rPr>
                <w:rFonts w:ascii="Arial" w:hAnsi="Arial" w:cs="Arial"/>
                <w:color w:val="000000" w:themeColor="text1"/>
                <w:szCs w:val="21"/>
                <w:highlight w:val="none"/>
                <w14:textFill>
                  <w14:solidFill>
                    <w14:schemeClr w14:val="tx1"/>
                  </w14:solidFill>
                </w14:textFill>
              </w:rPr>
            </w:pPr>
          </w:p>
        </w:tc>
      </w:tr>
      <w:tr w14:paraId="32E233F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769E9357">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3C877AA0">
            <w:pPr>
              <w:rPr>
                <w:rFonts w:ascii="Arial" w:hAnsi="Arial" w:cs="Arial"/>
                <w:bCs/>
                <w:color w:val="000000" w:themeColor="text1"/>
                <w:szCs w:val="21"/>
                <w:highlight w:val="none"/>
                <w14:textFill>
                  <w14:solidFill>
                    <w14:schemeClr w14:val="tx1"/>
                  </w14:solidFill>
                </w14:textFill>
              </w:rPr>
            </w:pPr>
          </w:p>
        </w:tc>
        <w:tc>
          <w:tcPr>
            <w:tcW w:w="871" w:type="dxa"/>
            <w:vMerge w:val="continue"/>
            <w:vAlign w:val="center"/>
          </w:tcPr>
          <w:p w14:paraId="34781615">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7DF3E1D1">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措施</w:t>
            </w:r>
            <w:r>
              <w:rPr>
                <w:rFonts w:hint="eastAsia" w:ascii="Arial" w:hAnsi="Arial" w:cs="Arial"/>
                <w:color w:val="000000" w:themeColor="text1"/>
                <w:szCs w:val="21"/>
                <w:highlight w:val="none"/>
                <w14:textFill>
                  <w14:solidFill>
                    <w14:schemeClr w14:val="tx1"/>
                  </w14:solidFill>
                </w14:textFill>
              </w:rPr>
              <w:t>较合理，较严谨周密、切实可行</w:t>
            </w:r>
          </w:p>
        </w:tc>
        <w:tc>
          <w:tcPr>
            <w:tcW w:w="1110" w:type="dxa"/>
            <w:tcBorders>
              <w:right w:val="single" w:color="auto" w:sz="4" w:space="0"/>
            </w:tcBorders>
            <w:vAlign w:val="center"/>
          </w:tcPr>
          <w:p w14:paraId="102B05FD">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10</w:t>
            </w:r>
          </w:p>
        </w:tc>
        <w:tc>
          <w:tcPr>
            <w:tcW w:w="1139" w:type="dxa"/>
            <w:vMerge w:val="continue"/>
            <w:tcBorders>
              <w:left w:val="single" w:color="auto" w:sz="4" w:space="0"/>
            </w:tcBorders>
            <w:vAlign w:val="center"/>
          </w:tcPr>
          <w:p w14:paraId="5D918683">
            <w:pPr>
              <w:spacing w:line="240" w:lineRule="atLeast"/>
              <w:rPr>
                <w:rFonts w:ascii="Arial" w:hAnsi="Arial" w:cs="Arial"/>
                <w:color w:val="000000" w:themeColor="text1"/>
                <w:szCs w:val="21"/>
                <w:highlight w:val="none"/>
                <w14:textFill>
                  <w14:solidFill>
                    <w14:schemeClr w14:val="tx1"/>
                  </w14:solidFill>
                </w14:textFill>
              </w:rPr>
            </w:pPr>
          </w:p>
        </w:tc>
      </w:tr>
      <w:tr w14:paraId="7DE8C3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AF18066">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0DD79CD4">
            <w:pPr>
              <w:rPr>
                <w:rFonts w:ascii="Arial" w:hAnsi="Arial" w:cs="Arial"/>
                <w:bCs/>
                <w:color w:val="000000" w:themeColor="text1"/>
                <w:szCs w:val="21"/>
                <w:highlight w:val="none"/>
                <w14:textFill>
                  <w14:solidFill>
                    <w14:schemeClr w14:val="tx1"/>
                  </w14:solidFill>
                </w14:textFill>
              </w:rPr>
            </w:pPr>
          </w:p>
        </w:tc>
        <w:tc>
          <w:tcPr>
            <w:tcW w:w="871" w:type="dxa"/>
            <w:vMerge w:val="continue"/>
            <w:vAlign w:val="center"/>
          </w:tcPr>
          <w:p w14:paraId="23A82757">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04FA0289">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措施</w:t>
            </w:r>
            <w:r>
              <w:rPr>
                <w:rFonts w:hint="eastAsia" w:ascii="Arial" w:hAnsi="Arial" w:cs="Arial"/>
                <w:color w:val="000000" w:themeColor="text1"/>
                <w:szCs w:val="21"/>
                <w:highlight w:val="none"/>
                <w14:textFill>
                  <w14:solidFill>
                    <w14:schemeClr w14:val="tx1"/>
                  </w14:solidFill>
                </w14:textFill>
              </w:rPr>
              <w:t>一般，</w:t>
            </w:r>
            <w:r>
              <w:rPr>
                <w:rFonts w:ascii="Arial" w:hAnsi="Arial" w:cs="Arial"/>
                <w:color w:val="000000" w:themeColor="text1"/>
                <w:szCs w:val="21"/>
                <w:highlight w:val="none"/>
                <w14:textFill>
                  <w14:solidFill>
                    <w14:schemeClr w14:val="tx1"/>
                  </w14:solidFill>
                </w14:textFill>
              </w:rPr>
              <w:t>计划</w:t>
            </w:r>
            <w:r>
              <w:rPr>
                <w:rFonts w:hint="eastAsia" w:ascii="Arial" w:hAnsi="Arial" w:cs="Arial"/>
                <w:color w:val="000000" w:themeColor="text1"/>
                <w:szCs w:val="21"/>
                <w:highlight w:val="none"/>
                <w14:textFill>
                  <w14:solidFill>
                    <w14:schemeClr w14:val="tx1"/>
                  </w14:solidFill>
                </w14:textFill>
              </w:rPr>
              <w:t>可行</w:t>
            </w:r>
          </w:p>
        </w:tc>
        <w:tc>
          <w:tcPr>
            <w:tcW w:w="1110" w:type="dxa"/>
            <w:tcBorders>
              <w:right w:val="single" w:color="auto" w:sz="4" w:space="0"/>
            </w:tcBorders>
            <w:vAlign w:val="center"/>
          </w:tcPr>
          <w:p w14:paraId="063FF1A7">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6</w:t>
            </w:r>
          </w:p>
        </w:tc>
        <w:tc>
          <w:tcPr>
            <w:tcW w:w="1139" w:type="dxa"/>
            <w:vMerge w:val="continue"/>
            <w:tcBorders>
              <w:left w:val="single" w:color="auto" w:sz="4" w:space="0"/>
            </w:tcBorders>
            <w:vAlign w:val="center"/>
          </w:tcPr>
          <w:p w14:paraId="5E2649C4">
            <w:pPr>
              <w:spacing w:line="240" w:lineRule="atLeast"/>
              <w:rPr>
                <w:rFonts w:ascii="Arial" w:hAnsi="Arial" w:cs="Arial"/>
                <w:color w:val="000000" w:themeColor="text1"/>
                <w:szCs w:val="21"/>
                <w:highlight w:val="none"/>
                <w14:textFill>
                  <w14:solidFill>
                    <w14:schemeClr w14:val="tx1"/>
                  </w14:solidFill>
                </w14:textFill>
              </w:rPr>
            </w:pPr>
          </w:p>
        </w:tc>
      </w:tr>
      <w:tr w14:paraId="7BB525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5A43419">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676F7E6B">
            <w:pPr>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3B51B8D2">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492C23FC">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措施</w:t>
            </w:r>
            <w:r>
              <w:rPr>
                <w:rFonts w:hint="eastAsia" w:ascii="Arial" w:hAnsi="Arial" w:cs="Arial"/>
                <w:color w:val="000000" w:themeColor="text1"/>
                <w:szCs w:val="21"/>
                <w:highlight w:val="none"/>
                <w14:textFill>
                  <w14:solidFill>
                    <w14:schemeClr w14:val="tx1"/>
                  </w14:solidFill>
                </w14:textFill>
              </w:rPr>
              <w:t>及</w:t>
            </w:r>
            <w:r>
              <w:rPr>
                <w:rFonts w:ascii="Arial" w:hAnsi="Arial" w:cs="Arial"/>
                <w:color w:val="000000" w:themeColor="text1"/>
                <w:szCs w:val="21"/>
                <w:highlight w:val="none"/>
                <w14:textFill>
                  <w14:solidFill>
                    <w14:schemeClr w14:val="tx1"/>
                  </w14:solidFill>
                </w14:textFill>
              </w:rPr>
              <w:t>计划</w:t>
            </w:r>
            <w:r>
              <w:rPr>
                <w:rFonts w:hint="eastAsia" w:ascii="Arial" w:hAnsi="Arial" w:cs="Arial"/>
                <w:color w:val="000000" w:themeColor="text1"/>
                <w:szCs w:val="21"/>
                <w:highlight w:val="none"/>
                <w14:textFill>
                  <w14:solidFill>
                    <w14:schemeClr w14:val="tx1"/>
                  </w14:solidFill>
                </w14:textFill>
              </w:rPr>
              <w:t>较差</w:t>
            </w:r>
          </w:p>
        </w:tc>
        <w:tc>
          <w:tcPr>
            <w:tcW w:w="1110" w:type="dxa"/>
            <w:tcBorders>
              <w:right w:val="single" w:color="auto" w:sz="4" w:space="0"/>
            </w:tcBorders>
            <w:vAlign w:val="center"/>
          </w:tcPr>
          <w:p w14:paraId="3D6D5044">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w:t>
            </w:r>
          </w:p>
        </w:tc>
        <w:tc>
          <w:tcPr>
            <w:tcW w:w="1139" w:type="dxa"/>
            <w:vMerge w:val="continue"/>
            <w:tcBorders>
              <w:left w:val="single" w:color="auto" w:sz="4" w:space="0"/>
            </w:tcBorders>
            <w:vAlign w:val="center"/>
          </w:tcPr>
          <w:p w14:paraId="25AD12C0">
            <w:pPr>
              <w:spacing w:line="240" w:lineRule="atLeast"/>
              <w:rPr>
                <w:rFonts w:ascii="Arial" w:hAnsi="Arial" w:cs="Arial"/>
                <w:color w:val="000000" w:themeColor="text1"/>
                <w:szCs w:val="21"/>
                <w:highlight w:val="none"/>
                <w14:textFill>
                  <w14:solidFill>
                    <w14:schemeClr w14:val="tx1"/>
                  </w14:solidFill>
                </w14:textFill>
              </w:rPr>
            </w:pPr>
          </w:p>
        </w:tc>
      </w:tr>
      <w:tr w14:paraId="26EA7D4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6F70FE61">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3</w:t>
            </w:r>
          </w:p>
        </w:tc>
        <w:tc>
          <w:tcPr>
            <w:tcW w:w="1593" w:type="dxa"/>
            <w:vMerge w:val="restart"/>
            <w:vAlign w:val="center"/>
          </w:tcPr>
          <w:p w14:paraId="5CDBC34D">
            <w:pPr>
              <w:widowControl/>
              <w:rPr>
                <w:rFonts w:ascii="Arial" w:hAnsi="Arial" w:cs="Arial"/>
                <w:bCs/>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进度计划及保障措施</w:t>
            </w:r>
            <w:r>
              <w:rPr>
                <w:rFonts w:hint="eastAsia" w:ascii="Arial" w:hAnsi="Arial" w:cs="Arial"/>
                <w:color w:val="000000" w:themeColor="text1"/>
                <w:szCs w:val="21"/>
                <w:highlight w:val="none"/>
                <w14:textFill>
                  <w14:solidFill>
                    <w14:schemeClr w14:val="tx1"/>
                  </w14:solidFill>
                </w14:textFill>
              </w:rPr>
              <w:t>；劳动力计划及保证措施</w:t>
            </w:r>
          </w:p>
        </w:tc>
        <w:tc>
          <w:tcPr>
            <w:tcW w:w="871" w:type="dxa"/>
            <w:vMerge w:val="restart"/>
            <w:vAlign w:val="center"/>
          </w:tcPr>
          <w:p w14:paraId="75E048BF">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14</w:t>
            </w:r>
          </w:p>
        </w:tc>
        <w:tc>
          <w:tcPr>
            <w:tcW w:w="4068" w:type="dxa"/>
            <w:vAlign w:val="center"/>
          </w:tcPr>
          <w:p w14:paraId="3853B72E">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计划及保障措施</w:t>
            </w:r>
            <w:r>
              <w:rPr>
                <w:rFonts w:hint="eastAsia" w:ascii="Arial" w:hAnsi="Arial" w:cs="Arial"/>
                <w:color w:val="000000" w:themeColor="text1"/>
                <w:szCs w:val="21"/>
                <w:highlight w:val="none"/>
                <w14:textFill>
                  <w14:solidFill>
                    <w14:schemeClr w14:val="tx1"/>
                  </w14:solidFill>
                </w14:textFill>
              </w:rPr>
              <w:t>合理</w:t>
            </w:r>
          </w:p>
        </w:tc>
        <w:tc>
          <w:tcPr>
            <w:tcW w:w="1110" w:type="dxa"/>
            <w:tcBorders>
              <w:right w:val="single" w:color="auto" w:sz="4" w:space="0"/>
            </w:tcBorders>
            <w:vAlign w:val="center"/>
          </w:tcPr>
          <w:p w14:paraId="7EA739D9">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14</w:t>
            </w:r>
          </w:p>
        </w:tc>
        <w:tc>
          <w:tcPr>
            <w:tcW w:w="1139" w:type="dxa"/>
            <w:vMerge w:val="restart"/>
            <w:tcBorders>
              <w:left w:val="single" w:color="auto" w:sz="4" w:space="0"/>
            </w:tcBorders>
            <w:vAlign w:val="center"/>
          </w:tcPr>
          <w:p w14:paraId="70632760">
            <w:pPr>
              <w:spacing w:line="240" w:lineRule="atLeast"/>
              <w:rPr>
                <w:rFonts w:ascii="Arial" w:hAnsi="Arial" w:cs="Arial"/>
                <w:color w:val="000000" w:themeColor="text1"/>
                <w:szCs w:val="21"/>
                <w:highlight w:val="none"/>
                <w14:textFill>
                  <w14:solidFill>
                    <w14:schemeClr w14:val="tx1"/>
                  </w14:solidFill>
                </w14:textFill>
              </w:rPr>
            </w:pPr>
          </w:p>
        </w:tc>
      </w:tr>
      <w:tr w14:paraId="69F62C8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0CD583FC">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763516F0">
            <w:pPr>
              <w:widowControl/>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6DBDDE76">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280C36A7">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计划及保障措施</w:t>
            </w:r>
            <w:r>
              <w:rPr>
                <w:rFonts w:hint="eastAsia" w:ascii="Arial" w:hAnsi="Arial" w:cs="Arial"/>
                <w:color w:val="000000" w:themeColor="text1"/>
                <w:szCs w:val="21"/>
                <w:highlight w:val="none"/>
                <w14:textFill>
                  <w14:solidFill>
                    <w14:schemeClr w14:val="tx1"/>
                  </w14:solidFill>
                </w14:textFill>
              </w:rPr>
              <w:t>较合理</w:t>
            </w:r>
          </w:p>
        </w:tc>
        <w:tc>
          <w:tcPr>
            <w:tcW w:w="1110" w:type="dxa"/>
            <w:tcBorders>
              <w:right w:val="single" w:color="auto" w:sz="4" w:space="0"/>
            </w:tcBorders>
            <w:vAlign w:val="center"/>
          </w:tcPr>
          <w:p w14:paraId="779959CA">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10</w:t>
            </w:r>
          </w:p>
        </w:tc>
        <w:tc>
          <w:tcPr>
            <w:tcW w:w="1139" w:type="dxa"/>
            <w:vMerge w:val="continue"/>
            <w:tcBorders>
              <w:left w:val="single" w:color="auto" w:sz="4" w:space="0"/>
            </w:tcBorders>
            <w:vAlign w:val="center"/>
          </w:tcPr>
          <w:p w14:paraId="51169244">
            <w:pPr>
              <w:spacing w:line="240" w:lineRule="atLeast"/>
              <w:rPr>
                <w:rFonts w:ascii="Arial" w:hAnsi="Arial" w:cs="Arial"/>
                <w:color w:val="000000" w:themeColor="text1"/>
                <w:szCs w:val="21"/>
                <w:highlight w:val="none"/>
                <w14:textFill>
                  <w14:solidFill>
                    <w14:schemeClr w14:val="tx1"/>
                  </w14:solidFill>
                </w14:textFill>
              </w:rPr>
            </w:pPr>
          </w:p>
        </w:tc>
      </w:tr>
      <w:tr w14:paraId="578EE9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416C0C9">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17EEAA07">
            <w:pPr>
              <w:widowControl/>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39FD7B33">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4C6C3742">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计划及保障措施</w:t>
            </w:r>
            <w:r>
              <w:rPr>
                <w:rFonts w:hint="eastAsia" w:ascii="Arial" w:hAnsi="Arial" w:cs="Arial"/>
                <w:color w:val="000000" w:themeColor="text1"/>
                <w:szCs w:val="21"/>
                <w:highlight w:val="none"/>
                <w14:textFill>
                  <w14:solidFill>
                    <w14:schemeClr w14:val="tx1"/>
                  </w14:solidFill>
                </w14:textFill>
              </w:rPr>
              <w:t>一般</w:t>
            </w:r>
          </w:p>
        </w:tc>
        <w:tc>
          <w:tcPr>
            <w:tcW w:w="1110" w:type="dxa"/>
            <w:tcBorders>
              <w:right w:val="single" w:color="auto" w:sz="4" w:space="0"/>
            </w:tcBorders>
            <w:vAlign w:val="center"/>
          </w:tcPr>
          <w:p w14:paraId="6E90AFBF">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6</w:t>
            </w:r>
          </w:p>
        </w:tc>
        <w:tc>
          <w:tcPr>
            <w:tcW w:w="1139" w:type="dxa"/>
            <w:vMerge w:val="continue"/>
            <w:tcBorders>
              <w:left w:val="single" w:color="auto" w:sz="4" w:space="0"/>
            </w:tcBorders>
            <w:vAlign w:val="center"/>
          </w:tcPr>
          <w:p w14:paraId="3FB32B3F">
            <w:pPr>
              <w:spacing w:line="240" w:lineRule="atLeast"/>
              <w:rPr>
                <w:rFonts w:ascii="Arial" w:hAnsi="Arial" w:cs="Arial"/>
                <w:color w:val="000000" w:themeColor="text1"/>
                <w:szCs w:val="21"/>
                <w:highlight w:val="none"/>
                <w14:textFill>
                  <w14:solidFill>
                    <w14:schemeClr w14:val="tx1"/>
                  </w14:solidFill>
                </w14:textFill>
              </w:rPr>
            </w:pPr>
          </w:p>
        </w:tc>
      </w:tr>
      <w:tr w14:paraId="75B4FBE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0981705">
            <w:pPr>
              <w:widowControl/>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05B7E693">
            <w:pPr>
              <w:widowControl/>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7B153B03">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7885E955">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计划及保障措施</w:t>
            </w:r>
            <w:r>
              <w:rPr>
                <w:rFonts w:hint="eastAsia" w:ascii="Arial" w:hAnsi="Arial" w:cs="Arial"/>
                <w:color w:val="000000" w:themeColor="text1"/>
                <w:szCs w:val="21"/>
                <w:highlight w:val="none"/>
                <w14:textFill>
                  <w14:solidFill>
                    <w14:schemeClr w14:val="tx1"/>
                  </w14:solidFill>
                </w14:textFill>
              </w:rPr>
              <w:t>较差</w:t>
            </w:r>
          </w:p>
        </w:tc>
        <w:tc>
          <w:tcPr>
            <w:tcW w:w="1110" w:type="dxa"/>
            <w:tcBorders>
              <w:right w:val="single" w:color="auto" w:sz="4" w:space="0"/>
            </w:tcBorders>
            <w:vAlign w:val="center"/>
          </w:tcPr>
          <w:p w14:paraId="44555CD6">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w:t>
            </w:r>
          </w:p>
        </w:tc>
        <w:tc>
          <w:tcPr>
            <w:tcW w:w="1139" w:type="dxa"/>
            <w:vMerge w:val="continue"/>
            <w:tcBorders>
              <w:left w:val="single" w:color="auto" w:sz="4" w:space="0"/>
            </w:tcBorders>
            <w:vAlign w:val="center"/>
          </w:tcPr>
          <w:p w14:paraId="19D75A6E">
            <w:pPr>
              <w:spacing w:line="240" w:lineRule="atLeast"/>
              <w:rPr>
                <w:rFonts w:ascii="Arial" w:hAnsi="Arial" w:cs="Arial"/>
                <w:color w:val="000000" w:themeColor="text1"/>
                <w:szCs w:val="21"/>
                <w:highlight w:val="none"/>
                <w14:textFill>
                  <w14:solidFill>
                    <w14:schemeClr w14:val="tx1"/>
                  </w14:solidFill>
                </w14:textFill>
              </w:rPr>
            </w:pPr>
          </w:p>
        </w:tc>
      </w:tr>
      <w:tr w14:paraId="445BF05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3B3009B5">
            <w:pPr>
              <w:jc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4</w:t>
            </w:r>
          </w:p>
        </w:tc>
        <w:tc>
          <w:tcPr>
            <w:tcW w:w="1593" w:type="dxa"/>
            <w:vMerge w:val="restart"/>
            <w:vAlign w:val="center"/>
          </w:tcPr>
          <w:p w14:paraId="3CF1414A">
            <w:pPr>
              <w:widowControl/>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机械设备配置及保障</w:t>
            </w:r>
          </w:p>
        </w:tc>
        <w:tc>
          <w:tcPr>
            <w:tcW w:w="871" w:type="dxa"/>
            <w:vMerge w:val="restart"/>
            <w:vAlign w:val="center"/>
          </w:tcPr>
          <w:p w14:paraId="0E629A3D">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6</w:t>
            </w:r>
          </w:p>
        </w:tc>
        <w:tc>
          <w:tcPr>
            <w:tcW w:w="4068" w:type="dxa"/>
            <w:vAlign w:val="center"/>
          </w:tcPr>
          <w:p w14:paraId="77C3CE47">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合理，保障可靠</w:t>
            </w:r>
          </w:p>
        </w:tc>
        <w:tc>
          <w:tcPr>
            <w:tcW w:w="1110" w:type="dxa"/>
            <w:tcBorders>
              <w:right w:val="single" w:color="auto" w:sz="4" w:space="0"/>
            </w:tcBorders>
            <w:vAlign w:val="center"/>
          </w:tcPr>
          <w:p w14:paraId="2DCD7BDF">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6</w:t>
            </w:r>
          </w:p>
        </w:tc>
        <w:tc>
          <w:tcPr>
            <w:tcW w:w="1139" w:type="dxa"/>
            <w:vMerge w:val="restart"/>
            <w:tcBorders>
              <w:left w:val="single" w:color="auto" w:sz="4" w:space="0"/>
            </w:tcBorders>
            <w:vAlign w:val="center"/>
          </w:tcPr>
          <w:p w14:paraId="3F15DA13">
            <w:pPr>
              <w:spacing w:line="240" w:lineRule="atLeast"/>
              <w:rPr>
                <w:rFonts w:ascii="Arial" w:hAnsi="Arial" w:cs="Arial"/>
                <w:color w:val="000000" w:themeColor="text1"/>
                <w:szCs w:val="21"/>
                <w:highlight w:val="none"/>
                <w14:textFill>
                  <w14:solidFill>
                    <w14:schemeClr w14:val="tx1"/>
                  </w14:solidFill>
                </w14:textFill>
              </w:rPr>
            </w:pPr>
          </w:p>
        </w:tc>
      </w:tr>
      <w:tr w14:paraId="13DA964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620AAA7">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7E3F891A">
            <w:pPr>
              <w:rPr>
                <w:rFonts w:ascii="Arial" w:hAnsi="Arial" w:cs="Arial"/>
                <w:bCs/>
                <w:color w:val="000000" w:themeColor="text1"/>
                <w:szCs w:val="21"/>
                <w:highlight w:val="none"/>
                <w14:textFill>
                  <w14:solidFill>
                    <w14:schemeClr w14:val="tx1"/>
                  </w14:solidFill>
                </w14:textFill>
              </w:rPr>
            </w:pPr>
          </w:p>
        </w:tc>
        <w:tc>
          <w:tcPr>
            <w:tcW w:w="871" w:type="dxa"/>
            <w:vMerge w:val="continue"/>
            <w:vAlign w:val="center"/>
          </w:tcPr>
          <w:p w14:paraId="667BB2BD">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3284E616">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较合理，保障较可靠</w:t>
            </w:r>
          </w:p>
        </w:tc>
        <w:tc>
          <w:tcPr>
            <w:tcW w:w="1110" w:type="dxa"/>
            <w:tcBorders>
              <w:right w:val="single" w:color="auto" w:sz="4" w:space="0"/>
            </w:tcBorders>
            <w:vAlign w:val="center"/>
          </w:tcPr>
          <w:p w14:paraId="2F7BA346">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4</w:t>
            </w:r>
          </w:p>
        </w:tc>
        <w:tc>
          <w:tcPr>
            <w:tcW w:w="1139" w:type="dxa"/>
            <w:vMerge w:val="continue"/>
            <w:tcBorders>
              <w:left w:val="single" w:color="auto" w:sz="4" w:space="0"/>
            </w:tcBorders>
            <w:vAlign w:val="center"/>
          </w:tcPr>
          <w:p w14:paraId="353380A2">
            <w:pPr>
              <w:spacing w:line="240" w:lineRule="atLeast"/>
              <w:rPr>
                <w:rFonts w:ascii="Arial" w:hAnsi="Arial" w:cs="Arial"/>
                <w:color w:val="000000" w:themeColor="text1"/>
                <w:szCs w:val="21"/>
                <w:highlight w:val="none"/>
                <w14:textFill>
                  <w14:solidFill>
                    <w14:schemeClr w14:val="tx1"/>
                  </w14:solidFill>
                </w14:textFill>
              </w:rPr>
            </w:pPr>
          </w:p>
        </w:tc>
      </w:tr>
      <w:tr w14:paraId="627316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43C3E9F3">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4DF2E60B">
            <w:pPr>
              <w:rPr>
                <w:rFonts w:ascii="Arial" w:hAnsi="Arial" w:cs="Arial"/>
                <w:bCs/>
                <w:color w:val="000000" w:themeColor="text1"/>
                <w:szCs w:val="21"/>
                <w:highlight w:val="none"/>
                <w14:textFill>
                  <w14:solidFill>
                    <w14:schemeClr w14:val="tx1"/>
                  </w14:solidFill>
                </w14:textFill>
              </w:rPr>
            </w:pPr>
          </w:p>
        </w:tc>
        <w:tc>
          <w:tcPr>
            <w:tcW w:w="871" w:type="dxa"/>
            <w:vMerge w:val="continue"/>
            <w:vAlign w:val="center"/>
          </w:tcPr>
          <w:p w14:paraId="7A701ADF">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39C3C5E9">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一般</w:t>
            </w:r>
          </w:p>
        </w:tc>
        <w:tc>
          <w:tcPr>
            <w:tcW w:w="1110" w:type="dxa"/>
            <w:tcBorders>
              <w:right w:val="single" w:color="auto" w:sz="4" w:space="0"/>
            </w:tcBorders>
            <w:vAlign w:val="center"/>
          </w:tcPr>
          <w:p w14:paraId="268C60E0">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w:t>
            </w:r>
          </w:p>
        </w:tc>
        <w:tc>
          <w:tcPr>
            <w:tcW w:w="1139" w:type="dxa"/>
            <w:vMerge w:val="continue"/>
            <w:tcBorders>
              <w:left w:val="single" w:color="auto" w:sz="4" w:space="0"/>
            </w:tcBorders>
            <w:vAlign w:val="center"/>
          </w:tcPr>
          <w:p w14:paraId="726D340F">
            <w:pPr>
              <w:spacing w:line="240" w:lineRule="atLeast"/>
              <w:rPr>
                <w:rFonts w:ascii="Arial" w:hAnsi="Arial" w:cs="Arial"/>
                <w:color w:val="000000" w:themeColor="text1"/>
                <w:szCs w:val="21"/>
                <w:highlight w:val="none"/>
                <w14:textFill>
                  <w14:solidFill>
                    <w14:schemeClr w14:val="tx1"/>
                  </w14:solidFill>
                </w14:textFill>
              </w:rPr>
            </w:pPr>
          </w:p>
        </w:tc>
      </w:tr>
      <w:tr w14:paraId="7E4FDAA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743765EA">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0C4DBCE5">
            <w:pPr>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1D544C79">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46068909">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较差</w:t>
            </w:r>
          </w:p>
        </w:tc>
        <w:tc>
          <w:tcPr>
            <w:tcW w:w="1110" w:type="dxa"/>
            <w:tcBorders>
              <w:right w:val="single" w:color="auto" w:sz="4" w:space="0"/>
            </w:tcBorders>
            <w:vAlign w:val="center"/>
          </w:tcPr>
          <w:p w14:paraId="03C3F843">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0</w:t>
            </w:r>
          </w:p>
        </w:tc>
        <w:tc>
          <w:tcPr>
            <w:tcW w:w="1139" w:type="dxa"/>
            <w:vMerge w:val="continue"/>
            <w:tcBorders>
              <w:left w:val="single" w:color="auto" w:sz="4" w:space="0"/>
            </w:tcBorders>
            <w:vAlign w:val="center"/>
          </w:tcPr>
          <w:p w14:paraId="1017DB97">
            <w:pPr>
              <w:spacing w:line="240" w:lineRule="atLeast"/>
              <w:rPr>
                <w:rFonts w:ascii="Arial" w:hAnsi="Arial" w:cs="Arial"/>
                <w:color w:val="000000" w:themeColor="text1"/>
                <w:szCs w:val="21"/>
                <w:highlight w:val="none"/>
                <w14:textFill>
                  <w14:solidFill>
                    <w14:schemeClr w14:val="tx1"/>
                  </w14:solidFill>
                </w14:textFill>
              </w:rPr>
            </w:pPr>
          </w:p>
        </w:tc>
      </w:tr>
      <w:tr w14:paraId="32D7391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5883948D">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5</w:t>
            </w:r>
          </w:p>
        </w:tc>
        <w:tc>
          <w:tcPr>
            <w:tcW w:w="1593" w:type="dxa"/>
            <w:vMerge w:val="restart"/>
            <w:vAlign w:val="center"/>
          </w:tcPr>
          <w:p w14:paraId="4AE6D072">
            <w:pP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对方案或设计优化的合理化建议</w:t>
            </w:r>
          </w:p>
        </w:tc>
        <w:tc>
          <w:tcPr>
            <w:tcW w:w="871" w:type="dxa"/>
            <w:vMerge w:val="restart"/>
            <w:vAlign w:val="center"/>
          </w:tcPr>
          <w:p w14:paraId="13D77C7C">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4</w:t>
            </w:r>
          </w:p>
        </w:tc>
        <w:tc>
          <w:tcPr>
            <w:tcW w:w="4068" w:type="dxa"/>
            <w:vAlign w:val="center"/>
          </w:tcPr>
          <w:p w14:paraId="4CCF5712">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合理</w:t>
            </w:r>
          </w:p>
        </w:tc>
        <w:tc>
          <w:tcPr>
            <w:tcW w:w="1110" w:type="dxa"/>
            <w:tcBorders>
              <w:right w:val="single" w:color="auto" w:sz="4" w:space="0"/>
            </w:tcBorders>
            <w:vAlign w:val="center"/>
          </w:tcPr>
          <w:p w14:paraId="494C25F4">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4</w:t>
            </w:r>
          </w:p>
        </w:tc>
        <w:tc>
          <w:tcPr>
            <w:tcW w:w="1139" w:type="dxa"/>
            <w:vMerge w:val="restart"/>
            <w:tcBorders>
              <w:left w:val="single" w:color="auto" w:sz="4" w:space="0"/>
            </w:tcBorders>
            <w:vAlign w:val="center"/>
          </w:tcPr>
          <w:p w14:paraId="0958E85F">
            <w:pPr>
              <w:spacing w:line="240" w:lineRule="atLeast"/>
              <w:rPr>
                <w:rFonts w:ascii="Arial" w:hAnsi="Arial" w:cs="Arial"/>
                <w:color w:val="000000" w:themeColor="text1"/>
                <w:szCs w:val="21"/>
                <w:highlight w:val="none"/>
                <w14:textFill>
                  <w14:solidFill>
                    <w14:schemeClr w14:val="tx1"/>
                  </w14:solidFill>
                </w14:textFill>
              </w:rPr>
            </w:pPr>
          </w:p>
        </w:tc>
      </w:tr>
      <w:tr w14:paraId="5949FA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05B6D4A5">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52087FE1">
            <w:pPr>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2B1EAE96">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531C6DC8">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较差</w:t>
            </w:r>
          </w:p>
        </w:tc>
        <w:tc>
          <w:tcPr>
            <w:tcW w:w="1110" w:type="dxa"/>
            <w:tcBorders>
              <w:right w:val="single" w:color="auto" w:sz="4" w:space="0"/>
            </w:tcBorders>
            <w:vAlign w:val="center"/>
          </w:tcPr>
          <w:p w14:paraId="04AC81D4">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0</w:t>
            </w:r>
          </w:p>
        </w:tc>
        <w:tc>
          <w:tcPr>
            <w:tcW w:w="1139" w:type="dxa"/>
            <w:vMerge w:val="continue"/>
            <w:tcBorders>
              <w:left w:val="single" w:color="auto" w:sz="4" w:space="0"/>
            </w:tcBorders>
            <w:vAlign w:val="center"/>
          </w:tcPr>
          <w:p w14:paraId="68FD5244">
            <w:pPr>
              <w:spacing w:line="240" w:lineRule="atLeast"/>
              <w:rPr>
                <w:rFonts w:ascii="Arial" w:hAnsi="Arial" w:cs="Arial"/>
                <w:color w:val="000000" w:themeColor="text1"/>
                <w:szCs w:val="21"/>
                <w:highlight w:val="none"/>
                <w14:textFill>
                  <w14:solidFill>
                    <w14:schemeClr w14:val="tx1"/>
                  </w14:solidFill>
                </w14:textFill>
              </w:rPr>
            </w:pPr>
          </w:p>
        </w:tc>
      </w:tr>
      <w:tr w14:paraId="18B33F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0608E982">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6</w:t>
            </w:r>
          </w:p>
        </w:tc>
        <w:tc>
          <w:tcPr>
            <w:tcW w:w="1593" w:type="dxa"/>
            <w:vMerge w:val="restart"/>
            <w:vAlign w:val="center"/>
          </w:tcPr>
          <w:p w14:paraId="1EF2DE58">
            <w:pP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安全管理及措施；现场文明施工和环保方案</w:t>
            </w:r>
          </w:p>
        </w:tc>
        <w:tc>
          <w:tcPr>
            <w:tcW w:w="871" w:type="dxa"/>
            <w:vMerge w:val="restart"/>
            <w:vAlign w:val="center"/>
          </w:tcPr>
          <w:p w14:paraId="66489FB2">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18</w:t>
            </w:r>
          </w:p>
        </w:tc>
        <w:tc>
          <w:tcPr>
            <w:tcW w:w="4068" w:type="dxa"/>
            <w:vAlign w:val="center"/>
          </w:tcPr>
          <w:p w14:paraId="0B2365AE">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合理</w:t>
            </w:r>
          </w:p>
        </w:tc>
        <w:tc>
          <w:tcPr>
            <w:tcW w:w="1110" w:type="dxa"/>
            <w:tcBorders>
              <w:right w:val="single" w:color="auto" w:sz="4" w:space="0"/>
            </w:tcBorders>
            <w:vAlign w:val="center"/>
          </w:tcPr>
          <w:p w14:paraId="68007AE8">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18</w:t>
            </w:r>
          </w:p>
        </w:tc>
        <w:tc>
          <w:tcPr>
            <w:tcW w:w="1139" w:type="dxa"/>
            <w:vMerge w:val="restart"/>
            <w:tcBorders>
              <w:left w:val="single" w:color="auto" w:sz="4" w:space="0"/>
            </w:tcBorders>
            <w:vAlign w:val="center"/>
          </w:tcPr>
          <w:p w14:paraId="7578070C">
            <w:pPr>
              <w:spacing w:line="240" w:lineRule="atLeast"/>
              <w:rPr>
                <w:rFonts w:ascii="Arial" w:hAnsi="Arial" w:cs="Arial"/>
                <w:color w:val="000000" w:themeColor="text1"/>
                <w:szCs w:val="21"/>
                <w:highlight w:val="none"/>
                <w14:textFill>
                  <w14:solidFill>
                    <w14:schemeClr w14:val="tx1"/>
                  </w14:solidFill>
                </w14:textFill>
              </w:rPr>
            </w:pPr>
          </w:p>
        </w:tc>
      </w:tr>
      <w:tr w14:paraId="5BE49E0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F928AC2">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23E20241">
            <w:pPr>
              <w:rPr>
                <w:rFonts w:ascii="Arial" w:hAnsi="Arial" w:cs="Arial"/>
                <w:bCs/>
                <w:color w:val="000000" w:themeColor="text1"/>
                <w:szCs w:val="21"/>
                <w:highlight w:val="none"/>
                <w14:textFill>
                  <w14:solidFill>
                    <w14:schemeClr w14:val="tx1"/>
                  </w14:solidFill>
                </w14:textFill>
              </w:rPr>
            </w:pPr>
          </w:p>
        </w:tc>
        <w:tc>
          <w:tcPr>
            <w:tcW w:w="871" w:type="dxa"/>
            <w:vMerge w:val="continue"/>
            <w:vAlign w:val="center"/>
          </w:tcPr>
          <w:p w14:paraId="307D3FEC">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5009FF13">
            <w:pPr>
              <w:spacing w:line="240" w:lineRule="atLeast"/>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方案一般</w:t>
            </w:r>
          </w:p>
        </w:tc>
        <w:tc>
          <w:tcPr>
            <w:tcW w:w="1110" w:type="dxa"/>
            <w:tcBorders>
              <w:right w:val="single" w:color="auto" w:sz="4" w:space="0"/>
            </w:tcBorders>
            <w:vAlign w:val="center"/>
          </w:tcPr>
          <w:p w14:paraId="2A8B5A8A">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13</w:t>
            </w:r>
          </w:p>
        </w:tc>
        <w:tc>
          <w:tcPr>
            <w:tcW w:w="1139" w:type="dxa"/>
            <w:vMerge w:val="continue"/>
            <w:tcBorders>
              <w:left w:val="single" w:color="auto" w:sz="4" w:space="0"/>
            </w:tcBorders>
            <w:vAlign w:val="center"/>
          </w:tcPr>
          <w:p w14:paraId="3F1D236B">
            <w:pPr>
              <w:spacing w:line="240" w:lineRule="atLeast"/>
              <w:rPr>
                <w:rFonts w:ascii="Arial" w:hAnsi="Arial" w:cs="Arial"/>
                <w:color w:val="000000" w:themeColor="text1"/>
                <w:szCs w:val="21"/>
                <w:highlight w:val="none"/>
                <w14:textFill>
                  <w14:solidFill>
                    <w14:schemeClr w14:val="tx1"/>
                  </w14:solidFill>
                </w14:textFill>
              </w:rPr>
            </w:pPr>
          </w:p>
        </w:tc>
      </w:tr>
      <w:tr w14:paraId="7B9A48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C906549">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7A8A986D">
            <w:pPr>
              <w:rPr>
                <w:rFonts w:ascii="Arial" w:hAnsi="Arial" w:cs="Arial"/>
                <w:bCs/>
                <w:color w:val="000000" w:themeColor="text1"/>
                <w:szCs w:val="21"/>
                <w:highlight w:val="none"/>
                <w14:textFill>
                  <w14:solidFill>
                    <w14:schemeClr w14:val="tx1"/>
                  </w14:solidFill>
                </w14:textFill>
              </w:rPr>
            </w:pPr>
          </w:p>
        </w:tc>
        <w:tc>
          <w:tcPr>
            <w:tcW w:w="871" w:type="dxa"/>
            <w:vMerge w:val="continue"/>
            <w:vAlign w:val="center"/>
          </w:tcPr>
          <w:p w14:paraId="320697FE">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4201B1A2">
            <w:pPr>
              <w:spacing w:line="240" w:lineRule="atLeast"/>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方案较差</w:t>
            </w:r>
          </w:p>
        </w:tc>
        <w:tc>
          <w:tcPr>
            <w:tcW w:w="1110" w:type="dxa"/>
            <w:tcBorders>
              <w:right w:val="single" w:color="auto" w:sz="4" w:space="0"/>
            </w:tcBorders>
            <w:vAlign w:val="center"/>
          </w:tcPr>
          <w:p w14:paraId="56085CD5">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8</w:t>
            </w:r>
          </w:p>
        </w:tc>
        <w:tc>
          <w:tcPr>
            <w:tcW w:w="1139" w:type="dxa"/>
            <w:vMerge w:val="continue"/>
            <w:tcBorders>
              <w:left w:val="single" w:color="auto" w:sz="4" w:space="0"/>
            </w:tcBorders>
            <w:vAlign w:val="center"/>
          </w:tcPr>
          <w:p w14:paraId="19DE2E13">
            <w:pPr>
              <w:spacing w:line="240" w:lineRule="atLeast"/>
              <w:rPr>
                <w:rFonts w:ascii="Arial" w:hAnsi="Arial" w:cs="Arial"/>
                <w:color w:val="000000" w:themeColor="text1"/>
                <w:szCs w:val="21"/>
                <w:highlight w:val="none"/>
                <w14:textFill>
                  <w14:solidFill>
                    <w14:schemeClr w14:val="tx1"/>
                  </w14:solidFill>
                </w14:textFill>
              </w:rPr>
            </w:pPr>
          </w:p>
        </w:tc>
      </w:tr>
      <w:tr w14:paraId="59EF880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8DA2A6F">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149AC941">
            <w:pPr>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11278FCB">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35C415AB">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差</w:t>
            </w:r>
          </w:p>
        </w:tc>
        <w:tc>
          <w:tcPr>
            <w:tcW w:w="1110" w:type="dxa"/>
            <w:tcBorders>
              <w:right w:val="single" w:color="auto" w:sz="4" w:space="0"/>
            </w:tcBorders>
            <w:vAlign w:val="center"/>
          </w:tcPr>
          <w:p w14:paraId="3E80206E">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3</w:t>
            </w:r>
          </w:p>
        </w:tc>
        <w:tc>
          <w:tcPr>
            <w:tcW w:w="1139" w:type="dxa"/>
            <w:vMerge w:val="continue"/>
            <w:tcBorders>
              <w:left w:val="single" w:color="auto" w:sz="4" w:space="0"/>
            </w:tcBorders>
            <w:vAlign w:val="center"/>
          </w:tcPr>
          <w:p w14:paraId="5468F799">
            <w:pPr>
              <w:spacing w:line="240" w:lineRule="atLeast"/>
              <w:rPr>
                <w:rFonts w:ascii="Arial" w:hAnsi="Arial" w:cs="Arial"/>
                <w:color w:val="000000" w:themeColor="text1"/>
                <w:szCs w:val="21"/>
                <w:highlight w:val="none"/>
                <w14:textFill>
                  <w14:solidFill>
                    <w14:schemeClr w14:val="tx1"/>
                  </w14:solidFill>
                </w14:textFill>
              </w:rPr>
            </w:pPr>
          </w:p>
        </w:tc>
      </w:tr>
      <w:tr w14:paraId="26BEED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34" w:hRule="atLeast"/>
          <w:jc w:val="center"/>
        </w:trPr>
        <w:tc>
          <w:tcPr>
            <w:tcW w:w="772" w:type="dxa"/>
            <w:vMerge w:val="restart"/>
            <w:vAlign w:val="center"/>
          </w:tcPr>
          <w:p w14:paraId="5542D135">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7</w:t>
            </w:r>
          </w:p>
        </w:tc>
        <w:tc>
          <w:tcPr>
            <w:tcW w:w="1593" w:type="dxa"/>
            <w:vMerge w:val="restart"/>
            <w:vAlign w:val="center"/>
          </w:tcPr>
          <w:p w14:paraId="7F60B578">
            <w:pP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公司对本工程的重视承诺、管理和支持</w:t>
            </w:r>
          </w:p>
        </w:tc>
        <w:tc>
          <w:tcPr>
            <w:tcW w:w="871" w:type="dxa"/>
            <w:vMerge w:val="restart"/>
            <w:vAlign w:val="center"/>
          </w:tcPr>
          <w:p w14:paraId="3C1EA6EB">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w:t>
            </w:r>
          </w:p>
        </w:tc>
        <w:tc>
          <w:tcPr>
            <w:tcW w:w="4068" w:type="dxa"/>
            <w:vAlign w:val="center"/>
          </w:tcPr>
          <w:p w14:paraId="7EF6559E">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合理</w:t>
            </w:r>
          </w:p>
        </w:tc>
        <w:tc>
          <w:tcPr>
            <w:tcW w:w="1110" w:type="dxa"/>
            <w:tcBorders>
              <w:right w:val="single" w:color="auto" w:sz="4" w:space="0"/>
            </w:tcBorders>
            <w:vAlign w:val="center"/>
          </w:tcPr>
          <w:p w14:paraId="4B3F7CD8">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w:t>
            </w:r>
          </w:p>
        </w:tc>
        <w:tc>
          <w:tcPr>
            <w:tcW w:w="1139" w:type="dxa"/>
            <w:vMerge w:val="restart"/>
            <w:tcBorders>
              <w:left w:val="single" w:color="auto" w:sz="4" w:space="0"/>
            </w:tcBorders>
            <w:vAlign w:val="center"/>
          </w:tcPr>
          <w:p w14:paraId="5DA53A6A">
            <w:pPr>
              <w:spacing w:line="240" w:lineRule="atLeast"/>
              <w:rPr>
                <w:rFonts w:ascii="Arial" w:hAnsi="Arial" w:cs="Arial"/>
                <w:color w:val="000000" w:themeColor="text1"/>
                <w:szCs w:val="21"/>
                <w:highlight w:val="none"/>
                <w14:textFill>
                  <w14:solidFill>
                    <w14:schemeClr w14:val="tx1"/>
                  </w14:solidFill>
                </w14:textFill>
              </w:rPr>
            </w:pPr>
          </w:p>
        </w:tc>
      </w:tr>
      <w:tr w14:paraId="052DE4C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05A7E856">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1588EE61">
            <w:pPr>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412DCF7D">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157DB67E">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较差</w:t>
            </w:r>
          </w:p>
        </w:tc>
        <w:tc>
          <w:tcPr>
            <w:tcW w:w="1110" w:type="dxa"/>
            <w:tcBorders>
              <w:right w:val="single" w:color="auto" w:sz="4" w:space="0"/>
            </w:tcBorders>
            <w:vAlign w:val="center"/>
          </w:tcPr>
          <w:p w14:paraId="12CECF93">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0</w:t>
            </w:r>
          </w:p>
        </w:tc>
        <w:tc>
          <w:tcPr>
            <w:tcW w:w="1139" w:type="dxa"/>
            <w:vMerge w:val="continue"/>
            <w:tcBorders>
              <w:left w:val="single" w:color="auto" w:sz="4" w:space="0"/>
            </w:tcBorders>
            <w:vAlign w:val="center"/>
          </w:tcPr>
          <w:p w14:paraId="22FDFF0A">
            <w:pPr>
              <w:spacing w:line="240" w:lineRule="atLeast"/>
              <w:rPr>
                <w:rFonts w:ascii="Arial" w:hAnsi="Arial" w:cs="Arial"/>
                <w:color w:val="000000" w:themeColor="text1"/>
                <w:szCs w:val="21"/>
                <w:highlight w:val="none"/>
                <w14:textFill>
                  <w14:solidFill>
                    <w14:schemeClr w14:val="tx1"/>
                  </w14:solidFill>
                </w14:textFill>
              </w:rPr>
            </w:pPr>
          </w:p>
        </w:tc>
      </w:tr>
      <w:tr w14:paraId="6DC5C6A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4CAF287F">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8</w:t>
            </w:r>
          </w:p>
        </w:tc>
        <w:tc>
          <w:tcPr>
            <w:tcW w:w="1593" w:type="dxa"/>
            <w:vMerge w:val="restart"/>
            <w:vAlign w:val="center"/>
          </w:tcPr>
          <w:p w14:paraId="76B1676D">
            <w:pP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冬季和雨季施工方案</w:t>
            </w:r>
          </w:p>
        </w:tc>
        <w:tc>
          <w:tcPr>
            <w:tcW w:w="871" w:type="dxa"/>
            <w:vMerge w:val="restart"/>
            <w:vAlign w:val="center"/>
          </w:tcPr>
          <w:p w14:paraId="0ED9B1E4">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5</w:t>
            </w:r>
          </w:p>
        </w:tc>
        <w:tc>
          <w:tcPr>
            <w:tcW w:w="4068" w:type="dxa"/>
            <w:vAlign w:val="center"/>
          </w:tcPr>
          <w:p w14:paraId="508A43E1">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合理</w:t>
            </w:r>
          </w:p>
        </w:tc>
        <w:tc>
          <w:tcPr>
            <w:tcW w:w="1110" w:type="dxa"/>
            <w:tcBorders>
              <w:right w:val="single" w:color="auto" w:sz="4" w:space="0"/>
            </w:tcBorders>
            <w:vAlign w:val="center"/>
          </w:tcPr>
          <w:p w14:paraId="635AF696">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5</w:t>
            </w:r>
          </w:p>
        </w:tc>
        <w:tc>
          <w:tcPr>
            <w:tcW w:w="1139" w:type="dxa"/>
            <w:vMerge w:val="restart"/>
            <w:tcBorders>
              <w:left w:val="single" w:color="auto" w:sz="4" w:space="0"/>
            </w:tcBorders>
            <w:vAlign w:val="center"/>
          </w:tcPr>
          <w:p w14:paraId="33B2CF41">
            <w:pPr>
              <w:spacing w:line="240" w:lineRule="atLeast"/>
              <w:rPr>
                <w:rFonts w:ascii="Arial" w:hAnsi="Arial" w:cs="Arial"/>
                <w:color w:val="000000" w:themeColor="text1"/>
                <w:szCs w:val="21"/>
                <w:highlight w:val="none"/>
                <w14:textFill>
                  <w14:solidFill>
                    <w14:schemeClr w14:val="tx1"/>
                  </w14:solidFill>
                </w14:textFill>
              </w:rPr>
            </w:pPr>
          </w:p>
        </w:tc>
      </w:tr>
      <w:tr w14:paraId="06EA64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5761FC68">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651D0D9A">
            <w:pPr>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269FB566">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57FEC579">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较差</w:t>
            </w:r>
          </w:p>
        </w:tc>
        <w:tc>
          <w:tcPr>
            <w:tcW w:w="1110" w:type="dxa"/>
            <w:tcBorders>
              <w:right w:val="single" w:color="auto" w:sz="4" w:space="0"/>
            </w:tcBorders>
            <w:vAlign w:val="center"/>
          </w:tcPr>
          <w:p w14:paraId="63EA8E5E">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w:t>
            </w:r>
          </w:p>
        </w:tc>
        <w:tc>
          <w:tcPr>
            <w:tcW w:w="1139" w:type="dxa"/>
            <w:vMerge w:val="continue"/>
            <w:tcBorders>
              <w:left w:val="single" w:color="auto" w:sz="4" w:space="0"/>
            </w:tcBorders>
            <w:vAlign w:val="center"/>
          </w:tcPr>
          <w:p w14:paraId="38649D11">
            <w:pPr>
              <w:spacing w:line="240" w:lineRule="atLeast"/>
              <w:rPr>
                <w:rFonts w:ascii="Arial" w:hAnsi="Arial" w:cs="Arial"/>
                <w:color w:val="000000" w:themeColor="text1"/>
                <w:szCs w:val="21"/>
                <w:highlight w:val="none"/>
                <w14:textFill>
                  <w14:solidFill>
                    <w14:schemeClr w14:val="tx1"/>
                  </w14:solidFill>
                </w14:textFill>
              </w:rPr>
            </w:pPr>
          </w:p>
        </w:tc>
      </w:tr>
      <w:tr w14:paraId="3E09FA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6927EFD7">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9</w:t>
            </w:r>
          </w:p>
        </w:tc>
        <w:tc>
          <w:tcPr>
            <w:tcW w:w="1593" w:type="dxa"/>
            <w:vMerge w:val="restart"/>
            <w:vAlign w:val="center"/>
          </w:tcPr>
          <w:p w14:paraId="3C28FFFF">
            <w:pP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施工现场总平面布置</w:t>
            </w:r>
          </w:p>
        </w:tc>
        <w:tc>
          <w:tcPr>
            <w:tcW w:w="871" w:type="dxa"/>
            <w:vMerge w:val="restart"/>
            <w:vAlign w:val="center"/>
          </w:tcPr>
          <w:p w14:paraId="0BF19AE7">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w:t>
            </w:r>
          </w:p>
        </w:tc>
        <w:tc>
          <w:tcPr>
            <w:tcW w:w="4068" w:type="dxa"/>
            <w:vAlign w:val="center"/>
          </w:tcPr>
          <w:p w14:paraId="4ED04B69">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布置</w:t>
            </w:r>
            <w:r>
              <w:rPr>
                <w:rFonts w:hint="eastAsia" w:ascii="Arial" w:hAnsi="Arial" w:cs="Arial"/>
                <w:color w:val="000000" w:themeColor="text1"/>
                <w:szCs w:val="21"/>
                <w:highlight w:val="none"/>
                <w14:textFill>
                  <w14:solidFill>
                    <w14:schemeClr w14:val="tx1"/>
                  </w14:solidFill>
                </w14:textFill>
              </w:rPr>
              <w:t>合理</w:t>
            </w:r>
          </w:p>
        </w:tc>
        <w:tc>
          <w:tcPr>
            <w:tcW w:w="1110" w:type="dxa"/>
            <w:tcBorders>
              <w:right w:val="single" w:color="auto" w:sz="4" w:space="0"/>
            </w:tcBorders>
            <w:vAlign w:val="center"/>
          </w:tcPr>
          <w:p w14:paraId="27E9DD87">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w:t>
            </w:r>
          </w:p>
        </w:tc>
        <w:tc>
          <w:tcPr>
            <w:tcW w:w="1139" w:type="dxa"/>
            <w:vMerge w:val="restart"/>
            <w:tcBorders>
              <w:left w:val="single" w:color="auto" w:sz="4" w:space="0"/>
            </w:tcBorders>
            <w:vAlign w:val="center"/>
          </w:tcPr>
          <w:p w14:paraId="51E44A7A">
            <w:pPr>
              <w:spacing w:line="240" w:lineRule="atLeast"/>
              <w:rPr>
                <w:rFonts w:ascii="Arial" w:hAnsi="Arial" w:cs="Arial"/>
                <w:color w:val="000000" w:themeColor="text1"/>
                <w:szCs w:val="21"/>
                <w:highlight w:val="none"/>
                <w14:textFill>
                  <w14:solidFill>
                    <w14:schemeClr w14:val="tx1"/>
                  </w14:solidFill>
                </w14:textFill>
              </w:rPr>
            </w:pPr>
          </w:p>
        </w:tc>
      </w:tr>
      <w:tr w14:paraId="797601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FD2FBA4">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7C0C7C7F">
            <w:pPr>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0610FDA4">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54DF2676">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布置</w:t>
            </w:r>
            <w:r>
              <w:rPr>
                <w:rFonts w:hint="eastAsia" w:ascii="Arial" w:hAnsi="Arial" w:cs="Arial"/>
                <w:color w:val="000000" w:themeColor="text1"/>
                <w:szCs w:val="21"/>
                <w:highlight w:val="none"/>
                <w14:textFill>
                  <w14:solidFill>
                    <w14:schemeClr w14:val="tx1"/>
                  </w14:solidFill>
                </w14:textFill>
              </w:rPr>
              <w:t>较差</w:t>
            </w:r>
          </w:p>
        </w:tc>
        <w:tc>
          <w:tcPr>
            <w:tcW w:w="1110" w:type="dxa"/>
            <w:tcBorders>
              <w:right w:val="single" w:color="auto" w:sz="4" w:space="0"/>
            </w:tcBorders>
            <w:vAlign w:val="center"/>
          </w:tcPr>
          <w:p w14:paraId="0FD36B51">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0</w:t>
            </w:r>
          </w:p>
        </w:tc>
        <w:tc>
          <w:tcPr>
            <w:tcW w:w="1139" w:type="dxa"/>
            <w:vMerge w:val="continue"/>
            <w:tcBorders>
              <w:left w:val="single" w:color="auto" w:sz="4" w:space="0"/>
            </w:tcBorders>
            <w:vAlign w:val="center"/>
          </w:tcPr>
          <w:p w14:paraId="3CC8ABDD">
            <w:pPr>
              <w:spacing w:line="240" w:lineRule="atLeast"/>
              <w:rPr>
                <w:rFonts w:ascii="Arial" w:hAnsi="Arial" w:cs="Arial"/>
                <w:color w:val="000000" w:themeColor="text1"/>
                <w:szCs w:val="21"/>
                <w:highlight w:val="none"/>
                <w14:textFill>
                  <w14:solidFill>
                    <w14:schemeClr w14:val="tx1"/>
                  </w14:solidFill>
                </w14:textFill>
              </w:rPr>
            </w:pPr>
          </w:p>
        </w:tc>
      </w:tr>
      <w:tr w14:paraId="3FD50C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3F347CE5">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10</w:t>
            </w:r>
          </w:p>
        </w:tc>
        <w:tc>
          <w:tcPr>
            <w:tcW w:w="1593" w:type="dxa"/>
            <w:vMerge w:val="restart"/>
            <w:vAlign w:val="center"/>
          </w:tcPr>
          <w:p w14:paraId="5BA84604">
            <w:pPr>
              <w:rPr>
                <w:rFonts w:ascii="Arial" w:hAnsi="Arial" w:cs="Arial"/>
                <w:color w:val="000000" w:themeColor="text1"/>
                <w:szCs w:val="21"/>
                <w:highlight w:val="none"/>
                <w14:textFill>
                  <w14:solidFill>
                    <w14:schemeClr w14:val="tx1"/>
                  </w14:solidFill>
                </w14:textFill>
              </w:rPr>
            </w:pPr>
            <w:r>
              <w:rPr>
                <w:rFonts w:ascii="Arial" w:hAnsi="Arial" w:cs="Arial"/>
                <w:bCs/>
                <w:color w:val="000000" w:themeColor="text1"/>
                <w:szCs w:val="21"/>
                <w:highlight w:val="none"/>
                <w14:textFill>
                  <w14:solidFill>
                    <w14:schemeClr w14:val="tx1"/>
                  </w14:solidFill>
                </w14:textFill>
              </w:rPr>
              <w:t>成品保护</w:t>
            </w:r>
            <w:r>
              <w:rPr>
                <w:rFonts w:hint="eastAsia" w:ascii="Arial" w:hAnsi="Arial" w:cs="Arial"/>
                <w:bCs/>
                <w:color w:val="000000" w:themeColor="text1"/>
                <w:szCs w:val="21"/>
                <w:highlight w:val="none"/>
                <w14:textFill>
                  <w14:solidFill>
                    <w14:schemeClr w14:val="tx1"/>
                  </w14:solidFill>
                </w14:textFill>
              </w:rPr>
              <w:t>措施</w:t>
            </w:r>
            <w:r>
              <w:rPr>
                <w:rFonts w:ascii="Arial" w:hAnsi="Arial" w:cs="Arial"/>
                <w:bCs/>
                <w:color w:val="000000" w:themeColor="text1"/>
                <w:szCs w:val="21"/>
                <w:highlight w:val="none"/>
                <w14:textFill>
                  <w14:solidFill>
                    <w14:schemeClr w14:val="tx1"/>
                  </w14:solidFill>
                </w14:textFill>
              </w:rPr>
              <w:t>和工程保修工作的管理措施和承诺</w:t>
            </w:r>
          </w:p>
        </w:tc>
        <w:tc>
          <w:tcPr>
            <w:tcW w:w="871" w:type="dxa"/>
            <w:vMerge w:val="restart"/>
            <w:vAlign w:val="center"/>
          </w:tcPr>
          <w:p w14:paraId="6192E5B6">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10</w:t>
            </w:r>
          </w:p>
        </w:tc>
        <w:tc>
          <w:tcPr>
            <w:tcW w:w="4068" w:type="dxa"/>
            <w:vAlign w:val="center"/>
          </w:tcPr>
          <w:p w14:paraId="5B836449">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bCs/>
                <w:color w:val="000000" w:themeColor="text1"/>
                <w:szCs w:val="21"/>
                <w:highlight w:val="none"/>
                <w14:textFill>
                  <w14:solidFill>
                    <w14:schemeClr w14:val="tx1"/>
                  </w14:solidFill>
                </w14:textFill>
              </w:rPr>
              <w:t>措施</w:t>
            </w:r>
            <w:r>
              <w:rPr>
                <w:rFonts w:hint="eastAsia" w:ascii="Arial" w:hAnsi="Arial" w:cs="Arial"/>
                <w:color w:val="000000" w:themeColor="text1"/>
                <w:szCs w:val="21"/>
                <w:highlight w:val="none"/>
                <w14:textFill>
                  <w14:solidFill>
                    <w14:schemeClr w14:val="tx1"/>
                  </w14:solidFill>
                </w14:textFill>
              </w:rPr>
              <w:t>合理</w:t>
            </w:r>
            <w:r>
              <w:rPr>
                <w:rFonts w:hint="eastAsia" w:ascii="Arial" w:hAnsi="Arial" w:cs="Arial"/>
                <w:bCs/>
                <w:color w:val="000000" w:themeColor="text1"/>
                <w:szCs w:val="21"/>
                <w:highlight w:val="none"/>
                <w14:textFill>
                  <w14:solidFill>
                    <w14:schemeClr w14:val="tx1"/>
                  </w14:solidFill>
                </w14:textFill>
              </w:rPr>
              <w:t>、</w:t>
            </w:r>
            <w:r>
              <w:rPr>
                <w:rFonts w:ascii="Arial" w:hAnsi="Arial" w:cs="Arial"/>
                <w:bCs/>
                <w:color w:val="000000" w:themeColor="text1"/>
                <w:szCs w:val="21"/>
                <w:highlight w:val="none"/>
                <w14:textFill>
                  <w14:solidFill>
                    <w14:schemeClr w14:val="tx1"/>
                  </w14:solidFill>
                </w14:textFill>
              </w:rPr>
              <w:t>承诺</w:t>
            </w:r>
            <w:r>
              <w:rPr>
                <w:rFonts w:hint="eastAsia" w:ascii="Arial" w:hAnsi="Arial" w:cs="Arial"/>
                <w:bCs/>
                <w:color w:val="000000" w:themeColor="text1"/>
                <w:szCs w:val="21"/>
                <w:highlight w:val="none"/>
                <w14:textFill>
                  <w14:solidFill>
                    <w14:schemeClr w14:val="tx1"/>
                  </w14:solidFill>
                </w14:textFill>
              </w:rPr>
              <w:t>到位</w:t>
            </w:r>
          </w:p>
        </w:tc>
        <w:tc>
          <w:tcPr>
            <w:tcW w:w="1110" w:type="dxa"/>
            <w:tcBorders>
              <w:right w:val="single" w:color="auto" w:sz="4" w:space="0"/>
            </w:tcBorders>
            <w:vAlign w:val="center"/>
          </w:tcPr>
          <w:p w14:paraId="5AAB374F">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10</w:t>
            </w:r>
          </w:p>
        </w:tc>
        <w:tc>
          <w:tcPr>
            <w:tcW w:w="1139" w:type="dxa"/>
            <w:vMerge w:val="restart"/>
            <w:tcBorders>
              <w:left w:val="single" w:color="auto" w:sz="4" w:space="0"/>
            </w:tcBorders>
            <w:vAlign w:val="center"/>
          </w:tcPr>
          <w:p w14:paraId="7575B606">
            <w:pPr>
              <w:spacing w:line="240" w:lineRule="atLeast"/>
              <w:rPr>
                <w:rFonts w:ascii="Arial" w:hAnsi="Arial" w:cs="Arial"/>
                <w:color w:val="000000" w:themeColor="text1"/>
                <w:szCs w:val="21"/>
                <w:highlight w:val="none"/>
                <w14:textFill>
                  <w14:solidFill>
                    <w14:schemeClr w14:val="tx1"/>
                  </w14:solidFill>
                </w14:textFill>
              </w:rPr>
            </w:pPr>
          </w:p>
        </w:tc>
      </w:tr>
      <w:tr w14:paraId="4722D82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B550711">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37FD016D">
            <w:pPr>
              <w:rPr>
                <w:rFonts w:ascii="Arial" w:hAnsi="Arial" w:cs="Arial"/>
                <w:bCs/>
                <w:color w:val="000000" w:themeColor="text1"/>
                <w:szCs w:val="21"/>
                <w:highlight w:val="none"/>
                <w14:textFill>
                  <w14:solidFill>
                    <w14:schemeClr w14:val="tx1"/>
                  </w14:solidFill>
                </w14:textFill>
              </w:rPr>
            </w:pPr>
          </w:p>
        </w:tc>
        <w:tc>
          <w:tcPr>
            <w:tcW w:w="871" w:type="dxa"/>
            <w:vMerge w:val="continue"/>
            <w:vAlign w:val="center"/>
          </w:tcPr>
          <w:p w14:paraId="002C7BF5">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459C12D0">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bCs/>
                <w:color w:val="000000" w:themeColor="text1"/>
                <w:szCs w:val="21"/>
                <w:highlight w:val="none"/>
                <w14:textFill>
                  <w14:solidFill>
                    <w14:schemeClr w14:val="tx1"/>
                  </w14:solidFill>
                </w14:textFill>
              </w:rPr>
              <w:t>措施</w:t>
            </w:r>
            <w:r>
              <w:rPr>
                <w:rFonts w:hint="eastAsia" w:ascii="Arial" w:hAnsi="Arial" w:cs="Arial"/>
                <w:color w:val="000000" w:themeColor="text1"/>
                <w:szCs w:val="21"/>
                <w:highlight w:val="none"/>
                <w14:textFill>
                  <w14:solidFill>
                    <w14:schemeClr w14:val="tx1"/>
                  </w14:solidFill>
                </w14:textFill>
              </w:rPr>
              <w:t>合理</w:t>
            </w:r>
            <w:r>
              <w:rPr>
                <w:rFonts w:hint="eastAsia" w:ascii="Arial" w:hAnsi="Arial" w:cs="Arial"/>
                <w:bCs/>
                <w:color w:val="000000" w:themeColor="text1"/>
                <w:szCs w:val="21"/>
                <w:highlight w:val="none"/>
                <w14:textFill>
                  <w14:solidFill>
                    <w14:schemeClr w14:val="tx1"/>
                  </w14:solidFill>
                </w14:textFill>
              </w:rPr>
              <w:t>、</w:t>
            </w:r>
            <w:r>
              <w:rPr>
                <w:rFonts w:ascii="Arial" w:hAnsi="Arial" w:cs="Arial"/>
                <w:bCs/>
                <w:color w:val="000000" w:themeColor="text1"/>
                <w:szCs w:val="21"/>
                <w:highlight w:val="none"/>
                <w14:textFill>
                  <w14:solidFill>
                    <w14:schemeClr w14:val="tx1"/>
                  </w14:solidFill>
                </w14:textFill>
              </w:rPr>
              <w:t>承诺</w:t>
            </w:r>
            <w:r>
              <w:rPr>
                <w:rFonts w:hint="eastAsia" w:ascii="Arial" w:hAnsi="Arial" w:cs="Arial"/>
                <w:bCs/>
                <w:color w:val="000000" w:themeColor="text1"/>
                <w:szCs w:val="21"/>
                <w:highlight w:val="none"/>
                <w14:textFill>
                  <w14:solidFill>
                    <w14:schemeClr w14:val="tx1"/>
                  </w14:solidFill>
                </w14:textFill>
              </w:rPr>
              <w:t>比较到位</w:t>
            </w:r>
          </w:p>
        </w:tc>
        <w:tc>
          <w:tcPr>
            <w:tcW w:w="1110" w:type="dxa"/>
            <w:tcBorders>
              <w:right w:val="single" w:color="auto" w:sz="4" w:space="0"/>
            </w:tcBorders>
            <w:vAlign w:val="center"/>
          </w:tcPr>
          <w:p w14:paraId="0F8A80DF">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5</w:t>
            </w:r>
          </w:p>
        </w:tc>
        <w:tc>
          <w:tcPr>
            <w:tcW w:w="1139" w:type="dxa"/>
            <w:vMerge w:val="continue"/>
            <w:tcBorders>
              <w:left w:val="single" w:color="auto" w:sz="4" w:space="0"/>
            </w:tcBorders>
            <w:vAlign w:val="center"/>
          </w:tcPr>
          <w:p w14:paraId="4F7E9B91">
            <w:pPr>
              <w:spacing w:line="240" w:lineRule="atLeast"/>
              <w:rPr>
                <w:rFonts w:ascii="Arial" w:hAnsi="Arial" w:cs="Arial"/>
                <w:color w:val="000000" w:themeColor="text1"/>
                <w:szCs w:val="21"/>
                <w:highlight w:val="none"/>
                <w14:textFill>
                  <w14:solidFill>
                    <w14:schemeClr w14:val="tx1"/>
                  </w14:solidFill>
                </w14:textFill>
              </w:rPr>
            </w:pPr>
          </w:p>
        </w:tc>
      </w:tr>
      <w:tr w14:paraId="48B3E6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ECA2449">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4BDEC422">
            <w:pPr>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3C172E5C">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605A4960">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bCs/>
                <w:color w:val="000000" w:themeColor="text1"/>
                <w:szCs w:val="21"/>
                <w:highlight w:val="none"/>
                <w14:textFill>
                  <w14:solidFill>
                    <w14:schemeClr w14:val="tx1"/>
                  </w14:solidFill>
                </w14:textFill>
              </w:rPr>
              <w:t>措施</w:t>
            </w:r>
            <w:r>
              <w:rPr>
                <w:rFonts w:hint="eastAsia" w:ascii="Arial" w:hAnsi="Arial" w:cs="Arial"/>
                <w:color w:val="000000" w:themeColor="text1"/>
                <w:szCs w:val="21"/>
                <w:highlight w:val="none"/>
                <w14:textFill>
                  <w14:solidFill>
                    <w14:schemeClr w14:val="tx1"/>
                  </w14:solidFill>
                </w14:textFill>
              </w:rPr>
              <w:t>较差</w:t>
            </w:r>
            <w:r>
              <w:rPr>
                <w:rFonts w:hint="eastAsia" w:ascii="Arial" w:hAnsi="Arial" w:cs="Arial"/>
                <w:bCs/>
                <w:color w:val="000000" w:themeColor="text1"/>
                <w:szCs w:val="21"/>
                <w:highlight w:val="none"/>
                <w14:textFill>
                  <w14:solidFill>
                    <w14:schemeClr w14:val="tx1"/>
                  </w14:solidFill>
                </w14:textFill>
              </w:rPr>
              <w:t>、</w:t>
            </w:r>
            <w:r>
              <w:rPr>
                <w:rFonts w:ascii="Arial" w:hAnsi="Arial" w:cs="Arial"/>
                <w:bCs/>
                <w:color w:val="000000" w:themeColor="text1"/>
                <w:szCs w:val="21"/>
                <w:highlight w:val="none"/>
                <w14:textFill>
                  <w14:solidFill>
                    <w14:schemeClr w14:val="tx1"/>
                  </w14:solidFill>
                </w14:textFill>
              </w:rPr>
              <w:t>承诺</w:t>
            </w:r>
            <w:r>
              <w:rPr>
                <w:rFonts w:hint="eastAsia" w:ascii="Arial" w:hAnsi="Arial" w:cs="Arial"/>
                <w:bCs/>
                <w:color w:val="000000" w:themeColor="text1"/>
                <w:szCs w:val="21"/>
                <w:highlight w:val="none"/>
                <w14:textFill>
                  <w14:solidFill>
                    <w14:schemeClr w14:val="tx1"/>
                  </w14:solidFill>
                </w14:textFill>
              </w:rPr>
              <w:t>不到位</w:t>
            </w:r>
          </w:p>
        </w:tc>
        <w:tc>
          <w:tcPr>
            <w:tcW w:w="1110" w:type="dxa"/>
            <w:tcBorders>
              <w:right w:val="single" w:color="auto" w:sz="4" w:space="0"/>
            </w:tcBorders>
            <w:vAlign w:val="center"/>
          </w:tcPr>
          <w:p w14:paraId="02BDCC6F">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0</w:t>
            </w:r>
          </w:p>
        </w:tc>
        <w:tc>
          <w:tcPr>
            <w:tcW w:w="1139" w:type="dxa"/>
            <w:vMerge w:val="continue"/>
            <w:tcBorders>
              <w:left w:val="single" w:color="auto" w:sz="4" w:space="0"/>
            </w:tcBorders>
            <w:vAlign w:val="center"/>
          </w:tcPr>
          <w:p w14:paraId="465868A9">
            <w:pPr>
              <w:spacing w:line="240" w:lineRule="atLeast"/>
              <w:rPr>
                <w:rFonts w:ascii="Arial" w:hAnsi="Arial" w:cs="Arial"/>
                <w:color w:val="000000" w:themeColor="text1"/>
                <w:szCs w:val="21"/>
                <w:highlight w:val="none"/>
                <w14:textFill>
                  <w14:solidFill>
                    <w14:schemeClr w14:val="tx1"/>
                  </w14:solidFill>
                </w14:textFill>
              </w:rPr>
            </w:pPr>
          </w:p>
        </w:tc>
      </w:tr>
      <w:tr w14:paraId="2C913A6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38AEE02C">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11</w:t>
            </w:r>
          </w:p>
        </w:tc>
        <w:tc>
          <w:tcPr>
            <w:tcW w:w="1593" w:type="dxa"/>
            <w:vMerge w:val="restart"/>
            <w:vAlign w:val="center"/>
          </w:tcPr>
          <w:p w14:paraId="27DADC2A">
            <w:pP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紧急情况的处理措施、预案以及抵抗风险的措施</w:t>
            </w:r>
          </w:p>
        </w:tc>
        <w:tc>
          <w:tcPr>
            <w:tcW w:w="871" w:type="dxa"/>
            <w:vMerge w:val="restart"/>
            <w:vAlign w:val="center"/>
          </w:tcPr>
          <w:p w14:paraId="123D0B7B">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5</w:t>
            </w:r>
          </w:p>
        </w:tc>
        <w:tc>
          <w:tcPr>
            <w:tcW w:w="4068" w:type="dxa"/>
            <w:vAlign w:val="center"/>
          </w:tcPr>
          <w:p w14:paraId="4AEE2774">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bCs/>
                <w:color w:val="000000" w:themeColor="text1"/>
                <w:szCs w:val="21"/>
                <w:highlight w:val="none"/>
                <w14:textFill>
                  <w14:solidFill>
                    <w14:schemeClr w14:val="tx1"/>
                  </w14:solidFill>
                </w14:textFill>
              </w:rPr>
              <w:t>措施</w:t>
            </w:r>
            <w:r>
              <w:rPr>
                <w:rFonts w:hint="eastAsia" w:ascii="Arial" w:hAnsi="Arial" w:cs="Arial"/>
                <w:bCs/>
                <w:color w:val="000000" w:themeColor="text1"/>
                <w:szCs w:val="21"/>
                <w:highlight w:val="none"/>
                <w14:textFill>
                  <w14:solidFill>
                    <w14:schemeClr w14:val="tx1"/>
                  </w14:solidFill>
                </w14:textFill>
              </w:rPr>
              <w:t>及</w:t>
            </w: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合理</w:t>
            </w:r>
          </w:p>
        </w:tc>
        <w:tc>
          <w:tcPr>
            <w:tcW w:w="1110" w:type="dxa"/>
            <w:tcBorders>
              <w:right w:val="single" w:color="auto" w:sz="4" w:space="0"/>
            </w:tcBorders>
            <w:vAlign w:val="center"/>
          </w:tcPr>
          <w:p w14:paraId="2D6C68B4">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5</w:t>
            </w:r>
          </w:p>
        </w:tc>
        <w:tc>
          <w:tcPr>
            <w:tcW w:w="1139" w:type="dxa"/>
            <w:vMerge w:val="restart"/>
            <w:tcBorders>
              <w:left w:val="single" w:color="auto" w:sz="4" w:space="0"/>
            </w:tcBorders>
            <w:vAlign w:val="center"/>
          </w:tcPr>
          <w:p w14:paraId="32F999E2">
            <w:pPr>
              <w:spacing w:line="240" w:lineRule="atLeast"/>
              <w:rPr>
                <w:rFonts w:ascii="Arial" w:hAnsi="Arial" w:cs="Arial"/>
                <w:color w:val="000000" w:themeColor="text1"/>
                <w:szCs w:val="21"/>
                <w:highlight w:val="none"/>
                <w14:textFill>
                  <w14:solidFill>
                    <w14:schemeClr w14:val="tx1"/>
                  </w14:solidFill>
                </w14:textFill>
              </w:rPr>
            </w:pPr>
          </w:p>
        </w:tc>
      </w:tr>
      <w:tr w14:paraId="7DFA04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5A7B8B2A">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5096B81A">
            <w:pPr>
              <w:rPr>
                <w:rFonts w:ascii="Arial" w:hAnsi="Arial" w:cs="Arial"/>
                <w:bCs/>
                <w:color w:val="000000" w:themeColor="text1"/>
                <w:szCs w:val="21"/>
                <w:highlight w:val="none"/>
                <w14:textFill>
                  <w14:solidFill>
                    <w14:schemeClr w14:val="tx1"/>
                  </w14:solidFill>
                </w14:textFill>
              </w:rPr>
            </w:pPr>
          </w:p>
        </w:tc>
        <w:tc>
          <w:tcPr>
            <w:tcW w:w="871" w:type="dxa"/>
            <w:vMerge w:val="continue"/>
            <w:vAlign w:val="center"/>
          </w:tcPr>
          <w:p w14:paraId="4121A239">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42594A4F">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bCs/>
                <w:color w:val="000000" w:themeColor="text1"/>
                <w:szCs w:val="21"/>
                <w:highlight w:val="none"/>
                <w14:textFill>
                  <w14:solidFill>
                    <w14:schemeClr w14:val="tx1"/>
                  </w14:solidFill>
                </w14:textFill>
              </w:rPr>
              <w:t>措施</w:t>
            </w:r>
            <w:r>
              <w:rPr>
                <w:rFonts w:hint="eastAsia" w:ascii="Arial" w:hAnsi="Arial" w:cs="Arial"/>
                <w:bCs/>
                <w:color w:val="000000" w:themeColor="text1"/>
                <w:szCs w:val="21"/>
                <w:highlight w:val="none"/>
                <w14:textFill>
                  <w14:solidFill>
                    <w14:schemeClr w14:val="tx1"/>
                  </w14:solidFill>
                </w14:textFill>
              </w:rPr>
              <w:t>及</w:t>
            </w: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较合理</w:t>
            </w:r>
          </w:p>
        </w:tc>
        <w:tc>
          <w:tcPr>
            <w:tcW w:w="1110" w:type="dxa"/>
            <w:tcBorders>
              <w:right w:val="single" w:color="auto" w:sz="4" w:space="0"/>
            </w:tcBorders>
            <w:vAlign w:val="center"/>
          </w:tcPr>
          <w:p w14:paraId="76849E39">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w:t>
            </w:r>
          </w:p>
        </w:tc>
        <w:tc>
          <w:tcPr>
            <w:tcW w:w="1139" w:type="dxa"/>
            <w:vMerge w:val="continue"/>
            <w:tcBorders>
              <w:left w:val="single" w:color="auto" w:sz="4" w:space="0"/>
            </w:tcBorders>
            <w:vAlign w:val="center"/>
          </w:tcPr>
          <w:p w14:paraId="58B6F5A1">
            <w:pPr>
              <w:spacing w:line="240" w:lineRule="atLeast"/>
              <w:rPr>
                <w:rFonts w:ascii="Arial" w:hAnsi="Arial" w:cs="Arial"/>
                <w:color w:val="000000" w:themeColor="text1"/>
                <w:szCs w:val="21"/>
                <w:highlight w:val="none"/>
                <w14:textFill>
                  <w14:solidFill>
                    <w14:schemeClr w14:val="tx1"/>
                  </w14:solidFill>
                </w14:textFill>
              </w:rPr>
            </w:pPr>
          </w:p>
        </w:tc>
      </w:tr>
      <w:tr w14:paraId="38CA031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7B8487AA">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265588DC">
            <w:pPr>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3A701C64">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79FDF234">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bCs/>
                <w:color w:val="000000" w:themeColor="text1"/>
                <w:szCs w:val="21"/>
                <w:highlight w:val="none"/>
                <w14:textFill>
                  <w14:solidFill>
                    <w14:schemeClr w14:val="tx1"/>
                  </w14:solidFill>
                </w14:textFill>
              </w:rPr>
              <w:t>措施</w:t>
            </w:r>
            <w:r>
              <w:rPr>
                <w:rFonts w:hint="eastAsia" w:ascii="Arial" w:hAnsi="Arial" w:cs="Arial"/>
                <w:bCs/>
                <w:color w:val="000000" w:themeColor="text1"/>
                <w:szCs w:val="21"/>
                <w:highlight w:val="none"/>
                <w14:textFill>
                  <w14:solidFill>
                    <w14:schemeClr w14:val="tx1"/>
                  </w14:solidFill>
                </w14:textFill>
              </w:rPr>
              <w:t>及</w:t>
            </w: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较差</w:t>
            </w:r>
          </w:p>
        </w:tc>
        <w:tc>
          <w:tcPr>
            <w:tcW w:w="1110" w:type="dxa"/>
            <w:tcBorders>
              <w:right w:val="single" w:color="auto" w:sz="4" w:space="0"/>
            </w:tcBorders>
            <w:vAlign w:val="center"/>
          </w:tcPr>
          <w:p w14:paraId="1E41B8D7">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w:t>
            </w:r>
          </w:p>
        </w:tc>
        <w:tc>
          <w:tcPr>
            <w:tcW w:w="1139" w:type="dxa"/>
            <w:vMerge w:val="continue"/>
            <w:tcBorders>
              <w:left w:val="single" w:color="auto" w:sz="4" w:space="0"/>
            </w:tcBorders>
            <w:vAlign w:val="center"/>
          </w:tcPr>
          <w:p w14:paraId="5A5CE4FF">
            <w:pPr>
              <w:spacing w:line="240" w:lineRule="atLeast"/>
              <w:rPr>
                <w:rFonts w:ascii="Arial" w:hAnsi="Arial" w:cs="Arial"/>
                <w:color w:val="000000" w:themeColor="text1"/>
                <w:szCs w:val="21"/>
                <w:highlight w:val="none"/>
                <w14:textFill>
                  <w14:solidFill>
                    <w14:schemeClr w14:val="tx1"/>
                  </w14:solidFill>
                </w14:textFill>
              </w:rPr>
            </w:pPr>
          </w:p>
        </w:tc>
      </w:tr>
      <w:tr w14:paraId="7A1824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21" w:hRule="atLeast"/>
          <w:jc w:val="center"/>
        </w:trPr>
        <w:tc>
          <w:tcPr>
            <w:tcW w:w="7304" w:type="dxa"/>
            <w:gridSpan w:val="4"/>
            <w:vAlign w:val="center"/>
          </w:tcPr>
          <w:p w14:paraId="38E69919">
            <w:pPr>
              <w:jc w:val="center"/>
              <w:rPr>
                <w:rFonts w:ascii="Arial" w:hAnsi="Arial" w:cs="宋体"/>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合 计（100）</w:t>
            </w:r>
          </w:p>
        </w:tc>
        <w:tc>
          <w:tcPr>
            <w:tcW w:w="2249" w:type="dxa"/>
            <w:gridSpan w:val="2"/>
            <w:vAlign w:val="center"/>
          </w:tcPr>
          <w:p w14:paraId="018C2FF3">
            <w:pPr>
              <w:jc w:val="center"/>
              <w:rPr>
                <w:rFonts w:ascii="Arial" w:hAnsi="Arial" w:cs="Arial"/>
                <w:bCs/>
                <w:color w:val="000000" w:themeColor="text1"/>
                <w:szCs w:val="21"/>
                <w:highlight w:val="none"/>
                <w14:textFill>
                  <w14:solidFill>
                    <w14:schemeClr w14:val="tx1"/>
                  </w14:solidFill>
                </w14:textFill>
              </w:rPr>
            </w:pPr>
          </w:p>
        </w:tc>
      </w:tr>
    </w:tbl>
    <w:p w14:paraId="0B4D0239">
      <w:pPr>
        <w:snapToGrid w:val="0"/>
        <w:rPr>
          <w:color w:val="000000" w:themeColor="text1"/>
          <w:sz w:val="24"/>
          <w:highlight w:val="none"/>
          <w14:textFill>
            <w14:solidFill>
              <w14:schemeClr w14:val="tx1"/>
            </w14:solidFill>
          </w14:textFill>
        </w:rPr>
      </w:pPr>
      <w:r>
        <w:rPr>
          <w:color w:val="000000" w:themeColor="text1"/>
          <w:highlight w:val="none"/>
          <w14:textFill>
            <w14:solidFill>
              <w14:schemeClr w14:val="tx1"/>
            </w14:solidFill>
          </w14:textFill>
        </w:rPr>
        <w:br w:type="page"/>
      </w:r>
      <w:r>
        <w:rPr>
          <w:rFonts w:hAnsi="宋体"/>
          <w:color w:val="000000" w:themeColor="text1"/>
          <w:sz w:val="24"/>
          <w:highlight w:val="none"/>
          <w14:textFill>
            <w14:solidFill>
              <w14:schemeClr w14:val="tx1"/>
            </w14:solidFill>
          </w14:textFill>
        </w:rPr>
        <w:t>附表</w:t>
      </w:r>
      <w:r>
        <w:rPr>
          <w:rFonts w:hint="eastAsia" w:hAnsi="宋体"/>
          <w:color w:val="000000" w:themeColor="text1"/>
          <w:sz w:val="24"/>
          <w:highlight w:val="none"/>
          <w14:textFill>
            <w14:solidFill>
              <w14:schemeClr w14:val="tx1"/>
            </w14:solidFill>
          </w14:textFill>
        </w:rPr>
        <w:t>3</w:t>
      </w:r>
    </w:p>
    <w:p w14:paraId="245B023A">
      <w:pPr>
        <w:pStyle w:val="8"/>
        <w:spacing w:line="360" w:lineRule="auto"/>
        <w:ind w:firstLine="482"/>
        <w:jc w:val="center"/>
        <w:rPr>
          <w:rFonts w:hint="eastAsia" w:hAnsi="宋体"/>
          <w:b/>
          <w:color w:val="000000" w:themeColor="text1"/>
          <w:sz w:val="24"/>
          <w:highlight w:val="none"/>
          <w14:textFill>
            <w14:solidFill>
              <w14:schemeClr w14:val="tx1"/>
            </w14:solidFill>
          </w14:textFill>
        </w:rPr>
      </w:pPr>
      <w:r>
        <w:rPr>
          <w:rFonts w:hAnsi="宋体"/>
          <w:b/>
          <w:color w:val="000000" w:themeColor="text1"/>
          <w:sz w:val="24"/>
          <w:highlight w:val="none"/>
          <w14:textFill>
            <w14:solidFill>
              <w14:schemeClr w14:val="tx1"/>
            </w14:solidFill>
          </w14:textFill>
        </w:rPr>
        <w:t>经济</w:t>
      </w:r>
      <w:r>
        <w:rPr>
          <w:rFonts w:hint="eastAsia" w:hAnsi="宋体"/>
          <w:b/>
          <w:color w:val="000000" w:themeColor="text1"/>
          <w:sz w:val="24"/>
          <w:highlight w:val="none"/>
          <w14:textFill>
            <w14:solidFill>
              <w14:schemeClr w14:val="tx1"/>
            </w14:solidFill>
          </w14:textFill>
        </w:rPr>
        <w:t>报价</w:t>
      </w:r>
      <w:r>
        <w:rPr>
          <w:rFonts w:hAnsi="宋体"/>
          <w:b/>
          <w:color w:val="000000" w:themeColor="text1"/>
          <w:sz w:val="24"/>
          <w:highlight w:val="none"/>
          <w14:textFill>
            <w14:solidFill>
              <w14:schemeClr w14:val="tx1"/>
            </w14:solidFill>
          </w14:textFill>
        </w:rPr>
        <w:t>评分表</w:t>
      </w:r>
    </w:p>
    <w:p w14:paraId="5271236A">
      <w:pPr>
        <w:spacing w:line="360" w:lineRule="auto"/>
        <w:rPr>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响应单位名称：</w:t>
      </w:r>
    </w:p>
    <w:tbl>
      <w:tblPr>
        <w:tblStyle w:val="31"/>
        <w:tblW w:w="9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1365"/>
        <w:gridCol w:w="2730"/>
        <w:gridCol w:w="1260"/>
        <w:gridCol w:w="2205"/>
      </w:tblGrid>
      <w:tr w14:paraId="50B1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Align w:val="center"/>
          </w:tcPr>
          <w:p w14:paraId="59688A20">
            <w:pPr>
              <w:spacing w:line="360" w:lineRule="auto"/>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项目</w:t>
            </w:r>
          </w:p>
        </w:tc>
        <w:tc>
          <w:tcPr>
            <w:tcW w:w="1365" w:type="dxa"/>
            <w:vAlign w:val="center"/>
          </w:tcPr>
          <w:p w14:paraId="1A87C7B1">
            <w:pPr>
              <w:spacing w:line="360" w:lineRule="auto"/>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满分</w:t>
            </w:r>
          </w:p>
        </w:tc>
        <w:tc>
          <w:tcPr>
            <w:tcW w:w="2730" w:type="dxa"/>
            <w:vAlign w:val="center"/>
          </w:tcPr>
          <w:p w14:paraId="66049183">
            <w:pPr>
              <w:spacing w:line="360" w:lineRule="auto"/>
              <w:jc w:val="center"/>
              <w:rPr>
                <w:rFonts w:ascii="Arial" w:hAnsi="Arial" w:cs="Arial"/>
                <w:bCs/>
                <w:color w:val="000000" w:themeColor="text1"/>
                <w:szCs w:val="21"/>
                <w:highlight w:val="none"/>
                <w14:textFill>
                  <w14:solidFill>
                    <w14:schemeClr w14:val="tx1"/>
                  </w14:solidFill>
                </w14:textFill>
              </w:rPr>
            </w:pPr>
            <w:r>
              <w:rPr>
                <w:rFonts w:ascii="Arial" w:hAnsi="Arial" w:cs="Arial"/>
                <w:bCs/>
                <w:color w:val="000000" w:themeColor="text1"/>
                <w:szCs w:val="21"/>
                <w:highlight w:val="none"/>
                <w14:textFill>
                  <w14:solidFill>
                    <w14:schemeClr w14:val="tx1"/>
                  </w14:solidFill>
                </w14:textFill>
              </w:rPr>
              <w:t>β</w:t>
            </w:r>
            <w:r>
              <w:rPr>
                <w:rFonts w:hint="eastAsia" w:ascii="Arial" w:hAnsi="Arial" w:cs="Arial"/>
                <w:bCs/>
                <w:color w:val="000000" w:themeColor="text1"/>
                <w:szCs w:val="21"/>
                <w:highlight w:val="none"/>
                <w14:textFill>
                  <w14:solidFill>
                    <w14:schemeClr w14:val="tx1"/>
                  </w14:solidFill>
                </w14:textFill>
              </w:rPr>
              <w:t>值分布</w:t>
            </w:r>
          </w:p>
        </w:tc>
        <w:tc>
          <w:tcPr>
            <w:tcW w:w="1260" w:type="dxa"/>
            <w:vAlign w:val="center"/>
          </w:tcPr>
          <w:p w14:paraId="584F41FA">
            <w:pPr>
              <w:spacing w:line="360" w:lineRule="auto"/>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分值</w:t>
            </w:r>
          </w:p>
        </w:tc>
        <w:tc>
          <w:tcPr>
            <w:tcW w:w="2205" w:type="dxa"/>
            <w:vAlign w:val="center"/>
          </w:tcPr>
          <w:p w14:paraId="73A30988">
            <w:pPr>
              <w:spacing w:line="360" w:lineRule="auto"/>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备注</w:t>
            </w:r>
          </w:p>
        </w:tc>
      </w:tr>
      <w:tr w14:paraId="1501E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restart"/>
            <w:vAlign w:val="center"/>
          </w:tcPr>
          <w:p w14:paraId="469FCB0B">
            <w:pPr>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评审价</w:t>
            </w:r>
          </w:p>
        </w:tc>
        <w:tc>
          <w:tcPr>
            <w:tcW w:w="1365" w:type="dxa"/>
            <w:vMerge w:val="restart"/>
            <w:vAlign w:val="center"/>
          </w:tcPr>
          <w:p w14:paraId="7B3D3311">
            <w:pPr>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100</w:t>
            </w:r>
          </w:p>
        </w:tc>
        <w:tc>
          <w:tcPr>
            <w:tcW w:w="2730" w:type="dxa"/>
            <w:vAlign w:val="center"/>
          </w:tcPr>
          <w:p w14:paraId="75DD1DB7">
            <w:pP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0</w:t>
            </w:r>
            <w:r>
              <w:rPr>
                <w:rFonts w:ascii="Arial" w:hAnsi="Arial" w:cs="Arial"/>
                <w:bCs/>
                <w:color w:val="000000" w:themeColor="text1"/>
                <w:szCs w:val="21"/>
                <w:highlight w:val="none"/>
                <w14:textFill>
                  <w14:solidFill>
                    <w14:schemeClr w14:val="tx1"/>
                  </w14:solidFill>
                </w14:textFill>
              </w:rPr>
              <w:t>%</w:t>
            </w:r>
          </w:p>
        </w:tc>
        <w:tc>
          <w:tcPr>
            <w:tcW w:w="1260" w:type="dxa"/>
            <w:vAlign w:val="center"/>
          </w:tcPr>
          <w:p w14:paraId="3EC9F023">
            <w:pPr>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100</w:t>
            </w:r>
          </w:p>
        </w:tc>
        <w:tc>
          <w:tcPr>
            <w:tcW w:w="2205" w:type="dxa"/>
            <w:vMerge w:val="restart"/>
            <w:vAlign w:val="center"/>
          </w:tcPr>
          <w:p w14:paraId="640E55E4">
            <w:pP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等于基准价的报价得分为100，</w:t>
            </w:r>
            <w:r>
              <w:rPr>
                <w:rFonts w:hint="eastAsia" w:hAnsi="宋体"/>
                <w:color w:val="000000" w:themeColor="text1"/>
                <w:szCs w:val="21"/>
                <w:highlight w:val="none"/>
                <w14:textFill>
                  <w14:solidFill>
                    <w14:schemeClr w14:val="tx1"/>
                  </w14:solidFill>
                </w14:textFill>
              </w:rPr>
              <w:t>每高于基准价最优值区间</w:t>
            </w: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扣5分，以此类推等比扣减，扣完为止。</w:t>
            </w:r>
          </w:p>
        </w:tc>
      </w:tr>
      <w:tr w14:paraId="2D662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0583FAE8">
            <w:pPr>
              <w:rPr>
                <w:rFonts w:ascii="Arial" w:hAnsi="Arial" w:cs="Arial"/>
                <w:bCs/>
                <w:color w:val="000000" w:themeColor="text1"/>
                <w:szCs w:val="21"/>
                <w:highlight w:val="none"/>
                <w14:textFill>
                  <w14:solidFill>
                    <w14:schemeClr w14:val="tx1"/>
                  </w14:solidFill>
                </w14:textFill>
              </w:rPr>
            </w:pPr>
          </w:p>
        </w:tc>
        <w:tc>
          <w:tcPr>
            <w:tcW w:w="1365" w:type="dxa"/>
            <w:vMerge w:val="continue"/>
          </w:tcPr>
          <w:p w14:paraId="333D5A78">
            <w:pPr>
              <w:rPr>
                <w:rFonts w:ascii="Arial" w:hAnsi="Arial" w:cs="Arial"/>
                <w:bCs/>
                <w:color w:val="000000" w:themeColor="text1"/>
                <w:szCs w:val="21"/>
                <w:highlight w:val="none"/>
                <w14:textFill>
                  <w14:solidFill>
                    <w14:schemeClr w14:val="tx1"/>
                  </w14:solidFill>
                </w14:textFill>
              </w:rPr>
            </w:pPr>
          </w:p>
        </w:tc>
        <w:tc>
          <w:tcPr>
            <w:tcW w:w="2730" w:type="dxa"/>
            <w:vAlign w:val="center"/>
          </w:tcPr>
          <w:p w14:paraId="53C46C4F">
            <w:pP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1</w:t>
            </w:r>
            <w:r>
              <w:rPr>
                <w:rFonts w:ascii="Arial" w:hAnsi="Arial" w:cs="Arial"/>
                <w:bCs/>
                <w:color w:val="000000" w:themeColor="text1"/>
                <w:szCs w:val="21"/>
                <w:highlight w:val="none"/>
                <w14:textFill>
                  <w14:solidFill>
                    <w14:schemeClr w14:val="tx1"/>
                  </w14:solidFill>
                </w14:textFill>
              </w:rPr>
              <w:t>%</w:t>
            </w:r>
          </w:p>
        </w:tc>
        <w:tc>
          <w:tcPr>
            <w:tcW w:w="1260" w:type="dxa"/>
            <w:vAlign w:val="center"/>
          </w:tcPr>
          <w:p w14:paraId="317BEDD0">
            <w:pPr>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95</w:t>
            </w:r>
          </w:p>
        </w:tc>
        <w:tc>
          <w:tcPr>
            <w:tcW w:w="2205" w:type="dxa"/>
            <w:vMerge w:val="continue"/>
            <w:vAlign w:val="center"/>
          </w:tcPr>
          <w:p w14:paraId="7A5F199A">
            <w:pPr>
              <w:jc w:val="center"/>
              <w:rPr>
                <w:rFonts w:ascii="Arial" w:hAnsi="Arial" w:cs="Arial"/>
                <w:bCs/>
                <w:color w:val="000000" w:themeColor="text1"/>
                <w:szCs w:val="21"/>
                <w:highlight w:val="none"/>
                <w14:textFill>
                  <w14:solidFill>
                    <w14:schemeClr w14:val="tx1"/>
                  </w14:solidFill>
                </w14:textFill>
              </w:rPr>
            </w:pPr>
          </w:p>
        </w:tc>
      </w:tr>
      <w:tr w14:paraId="3D80B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4433FDE4">
            <w:pPr>
              <w:rPr>
                <w:rFonts w:ascii="Arial" w:hAnsi="Arial" w:cs="Arial"/>
                <w:bCs/>
                <w:color w:val="000000" w:themeColor="text1"/>
                <w:szCs w:val="21"/>
                <w:highlight w:val="none"/>
                <w14:textFill>
                  <w14:solidFill>
                    <w14:schemeClr w14:val="tx1"/>
                  </w14:solidFill>
                </w14:textFill>
              </w:rPr>
            </w:pPr>
          </w:p>
        </w:tc>
        <w:tc>
          <w:tcPr>
            <w:tcW w:w="1365" w:type="dxa"/>
            <w:vMerge w:val="continue"/>
          </w:tcPr>
          <w:p w14:paraId="199FFE61">
            <w:pPr>
              <w:rPr>
                <w:rFonts w:ascii="Arial" w:hAnsi="Arial" w:cs="Arial"/>
                <w:bCs/>
                <w:color w:val="000000" w:themeColor="text1"/>
                <w:szCs w:val="21"/>
                <w:highlight w:val="none"/>
                <w14:textFill>
                  <w14:solidFill>
                    <w14:schemeClr w14:val="tx1"/>
                  </w14:solidFill>
                </w14:textFill>
              </w:rPr>
            </w:pPr>
          </w:p>
        </w:tc>
        <w:tc>
          <w:tcPr>
            <w:tcW w:w="2730" w:type="dxa"/>
            <w:vAlign w:val="center"/>
          </w:tcPr>
          <w:p w14:paraId="29EE8DF4">
            <w:pP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2</w:t>
            </w:r>
            <w:r>
              <w:rPr>
                <w:rFonts w:ascii="Arial" w:hAnsi="Arial" w:cs="Arial"/>
                <w:bCs/>
                <w:color w:val="000000" w:themeColor="text1"/>
                <w:szCs w:val="21"/>
                <w:highlight w:val="none"/>
                <w14:textFill>
                  <w14:solidFill>
                    <w14:schemeClr w14:val="tx1"/>
                  </w14:solidFill>
                </w14:textFill>
              </w:rPr>
              <w:t>%</w:t>
            </w:r>
          </w:p>
        </w:tc>
        <w:tc>
          <w:tcPr>
            <w:tcW w:w="1260" w:type="dxa"/>
            <w:vAlign w:val="center"/>
          </w:tcPr>
          <w:p w14:paraId="3FC8A4C1">
            <w:pPr>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90</w:t>
            </w:r>
          </w:p>
        </w:tc>
        <w:tc>
          <w:tcPr>
            <w:tcW w:w="2205" w:type="dxa"/>
            <w:vMerge w:val="continue"/>
            <w:vAlign w:val="center"/>
          </w:tcPr>
          <w:p w14:paraId="0F655529">
            <w:pPr>
              <w:jc w:val="center"/>
              <w:rPr>
                <w:rFonts w:ascii="Arial" w:hAnsi="Arial" w:cs="Arial"/>
                <w:bCs/>
                <w:color w:val="000000" w:themeColor="text1"/>
                <w:szCs w:val="21"/>
                <w:highlight w:val="none"/>
                <w14:textFill>
                  <w14:solidFill>
                    <w14:schemeClr w14:val="tx1"/>
                  </w14:solidFill>
                </w14:textFill>
              </w:rPr>
            </w:pPr>
          </w:p>
        </w:tc>
      </w:tr>
      <w:tr w14:paraId="2E179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0F42D874">
            <w:pPr>
              <w:rPr>
                <w:rFonts w:ascii="Arial" w:hAnsi="Arial" w:cs="Arial"/>
                <w:bCs/>
                <w:color w:val="000000" w:themeColor="text1"/>
                <w:szCs w:val="21"/>
                <w:highlight w:val="none"/>
                <w14:textFill>
                  <w14:solidFill>
                    <w14:schemeClr w14:val="tx1"/>
                  </w14:solidFill>
                </w14:textFill>
              </w:rPr>
            </w:pPr>
          </w:p>
        </w:tc>
        <w:tc>
          <w:tcPr>
            <w:tcW w:w="1365" w:type="dxa"/>
            <w:vMerge w:val="continue"/>
          </w:tcPr>
          <w:p w14:paraId="12769064">
            <w:pPr>
              <w:rPr>
                <w:rFonts w:ascii="Arial" w:hAnsi="Arial" w:cs="Arial"/>
                <w:bCs/>
                <w:color w:val="000000" w:themeColor="text1"/>
                <w:szCs w:val="21"/>
                <w:highlight w:val="none"/>
                <w14:textFill>
                  <w14:solidFill>
                    <w14:schemeClr w14:val="tx1"/>
                  </w14:solidFill>
                </w14:textFill>
              </w:rPr>
            </w:pPr>
          </w:p>
        </w:tc>
        <w:tc>
          <w:tcPr>
            <w:tcW w:w="2730" w:type="dxa"/>
            <w:vAlign w:val="center"/>
          </w:tcPr>
          <w:p w14:paraId="698E1348">
            <w:pP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3</w:t>
            </w:r>
            <w:r>
              <w:rPr>
                <w:rFonts w:ascii="Arial" w:hAnsi="Arial" w:cs="Arial"/>
                <w:bCs/>
                <w:color w:val="000000" w:themeColor="text1"/>
                <w:szCs w:val="21"/>
                <w:highlight w:val="none"/>
                <w14:textFill>
                  <w14:solidFill>
                    <w14:schemeClr w14:val="tx1"/>
                  </w14:solidFill>
                </w14:textFill>
              </w:rPr>
              <w:t>%</w:t>
            </w:r>
          </w:p>
        </w:tc>
        <w:tc>
          <w:tcPr>
            <w:tcW w:w="1260" w:type="dxa"/>
            <w:vAlign w:val="center"/>
          </w:tcPr>
          <w:p w14:paraId="0A86B1E3">
            <w:pPr>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85</w:t>
            </w:r>
          </w:p>
        </w:tc>
        <w:tc>
          <w:tcPr>
            <w:tcW w:w="2205" w:type="dxa"/>
            <w:vMerge w:val="continue"/>
            <w:vAlign w:val="center"/>
          </w:tcPr>
          <w:p w14:paraId="6C630730">
            <w:pPr>
              <w:jc w:val="center"/>
              <w:rPr>
                <w:rFonts w:ascii="Arial" w:hAnsi="Arial" w:cs="Arial"/>
                <w:bCs/>
                <w:color w:val="000000" w:themeColor="text1"/>
                <w:szCs w:val="21"/>
                <w:highlight w:val="none"/>
                <w14:textFill>
                  <w14:solidFill>
                    <w14:schemeClr w14:val="tx1"/>
                  </w14:solidFill>
                </w14:textFill>
              </w:rPr>
            </w:pPr>
          </w:p>
        </w:tc>
      </w:tr>
      <w:tr w14:paraId="29EC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5B48C3D1">
            <w:pPr>
              <w:rPr>
                <w:rFonts w:ascii="Arial" w:hAnsi="Arial" w:cs="Arial"/>
                <w:bCs/>
                <w:color w:val="000000" w:themeColor="text1"/>
                <w:szCs w:val="21"/>
                <w:highlight w:val="none"/>
                <w14:textFill>
                  <w14:solidFill>
                    <w14:schemeClr w14:val="tx1"/>
                  </w14:solidFill>
                </w14:textFill>
              </w:rPr>
            </w:pPr>
          </w:p>
        </w:tc>
        <w:tc>
          <w:tcPr>
            <w:tcW w:w="1365" w:type="dxa"/>
            <w:vMerge w:val="continue"/>
          </w:tcPr>
          <w:p w14:paraId="118D0265">
            <w:pPr>
              <w:rPr>
                <w:rFonts w:ascii="Arial" w:hAnsi="Arial" w:cs="Arial"/>
                <w:bCs/>
                <w:color w:val="000000" w:themeColor="text1"/>
                <w:szCs w:val="21"/>
                <w:highlight w:val="none"/>
                <w14:textFill>
                  <w14:solidFill>
                    <w14:schemeClr w14:val="tx1"/>
                  </w14:solidFill>
                </w14:textFill>
              </w:rPr>
            </w:pPr>
          </w:p>
        </w:tc>
        <w:tc>
          <w:tcPr>
            <w:tcW w:w="2730" w:type="dxa"/>
            <w:vAlign w:val="center"/>
          </w:tcPr>
          <w:p w14:paraId="69A18B85">
            <w:pP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4</w:t>
            </w:r>
            <w:r>
              <w:rPr>
                <w:rFonts w:ascii="Arial" w:hAnsi="Arial" w:cs="Arial"/>
                <w:bCs/>
                <w:color w:val="000000" w:themeColor="text1"/>
                <w:szCs w:val="21"/>
                <w:highlight w:val="none"/>
                <w14:textFill>
                  <w14:solidFill>
                    <w14:schemeClr w14:val="tx1"/>
                  </w14:solidFill>
                </w14:textFill>
              </w:rPr>
              <w:t>%</w:t>
            </w:r>
          </w:p>
        </w:tc>
        <w:tc>
          <w:tcPr>
            <w:tcW w:w="1260" w:type="dxa"/>
            <w:vAlign w:val="center"/>
          </w:tcPr>
          <w:p w14:paraId="75725B4F">
            <w:pPr>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80</w:t>
            </w:r>
          </w:p>
        </w:tc>
        <w:tc>
          <w:tcPr>
            <w:tcW w:w="2205" w:type="dxa"/>
            <w:vMerge w:val="continue"/>
            <w:vAlign w:val="center"/>
          </w:tcPr>
          <w:p w14:paraId="3F25D86A">
            <w:pPr>
              <w:jc w:val="center"/>
              <w:rPr>
                <w:rFonts w:ascii="Arial" w:hAnsi="Arial" w:cs="Arial"/>
                <w:bCs/>
                <w:color w:val="000000" w:themeColor="text1"/>
                <w:szCs w:val="21"/>
                <w:highlight w:val="none"/>
                <w14:textFill>
                  <w14:solidFill>
                    <w14:schemeClr w14:val="tx1"/>
                  </w14:solidFill>
                </w14:textFill>
              </w:rPr>
            </w:pPr>
          </w:p>
        </w:tc>
      </w:tr>
      <w:tr w14:paraId="608D7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662B05CB">
            <w:pPr>
              <w:rPr>
                <w:rFonts w:ascii="Arial" w:hAnsi="Arial" w:cs="Arial"/>
                <w:bCs/>
                <w:color w:val="000000" w:themeColor="text1"/>
                <w:szCs w:val="21"/>
                <w:highlight w:val="none"/>
                <w14:textFill>
                  <w14:solidFill>
                    <w14:schemeClr w14:val="tx1"/>
                  </w14:solidFill>
                </w14:textFill>
              </w:rPr>
            </w:pPr>
          </w:p>
        </w:tc>
        <w:tc>
          <w:tcPr>
            <w:tcW w:w="1365" w:type="dxa"/>
            <w:vMerge w:val="continue"/>
          </w:tcPr>
          <w:p w14:paraId="1B8A3682">
            <w:pPr>
              <w:rPr>
                <w:rFonts w:ascii="Arial" w:hAnsi="Arial" w:cs="Arial"/>
                <w:bCs/>
                <w:color w:val="000000" w:themeColor="text1"/>
                <w:szCs w:val="21"/>
                <w:highlight w:val="none"/>
                <w14:textFill>
                  <w14:solidFill>
                    <w14:schemeClr w14:val="tx1"/>
                  </w14:solidFill>
                </w14:textFill>
              </w:rPr>
            </w:pPr>
          </w:p>
        </w:tc>
        <w:tc>
          <w:tcPr>
            <w:tcW w:w="2730" w:type="dxa"/>
            <w:vAlign w:val="center"/>
          </w:tcPr>
          <w:p w14:paraId="2059D313">
            <w:pP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5</w:t>
            </w:r>
            <w:r>
              <w:rPr>
                <w:rFonts w:ascii="Arial" w:hAnsi="Arial" w:cs="Arial"/>
                <w:bCs/>
                <w:color w:val="000000" w:themeColor="text1"/>
                <w:szCs w:val="21"/>
                <w:highlight w:val="none"/>
                <w14:textFill>
                  <w14:solidFill>
                    <w14:schemeClr w14:val="tx1"/>
                  </w14:solidFill>
                </w14:textFill>
              </w:rPr>
              <w:t>%</w:t>
            </w:r>
          </w:p>
        </w:tc>
        <w:tc>
          <w:tcPr>
            <w:tcW w:w="1260" w:type="dxa"/>
            <w:vAlign w:val="center"/>
          </w:tcPr>
          <w:p w14:paraId="31033C12">
            <w:pPr>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75</w:t>
            </w:r>
          </w:p>
        </w:tc>
        <w:tc>
          <w:tcPr>
            <w:tcW w:w="2205" w:type="dxa"/>
            <w:vMerge w:val="continue"/>
            <w:vAlign w:val="center"/>
          </w:tcPr>
          <w:p w14:paraId="642452E8">
            <w:pPr>
              <w:jc w:val="center"/>
              <w:rPr>
                <w:rFonts w:ascii="Arial" w:hAnsi="Arial" w:cs="Arial"/>
                <w:bCs/>
                <w:color w:val="000000" w:themeColor="text1"/>
                <w:szCs w:val="21"/>
                <w:highlight w:val="none"/>
                <w14:textFill>
                  <w14:solidFill>
                    <w14:schemeClr w14:val="tx1"/>
                  </w14:solidFill>
                </w14:textFill>
              </w:rPr>
            </w:pPr>
          </w:p>
        </w:tc>
      </w:tr>
      <w:tr w14:paraId="1A3B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2EE85C04">
            <w:pPr>
              <w:rPr>
                <w:rFonts w:ascii="Arial" w:hAnsi="Arial" w:cs="Arial"/>
                <w:bCs/>
                <w:color w:val="000000" w:themeColor="text1"/>
                <w:szCs w:val="21"/>
                <w:highlight w:val="none"/>
                <w14:textFill>
                  <w14:solidFill>
                    <w14:schemeClr w14:val="tx1"/>
                  </w14:solidFill>
                </w14:textFill>
              </w:rPr>
            </w:pPr>
          </w:p>
        </w:tc>
        <w:tc>
          <w:tcPr>
            <w:tcW w:w="1365" w:type="dxa"/>
            <w:vMerge w:val="continue"/>
          </w:tcPr>
          <w:p w14:paraId="231EDEB2">
            <w:pPr>
              <w:rPr>
                <w:rFonts w:ascii="Arial" w:hAnsi="Arial" w:cs="Arial"/>
                <w:bCs/>
                <w:color w:val="000000" w:themeColor="text1"/>
                <w:szCs w:val="21"/>
                <w:highlight w:val="none"/>
                <w14:textFill>
                  <w14:solidFill>
                    <w14:schemeClr w14:val="tx1"/>
                  </w14:solidFill>
                </w14:textFill>
              </w:rPr>
            </w:pPr>
          </w:p>
        </w:tc>
        <w:tc>
          <w:tcPr>
            <w:tcW w:w="2730" w:type="dxa"/>
            <w:vAlign w:val="center"/>
          </w:tcPr>
          <w:p w14:paraId="725212F3">
            <w:pPr>
              <w:rPr>
                <w:rFonts w:ascii="Arial" w:hAnsi="Arial" w:cs="Arial"/>
                <w:bCs/>
                <w:color w:val="000000" w:themeColor="text1"/>
                <w:szCs w:val="21"/>
                <w:highlight w:val="none"/>
                <w14:textFill>
                  <w14:solidFill>
                    <w14:schemeClr w14:val="tx1"/>
                  </w14:solidFill>
                </w14:textFill>
              </w:rPr>
            </w:pPr>
            <w:r>
              <w:rPr>
                <w:rFonts w:ascii="Arial" w:hAnsi="Arial" w:cs="Arial"/>
                <w:bCs/>
                <w:color w:val="000000" w:themeColor="text1"/>
                <w:szCs w:val="21"/>
                <w:highlight w:val="none"/>
                <w14:textFill>
                  <w14:solidFill>
                    <w14:schemeClr w14:val="tx1"/>
                  </w14:solidFill>
                </w14:textFill>
              </w:rPr>
              <w:t>…</w:t>
            </w:r>
            <w:r>
              <w:rPr>
                <w:rFonts w:hint="eastAsia" w:ascii="Arial" w:hAnsi="Arial" w:cs="Arial"/>
                <w:bCs/>
                <w:color w:val="000000" w:themeColor="text1"/>
                <w:szCs w:val="21"/>
                <w:highlight w:val="none"/>
                <w14:textFill>
                  <w14:solidFill>
                    <w14:schemeClr w14:val="tx1"/>
                  </w14:solidFill>
                </w14:textFill>
              </w:rPr>
              <w:t>..</w:t>
            </w:r>
          </w:p>
        </w:tc>
        <w:tc>
          <w:tcPr>
            <w:tcW w:w="1260" w:type="dxa"/>
            <w:vAlign w:val="center"/>
          </w:tcPr>
          <w:p w14:paraId="51ADEEA2">
            <w:pPr>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等比递减扣完为止</w:t>
            </w:r>
          </w:p>
        </w:tc>
        <w:tc>
          <w:tcPr>
            <w:tcW w:w="2205" w:type="dxa"/>
            <w:vMerge w:val="continue"/>
            <w:vAlign w:val="center"/>
          </w:tcPr>
          <w:p w14:paraId="18A8AE85">
            <w:pPr>
              <w:jc w:val="center"/>
              <w:rPr>
                <w:rFonts w:ascii="Arial" w:hAnsi="Arial" w:cs="Arial"/>
                <w:bCs/>
                <w:color w:val="000000" w:themeColor="text1"/>
                <w:szCs w:val="21"/>
                <w:highlight w:val="none"/>
                <w14:textFill>
                  <w14:solidFill>
                    <w14:schemeClr w14:val="tx1"/>
                  </w14:solidFill>
                </w14:textFill>
              </w:rPr>
            </w:pPr>
          </w:p>
        </w:tc>
      </w:tr>
      <w:tr w14:paraId="4C6E8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Align w:val="center"/>
          </w:tcPr>
          <w:p w14:paraId="07FA1415">
            <w:pPr>
              <w:jc w:val="center"/>
              <w:rPr>
                <w:rFonts w:ascii="Arial" w:hAnsi="Arial" w:cs="Arial"/>
                <w:bCs/>
                <w:color w:val="000000" w:themeColor="text1"/>
                <w:szCs w:val="21"/>
                <w:highlight w:val="none"/>
                <w14:textFill>
                  <w14:solidFill>
                    <w14:schemeClr w14:val="tx1"/>
                  </w14:solidFill>
                </w14:textFill>
              </w:rPr>
            </w:pPr>
          </w:p>
        </w:tc>
        <w:tc>
          <w:tcPr>
            <w:tcW w:w="1365" w:type="dxa"/>
            <w:vAlign w:val="center"/>
          </w:tcPr>
          <w:p w14:paraId="1FE1158A">
            <w:pPr>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100</w:t>
            </w:r>
          </w:p>
        </w:tc>
        <w:tc>
          <w:tcPr>
            <w:tcW w:w="6195" w:type="dxa"/>
            <w:gridSpan w:val="3"/>
            <w:vAlign w:val="center"/>
          </w:tcPr>
          <w:p w14:paraId="1904138C">
            <w:pPr>
              <w:jc w:val="center"/>
              <w:rPr>
                <w:rFonts w:ascii="Arial" w:hAnsi="Arial" w:cs="Arial"/>
                <w:bCs/>
                <w:color w:val="000000" w:themeColor="text1"/>
                <w:szCs w:val="21"/>
                <w:highlight w:val="none"/>
                <w14:textFill>
                  <w14:solidFill>
                    <w14:schemeClr w14:val="tx1"/>
                  </w14:solidFill>
                </w14:textFill>
              </w:rPr>
            </w:pPr>
          </w:p>
        </w:tc>
      </w:tr>
    </w:tbl>
    <w:p w14:paraId="487540A6">
      <w:pPr>
        <w:pStyle w:val="8"/>
        <w:spacing w:line="360" w:lineRule="auto"/>
        <w:ind w:firstLine="480"/>
        <w:jc w:val="center"/>
        <w:rPr>
          <w:rFonts w:hint="eastAsia" w:hAnsi="宋体"/>
          <w:color w:val="000000" w:themeColor="text1"/>
          <w:sz w:val="24"/>
          <w:highlight w:val="none"/>
          <w14:textFill>
            <w14:solidFill>
              <w14:schemeClr w14:val="tx1"/>
            </w14:solidFill>
          </w14:textFill>
        </w:rPr>
      </w:pPr>
    </w:p>
    <w:p w14:paraId="553DF679">
      <w:pPr>
        <w:pStyle w:val="8"/>
        <w:spacing w:line="360" w:lineRule="auto"/>
        <w:ind w:firstLine="480"/>
        <w:jc w:val="center"/>
        <w:rPr>
          <w:rFonts w:hint="eastAsia" w:hAnsi="宋体"/>
          <w:color w:val="000000" w:themeColor="text1"/>
          <w:sz w:val="24"/>
          <w:highlight w:val="none"/>
          <w14:textFill>
            <w14:solidFill>
              <w14:schemeClr w14:val="tx1"/>
            </w14:solidFill>
          </w14:textFill>
        </w:rPr>
      </w:pPr>
    </w:p>
    <w:p w14:paraId="1ECB6659">
      <w:pPr>
        <w:spacing w:line="360" w:lineRule="auto"/>
        <w:rPr>
          <w:rFonts w:hint="eastAsia" w:hAnsi="宋体"/>
          <w:color w:val="000000" w:themeColor="text1"/>
          <w:sz w:val="24"/>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444C0048">
      <w:pPr>
        <w:spacing w:line="360" w:lineRule="auto"/>
        <w:rPr>
          <w:color w:val="000000" w:themeColor="text1"/>
          <w:sz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t>附表</w:t>
      </w:r>
      <w:r>
        <w:rPr>
          <w:rFonts w:hint="eastAsia" w:hAnsi="宋体"/>
          <w:color w:val="000000" w:themeColor="text1"/>
          <w:sz w:val="24"/>
          <w:highlight w:val="none"/>
          <w14:textFill>
            <w14:solidFill>
              <w14:schemeClr w14:val="tx1"/>
            </w14:solidFill>
          </w14:textFill>
        </w:rPr>
        <w:t>4</w:t>
      </w:r>
      <w:r>
        <w:rPr>
          <w:rFonts w:hAnsi="宋体"/>
          <w:color w:val="000000" w:themeColor="text1"/>
          <w:sz w:val="24"/>
          <w:highlight w:val="none"/>
          <w14:textFill>
            <w14:solidFill>
              <w14:schemeClr w14:val="tx1"/>
            </w14:solidFill>
          </w14:textFill>
        </w:rPr>
        <w:t>《综合得分表》</w:t>
      </w:r>
    </w:p>
    <w:p w14:paraId="32B3AC63">
      <w:pPr>
        <w:spacing w:line="360" w:lineRule="auto"/>
        <w:jc w:val="center"/>
        <w:rPr>
          <w:rFonts w:hint="eastAsia" w:hAnsi="宋体"/>
          <w:b/>
          <w:color w:val="000000" w:themeColor="text1"/>
          <w:sz w:val="24"/>
          <w:highlight w:val="none"/>
          <w14:textFill>
            <w14:solidFill>
              <w14:schemeClr w14:val="tx1"/>
            </w14:solidFill>
          </w14:textFill>
        </w:rPr>
      </w:pPr>
    </w:p>
    <w:p w14:paraId="31E930D3">
      <w:pPr>
        <w:spacing w:line="360" w:lineRule="auto"/>
        <w:jc w:val="center"/>
        <w:rPr>
          <w:rFonts w:hint="eastAsia" w:hAnsi="宋体"/>
          <w:b/>
          <w:color w:val="000000" w:themeColor="text1"/>
          <w:sz w:val="24"/>
          <w:highlight w:val="none"/>
          <w14:textFill>
            <w14:solidFill>
              <w14:schemeClr w14:val="tx1"/>
            </w14:solidFill>
          </w14:textFill>
        </w:rPr>
      </w:pPr>
      <w:r>
        <w:rPr>
          <w:rFonts w:hAnsi="宋体"/>
          <w:b/>
          <w:color w:val="000000" w:themeColor="text1"/>
          <w:sz w:val="24"/>
          <w:highlight w:val="none"/>
          <w14:textFill>
            <w14:solidFill>
              <w14:schemeClr w14:val="tx1"/>
            </w14:solidFill>
          </w14:textFill>
        </w:rPr>
        <w:t>综合得分表</w:t>
      </w:r>
    </w:p>
    <w:p w14:paraId="5A02E6D7">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响应单位名称：</w:t>
      </w:r>
    </w:p>
    <w:tbl>
      <w:tblPr>
        <w:tblStyle w:val="3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9"/>
        <w:gridCol w:w="1597"/>
        <w:gridCol w:w="1144"/>
        <w:gridCol w:w="1526"/>
        <w:gridCol w:w="2362"/>
        <w:gridCol w:w="768"/>
      </w:tblGrid>
      <w:tr w14:paraId="1B9345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3C5EBE4A">
            <w:pPr>
              <w:spacing w:line="360" w:lineRule="auto"/>
              <w:jc w:val="center"/>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序号</w:t>
            </w:r>
          </w:p>
        </w:tc>
        <w:tc>
          <w:tcPr>
            <w:tcW w:w="1597" w:type="dxa"/>
            <w:vAlign w:val="center"/>
          </w:tcPr>
          <w:p w14:paraId="19B70436">
            <w:pPr>
              <w:spacing w:line="360" w:lineRule="auto"/>
              <w:jc w:val="center"/>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项　目</w:t>
            </w:r>
          </w:p>
        </w:tc>
        <w:tc>
          <w:tcPr>
            <w:tcW w:w="1144" w:type="dxa"/>
            <w:vAlign w:val="center"/>
          </w:tcPr>
          <w:p w14:paraId="1D29519A">
            <w:pPr>
              <w:spacing w:line="360" w:lineRule="auto"/>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评分（A）</w:t>
            </w:r>
          </w:p>
        </w:tc>
        <w:tc>
          <w:tcPr>
            <w:tcW w:w="1526" w:type="dxa"/>
            <w:vAlign w:val="center"/>
          </w:tcPr>
          <w:p w14:paraId="552C4D72">
            <w:pPr>
              <w:spacing w:line="360" w:lineRule="auto"/>
              <w:jc w:val="center"/>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权重</w:t>
            </w:r>
            <w:r>
              <w:rPr>
                <w:rFonts w:hint="eastAsia" w:hAnsi="宋体"/>
                <w:color w:val="000000" w:themeColor="text1"/>
                <w:szCs w:val="21"/>
                <w:highlight w:val="none"/>
                <w14:textFill>
                  <w14:solidFill>
                    <w14:schemeClr w14:val="tx1"/>
                  </w14:solidFill>
                </w14:textFill>
              </w:rPr>
              <w:t>（K）</w:t>
            </w:r>
          </w:p>
        </w:tc>
        <w:tc>
          <w:tcPr>
            <w:tcW w:w="2362" w:type="dxa"/>
            <w:vAlign w:val="center"/>
          </w:tcPr>
          <w:p w14:paraId="1FA3F9B7">
            <w:pPr>
              <w:spacing w:line="360" w:lineRule="auto"/>
              <w:jc w:val="center"/>
              <w:rPr>
                <w:rFonts w:hint="eastAsia"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权重后得分（A*K）</w:t>
            </w:r>
          </w:p>
        </w:tc>
        <w:tc>
          <w:tcPr>
            <w:tcW w:w="768" w:type="dxa"/>
            <w:vAlign w:val="center"/>
          </w:tcPr>
          <w:p w14:paraId="70AF9926">
            <w:pPr>
              <w:spacing w:line="360" w:lineRule="auto"/>
              <w:jc w:val="center"/>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备注</w:t>
            </w:r>
          </w:p>
        </w:tc>
      </w:tr>
      <w:tr w14:paraId="3E137E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7BDB8C43">
            <w:pPr>
              <w:spacing w:line="360" w:lineRule="auto"/>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p>
        </w:tc>
        <w:tc>
          <w:tcPr>
            <w:tcW w:w="1597" w:type="dxa"/>
            <w:vAlign w:val="center"/>
          </w:tcPr>
          <w:p w14:paraId="30A0D77C">
            <w:pPr>
              <w:spacing w:line="360" w:lineRule="auto"/>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商务得分</w:t>
            </w:r>
          </w:p>
        </w:tc>
        <w:tc>
          <w:tcPr>
            <w:tcW w:w="1144" w:type="dxa"/>
            <w:vAlign w:val="center"/>
          </w:tcPr>
          <w:p w14:paraId="25776E50">
            <w:pPr>
              <w:spacing w:line="360" w:lineRule="auto"/>
              <w:rPr>
                <w:rFonts w:hint="default" w:eastAsia="宋体"/>
                <w:color w:val="000000" w:themeColor="text1"/>
                <w:szCs w:val="21"/>
                <w:highlight w:val="none"/>
                <w:lang w:val="en-US" w:eastAsia="zh-CN"/>
                <w14:textFill>
                  <w14:solidFill>
                    <w14:schemeClr w14:val="tx1"/>
                  </w14:solidFill>
                </w14:textFill>
              </w:rPr>
            </w:pPr>
            <w:r>
              <w:rPr>
                <w:color w:val="000000" w:themeColor="text1"/>
                <w:szCs w:val="21"/>
                <w:highlight w:val="none"/>
                <w14:textFill>
                  <w14:solidFill>
                    <w14:schemeClr w14:val="tx1"/>
                  </w14:solidFill>
                </w14:textFill>
              </w:rPr>
              <w:t>A1</w:t>
            </w:r>
            <w:r>
              <w:rPr>
                <w:rFonts w:hint="eastAsia"/>
                <w:color w:val="000000" w:themeColor="text1"/>
                <w:szCs w:val="21"/>
                <w:highlight w:val="none"/>
                <w14:textFill>
                  <w14:solidFill>
                    <w14:schemeClr w14:val="tx1"/>
                  </w14:solidFill>
                </w14:textFill>
              </w:rPr>
              <w:t>=</w:t>
            </w:r>
          </w:p>
        </w:tc>
        <w:tc>
          <w:tcPr>
            <w:tcW w:w="1526" w:type="dxa"/>
            <w:vAlign w:val="center"/>
          </w:tcPr>
          <w:p w14:paraId="71CFCABA">
            <w:pPr>
              <w:spacing w:line="360" w:lineRule="auto"/>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K1=</w:t>
            </w:r>
            <w:r>
              <w:rPr>
                <w:rFonts w:hint="eastAsia"/>
                <w:color w:val="000000" w:themeColor="text1"/>
                <w:szCs w:val="21"/>
                <w:highlight w:val="none"/>
                <w:lang w:val="en-US" w:eastAsia="zh-CN"/>
                <w14:textFill>
                  <w14:solidFill>
                    <w14:schemeClr w14:val="tx1"/>
                  </w14:solidFill>
                </w14:textFill>
              </w:rPr>
              <w:t>10</w:t>
            </w:r>
            <w:r>
              <w:rPr>
                <w:rFonts w:hint="eastAsia"/>
                <w:color w:val="000000" w:themeColor="text1"/>
                <w:szCs w:val="21"/>
                <w:highlight w:val="none"/>
                <w14:textFill>
                  <w14:solidFill>
                    <w14:schemeClr w14:val="tx1"/>
                  </w14:solidFill>
                </w14:textFill>
              </w:rPr>
              <w:t>%</w:t>
            </w:r>
          </w:p>
        </w:tc>
        <w:tc>
          <w:tcPr>
            <w:tcW w:w="2362" w:type="dxa"/>
            <w:vAlign w:val="center"/>
          </w:tcPr>
          <w:p w14:paraId="4BA12F57">
            <w:pPr>
              <w:jc w:val="center"/>
              <w:rPr>
                <w:color w:val="000000" w:themeColor="text1"/>
                <w:highlight w:val="none"/>
                <w14:textFill>
                  <w14:solidFill>
                    <w14:schemeClr w14:val="tx1"/>
                  </w14:solidFill>
                </w14:textFill>
              </w:rPr>
            </w:pPr>
          </w:p>
        </w:tc>
        <w:tc>
          <w:tcPr>
            <w:tcW w:w="768" w:type="dxa"/>
            <w:vAlign w:val="center"/>
          </w:tcPr>
          <w:p w14:paraId="01A1FA7F">
            <w:pPr>
              <w:spacing w:line="360" w:lineRule="auto"/>
              <w:jc w:val="center"/>
              <w:rPr>
                <w:color w:val="000000" w:themeColor="text1"/>
                <w:szCs w:val="21"/>
                <w:highlight w:val="none"/>
                <w14:textFill>
                  <w14:solidFill>
                    <w14:schemeClr w14:val="tx1"/>
                  </w14:solidFill>
                </w14:textFill>
              </w:rPr>
            </w:pPr>
          </w:p>
        </w:tc>
      </w:tr>
      <w:tr w14:paraId="012F67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0CD98C7B">
            <w:pPr>
              <w:spacing w:line="360" w:lineRule="auto"/>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w:t>
            </w:r>
          </w:p>
        </w:tc>
        <w:tc>
          <w:tcPr>
            <w:tcW w:w="1597" w:type="dxa"/>
            <w:vAlign w:val="center"/>
          </w:tcPr>
          <w:p w14:paraId="10EF123E">
            <w:pPr>
              <w:spacing w:line="360" w:lineRule="auto"/>
              <w:jc w:val="center"/>
              <w:rPr>
                <w:rFonts w:hint="eastAsia"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技术得分</w:t>
            </w:r>
          </w:p>
        </w:tc>
        <w:tc>
          <w:tcPr>
            <w:tcW w:w="1144" w:type="dxa"/>
            <w:vAlign w:val="center"/>
          </w:tcPr>
          <w:p w14:paraId="3E9B99E8">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A2</w:t>
            </w:r>
            <w:r>
              <w:rPr>
                <w:rFonts w:hint="eastAsia"/>
                <w:color w:val="000000" w:themeColor="text1"/>
                <w:szCs w:val="21"/>
                <w:highlight w:val="none"/>
                <w14:textFill>
                  <w14:solidFill>
                    <w14:schemeClr w14:val="tx1"/>
                  </w14:solidFill>
                </w14:textFill>
              </w:rPr>
              <w:t>=</w:t>
            </w:r>
          </w:p>
        </w:tc>
        <w:tc>
          <w:tcPr>
            <w:tcW w:w="1526" w:type="dxa"/>
            <w:vAlign w:val="center"/>
          </w:tcPr>
          <w:p w14:paraId="726C3AC3">
            <w:pPr>
              <w:jc w:val="center"/>
              <w:rPr>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K2=</w:t>
            </w:r>
            <w:r>
              <w:rPr>
                <w:rFonts w:hint="eastAsia"/>
                <w:color w:val="000000" w:themeColor="text1"/>
                <w:szCs w:val="21"/>
                <w:highlight w:val="none"/>
                <w:lang w:val="en-US" w:eastAsia="zh-CN"/>
                <w14:textFill>
                  <w14:solidFill>
                    <w14:schemeClr w14:val="tx1"/>
                  </w14:solidFill>
                </w14:textFill>
              </w:rPr>
              <w:t>30</w:t>
            </w:r>
            <w:r>
              <w:rPr>
                <w:rFonts w:hint="eastAsia"/>
                <w:color w:val="000000" w:themeColor="text1"/>
                <w:szCs w:val="21"/>
                <w:highlight w:val="none"/>
                <w14:textFill>
                  <w14:solidFill>
                    <w14:schemeClr w14:val="tx1"/>
                  </w14:solidFill>
                </w14:textFill>
              </w:rPr>
              <w:t>%</w:t>
            </w:r>
          </w:p>
        </w:tc>
        <w:tc>
          <w:tcPr>
            <w:tcW w:w="2362" w:type="dxa"/>
            <w:vAlign w:val="center"/>
          </w:tcPr>
          <w:p w14:paraId="3D1730BE">
            <w:pPr>
              <w:jc w:val="center"/>
              <w:rPr>
                <w:color w:val="000000" w:themeColor="text1"/>
                <w:highlight w:val="none"/>
                <w14:textFill>
                  <w14:solidFill>
                    <w14:schemeClr w14:val="tx1"/>
                  </w14:solidFill>
                </w14:textFill>
              </w:rPr>
            </w:pPr>
          </w:p>
        </w:tc>
        <w:tc>
          <w:tcPr>
            <w:tcW w:w="768" w:type="dxa"/>
            <w:vAlign w:val="center"/>
          </w:tcPr>
          <w:p w14:paraId="3DB5C410">
            <w:pPr>
              <w:spacing w:line="360" w:lineRule="auto"/>
              <w:jc w:val="center"/>
              <w:rPr>
                <w:color w:val="000000" w:themeColor="text1"/>
                <w:szCs w:val="21"/>
                <w:highlight w:val="none"/>
                <w14:textFill>
                  <w14:solidFill>
                    <w14:schemeClr w14:val="tx1"/>
                  </w14:solidFill>
                </w14:textFill>
              </w:rPr>
            </w:pPr>
          </w:p>
        </w:tc>
      </w:tr>
      <w:tr w14:paraId="5C7F71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12B153A6">
            <w:pPr>
              <w:spacing w:line="360" w:lineRule="auto"/>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w:t>
            </w:r>
          </w:p>
        </w:tc>
        <w:tc>
          <w:tcPr>
            <w:tcW w:w="1597" w:type="dxa"/>
            <w:vAlign w:val="center"/>
          </w:tcPr>
          <w:p w14:paraId="37E2B52A">
            <w:pPr>
              <w:spacing w:line="360" w:lineRule="auto"/>
              <w:jc w:val="center"/>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经济得分</w:t>
            </w:r>
          </w:p>
        </w:tc>
        <w:tc>
          <w:tcPr>
            <w:tcW w:w="1144" w:type="dxa"/>
            <w:vAlign w:val="center"/>
          </w:tcPr>
          <w:p w14:paraId="0F4CD188">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A</w:t>
            </w:r>
            <w:r>
              <w:rPr>
                <w:rFonts w:hint="eastAsia"/>
                <w:color w:val="000000" w:themeColor="text1"/>
                <w:szCs w:val="21"/>
                <w:highlight w:val="none"/>
                <w14:textFill>
                  <w14:solidFill>
                    <w14:schemeClr w14:val="tx1"/>
                  </w14:solidFill>
                </w14:textFill>
              </w:rPr>
              <w:t>3=</w:t>
            </w:r>
          </w:p>
        </w:tc>
        <w:tc>
          <w:tcPr>
            <w:tcW w:w="1526" w:type="dxa"/>
            <w:vAlign w:val="center"/>
          </w:tcPr>
          <w:p w14:paraId="110F124B">
            <w:pPr>
              <w:jc w:val="center"/>
              <w:rPr>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K3=</w:t>
            </w:r>
            <w:r>
              <w:rPr>
                <w:rFonts w:hint="eastAsia"/>
                <w:color w:val="000000" w:themeColor="text1"/>
                <w:szCs w:val="21"/>
                <w:highlight w:val="none"/>
                <w:lang w:val="en-US" w:eastAsia="zh-CN"/>
                <w14:textFill>
                  <w14:solidFill>
                    <w14:schemeClr w14:val="tx1"/>
                  </w14:solidFill>
                </w14:textFill>
              </w:rPr>
              <w:t>60</w:t>
            </w:r>
            <w:r>
              <w:rPr>
                <w:rFonts w:hint="eastAsia"/>
                <w:color w:val="000000" w:themeColor="text1"/>
                <w:szCs w:val="21"/>
                <w:highlight w:val="none"/>
                <w14:textFill>
                  <w14:solidFill>
                    <w14:schemeClr w14:val="tx1"/>
                  </w14:solidFill>
                </w14:textFill>
              </w:rPr>
              <w:t>%</w:t>
            </w:r>
          </w:p>
        </w:tc>
        <w:tc>
          <w:tcPr>
            <w:tcW w:w="2362" w:type="dxa"/>
            <w:vAlign w:val="center"/>
          </w:tcPr>
          <w:p w14:paraId="0A3D9074">
            <w:pPr>
              <w:jc w:val="center"/>
              <w:rPr>
                <w:color w:val="000000" w:themeColor="text1"/>
                <w:highlight w:val="none"/>
                <w14:textFill>
                  <w14:solidFill>
                    <w14:schemeClr w14:val="tx1"/>
                  </w14:solidFill>
                </w14:textFill>
              </w:rPr>
            </w:pPr>
          </w:p>
        </w:tc>
        <w:tc>
          <w:tcPr>
            <w:tcW w:w="768" w:type="dxa"/>
            <w:vAlign w:val="center"/>
          </w:tcPr>
          <w:p w14:paraId="76DB775F">
            <w:pPr>
              <w:spacing w:line="360" w:lineRule="auto"/>
              <w:jc w:val="center"/>
              <w:rPr>
                <w:color w:val="000000" w:themeColor="text1"/>
                <w:szCs w:val="21"/>
                <w:highlight w:val="none"/>
                <w14:textFill>
                  <w14:solidFill>
                    <w14:schemeClr w14:val="tx1"/>
                  </w14:solidFill>
                </w14:textFill>
              </w:rPr>
            </w:pPr>
          </w:p>
        </w:tc>
      </w:tr>
      <w:tr w14:paraId="3E7551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2406" w:type="dxa"/>
            <w:gridSpan w:val="2"/>
            <w:vAlign w:val="center"/>
          </w:tcPr>
          <w:p w14:paraId="202F0418">
            <w:pPr>
              <w:spacing w:line="360" w:lineRule="auto"/>
              <w:jc w:val="center"/>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最终得分</w:t>
            </w:r>
          </w:p>
        </w:tc>
        <w:tc>
          <w:tcPr>
            <w:tcW w:w="2670" w:type="dxa"/>
            <w:gridSpan w:val="2"/>
            <w:vAlign w:val="center"/>
          </w:tcPr>
          <w:p w14:paraId="46BCC79D">
            <w:pPr>
              <w:pStyle w:val="45"/>
              <w:rPr>
                <w:rFonts w:eastAsia="宋体"/>
                <w:color w:val="000000" w:themeColor="text1"/>
                <w:highlight w:val="none"/>
                <w14:textFill>
                  <w14:solidFill>
                    <w14:schemeClr w14:val="tx1"/>
                  </w14:solidFill>
                </w14:textFill>
              </w:rPr>
            </w:pPr>
            <w:r>
              <w:rPr>
                <w:rFonts w:eastAsia="宋体"/>
                <w:color w:val="000000" w:themeColor="text1"/>
                <w:highlight w:val="none"/>
                <w14:textFill>
                  <w14:solidFill>
                    <w14:schemeClr w14:val="tx1"/>
                  </w14:solidFill>
                </w14:textFill>
              </w:rPr>
              <w:t>∑</w:t>
            </w:r>
          </w:p>
        </w:tc>
        <w:tc>
          <w:tcPr>
            <w:tcW w:w="3130" w:type="dxa"/>
            <w:gridSpan w:val="2"/>
            <w:vAlign w:val="center"/>
          </w:tcPr>
          <w:p w14:paraId="5342A308">
            <w:pPr>
              <w:pStyle w:val="45"/>
              <w:rPr>
                <w:rFonts w:eastAsia="宋体"/>
                <w:color w:val="000000" w:themeColor="text1"/>
                <w:highlight w:val="none"/>
                <w14:textFill>
                  <w14:solidFill>
                    <w14:schemeClr w14:val="tx1"/>
                  </w14:solidFill>
                </w14:textFill>
              </w:rPr>
            </w:pPr>
          </w:p>
        </w:tc>
      </w:tr>
    </w:tbl>
    <w:p w14:paraId="35BD10A7">
      <w:pPr>
        <w:spacing w:line="360" w:lineRule="auto"/>
        <w:rPr>
          <w:color w:val="000000" w:themeColor="text1"/>
          <w:szCs w:val="21"/>
          <w:highlight w:val="none"/>
          <w14:textFill>
            <w14:solidFill>
              <w14:schemeClr w14:val="tx1"/>
            </w14:solidFill>
          </w14:textFill>
        </w:rPr>
      </w:pPr>
    </w:p>
    <w:p w14:paraId="31349F0D">
      <w:pPr>
        <w:spacing w:line="360" w:lineRule="auto"/>
        <w:rPr>
          <w:color w:val="000000" w:themeColor="text1"/>
          <w:szCs w:val="21"/>
          <w:highlight w:val="none"/>
          <w14:textFill>
            <w14:solidFill>
              <w14:schemeClr w14:val="tx1"/>
            </w14:solidFill>
          </w14:textFill>
        </w:rPr>
      </w:pPr>
    </w:p>
    <w:p w14:paraId="4AC67B08">
      <w:pPr>
        <w:spacing w:line="360" w:lineRule="auto"/>
        <w:rPr>
          <w:color w:val="000000" w:themeColor="text1"/>
          <w:szCs w:val="21"/>
          <w:highlight w:val="none"/>
          <w14:textFill>
            <w14:solidFill>
              <w14:schemeClr w14:val="tx1"/>
            </w14:solidFill>
          </w14:textFill>
        </w:rPr>
      </w:pPr>
    </w:p>
    <w:sectPr>
      <w:pgSz w:w="11907" w:h="16840"/>
      <w:pgMar w:top="1417" w:right="1701" w:bottom="1417" w:left="1701" w:header="850" w:footer="1134"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2B363">
    <w:pPr>
      <w:pStyle w:val="20"/>
      <w:ind w:right="9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304C4">
    <w:pPr>
      <w:pStyle w:val="20"/>
      <w:jc w:val="center"/>
    </w:pPr>
    <w:r>
      <w:rPr>
        <w:rStyle w:val="35"/>
      </w:rPr>
      <w:fldChar w:fldCharType="begin"/>
    </w:r>
    <w:r>
      <w:rPr>
        <w:rStyle w:val="35"/>
      </w:rPr>
      <w:instrText xml:space="preserve"> PAGE </w:instrText>
    </w:r>
    <w:r>
      <w:rPr>
        <w:rStyle w:val="35"/>
      </w:rPr>
      <w:fldChar w:fldCharType="separate"/>
    </w:r>
    <w:r>
      <w:rPr>
        <w:rStyle w:val="35"/>
      </w:rPr>
      <w:t>38</w:t>
    </w:r>
    <w:r>
      <w:rPr>
        <w:rStyle w:val="35"/>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1B009">
    <w:pPr>
      <w:pStyle w:val="20"/>
      <w:ind w:right="9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E28032">
                          <w:pPr>
                            <w:pStyle w:val="2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3E28032">
                    <w:pPr>
                      <w:pStyle w:val="20"/>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2FBBE">
    <w:pPr>
      <w:pStyle w:val="21"/>
      <w:jc w:val="both"/>
      <w:rPr>
        <w:sz w:val="21"/>
        <w:szCs w:val="21"/>
      </w:rPr>
    </w:pPr>
    <w:r>
      <w:rPr>
        <w:rFonts w:hint="eastAsia"/>
      </w:rPr>
      <w:drawing>
        <wp:inline distT="0" distB="0" distL="0" distR="0">
          <wp:extent cx="228600" cy="266700"/>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21"/>
        <w:szCs w:val="21"/>
      </w:rPr>
      <w:t>【中建路桥集团有限公司路面</w:t>
    </w:r>
    <w:r>
      <w:rPr>
        <w:rFonts w:hint="eastAsia"/>
        <w:sz w:val="21"/>
        <w:szCs w:val="21"/>
        <w:lang w:val="en-US" w:eastAsia="zh-CN"/>
      </w:rPr>
      <w:t>混凝土铣刨</w:t>
    </w:r>
    <w:r>
      <w:rPr>
        <w:rFonts w:hint="eastAsia"/>
        <w:sz w:val="21"/>
        <w:szCs w:val="21"/>
      </w:rPr>
      <w:t>施工劳务分包工程分包采购】</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ADC20">
    <w:pPr>
      <w:pStyle w:val="21"/>
      <w:jc w:val="both"/>
    </w:pPr>
    <w:r>
      <w:rPr>
        <w:rFonts w:hint="eastAsia"/>
      </w:rPr>
      <w:drawing>
        <wp:inline distT="0" distB="0" distL="0" distR="0">
          <wp:extent cx="228600" cy="26670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21"/>
        <w:szCs w:val="21"/>
      </w:rPr>
      <w:t>【中建路桥集团有限公司×××分包采购】</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9D8E9">
    <w:pPr>
      <w:pStyle w:val="21"/>
      <w:pBdr>
        <w:bottom w:val="thinThickSmallGap" w:color="auto" w:sz="12" w:space="0"/>
      </w:pBdr>
      <w:jc w:val="right"/>
    </w:pPr>
    <w:r>
      <w:rPr>
        <w:rFonts w:hAnsi="宋体"/>
        <w:sz w:val="21"/>
        <w:szCs w:val="21"/>
      </w:rPr>
      <w:t>第一篇</w:t>
    </w:r>
    <w:r>
      <w:rPr>
        <w:sz w:val="21"/>
        <w:szCs w:val="21"/>
      </w:rPr>
      <w:t xml:space="preserve">  </w:t>
    </w:r>
    <w:r>
      <w:rPr>
        <w:rFonts w:hAnsi="宋体"/>
        <w:sz w:val="21"/>
        <w:szCs w:val="21"/>
      </w:rPr>
      <w:t>投标《投标须知前附表》</w:t>
    </w:r>
    <w:r>
      <w:rPr>
        <w:sz w:val="21"/>
        <w:szCs w:val="21"/>
      </w:rPr>
      <w:t xml:space="preserve">      </w:t>
    </w:r>
    <w:r>
      <w:rPr>
        <w:b/>
        <w:sz w:val="21"/>
        <w:szCs w:val="21"/>
      </w:rPr>
      <w:t xml:space="preserve">. </w:t>
    </w:r>
    <w:r>
      <w:rPr>
        <w:b/>
        <w:sz w:val="21"/>
        <w:szCs w:val="21"/>
      </w:rPr>
      <w:fldChar w:fldCharType="begin"/>
    </w:r>
    <w:r>
      <w:rPr>
        <w:b/>
        <w:sz w:val="21"/>
        <w:szCs w:val="21"/>
      </w:rPr>
      <w:instrText xml:space="preserve"> PAGE </w:instrText>
    </w:r>
    <w:r>
      <w:rPr>
        <w:b/>
        <w:sz w:val="21"/>
        <w:szCs w:val="21"/>
      </w:rPr>
      <w:fldChar w:fldCharType="separate"/>
    </w:r>
    <w:r>
      <w:rPr>
        <w:b/>
        <w:sz w:val="21"/>
        <w:szCs w:val="21"/>
      </w:rPr>
      <w:t>3</w:t>
    </w:r>
    <w:r>
      <w:rPr>
        <w:b/>
        <w:sz w:val="21"/>
        <w:szCs w:val="21"/>
      </w:rPr>
      <w:fldChar w:fldCharType="end"/>
    </w:r>
    <w:r>
      <w:rPr>
        <w:b/>
        <w:sz w:val="21"/>
        <w:szCs w:val="21"/>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61F17">
    <w:pPr>
      <w:pStyle w:val="21"/>
      <w:pBdr>
        <w:bottom w:val="thinThickSmallGap" w:color="auto" w:sz="12" w:space="1"/>
      </w:pBdr>
      <w:jc w:val="right"/>
      <w:rPr>
        <w:sz w:val="21"/>
        <w:szCs w:val="21"/>
      </w:rPr>
    </w:pPr>
    <w:r>
      <w:rPr>
        <w:rFonts w:hAnsi="宋体"/>
        <w:sz w:val="21"/>
        <w:szCs w:val="21"/>
      </w:rPr>
      <w:t>第五篇</w:t>
    </w:r>
    <w:r>
      <w:rPr>
        <w:sz w:val="21"/>
        <w:szCs w:val="21"/>
      </w:rPr>
      <w:t xml:space="preserve">  </w:t>
    </w:r>
    <w:r>
      <w:rPr>
        <w:rFonts w:hAnsi="宋体"/>
        <w:sz w:val="21"/>
        <w:szCs w:val="21"/>
      </w:rPr>
      <w:t>图纸</w:t>
    </w:r>
    <w:r>
      <w:rPr>
        <w:sz w:val="21"/>
        <w:szCs w:val="21"/>
      </w:rPr>
      <w:t xml:space="preserve">      </w:t>
    </w:r>
    <w:r>
      <w:rPr>
        <w:b/>
        <w:sz w:val="21"/>
        <w:szCs w:val="21"/>
      </w:rPr>
      <w:t xml:space="preserve">. </w:t>
    </w:r>
    <w:r>
      <w:rPr>
        <w:b/>
        <w:sz w:val="21"/>
        <w:szCs w:val="21"/>
      </w:rPr>
      <w:fldChar w:fldCharType="begin"/>
    </w:r>
    <w:r>
      <w:rPr>
        <w:b/>
        <w:sz w:val="21"/>
        <w:szCs w:val="21"/>
      </w:rPr>
      <w:instrText xml:space="preserve"> PAGE </w:instrText>
    </w:r>
    <w:r>
      <w:rPr>
        <w:b/>
        <w:sz w:val="21"/>
        <w:szCs w:val="21"/>
      </w:rPr>
      <w:fldChar w:fldCharType="separate"/>
    </w:r>
    <w:r>
      <w:rPr>
        <w:b/>
        <w:sz w:val="21"/>
        <w:szCs w:val="21"/>
      </w:rPr>
      <w:t>19</w:t>
    </w:r>
    <w:r>
      <w:rPr>
        <w:b/>
        <w:sz w:val="21"/>
        <w:szCs w:val="21"/>
      </w:rPr>
      <w:fldChar w:fldCharType="end"/>
    </w:r>
    <w:r>
      <w:rPr>
        <w:b/>
        <w:sz w:val="21"/>
        <w:szCs w:val="21"/>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D6C54">
    <w:pPr>
      <w:pStyle w:val="21"/>
      <w:jc w:val="both"/>
    </w:pPr>
    <w:r>
      <w:rPr>
        <w:rFonts w:hint="eastAsia"/>
      </w:rPr>
      <w:drawing>
        <wp:inline distT="0" distB="0" distL="0" distR="0">
          <wp:extent cx="228600" cy="266700"/>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21"/>
        <w:szCs w:val="21"/>
      </w:rPr>
      <w:t>【中建路桥集团有限公司路面</w:t>
    </w:r>
    <w:r>
      <w:rPr>
        <w:rFonts w:hint="eastAsia"/>
        <w:sz w:val="21"/>
        <w:szCs w:val="21"/>
        <w:lang w:val="en-US" w:eastAsia="zh-CN"/>
      </w:rPr>
      <w:t>混凝土铣刨</w:t>
    </w:r>
    <w:r>
      <w:rPr>
        <w:rFonts w:hint="eastAsia"/>
        <w:sz w:val="21"/>
        <w:szCs w:val="21"/>
      </w:rPr>
      <w:t>施工劳务分包工程分包采购】</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CEF7C3"/>
    <w:multiLevelType w:val="singleLevel"/>
    <w:tmpl w:val="A3CEF7C3"/>
    <w:lvl w:ilvl="0" w:tentative="0">
      <w:start w:val="3"/>
      <w:numFmt w:val="chineseCounting"/>
      <w:suff w:val="space"/>
      <w:lvlText w:val="第%1章"/>
      <w:lvlJc w:val="left"/>
      <w:rPr>
        <w:rFonts w:hint="eastAsia"/>
        <w:sz w:val="32"/>
        <w:szCs w:val="32"/>
      </w:rPr>
    </w:lvl>
  </w:abstractNum>
  <w:abstractNum w:abstractNumId="1">
    <w:nsid w:val="2115380E"/>
    <w:multiLevelType w:val="singleLevel"/>
    <w:tmpl w:val="2115380E"/>
    <w:lvl w:ilvl="0" w:tentative="0">
      <w:start w:val="1"/>
      <w:numFmt w:val="decimal"/>
      <w:suff w:val="nothing"/>
      <w:lvlText w:val="（%1）"/>
      <w:lvlJc w:val="left"/>
      <w:pPr>
        <w:ind w:left="0" w:firstLine="0"/>
      </w:pPr>
    </w:lvl>
  </w:abstractNum>
  <w:abstractNum w:abstractNumId="2">
    <w:nsid w:val="233A1860"/>
    <w:multiLevelType w:val="multilevel"/>
    <w:tmpl w:val="233A1860"/>
    <w:lvl w:ilvl="0" w:tentative="0">
      <w:start w:val="1"/>
      <w:numFmt w:val="decimal"/>
      <w:lvlText w:val="（%1）"/>
      <w:lvlJc w:val="left"/>
      <w:pPr>
        <w:ind w:left="1140" w:hanging="72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3">
    <w:nsid w:val="273E2A57"/>
    <w:multiLevelType w:val="multilevel"/>
    <w:tmpl w:val="273E2A57"/>
    <w:lvl w:ilvl="0" w:tentative="0">
      <w:start w:val="1"/>
      <w:numFmt w:val="decimal"/>
      <w:lvlText w:val="（%1）"/>
      <w:lvlJc w:val="left"/>
      <w:pPr>
        <w:tabs>
          <w:tab w:val="left" w:pos="720"/>
        </w:tabs>
        <w:ind w:left="720"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D827672"/>
    <w:multiLevelType w:val="multilevel"/>
    <w:tmpl w:val="3D827672"/>
    <w:lvl w:ilvl="0" w:tentative="0">
      <w:start w:val="1"/>
      <w:numFmt w:val="decimal"/>
      <w:lvlText w:val="（%1）"/>
      <w:lvlJc w:val="left"/>
      <w:pPr>
        <w:ind w:left="720" w:hanging="7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8F38846"/>
    <w:multiLevelType w:val="multilevel"/>
    <w:tmpl w:val="48F38846"/>
    <w:lvl w:ilvl="0" w:tentative="0">
      <w:start w:val="1"/>
      <w:numFmt w:val="decimal"/>
      <w:lvlText w:val="%1"/>
      <w:lvlJc w:val="left"/>
      <w:pPr>
        <w:tabs>
          <w:tab w:val="left" w:pos="0"/>
        </w:tabs>
        <w:ind w:left="0" w:firstLine="0"/>
      </w:pPr>
    </w:lvl>
    <w:lvl w:ilvl="1" w:tentative="0">
      <w:start w:val="1"/>
      <w:numFmt w:val="decimal"/>
      <w:lvlText w:val="%1.%2"/>
      <w:lvlJc w:val="left"/>
      <w:pPr>
        <w:tabs>
          <w:tab w:val="left" w:pos="567"/>
        </w:tabs>
        <w:ind w:left="0" w:firstLine="0"/>
      </w:pPr>
      <w:rPr>
        <w:rFonts w:hint="eastAsia" w:ascii="宋体" w:hAnsi="宋体" w:eastAsia="宋体" w:cs="宋体"/>
        <w:b/>
        <w:color w:val="auto"/>
      </w:rPr>
    </w:lvl>
    <w:lvl w:ilvl="2" w:tentative="0">
      <w:start w:val="1"/>
      <w:numFmt w:val="decimal"/>
      <w:lvlText w:val="%1.%2.%3"/>
      <w:lvlJc w:val="left"/>
      <w:pPr>
        <w:tabs>
          <w:tab w:val="left" w:pos="0"/>
        </w:tabs>
        <w:ind w:left="0" w:firstLine="0"/>
      </w:pPr>
      <w:rPr>
        <w:rFonts w:hint="eastAsia" w:ascii="宋体" w:hAnsi="宋体" w:eastAsia="宋体" w:cs="宋体"/>
      </w:rPr>
    </w:lvl>
    <w:lvl w:ilvl="3" w:tentative="0">
      <w:start w:val="1"/>
      <w:numFmt w:val="decimal"/>
      <w:lvlText w:val="%1.%2.%3.%4"/>
      <w:lvlJc w:val="left"/>
      <w:pPr>
        <w:tabs>
          <w:tab w:val="left" w:pos="0"/>
        </w:tabs>
        <w:ind w:left="0" w:firstLine="0"/>
      </w:pPr>
      <w:rPr>
        <w:rFonts w:hint="eastAsia" w:ascii="宋体" w:hAnsi="宋体" w:eastAsia="宋体" w:cs="宋体"/>
      </w:rPr>
    </w:lvl>
    <w:lvl w:ilvl="4" w:tentative="0">
      <w:start w:val="1"/>
      <w:numFmt w:val="decimal"/>
      <w:lvlText w:val="%1.%2.%3.%4.%5"/>
      <w:lvlJc w:val="left"/>
      <w:pPr>
        <w:tabs>
          <w:tab w:val="left" w:pos="0"/>
        </w:tabs>
        <w:ind w:left="0" w:firstLine="0"/>
      </w:pPr>
      <w:rPr>
        <w:rFonts w:hint="eastAsia" w:ascii="宋体" w:hAnsi="宋体" w:eastAsia="宋体" w:cs="宋体"/>
      </w:r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6">
    <w:nsid w:val="522C26EC"/>
    <w:multiLevelType w:val="multilevel"/>
    <w:tmpl w:val="522C26EC"/>
    <w:lvl w:ilvl="0" w:tentative="0">
      <w:start w:val="1"/>
      <w:numFmt w:val="decimal"/>
      <w:lvlText w:val="（%1）"/>
      <w:lvlJc w:val="left"/>
      <w:pPr>
        <w:ind w:left="720" w:hanging="7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5A7E6313"/>
    <w:multiLevelType w:val="multilevel"/>
    <w:tmpl w:val="5A7E6313"/>
    <w:lvl w:ilvl="0" w:tentative="0">
      <w:start w:val="1"/>
      <w:numFmt w:val="decimal"/>
      <w:lvlText w:val="%1."/>
      <w:lvlJc w:val="right"/>
      <w:pPr>
        <w:tabs>
          <w:tab w:val="left" w:pos="630"/>
        </w:tabs>
        <w:ind w:left="63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6AE60F9E"/>
    <w:multiLevelType w:val="singleLevel"/>
    <w:tmpl w:val="6AE60F9E"/>
    <w:lvl w:ilvl="0" w:tentative="0">
      <w:start w:val="4"/>
      <w:numFmt w:val="chineseCounting"/>
      <w:suff w:val="space"/>
      <w:lvlText w:val="第%1章"/>
      <w:lvlJc w:val="left"/>
      <w:rPr>
        <w:rFonts w:hint="eastAsia"/>
      </w:rPr>
    </w:lvl>
  </w:abstractNum>
  <w:abstractNum w:abstractNumId="9">
    <w:nsid w:val="710E65B5"/>
    <w:multiLevelType w:val="multilevel"/>
    <w:tmpl w:val="710E65B5"/>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num w:numId="1">
    <w:abstractNumId w:val="3"/>
  </w:num>
  <w:num w:numId="2">
    <w:abstractNumId w:val="8"/>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FkMmEyNjg0YmM0NGU0YWIxYjc4NWI2YTVkMDM5MjcifQ=="/>
  </w:docVars>
  <w:rsids>
    <w:rsidRoot w:val="00A95356"/>
    <w:rsid w:val="0000049D"/>
    <w:rsid w:val="0000075C"/>
    <w:rsid w:val="000007D9"/>
    <w:rsid w:val="0000233E"/>
    <w:rsid w:val="000025DE"/>
    <w:rsid w:val="00002994"/>
    <w:rsid w:val="00002C2E"/>
    <w:rsid w:val="00002D01"/>
    <w:rsid w:val="00002E4D"/>
    <w:rsid w:val="000033EC"/>
    <w:rsid w:val="00004CAF"/>
    <w:rsid w:val="00004CD9"/>
    <w:rsid w:val="00004E8D"/>
    <w:rsid w:val="00005908"/>
    <w:rsid w:val="0000618E"/>
    <w:rsid w:val="00007080"/>
    <w:rsid w:val="000071B8"/>
    <w:rsid w:val="000077F8"/>
    <w:rsid w:val="00007AA8"/>
    <w:rsid w:val="00010133"/>
    <w:rsid w:val="0001123B"/>
    <w:rsid w:val="000112C6"/>
    <w:rsid w:val="00011769"/>
    <w:rsid w:val="000119F3"/>
    <w:rsid w:val="00012DAE"/>
    <w:rsid w:val="00012F9E"/>
    <w:rsid w:val="00013457"/>
    <w:rsid w:val="0001349B"/>
    <w:rsid w:val="00013535"/>
    <w:rsid w:val="000142E4"/>
    <w:rsid w:val="0001431F"/>
    <w:rsid w:val="00014AF1"/>
    <w:rsid w:val="00015CEA"/>
    <w:rsid w:val="000166CA"/>
    <w:rsid w:val="00016962"/>
    <w:rsid w:val="00017BAD"/>
    <w:rsid w:val="000201A1"/>
    <w:rsid w:val="00020BE0"/>
    <w:rsid w:val="00021750"/>
    <w:rsid w:val="0002201F"/>
    <w:rsid w:val="000221FC"/>
    <w:rsid w:val="000224DC"/>
    <w:rsid w:val="00022A72"/>
    <w:rsid w:val="00023084"/>
    <w:rsid w:val="000230B0"/>
    <w:rsid w:val="00023789"/>
    <w:rsid w:val="00023F98"/>
    <w:rsid w:val="00024A9E"/>
    <w:rsid w:val="00025935"/>
    <w:rsid w:val="0002599F"/>
    <w:rsid w:val="00025FAB"/>
    <w:rsid w:val="00026975"/>
    <w:rsid w:val="00026EB5"/>
    <w:rsid w:val="0002721E"/>
    <w:rsid w:val="0002733B"/>
    <w:rsid w:val="000275D7"/>
    <w:rsid w:val="000277AD"/>
    <w:rsid w:val="00030168"/>
    <w:rsid w:val="0003052C"/>
    <w:rsid w:val="00030817"/>
    <w:rsid w:val="00030890"/>
    <w:rsid w:val="00030CBE"/>
    <w:rsid w:val="0003120D"/>
    <w:rsid w:val="00031F71"/>
    <w:rsid w:val="00032CF3"/>
    <w:rsid w:val="00033B74"/>
    <w:rsid w:val="00034F3B"/>
    <w:rsid w:val="0003580D"/>
    <w:rsid w:val="000358FF"/>
    <w:rsid w:val="00035B70"/>
    <w:rsid w:val="00035D31"/>
    <w:rsid w:val="00036213"/>
    <w:rsid w:val="000367C6"/>
    <w:rsid w:val="00036A1F"/>
    <w:rsid w:val="00036C8B"/>
    <w:rsid w:val="00036E3A"/>
    <w:rsid w:val="00036ED4"/>
    <w:rsid w:val="000378CD"/>
    <w:rsid w:val="000409AD"/>
    <w:rsid w:val="00040C04"/>
    <w:rsid w:val="00040F1B"/>
    <w:rsid w:val="00041A31"/>
    <w:rsid w:val="00041FDD"/>
    <w:rsid w:val="000423ED"/>
    <w:rsid w:val="00042DA2"/>
    <w:rsid w:val="000433D2"/>
    <w:rsid w:val="00043496"/>
    <w:rsid w:val="00043C1F"/>
    <w:rsid w:val="00043C9C"/>
    <w:rsid w:val="0004414B"/>
    <w:rsid w:val="00044511"/>
    <w:rsid w:val="000449D2"/>
    <w:rsid w:val="00045103"/>
    <w:rsid w:val="00045B5D"/>
    <w:rsid w:val="00047074"/>
    <w:rsid w:val="0004761C"/>
    <w:rsid w:val="00047956"/>
    <w:rsid w:val="00047A77"/>
    <w:rsid w:val="00047F59"/>
    <w:rsid w:val="000500DB"/>
    <w:rsid w:val="00050D7C"/>
    <w:rsid w:val="00050E5D"/>
    <w:rsid w:val="00050E8B"/>
    <w:rsid w:val="0005157F"/>
    <w:rsid w:val="00052934"/>
    <w:rsid w:val="00052E88"/>
    <w:rsid w:val="00053198"/>
    <w:rsid w:val="00053999"/>
    <w:rsid w:val="00053A91"/>
    <w:rsid w:val="000540EC"/>
    <w:rsid w:val="000551CD"/>
    <w:rsid w:val="00055DFC"/>
    <w:rsid w:val="00055FF3"/>
    <w:rsid w:val="00056399"/>
    <w:rsid w:val="00056BD3"/>
    <w:rsid w:val="00056D41"/>
    <w:rsid w:val="0005750B"/>
    <w:rsid w:val="00057886"/>
    <w:rsid w:val="0006027D"/>
    <w:rsid w:val="000604C3"/>
    <w:rsid w:val="00060547"/>
    <w:rsid w:val="00060D0D"/>
    <w:rsid w:val="000615CD"/>
    <w:rsid w:val="00061C33"/>
    <w:rsid w:val="000623CB"/>
    <w:rsid w:val="00062B92"/>
    <w:rsid w:val="00062F42"/>
    <w:rsid w:val="0006342B"/>
    <w:rsid w:val="00063663"/>
    <w:rsid w:val="00063E69"/>
    <w:rsid w:val="000640FE"/>
    <w:rsid w:val="00064FC3"/>
    <w:rsid w:val="000650CF"/>
    <w:rsid w:val="00065A8D"/>
    <w:rsid w:val="00065F4A"/>
    <w:rsid w:val="000660BE"/>
    <w:rsid w:val="000660CC"/>
    <w:rsid w:val="00066283"/>
    <w:rsid w:val="00066807"/>
    <w:rsid w:val="00066F3E"/>
    <w:rsid w:val="0006736D"/>
    <w:rsid w:val="0006755E"/>
    <w:rsid w:val="0007013C"/>
    <w:rsid w:val="0007025A"/>
    <w:rsid w:val="000708BD"/>
    <w:rsid w:val="0007176B"/>
    <w:rsid w:val="000726A7"/>
    <w:rsid w:val="00072EFE"/>
    <w:rsid w:val="00073978"/>
    <w:rsid w:val="000746F9"/>
    <w:rsid w:val="000747CD"/>
    <w:rsid w:val="000748B8"/>
    <w:rsid w:val="00074ABA"/>
    <w:rsid w:val="00075AA3"/>
    <w:rsid w:val="0007656C"/>
    <w:rsid w:val="00076683"/>
    <w:rsid w:val="00076A31"/>
    <w:rsid w:val="00076B20"/>
    <w:rsid w:val="00076BB0"/>
    <w:rsid w:val="00076F05"/>
    <w:rsid w:val="0007701E"/>
    <w:rsid w:val="00077499"/>
    <w:rsid w:val="000774DF"/>
    <w:rsid w:val="000807ED"/>
    <w:rsid w:val="00080868"/>
    <w:rsid w:val="00080A65"/>
    <w:rsid w:val="000810A8"/>
    <w:rsid w:val="000813F8"/>
    <w:rsid w:val="000816B4"/>
    <w:rsid w:val="00082C34"/>
    <w:rsid w:val="00082E6B"/>
    <w:rsid w:val="00084E7F"/>
    <w:rsid w:val="0008534B"/>
    <w:rsid w:val="000855D3"/>
    <w:rsid w:val="00085806"/>
    <w:rsid w:val="0008599D"/>
    <w:rsid w:val="00086055"/>
    <w:rsid w:val="00086298"/>
    <w:rsid w:val="000862DC"/>
    <w:rsid w:val="000865B3"/>
    <w:rsid w:val="000869FB"/>
    <w:rsid w:val="00086B34"/>
    <w:rsid w:val="00086E58"/>
    <w:rsid w:val="000873AC"/>
    <w:rsid w:val="000904AC"/>
    <w:rsid w:val="000907C8"/>
    <w:rsid w:val="00090C02"/>
    <w:rsid w:val="00090E2F"/>
    <w:rsid w:val="000921A7"/>
    <w:rsid w:val="00092402"/>
    <w:rsid w:val="00092570"/>
    <w:rsid w:val="0009294C"/>
    <w:rsid w:val="000930A8"/>
    <w:rsid w:val="00093DC3"/>
    <w:rsid w:val="000940D0"/>
    <w:rsid w:val="00094A70"/>
    <w:rsid w:val="00095601"/>
    <w:rsid w:val="000957E6"/>
    <w:rsid w:val="000959D0"/>
    <w:rsid w:val="000962AC"/>
    <w:rsid w:val="00096B29"/>
    <w:rsid w:val="00097B1A"/>
    <w:rsid w:val="000A0393"/>
    <w:rsid w:val="000A0DEA"/>
    <w:rsid w:val="000A1B78"/>
    <w:rsid w:val="000A22BD"/>
    <w:rsid w:val="000A22DE"/>
    <w:rsid w:val="000A34FE"/>
    <w:rsid w:val="000A3B03"/>
    <w:rsid w:val="000A48E1"/>
    <w:rsid w:val="000A4C85"/>
    <w:rsid w:val="000A4D90"/>
    <w:rsid w:val="000A5730"/>
    <w:rsid w:val="000A5791"/>
    <w:rsid w:val="000A59ED"/>
    <w:rsid w:val="000A5E98"/>
    <w:rsid w:val="000A762D"/>
    <w:rsid w:val="000B03F5"/>
    <w:rsid w:val="000B0EAD"/>
    <w:rsid w:val="000B12A7"/>
    <w:rsid w:val="000B13F5"/>
    <w:rsid w:val="000B1435"/>
    <w:rsid w:val="000B170B"/>
    <w:rsid w:val="000B198A"/>
    <w:rsid w:val="000B1A75"/>
    <w:rsid w:val="000B1F2F"/>
    <w:rsid w:val="000B206C"/>
    <w:rsid w:val="000B24CE"/>
    <w:rsid w:val="000B3017"/>
    <w:rsid w:val="000B39AC"/>
    <w:rsid w:val="000B4EBD"/>
    <w:rsid w:val="000B531D"/>
    <w:rsid w:val="000B5AC7"/>
    <w:rsid w:val="000B6439"/>
    <w:rsid w:val="000B6518"/>
    <w:rsid w:val="000B6A22"/>
    <w:rsid w:val="000B772C"/>
    <w:rsid w:val="000C01B7"/>
    <w:rsid w:val="000C02AC"/>
    <w:rsid w:val="000C0312"/>
    <w:rsid w:val="000C05B5"/>
    <w:rsid w:val="000C1282"/>
    <w:rsid w:val="000C173F"/>
    <w:rsid w:val="000C20DA"/>
    <w:rsid w:val="000C27DB"/>
    <w:rsid w:val="000C3050"/>
    <w:rsid w:val="000C346D"/>
    <w:rsid w:val="000C3A60"/>
    <w:rsid w:val="000C3F09"/>
    <w:rsid w:val="000C4621"/>
    <w:rsid w:val="000C47EB"/>
    <w:rsid w:val="000C5B58"/>
    <w:rsid w:val="000C6148"/>
    <w:rsid w:val="000C640D"/>
    <w:rsid w:val="000C6665"/>
    <w:rsid w:val="000C6783"/>
    <w:rsid w:val="000C72F2"/>
    <w:rsid w:val="000C7DE6"/>
    <w:rsid w:val="000D13A7"/>
    <w:rsid w:val="000D1595"/>
    <w:rsid w:val="000D1B45"/>
    <w:rsid w:val="000D1E34"/>
    <w:rsid w:val="000D1ECA"/>
    <w:rsid w:val="000D2675"/>
    <w:rsid w:val="000D3BB4"/>
    <w:rsid w:val="000D4255"/>
    <w:rsid w:val="000D466F"/>
    <w:rsid w:val="000D4872"/>
    <w:rsid w:val="000D6525"/>
    <w:rsid w:val="000D6A12"/>
    <w:rsid w:val="000D7624"/>
    <w:rsid w:val="000D7938"/>
    <w:rsid w:val="000D79E4"/>
    <w:rsid w:val="000D7AD0"/>
    <w:rsid w:val="000D7FA8"/>
    <w:rsid w:val="000E04B9"/>
    <w:rsid w:val="000E04D5"/>
    <w:rsid w:val="000E082F"/>
    <w:rsid w:val="000E09FD"/>
    <w:rsid w:val="000E0E1C"/>
    <w:rsid w:val="000E187F"/>
    <w:rsid w:val="000E22C0"/>
    <w:rsid w:val="000E271A"/>
    <w:rsid w:val="000E33F5"/>
    <w:rsid w:val="000E4C58"/>
    <w:rsid w:val="000E4D37"/>
    <w:rsid w:val="000E53EE"/>
    <w:rsid w:val="000E592E"/>
    <w:rsid w:val="000E74E4"/>
    <w:rsid w:val="000F02BD"/>
    <w:rsid w:val="000F03A5"/>
    <w:rsid w:val="000F12BE"/>
    <w:rsid w:val="000F2DBB"/>
    <w:rsid w:val="000F3DED"/>
    <w:rsid w:val="000F49CD"/>
    <w:rsid w:val="000F4B41"/>
    <w:rsid w:val="000F5098"/>
    <w:rsid w:val="000F5D71"/>
    <w:rsid w:val="000F5E8B"/>
    <w:rsid w:val="000F623E"/>
    <w:rsid w:val="000F647D"/>
    <w:rsid w:val="000F6A05"/>
    <w:rsid w:val="000F6E0A"/>
    <w:rsid w:val="000F7858"/>
    <w:rsid w:val="000F7AD1"/>
    <w:rsid w:val="000F7FF6"/>
    <w:rsid w:val="0010034C"/>
    <w:rsid w:val="00100359"/>
    <w:rsid w:val="00101216"/>
    <w:rsid w:val="00101316"/>
    <w:rsid w:val="001014E7"/>
    <w:rsid w:val="001017AB"/>
    <w:rsid w:val="0010267F"/>
    <w:rsid w:val="001026AA"/>
    <w:rsid w:val="001028E9"/>
    <w:rsid w:val="00103427"/>
    <w:rsid w:val="00103A48"/>
    <w:rsid w:val="00103B7F"/>
    <w:rsid w:val="00103BFC"/>
    <w:rsid w:val="00103F43"/>
    <w:rsid w:val="001048EF"/>
    <w:rsid w:val="0010596E"/>
    <w:rsid w:val="00105B1D"/>
    <w:rsid w:val="001063D4"/>
    <w:rsid w:val="001066E5"/>
    <w:rsid w:val="00107167"/>
    <w:rsid w:val="00107575"/>
    <w:rsid w:val="00107B45"/>
    <w:rsid w:val="00107C35"/>
    <w:rsid w:val="001117B7"/>
    <w:rsid w:val="00111BB0"/>
    <w:rsid w:val="00111DA2"/>
    <w:rsid w:val="00111F7B"/>
    <w:rsid w:val="001122EF"/>
    <w:rsid w:val="0011249D"/>
    <w:rsid w:val="00112628"/>
    <w:rsid w:val="00112990"/>
    <w:rsid w:val="00113760"/>
    <w:rsid w:val="001143CF"/>
    <w:rsid w:val="00114B20"/>
    <w:rsid w:val="001155DE"/>
    <w:rsid w:val="001156F4"/>
    <w:rsid w:val="00116315"/>
    <w:rsid w:val="00116885"/>
    <w:rsid w:val="00116C3C"/>
    <w:rsid w:val="00120834"/>
    <w:rsid w:val="00121083"/>
    <w:rsid w:val="001210C1"/>
    <w:rsid w:val="001211E9"/>
    <w:rsid w:val="0012132C"/>
    <w:rsid w:val="001218AB"/>
    <w:rsid w:val="001218AC"/>
    <w:rsid w:val="00121D74"/>
    <w:rsid w:val="00122417"/>
    <w:rsid w:val="00122536"/>
    <w:rsid w:val="00122715"/>
    <w:rsid w:val="001229D8"/>
    <w:rsid w:val="00123066"/>
    <w:rsid w:val="0012439C"/>
    <w:rsid w:val="001255B0"/>
    <w:rsid w:val="0012578D"/>
    <w:rsid w:val="001257D7"/>
    <w:rsid w:val="00126948"/>
    <w:rsid w:val="001276D4"/>
    <w:rsid w:val="0012796C"/>
    <w:rsid w:val="00127D8E"/>
    <w:rsid w:val="00127E98"/>
    <w:rsid w:val="0013095A"/>
    <w:rsid w:val="001311DA"/>
    <w:rsid w:val="00131690"/>
    <w:rsid w:val="00131747"/>
    <w:rsid w:val="0013216C"/>
    <w:rsid w:val="001331D1"/>
    <w:rsid w:val="001332C2"/>
    <w:rsid w:val="001335FC"/>
    <w:rsid w:val="001343AE"/>
    <w:rsid w:val="00134460"/>
    <w:rsid w:val="0013469E"/>
    <w:rsid w:val="00134893"/>
    <w:rsid w:val="001348D7"/>
    <w:rsid w:val="00135B59"/>
    <w:rsid w:val="001360BA"/>
    <w:rsid w:val="00136586"/>
    <w:rsid w:val="00136615"/>
    <w:rsid w:val="00136714"/>
    <w:rsid w:val="00136CDA"/>
    <w:rsid w:val="001370BE"/>
    <w:rsid w:val="0013719E"/>
    <w:rsid w:val="0013720E"/>
    <w:rsid w:val="001373EB"/>
    <w:rsid w:val="00137515"/>
    <w:rsid w:val="00137870"/>
    <w:rsid w:val="00137E04"/>
    <w:rsid w:val="00140E9F"/>
    <w:rsid w:val="0014199F"/>
    <w:rsid w:val="00142054"/>
    <w:rsid w:val="001428C5"/>
    <w:rsid w:val="00142DFA"/>
    <w:rsid w:val="00142E50"/>
    <w:rsid w:val="0014313D"/>
    <w:rsid w:val="00143EEF"/>
    <w:rsid w:val="001450D2"/>
    <w:rsid w:val="00146B76"/>
    <w:rsid w:val="00146D1D"/>
    <w:rsid w:val="00147060"/>
    <w:rsid w:val="001475CA"/>
    <w:rsid w:val="00147C33"/>
    <w:rsid w:val="001500EC"/>
    <w:rsid w:val="00150BB5"/>
    <w:rsid w:val="001516C0"/>
    <w:rsid w:val="00151AA0"/>
    <w:rsid w:val="00152DE7"/>
    <w:rsid w:val="001534B2"/>
    <w:rsid w:val="00153A01"/>
    <w:rsid w:val="001550F1"/>
    <w:rsid w:val="00155516"/>
    <w:rsid w:val="001555FC"/>
    <w:rsid w:val="001559AA"/>
    <w:rsid w:val="00156003"/>
    <w:rsid w:val="001560E0"/>
    <w:rsid w:val="00156145"/>
    <w:rsid w:val="00156557"/>
    <w:rsid w:val="00156AED"/>
    <w:rsid w:val="00156F2A"/>
    <w:rsid w:val="00157124"/>
    <w:rsid w:val="00157712"/>
    <w:rsid w:val="00157A2E"/>
    <w:rsid w:val="00157A41"/>
    <w:rsid w:val="00160832"/>
    <w:rsid w:val="00161493"/>
    <w:rsid w:val="0016354C"/>
    <w:rsid w:val="00163690"/>
    <w:rsid w:val="00163CE1"/>
    <w:rsid w:val="00164141"/>
    <w:rsid w:val="00164762"/>
    <w:rsid w:val="00166483"/>
    <w:rsid w:val="00166E62"/>
    <w:rsid w:val="0016753A"/>
    <w:rsid w:val="00167601"/>
    <w:rsid w:val="001679C1"/>
    <w:rsid w:val="001713DB"/>
    <w:rsid w:val="0017253A"/>
    <w:rsid w:val="00172CF6"/>
    <w:rsid w:val="00173221"/>
    <w:rsid w:val="001736EF"/>
    <w:rsid w:val="001737AF"/>
    <w:rsid w:val="00173C67"/>
    <w:rsid w:val="00173C6F"/>
    <w:rsid w:val="00173ED9"/>
    <w:rsid w:val="0017428F"/>
    <w:rsid w:val="001748A4"/>
    <w:rsid w:val="00174BA7"/>
    <w:rsid w:val="001756AE"/>
    <w:rsid w:val="0017642E"/>
    <w:rsid w:val="001771FE"/>
    <w:rsid w:val="00177214"/>
    <w:rsid w:val="00180195"/>
    <w:rsid w:val="001805BD"/>
    <w:rsid w:val="00180819"/>
    <w:rsid w:val="00180F24"/>
    <w:rsid w:val="0018145F"/>
    <w:rsid w:val="00181F9B"/>
    <w:rsid w:val="00182392"/>
    <w:rsid w:val="001826FC"/>
    <w:rsid w:val="00182A8B"/>
    <w:rsid w:val="00182BB1"/>
    <w:rsid w:val="00182D0D"/>
    <w:rsid w:val="00182F8D"/>
    <w:rsid w:val="00183484"/>
    <w:rsid w:val="00183F16"/>
    <w:rsid w:val="00183F35"/>
    <w:rsid w:val="001841DB"/>
    <w:rsid w:val="0018426A"/>
    <w:rsid w:val="00184464"/>
    <w:rsid w:val="00184508"/>
    <w:rsid w:val="00184985"/>
    <w:rsid w:val="001859BE"/>
    <w:rsid w:val="00185A73"/>
    <w:rsid w:val="00185ACE"/>
    <w:rsid w:val="00186600"/>
    <w:rsid w:val="00186F90"/>
    <w:rsid w:val="00186FB0"/>
    <w:rsid w:val="0018772A"/>
    <w:rsid w:val="00187E9D"/>
    <w:rsid w:val="001902B7"/>
    <w:rsid w:val="001904F6"/>
    <w:rsid w:val="00191D3D"/>
    <w:rsid w:val="00192C53"/>
    <w:rsid w:val="00193568"/>
    <w:rsid w:val="00193EC2"/>
    <w:rsid w:val="001944DE"/>
    <w:rsid w:val="0019505A"/>
    <w:rsid w:val="00195301"/>
    <w:rsid w:val="00195950"/>
    <w:rsid w:val="001962CA"/>
    <w:rsid w:val="00196E04"/>
    <w:rsid w:val="001970E9"/>
    <w:rsid w:val="00197742"/>
    <w:rsid w:val="00197A1C"/>
    <w:rsid w:val="00197D89"/>
    <w:rsid w:val="001A002B"/>
    <w:rsid w:val="001A006F"/>
    <w:rsid w:val="001A0592"/>
    <w:rsid w:val="001A0ED7"/>
    <w:rsid w:val="001A14A8"/>
    <w:rsid w:val="001A21D2"/>
    <w:rsid w:val="001A244F"/>
    <w:rsid w:val="001A25F4"/>
    <w:rsid w:val="001A3009"/>
    <w:rsid w:val="001A32C2"/>
    <w:rsid w:val="001A344D"/>
    <w:rsid w:val="001A41F5"/>
    <w:rsid w:val="001A61E6"/>
    <w:rsid w:val="001A685E"/>
    <w:rsid w:val="001A6D03"/>
    <w:rsid w:val="001A7234"/>
    <w:rsid w:val="001A7584"/>
    <w:rsid w:val="001A7B1C"/>
    <w:rsid w:val="001A7BE4"/>
    <w:rsid w:val="001A7EF6"/>
    <w:rsid w:val="001B0451"/>
    <w:rsid w:val="001B05F9"/>
    <w:rsid w:val="001B0EB4"/>
    <w:rsid w:val="001B0F07"/>
    <w:rsid w:val="001B14C0"/>
    <w:rsid w:val="001B19F7"/>
    <w:rsid w:val="001B2155"/>
    <w:rsid w:val="001B2832"/>
    <w:rsid w:val="001B2BC8"/>
    <w:rsid w:val="001B304A"/>
    <w:rsid w:val="001B31EA"/>
    <w:rsid w:val="001B3CD1"/>
    <w:rsid w:val="001B3D6D"/>
    <w:rsid w:val="001B459A"/>
    <w:rsid w:val="001B4C3A"/>
    <w:rsid w:val="001B51BA"/>
    <w:rsid w:val="001B5368"/>
    <w:rsid w:val="001B67A8"/>
    <w:rsid w:val="001B71BA"/>
    <w:rsid w:val="001B740B"/>
    <w:rsid w:val="001B7EC4"/>
    <w:rsid w:val="001C068D"/>
    <w:rsid w:val="001C0900"/>
    <w:rsid w:val="001C0A0F"/>
    <w:rsid w:val="001C0B38"/>
    <w:rsid w:val="001C0E28"/>
    <w:rsid w:val="001C12DA"/>
    <w:rsid w:val="001C1347"/>
    <w:rsid w:val="001C1D18"/>
    <w:rsid w:val="001C232C"/>
    <w:rsid w:val="001C2E21"/>
    <w:rsid w:val="001C30CC"/>
    <w:rsid w:val="001C33D3"/>
    <w:rsid w:val="001C33DA"/>
    <w:rsid w:val="001C3413"/>
    <w:rsid w:val="001C3B6D"/>
    <w:rsid w:val="001C3BA2"/>
    <w:rsid w:val="001C3CB4"/>
    <w:rsid w:val="001C44E8"/>
    <w:rsid w:val="001C45C9"/>
    <w:rsid w:val="001C50E1"/>
    <w:rsid w:val="001C58A8"/>
    <w:rsid w:val="001C668A"/>
    <w:rsid w:val="001C7548"/>
    <w:rsid w:val="001C7F97"/>
    <w:rsid w:val="001D0A54"/>
    <w:rsid w:val="001D0C7D"/>
    <w:rsid w:val="001D115B"/>
    <w:rsid w:val="001D1687"/>
    <w:rsid w:val="001D19AD"/>
    <w:rsid w:val="001D2E7C"/>
    <w:rsid w:val="001D2FEE"/>
    <w:rsid w:val="001D303D"/>
    <w:rsid w:val="001D3A54"/>
    <w:rsid w:val="001D4312"/>
    <w:rsid w:val="001D4529"/>
    <w:rsid w:val="001D4F1F"/>
    <w:rsid w:val="001D5325"/>
    <w:rsid w:val="001D5A69"/>
    <w:rsid w:val="001D5D40"/>
    <w:rsid w:val="001D5DD8"/>
    <w:rsid w:val="001D64DF"/>
    <w:rsid w:val="001D682E"/>
    <w:rsid w:val="001D68EC"/>
    <w:rsid w:val="001D6DBF"/>
    <w:rsid w:val="001D701A"/>
    <w:rsid w:val="001D77FC"/>
    <w:rsid w:val="001E008E"/>
    <w:rsid w:val="001E0224"/>
    <w:rsid w:val="001E0DA8"/>
    <w:rsid w:val="001E1912"/>
    <w:rsid w:val="001E2003"/>
    <w:rsid w:val="001E226B"/>
    <w:rsid w:val="001E250D"/>
    <w:rsid w:val="001E28B1"/>
    <w:rsid w:val="001E31B4"/>
    <w:rsid w:val="001E3C34"/>
    <w:rsid w:val="001E400E"/>
    <w:rsid w:val="001E43EE"/>
    <w:rsid w:val="001E44F5"/>
    <w:rsid w:val="001E4972"/>
    <w:rsid w:val="001E520F"/>
    <w:rsid w:val="001E5896"/>
    <w:rsid w:val="001E6318"/>
    <w:rsid w:val="001E75A5"/>
    <w:rsid w:val="001E7DC9"/>
    <w:rsid w:val="001F0B1C"/>
    <w:rsid w:val="001F15A3"/>
    <w:rsid w:val="001F24DA"/>
    <w:rsid w:val="001F2FDE"/>
    <w:rsid w:val="001F383A"/>
    <w:rsid w:val="001F3C27"/>
    <w:rsid w:val="001F3DB5"/>
    <w:rsid w:val="001F3DF4"/>
    <w:rsid w:val="001F4656"/>
    <w:rsid w:val="001F46E1"/>
    <w:rsid w:val="001F4CBB"/>
    <w:rsid w:val="001F4D53"/>
    <w:rsid w:val="001F4EB1"/>
    <w:rsid w:val="001F620B"/>
    <w:rsid w:val="001F6B8E"/>
    <w:rsid w:val="001F6C0C"/>
    <w:rsid w:val="001F6D2F"/>
    <w:rsid w:val="001F70EF"/>
    <w:rsid w:val="001F717B"/>
    <w:rsid w:val="001F746A"/>
    <w:rsid w:val="001F7DA9"/>
    <w:rsid w:val="0020013D"/>
    <w:rsid w:val="002004C7"/>
    <w:rsid w:val="00200D32"/>
    <w:rsid w:val="00200D49"/>
    <w:rsid w:val="0020131A"/>
    <w:rsid w:val="002015D8"/>
    <w:rsid w:val="00201CE0"/>
    <w:rsid w:val="002023A7"/>
    <w:rsid w:val="002025B0"/>
    <w:rsid w:val="00202839"/>
    <w:rsid w:val="00203C36"/>
    <w:rsid w:val="00204395"/>
    <w:rsid w:val="00204576"/>
    <w:rsid w:val="00204AC6"/>
    <w:rsid w:val="002061E1"/>
    <w:rsid w:val="00207E52"/>
    <w:rsid w:val="002106D1"/>
    <w:rsid w:val="0021097D"/>
    <w:rsid w:val="00210A55"/>
    <w:rsid w:val="00210E5E"/>
    <w:rsid w:val="00210EA1"/>
    <w:rsid w:val="00211306"/>
    <w:rsid w:val="00211507"/>
    <w:rsid w:val="0021171A"/>
    <w:rsid w:val="00211880"/>
    <w:rsid w:val="00212BF1"/>
    <w:rsid w:val="00212D54"/>
    <w:rsid w:val="00212E64"/>
    <w:rsid w:val="00213E16"/>
    <w:rsid w:val="002142AD"/>
    <w:rsid w:val="0021467B"/>
    <w:rsid w:val="002162B6"/>
    <w:rsid w:val="00216763"/>
    <w:rsid w:val="0021699F"/>
    <w:rsid w:val="00217113"/>
    <w:rsid w:val="0021777A"/>
    <w:rsid w:val="00217A54"/>
    <w:rsid w:val="00220E7D"/>
    <w:rsid w:val="00221519"/>
    <w:rsid w:val="0022163A"/>
    <w:rsid w:val="00223431"/>
    <w:rsid w:val="0022365A"/>
    <w:rsid w:val="0022415C"/>
    <w:rsid w:val="002244D8"/>
    <w:rsid w:val="0022470E"/>
    <w:rsid w:val="00224D18"/>
    <w:rsid w:val="00225195"/>
    <w:rsid w:val="0022593E"/>
    <w:rsid w:val="00225D21"/>
    <w:rsid w:val="002263B9"/>
    <w:rsid w:val="0022689E"/>
    <w:rsid w:val="00226B93"/>
    <w:rsid w:val="00227C7D"/>
    <w:rsid w:val="00230A21"/>
    <w:rsid w:val="00230E7C"/>
    <w:rsid w:val="002312CE"/>
    <w:rsid w:val="00231567"/>
    <w:rsid w:val="002329EF"/>
    <w:rsid w:val="002331D3"/>
    <w:rsid w:val="00233283"/>
    <w:rsid w:val="0023390A"/>
    <w:rsid w:val="00233ABC"/>
    <w:rsid w:val="002343C4"/>
    <w:rsid w:val="00235536"/>
    <w:rsid w:val="00235D8E"/>
    <w:rsid w:val="00235F93"/>
    <w:rsid w:val="00236619"/>
    <w:rsid w:val="00236935"/>
    <w:rsid w:val="00236A08"/>
    <w:rsid w:val="00236B84"/>
    <w:rsid w:val="00237E58"/>
    <w:rsid w:val="00237F57"/>
    <w:rsid w:val="00240242"/>
    <w:rsid w:val="00240548"/>
    <w:rsid w:val="002408F7"/>
    <w:rsid w:val="00240A6A"/>
    <w:rsid w:val="00241AB8"/>
    <w:rsid w:val="00241AEE"/>
    <w:rsid w:val="00242AA3"/>
    <w:rsid w:val="00242FB0"/>
    <w:rsid w:val="0024388A"/>
    <w:rsid w:val="00244CCB"/>
    <w:rsid w:val="00245530"/>
    <w:rsid w:val="00245BC6"/>
    <w:rsid w:val="00245C76"/>
    <w:rsid w:val="00246025"/>
    <w:rsid w:val="002466C7"/>
    <w:rsid w:val="002469CD"/>
    <w:rsid w:val="00246B05"/>
    <w:rsid w:val="00246E17"/>
    <w:rsid w:val="00247128"/>
    <w:rsid w:val="00247D12"/>
    <w:rsid w:val="00247E7A"/>
    <w:rsid w:val="00250154"/>
    <w:rsid w:val="002501D6"/>
    <w:rsid w:val="0025060A"/>
    <w:rsid w:val="002507B3"/>
    <w:rsid w:val="00250C6F"/>
    <w:rsid w:val="00250E0E"/>
    <w:rsid w:val="002525C9"/>
    <w:rsid w:val="00253009"/>
    <w:rsid w:val="00253CD8"/>
    <w:rsid w:val="00254A4E"/>
    <w:rsid w:val="0025523D"/>
    <w:rsid w:val="002552F2"/>
    <w:rsid w:val="00255450"/>
    <w:rsid w:val="00255B73"/>
    <w:rsid w:val="00255F4A"/>
    <w:rsid w:val="002566A7"/>
    <w:rsid w:val="0025674E"/>
    <w:rsid w:val="00256C73"/>
    <w:rsid w:val="00256DC1"/>
    <w:rsid w:val="00256E52"/>
    <w:rsid w:val="00256F9D"/>
    <w:rsid w:val="00257A74"/>
    <w:rsid w:val="00257C0D"/>
    <w:rsid w:val="0026029A"/>
    <w:rsid w:val="002608D7"/>
    <w:rsid w:val="00260D54"/>
    <w:rsid w:val="00261280"/>
    <w:rsid w:val="00262144"/>
    <w:rsid w:val="00262CCE"/>
    <w:rsid w:val="0026447F"/>
    <w:rsid w:val="00264A4F"/>
    <w:rsid w:val="00265BCE"/>
    <w:rsid w:val="0027061A"/>
    <w:rsid w:val="002715CD"/>
    <w:rsid w:val="00271812"/>
    <w:rsid w:val="00271D6D"/>
    <w:rsid w:val="00272061"/>
    <w:rsid w:val="002728C7"/>
    <w:rsid w:val="002730CE"/>
    <w:rsid w:val="00273413"/>
    <w:rsid w:val="00274601"/>
    <w:rsid w:val="002746F5"/>
    <w:rsid w:val="0027497B"/>
    <w:rsid w:val="00274E8E"/>
    <w:rsid w:val="00275234"/>
    <w:rsid w:val="00275DDF"/>
    <w:rsid w:val="00275DEC"/>
    <w:rsid w:val="002766BD"/>
    <w:rsid w:val="0027752D"/>
    <w:rsid w:val="00277903"/>
    <w:rsid w:val="00277AEA"/>
    <w:rsid w:val="00277C17"/>
    <w:rsid w:val="00280108"/>
    <w:rsid w:val="002807C2"/>
    <w:rsid w:val="00280F74"/>
    <w:rsid w:val="00281455"/>
    <w:rsid w:val="002814EA"/>
    <w:rsid w:val="00281BD5"/>
    <w:rsid w:val="00282931"/>
    <w:rsid w:val="002830C7"/>
    <w:rsid w:val="00283104"/>
    <w:rsid w:val="002836BE"/>
    <w:rsid w:val="0028400D"/>
    <w:rsid w:val="0028449F"/>
    <w:rsid w:val="00284A8F"/>
    <w:rsid w:val="00284C9B"/>
    <w:rsid w:val="0028515D"/>
    <w:rsid w:val="00285742"/>
    <w:rsid w:val="00285BC1"/>
    <w:rsid w:val="00285E50"/>
    <w:rsid w:val="00286727"/>
    <w:rsid w:val="00286735"/>
    <w:rsid w:val="00286812"/>
    <w:rsid w:val="00286954"/>
    <w:rsid w:val="00286BC4"/>
    <w:rsid w:val="00286CE3"/>
    <w:rsid w:val="0028718A"/>
    <w:rsid w:val="002871E8"/>
    <w:rsid w:val="00290990"/>
    <w:rsid w:val="00290B4A"/>
    <w:rsid w:val="00291155"/>
    <w:rsid w:val="00291418"/>
    <w:rsid w:val="002917C1"/>
    <w:rsid w:val="002921C0"/>
    <w:rsid w:val="00292C59"/>
    <w:rsid w:val="00293409"/>
    <w:rsid w:val="00293AE1"/>
    <w:rsid w:val="00294469"/>
    <w:rsid w:val="00294C41"/>
    <w:rsid w:val="002956F5"/>
    <w:rsid w:val="002959F1"/>
    <w:rsid w:val="00295BA1"/>
    <w:rsid w:val="002968FB"/>
    <w:rsid w:val="00296A42"/>
    <w:rsid w:val="00296B40"/>
    <w:rsid w:val="00297CAC"/>
    <w:rsid w:val="002A023B"/>
    <w:rsid w:val="002A034A"/>
    <w:rsid w:val="002A0A66"/>
    <w:rsid w:val="002A1B29"/>
    <w:rsid w:val="002A2060"/>
    <w:rsid w:val="002A2466"/>
    <w:rsid w:val="002A2532"/>
    <w:rsid w:val="002A267A"/>
    <w:rsid w:val="002A2CE1"/>
    <w:rsid w:val="002A32CA"/>
    <w:rsid w:val="002A3747"/>
    <w:rsid w:val="002A4515"/>
    <w:rsid w:val="002A4D5E"/>
    <w:rsid w:val="002A54BA"/>
    <w:rsid w:val="002A6289"/>
    <w:rsid w:val="002B095A"/>
    <w:rsid w:val="002B0D2E"/>
    <w:rsid w:val="002B0E1E"/>
    <w:rsid w:val="002B1FC1"/>
    <w:rsid w:val="002B2C35"/>
    <w:rsid w:val="002B398D"/>
    <w:rsid w:val="002B3EAA"/>
    <w:rsid w:val="002B3F40"/>
    <w:rsid w:val="002B4132"/>
    <w:rsid w:val="002B5DC5"/>
    <w:rsid w:val="002B611C"/>
    <w:rsid w:val="002B61D9"/>
    <w:rsid w:val="002B63EB"/>
    <w:rsid w:val="002B6810"/>
    <w:rsid w:val="002B685B"/>
    <w:rsid w:val="002B6BFF"/>
    <w:rsid w:val="002B6C4B"/>
    <w:rsid w:val="002B7007"/>
    <w:rsid w:val="002B726F"/>
    <w:rsid w:val="002B7306"/>
    <w:rsid w:val="002B7340"/>
    <w:rsid w:val="002B73EB"/>
    <w:rsid w:val="002C0516"/>
    <w:rsid w:val="002C150D"/>
    <w:rsid w:val="002C2108"/>
    <w:rsid w:val="002C21B7"/>
    <w:rsid w:val="002C21EF"/>
    <w:rsid w:val="002C230C"/>
    <w:rsid w:val="002C2A9A"/>
    <w:rsid w:val="002C2AFF"/>
    <w:rsid w:val="002C3473"/>
    <w:rsid w:val="002C36C6"/>
    <w:rsid w:val="002C3FC8"/>
    <w:rsid w:val="002C4B10"/>
    <w:rsid w:val="002C57C8"/>
    <w:rsid w:val="002C59E9"/>
    <w:rsid w:val="002C5EDB"/>
    <w:rsid w:val="002C66A1"/>
    <w:rsid w:val="002C6FCF"/>
    <w:rsid w:val="002C78F1"/>
    <w:rsid w:val="002C7B2E"/>
    <w:rsid w:val="002D01DE"/>
    <w:rsid w:val="002D1453"/>
    <w:rsid w:val="002D23C9"/>
    <w:rsid w:val="002D2740"/>
    <w:rsid w:val="002D301E"/>
    <w:rsid w:val="002D30FC"/>
    <w:rsid w:val="002D3275"/>
    <w:rsid w:val="002D37FA"/>
    <w:rsid w:val="002D38D9"/>
    <w:rsid w:val="002D3C19"/>
    <w:rsid w:val="002D40CC"/>
    <w:rsid w:val="002D5752"/>
    <w:rsid w:val="002D58F3"/>
    <w:rsid w:val="002D5C28"/>
    <w:rsid w:val="002D670C"/>
    <w:rsid w:val="002D6CF2"/>
    <w:rsid w:val="002D6EBE"/>
    <w:rsid w:val="002D7935"/>
    <w:rsid w:val="002D7F33"/>
    <w:rsid w:val="002E0506"/>
    <w:rsid w:val="002E0DD0"/>
    <w:rsid w:val="002E1CC5"/>
    <w:rsid w:val="002E2041"/>
    <w:rsid w:val="002E24B3"/>
    <w:rsid w:val="002E28BC"/>
    <w:rsid w:val="002E2980"/>
    <w:rsid w:val="002E3087"/>
    <w:rsid w:val="002E33BD"/>
    <w:rsid w:val="002E575F"/>
    <w:rsid w:val="002E5DA3"/>
    <w:rsid w:val="002E76F9"/>
    <w:rsid w:val="002E776C"/>
    <w:rsid w:val="002E7F05"/>
    <w:rsid w:val="002E7FBA"/>
    <w:rsid w:val="002F0600"/>
    <w:rsid w:val="002F0E6C"/>
    <w:rsid w:val="002F11B5"/>
    <w:rsid w:val="002F1241"/>
    <w:rsid w:val="002F1321"/>
    <w:rsid w:val="002F15B9"/>
    <w:rsid w:val="002F16A1"/>
    <w:rsid w:val="002F214F"/>
    <w:rsid w:val="002F3930"/>
    <w:rsid w:val="002F3D48"/>
    <w:rsid w:val="002F4110"/>
    <w:rsid w:val="002F4373"/>
    <w:rsid w:val="002F468F"/>
    <w:rsid w:val="002F49ED"/>
    <w:rsid w:val="002F4A17"/>
    <w:rsid w:val="002F5041"/>
    <w:rsid w:val="002F60FE"/>
    <w:rsid w:val="002F6BEB"/>
    <w:rsid w:val="002F7489"/>
    <w:rsid w:val="00300280"/>
    <w:rsid w:val="00300918"/>
    <w:rsid w:val="00300C81"/>
    <w:rsid w:val="00300FED"/>
    <w:rsid w:val="00301061"/>
    <w:rsid w:val="0030176D"/>
    <w:rsid w:val="00302897"/>
    <w:rsid w:val="00302A4B"/>
    <w:rsid w:val="003038C3"/>
    <w:rsid w:val="00303C8B"/>
    <w:rsid w:val="0030440B"/>
    <w:rsid w:val="003044D9"/>
    <w:rsid w:val="003046CE"/>
    <w:rsid w:val="003053A4"/>
    <w:rsid w:val="003063A2"/>
    <w:rsid w:val="00306408"/>
    <w:rsid w:val="003066F9"/>
    <w:rsid w:val="00306A92"/>
    <w:rsid w:val="00306F08"/>
    <w:rsid w:val="00307B20"/>
    <w:rsid w:val="00307BAB"/>
    <w:rsid w:val="00307BB2"/>
    <w:rsid w:val="0031000C"/>
    <w:rsid w:val="00310546"/>
    <w:rsid w:val="00310629"/>
    <w:rsid w:val="00310808"/>
    <w:rsid w:val="00310834"/>
    <w:rsid w:val="00310EF7"/>
    <w:rsid w:val="00311AFF"/>
    <w:rsid w:val="00311BC6"/>
    <w:rsid w:val="00312528"/>
    <w:rsid w:val="003127D2"/>
    <w:rsid w:val="00312BB2"/>
    <w:rsid w:val="00313868"/>
    <w:rsid w:val="00313A45"/>
    <w:rsid w:val="003146AA"/>
    <w:rsid w:val="00315342"/>
    <w:rsid w:val="00315DB8"/>
    <w:rsid w:val="00317639"/>
    <w:rsid w:val="003176DE"/>
    <w:rsid w:val="00317D6D"/>
    <w:rsid w:val="0032028A"/>
    <w:rsid w:val="003204A8"/>
    <w:rsid w:val="0032088A"/>
    <w:rsid w:val="00320D31"/>
    <w:rsid w:val="00320DD7"/>
    <w:rsid w:val="003211AA"/>
    <w:rsid w:val="003215AA"/>
    <w:rsid w:val="0032192E"/>
    <w:rsid w:val="00321A6E"/>
    <w:rsid w:val="00321A9E"/>
    <w:rsid w:val="00322A10"/>
    <w:rsid w:val="00322A84"/>
    <w:rsid w:val="00322C28"/>
    <w:rsid w:val="00322F53"/>
    <w:rsid w:val="003238EF"/>
    <w:rsid w:val="00323B93"/>
    <w:rsid w:val="00323C69"/>
    <w:rsid w:val="00323E6F"/>
    <w:rsid w:val="00324367"/>
    <w:rsid w:val="00324491"/>
    <w:rsid w:val="00324787"/>
    <w:rsid w:val="0032531C"/>
    <w:rsid w:val="0032544B"/>
    <w:rsid w:val="00325601"/>
    <w:rsid w:val="00325E23"/>
    <w:rsid w:val="00326575"/>
    <w:rsid w:val="00326A59"/>
    <w:rsid w:val="0032752A"/>
    <w:rsid w:val="00327D97"/>
    <w:rsid w:val="0033030F"/>
    <w:rsid w:val="00330AB2"/>
    <w:rsid w:val="00330CAB"/>
    <w:rsid w:val="00330D94"/>
    <w:rsid w:val="00331438"/>
    <w:rsid w:val="003314C7"/>
    <w:rsid w:val="00331541"/>
    <w:rsid w:val="003327DF"/>
    <w:rsid w:val="0033310B"/>
    <w:rsid w:val="00333378"/>
    <w:rsid w:val="003339EC"/>
    <w:rsid w:val="00334923"/>
    <w:rsid w:val="00335530"/>
    <w:rsid w:val="00335638"/>
    <w:rsid w:val="00335F15"/>
    <w:rsid w:val="00336884"/>
    <w:rsid w:val="00337DFC"/>
    <w:rsid w:val="00340BF0"/>
    <w:rsid w:val="00340DBC"/>
    <w:rsid w:val="00341D2E"/>
    <w:rsid w:val="00341EF3"/>
    <w:rsid w:val="00343A4D"/>
    <w:rsid w:val="00343BA1"/>
    <w:rsid w:val="00343C98"/>
    <w:rsid w:val="003440BB"/>
    <w:rsid w:val="00344BB0"/>
    <w:rsid w:val="00345354"/>
    <w:rsid w:val="00345463"/>
    <w:rsid w:val="003456A9"/>
    <w:rsid w:val="00345E85"/>
    <w:rsid w:val="00346534"/>
    <w:rsid w:val="003471E6"/>
    <w:rsid w:val="003479D7"/>
    <w:rsid w:val="00347E10"/>
    <w:rsid w:val="00350D50"/>
    <w:rsid w:val="00350E2C"/>
    <w:rsid w:val="00352100"/>
    <w:rsid w:val="003521C7"/>
    <w:rsid w:val="003527A8"/>
    <w:rsid w:val="00352A80"/>
    <w:rsid w:val="0035329B"/>
    <w:rsid w:val="00353639"/>
    <w:rsid w:val="00353DB3"/>
    <w:rsid w:val="00354078"/>
    <w:rsid w:val="00355987"/>
    <w:rsid w:val="00356DC3"/>
    <w:rsid w:val="00357169"/>
    <w:rsid w:val="00357E3C"/>
    <w:rsid w:val="003609E0"/>
    <w:rsid w:val="00361143"/>
    <w:rsid w:val="003612B2"/>
    <w:rsid w:val="0036136A"/>
    <w:rsid w:val="003618E8"/>
    <w:rsid w:val="00361973"/>
    <w:rsid w:val="00361AC9"/>
    <w:rsid w:val="00361EAE"/>
    <w:rsid w:val="00361F31"/>
    <w:rsid w:val="00362246"/>
    <w:rsid w:val="003622A2"/>
    <w:rsid w:val="003626AE"/>
    <w:rsid w:val="003632CF"/>
    <w:rsid w:val="00363424"/>
    <w:rsid w:val="00363776"/>
    <w:rsid w:val="0036397E"/>
    <w:rsid w:val="003649EA"/>
    <w:rsid w:val="00364BC0"/>
    <w:rsid w:val="00365467"/>
    <w:rsid w:val="00365AFF"/>
    <w:rsid w:val="00365E1D"/>
    <w:rsid w:val="003665D8"/>
    <w:rsid w:val="00370D5D"/>
    <w:rsid w:val="003714C1"/>
    <w:rsid w:val="00371F73"/>
    <w:rsid w:val="00371FB7"/>
    <w:rsid w:val="00372281"/>
    <w:rsid w:val="0037320D"/>
    <w:rsid w:val="003734A4"/>
    <w:rsid w:val="0037404F"/>
    <w:rsid w:val="00374276"/>
    <w:rsid w:val="0037569F"/>
    <w:rsid w:val="00375704"/>
    <w:rsid w:val="003759B7"/>
    <w:rsid w:val="003761CA"/>
    <w:rsid w:val="00376324"/>
    <w:rsid w:val="003766CB"/>
    <w:rsid w:val="00376E3E"/>
    <w:rsid w:val="00376EC8"/>
    <w:rsid w:val="00377381"/>
    <w:rsid w:val="0037765A"/>
    <w:rsid w:val="00377B07"/>
    <w:rsid w:val="00380052"/>
    <w:rsid w:val="003803E9"/>
    <w:rsid w:val="00380F91"/>
    <w:rsid w:val="003811FE"/>
    <w:rsid w:val="00381373"/>
    <w:rsid w:val="003816C5"/>
    <w:rsid w:val="003819B8"/>
    <w:rsid w:val="00383297"/>
    <w:rsid w:val="0038331A"/>
    <w:rsid w:val="00383974"/>
    <w:rsid w:val="00383E1A"/>
    <w:rsid w:val="00384D22"/>
    <w:rsid w:val="0038569B"/>
    <w:rsid w:val="0038587A"/>
    <w:rsid w:val="00385B73"/>
    <w:rsid w:val="003863B7"/>
    <w:rsid w:val="00386768"/>
    <w:rsid w:val="00386872"/>
    <w:rsid w:val="003875C4"/>
    <w:rsid w:val="00387753"/>
    <w:rsid w:val="0038777A"/>
    <w:rsid w:val="003900CF"/>
    <w:rsid w:val="00390219"/>
    <w:rsid w:val="00390A61"/>
    <w:rsid w:val="00390CBA"/>
    <w:rsid w:val="00391058"/>
    <w:rsid w:val="00391493"/>
    <w:rsid w:val="00391AF8"/>
    <w:rsid w:val="00392251"/>
    <w:rsid w:val="0039255E"/>
    <w:rsid w:val="00392F6D"/>
    <w:rsid w:val="00393AF3"/>
    <w:rsid w:val="00393C8C"/>
    <w:rsid w:val="00393F33"/>
    <w:rsid w:val="00394ABD"/>
    <w:rsid w:val="00394D2A"/>
    <w:rsid w:val="00395F24"/>
    <w:rsid w:val="003965C0"/>
    <w:rsid w:val="00396D01"/>
    <w:rsid w:val="00396D0A"/>
    <w:rsid w:val="00396F81"/>
    <w:rsid w:val="00397C66"/>
    <w:rsid w:val="003A00ED"/>
    <w:rsid w:val="003A05DE"/>
    <w:rsid w:val="003A17F3"/>
    <w:rsid w:val="003A21CC"/>
    <w:rsid w:val="003A2783"/>
    <w:rsid w:val="003A29E8"/>
    <w:rsid w:val="003A30E5"/>
    <w:rsid w:val="003A3A4F"/>
    <w:rsid w:val="003A4D6B"/>
    <w:rsid w:val="003A55BF"/>
    <w:rsid w:val="003A58AE"/>
    <w:rsid w:val="003A5F90"/>
    <w:rsid w:val="003A64E9"/>
    <w:rsid w:val="003A6C25"/>
    <w:rsid w:val="003A7847"/>
    <w:rsid w:val="003A786B"/>
    <w:rsid w:val="003A7FE2"/>
    <w:rsid w:val="003B0211"/>
    <w:rsid w:val="003B0B64"/>
    <w:rsid w:val="003B10AA"/>
    <w:rsid w:val="003B1A40"/>
    <w:rsid w:val="003B2331"/>
    <w:rsid w:val="003B2590"/>
    <w:rsid w:val="003B42D1"/>
    <w:rsid w:val="003B6388"/>
    <w:rsid w:val="003B6905"/>
    <w:rsid w:val="003B74E8"/>
    <w:rsid w:val="003B752D"/>
    <w:rsid w:val="003B7CD1"/>
    <w:rsid w:val="003C107D"/>
    <w:rsid w:val="003C1722"/>
    <w:rsid w:val="003C1F4C"/>
    <w:rsid w:val="003C242A"/>
    <w:rsid w:val="003C295E"/>
    <w:rsid w:val="003C2D5C"/>
    <w:rsid w:val="003C2F65"/>
    <w:rsid w:val="003C31FD"/>
    <w:rsid w:val="003C449A"/>
    <w:rsid w:val="003C49D3"/>
    <w:rsid w:val="003C4F8C"/>
    <w:rsid w:val="003C4FEB"/>
    <w:rsid w:val="003C5794"/>
    <w:rsid w:val="003C5F55"/>
    <w:rsid w:val="003C6106"/>
    <w:rsid w:val="003C64E6"/>
    <w:rsid w:val="003C6DC8"/>
    <w:rsid w:val="003D0426"/>
    <w:rsid w:val="003D0455"/>
    <w:rsid w:val="003D1DEB"/>
    <w:rsid w:val="003D2301"/>
    <w:rsid w:val="003D2CB7"/>
    <w:rsid w:val="003D4D5B"/>
    <w:rsid w:val="003D5754"/>
    <w:rsid w:val="003D58E0"/>
    <w:rsid w:val="003D5B54"/>
    <w:rsid w:val="003D6203"/>
    <w:rsid w:val="003D62D3"/>
    <w:rsid w:val="003D6305"/>
    <w:rsid w:val="003D6DAC"/>
    <w:rsid w:val="003D7C80"/>
    <w:rsid w:val="003E03BE"/>
    <w:rsid w:val="003E062C"/>
    <w:rsid w:val="003E0E22"/>
    <w:rsid w:val="003E113D"/>
    <w:rsid w:val="003E1D6B"/>
    <w:rsid w:val="003E20E2"/>
    <w:rsid w:val="003E2780"/>
    <w:rsid w:val="003E28A4"/>
    <w:rsid w:val="003E2A83"/>
    <w:rsid w:val="003E2DEB"/>
    <w:rsid w:val="003E311E"/>
    <w:rsid w:val="003E34D2"/>
    <w:rsid w:val="003E382C"/>
    <w:rsid w:val="003E40CA"/>
    <w:rsid w:val="003E4267"/>
    <w:rsid w:val="003E43DF"/>
    <w:rsid w:val="003E44F3"/>
    <w:rsid w:val="003E4546"/>
    <w:rsid w:val="003E4BCE"/>
    <w:rsid w:val="003E4CC6"/>
    <w:rsid w:val="003E5063"/>
    <w:rsid w:val="003E52C9"/>
    <w:rsid w:val="003E620C"/>
    <w:rsid w:val="003E6E0F"/>
    <w:rsid w:val="003E7036"/>
    <w:rsid w:val="003E7752"/>
    <w:rsid w:val="003E79D2"/>
    <w:rsid w:val="003F04D4"/>
    <w:rsid w:val="003F0B18"/>
    <w:rsid w:val="003F0FA2"/>
    <w:rsid w:val="003F104E"/>
    <w:rsid w:val="003F10BC"/>
    <w:rsid w:val="003F1776"/>
    <w:rsid w:val="003F4E9F"/>
    <w:rsid w:val="003F5438"/>
    <w:rsid w:val="003F60C6"/>
    <w:rsid w:val="003F61D7"/>
    <w:rsid w:val="003F6440"/>
    <w:rsid w:val="003F696F"/>
    <w:rsid w:val="003F6BE9"/>
    <w:rsid w:val="003F7202"/>
    <w:rsid w:val="003F74CC"/>
    <w:rsid w:val="003F75D5"/>
    <w:rsid w:val="003F7826"/>
    <w:rsid w:val="004003FA"/>
    <w:rsid w:val="00401306"/>
    <w:rsid w:val="00401745"/>
    <w:rsid w:val="004025D6"/>
    <w:rsid w:val="00402E8B"/>
    <w:rsid w:val="00403A23"/>
    <w:rsid w:val="00405BB7"/>
    <w:rsid w:val="00407864"/>
    <w:rsid w:val="00407E39"/>
    <w:rsid w:val="00410199"/>
    <w:rsid w:val="00410320"/>
    <w:rsid w:val="004107C9"/>
    <w:rsid w:val="00410B9E"/>
    <w:rsid w:val="004113A3"/>
    <w:rsid w:val="00412239"/>
    <w:rsid w:val="00413BF1"/>
    <w:rsid w:val="00414354"/>
    <w:rsid w:val="00414916"/>
    <w:rsid w:val="0041505D"/>
    <w:rsid w:val="00415593"/>
    <w:rsid w:val="004158E1"/>
    <w:rsid w:val="00415EDA"/>
    <w:rsid w:val="00416906"/>
    <w:rsid w:val="00417028"/>
    <w:rsid w:val="00417CD2"/>
    <w:rsid w:val="00417DD2"/>
    <w:rsid w:val="00420260"/>
    <w:rsid w:val="00420DD7"/>
    <w:rsid w:val="004218BB"/>
    <w:rsid w:val="00421936"/>
    <w:rsid w:val="0042233D"/>
    <w:rsid w:val="00422CAB"/>
    <w:rsid w:val="00422DF2"/>
    <w:rsid w:val="004232CE"/>
    <w:rsid w:val="00423884"/>
    <w:rsid w:val="0042406C"/>
    <w:rsid w:val="00424F9B"/>
    <w:rsid w:val="004250EB"/>
    <w:rsid w:val="0042571B"/>
    <w:rsid w:val="00425CB6"/>
    <w:rsid w:val="00425CD3"/>
    <w:rsid w:val="004264FF"/>
    <w:rsid w:val="00426767"/>
    <w:rsid w:val="0042697E"/>
    <w:rsid w:val="00426A15"/>
    <w:rsid w:val="00426C43"/>
    <w:rsid w:val="004271F2"/>
    <w:rsid w:val="004275FD"/>
    <w:rsid w:val="004277C5"/>
    <w:rsid w:val="00427938"/>
    <w:rsid w:val="00427E8B"/>
    <w:rsid w:val="004300DE"/>
    <w:rsid w:val="004303A3"/>
    <w:rsid w:val="0043064C"/>
    <w:rsid w:val="004309DC"/>
    <w:rsid w:val="00430A26"/>
    <w:rsid w:val="0043131D"/>
    <w:rsid w:val="00431A44"/>
    <w:rsid w:val="0043250C"/>
    <w:rsid w:val="00432DAC"/>
    <w:rsid w:val="00432E2C"/>
    <w:rsid w:val="00432FB2"/>
    <w:rsid w:val="00433CD8"/>
    <w:rsid w:val="00434B4A"/>
    <w:rsid w:val="0043510E"/>
    <w:rsid w:val="00436267"/>
    <w:rsid w:val="0043646D"/>
    <w:rsid w:val="00436A30"/>
    <w:rsid w:val="00436C75"/>
    <w:rsid w:val="00436FC9"/>
    <w:rsid w:val="0043734F"/>
    <w:rsid w:val="004378EA"/>
    <w:rsid w:val="0043798C"/>
    <w:rsid w:val="00440636"/>
    <w:rsid w:val="00441073"/>
    <w:rsid w:val="0044107A"/>
    <w:rsid w:val="004415DC"/>
    <w:rsid w:val="0044164D"/>
    <w:rsid w:val="0044176A"/>
    <w:rsid w:val="00441BBF"/>
    <w:rsid w:val="00442555"/>
    <w:rsid w:val="00442635"/>
    <w:rsid w:val="00442809"/>
    <w:rsid w:val="00442A7B"/>
    <w:rsid w:val="00442F44"/>
    <w:rsid w:val="004437F6"/>
    <w:rsid w:val="00443817"/>
    <w:rsid w:val="00443C4D"/>
    <w:rsid w:val="00444062"/>
    <w:rsid w:val="00444214"/>
    <w:rsid w:val="00444348"/>
    <w:rsid w:val="0044511C"/>
    <w:rsid w:val="00445307"/>
    <w:rsid w:val="00445B45"/>
    <w:rsid w:val="00445BF5"/>
    <w:rsid w:val="00445C17"/>
    <w:rsid w:val="00445D1C"/>
    <w:rsid w:val="00445E0F"/>
    <w:rsid w:val="00445FBB"/>
    <w:rsid w:val="0044639A"/>
    <w:rsid w:val="0044651B"/>
    <w:rsid w:val="00446614"/>
    <w:rsid w:val="0044677D"/>
    <w:rsid w:val="00446D1C"/>
    <w:rsid w:val="00446DF4"/>
    <w:rsid w:val="00446FBF"/>
    <w:rsid w:val="0044722E"/>
    <w:rsid w:val="00447982"/>
    <w:rsid w:val="00447A0E"/>
    <w:rsid w:val="00447A80"/>
    <w:rsid w:val="00447BC7"/>
    <w:rsid w:val="0045055A"/>
    <w:rsid w:val="00450CF9"/>
    <w:rsid w:val="00451362"/>
    <w:rsid w:val="004517FE"/>
    <w:rsid w:val="00452313"/>
    <w:rsid w:val="00452618"/>
    <w:rsid w:val="00452639"/>
    <w:rsid w:val="00452DFD"/>
    <w:rsid w:val="004535A6"/>
    <w:rsid w:val="004554FC"/>
    <w:rsid w:val="004556D2"/>
    <w:rsid w:val="00455AEF"/>
    <w:rsid w:val="004567AC"/>
    <w:rsid w:val="004568C8"/>
    <w:rsid w:val="00456A41"/>
    <w:rsid w:val="004575CC"/>
    <w:rsid w:val="00457651"/>
    <w:rsid w:val="00457CFB"/>
    <w:rsid w:val="00460690"/>
    <w:rsid w:val="00460DD1"/>
    <w:rsid w:val="00460E30"/>
    <w:rsid w:val="00460F93"/>
    <w:rsid w:val="00461E2E"/>
    <w:rsid w:val="004627A7"/>
    <w:rsid w:val="00462E86"/>
    <w:rsid w:val="00463400"/>
    <w:rsid w:val="0046352F"/>
    <w:rsid w:val="00463676"/>
    <w:rsid w:val="00463BA6"/>
    <w:rsid w:val="0046410C"/>
    <w:rsid w:val="00464E41"/>
    <w:rsid w:val="00465759"/>
    <w:rsid w:val="00465E03"/>
    <w:rsid w:val="0046608A"/>
    <w:rsid w:val="004662B1"/>
    <w:rsid w:val="00466649"/>
    <w:rsid w:val="00466890"/>
    <w:rsid w:val="00467016"/>
    <w:rsid w:val="0046763C"/>
    <w:rsid w:val="00467F89"/>
    <w:rsid w:val="00470430"/>
    <w:rsid w:val="00471710"/>
    <w:rsid w:val="00471857"/>
    <w:rsid w:val="004718DD"/>
    <w:rsid w:val="00472040"/>
    <w:rsid w:val="00472660"/>
    <w:rsid w:val="00472965"/>
    <w:rsid w:val="00472B44"/>
    <w:rsid w:val="00472C9E"/>
    <w:rsid w:val="00473AA8"/>
    <w:rsid w:val="00473EE9"/>
    <w:rsid w:val="00474BE8"/>
    <w:rsid w:val="004750E6"/>
    <w:rsid w:val="004753B3"/>
    <w:rsid w:val="00475664"/>
    <w:rsid w:val="004757C1"/>
    <w:rsid w:val="00475B75"/>
    <w:rsid w:val="00475EDE"/>
    <w:rsid w:val="00475F55"/>
    <w:rsid w:val="0047629E"/>
    <w:rsid w:val="00476AA8"/>
    <w:rsid w:val="0047730B"/>
    <w:rsid w:val="00477350"/>
    <w:rsid w:val="004776F8"/>
    <w:rsid w:val="00480F21"/>
    <w:rsid w:val="00481341"/>
    <w:rsid w:val="004825FE"/>
    <w:rsid w:val="00482901"/>
    <w:rsid w:val="00483011"/>
    <w:rsid w:val="00483132"/>
    <w:rsid w:val="00483570"/>
    <w:rsid w:val="00483F4F"/>
    <w:rsid w:val="00484E52"/>
    <w:rsid w:val="00485472"/>
    <w:rsid w:val="0048662E"/>
    <w:rsid w:val="00486A66"/>
    <w:rsid w:val="00486F78"/>
    <w:rsid w:val="004901A1"/>
    <w:rsid w:val="0049027B"/>
    <w:rsid w:val="004904A8"/>
    <w:rsid w:val="00490908"/>
    <w:rsid w:val="00490F2F"/>
    <w:rsid w:val="004916EB"/>
    <w:rsid w:val="00491A6E"/>
    <w:rsid w:val="004935E8"/>
    <w:rsid w:val="0049377D"/>
    <w:rsid w:val="00493991"/>
    <w:rsid w:val="00493C97"/>
    <w:rsid w:val="00493EBA"/>
    <w:rsid w:val="004942D8"/>
    <w:rsid w:val="0049456A"/>
    <w:rsid w:val="00494E18"/>
    <w:rsid w:val="0049580B"/>
    <w:rsid w:val="00495C26"/>
    <w:rsid w:val="004971A5"/>
    <w:rsid w:val="0049756E"/>
    <w:rsid w:val="00497F52"/>
    <w:rsid w:val="004A09FC"/>
    <w:rsid w:val="004A10BA"/>
    <w:rsid w:val="004A226B"/>
    <w:rsid w:val="004A36C5"/>
    <w:rsid w:val="004A37A3"/>
    <w:rsid w:val="004A397A"/>
    <w:rsid w:val="004A4718"/>
    <w:rsid w:val="004A5B83"/>
    <w:rsid w:val="004A6015"/>
    <w:rsid w:val="004A7960"/>
    <w:rsid w:val="004B02D6"/>
    <w:rsid w:val="004B143D"/>
    <w:rsid w:val="004B2582"/>
    <w:rsid w:val="004B259E"/>
    <w:rsid w:val="004B2608"/>
    <w:rsid w:val="004B27CA"/>
    <w:rsid w:val="004B2994"/>
    <w:rsid w:val="004B33E0"/>
    <w:rsid w:val="004B377F"/>
    <w:rsid w:val="004B3795"/>
    <w:rsid w:val="004B4125"/>
    <w:rsid w:val="004B491F"/>
    <w:rsid w:val="004B4E01"/>
    <w:rsid w:val="004B5F1A"/>
    <w:rsid w:val="004B5F2A"/>
    <w:rsid w:val="004B5F8C"/>
    <w:rsid w:val="004B697C"/>
    <w:rsid w:val="004B6F66"/>
    <w:rsid w:val="004B7308"/>
    <w:rsid w:val="004C0F3B"/>
    <w:rsid w:val="004C2594"/>
    <w:rsid w:val="004C2B83"/>
    <w:rsid w:val="004C3D93"/>
    <w:rsid w:val="004C3DE5"/>
    <w:rsid w:val="004C3F73"/>
    <w:rsid w:val="004C40B0"/>
    <w:rsid w:val="004C423C"/>
    <w:rsid w:val="004C4C96"/>
    <w:rsid w:val="004C4DDB"/>
    <w:rsid w:val="004C51D4"/>
    <w:rsid w:val="004C5388"/>
    <w:rsid w:val="004C5C33"/>
    <w:rsid w:val="004C5E8E"/>
    <w:rsid w:val="004C6E23"/>
    <w:rsid w:val="004C75E7"/>
    <w:rsid w:val="004C7F5A"/>
    <w:rsid w:val="004D0E4E"/>
    <w:rsid w:val="004D215F"/>
    <w:rsid w:val="004D23D3"/>
    <w:rsid w:val="004D2E1F"/>
    <w:rsid w:val="004D30FB"/>
    <w:rsid w:val="004D353C"/>
    <w:rsid w:val="004D36BC"/>
    <w:rsid w:val="004D379E"/>
    <w:rsid w:val="004D3F27"/>
    <w:rsid w:val="004D471E"/>
    <w:rsid w:val="004D4864"/>
    <w:rsid w:val="004D53AB"/>
    <w:rsid w:val="004D54AB"/>
    <w:rsid w:val="004D5521"/>
    <w:rsid w:val="004D5DBA"/>
    <w:rsid w:val="004D6B99"/>
    <w:rsid w:val="004D6DD1"/>
    <w:rsid w:val="004D76F1"/>
    <w:rsid w:val="004E175D"/>
    <w:rsid w:val="004E1F90"/>
    <w:rsid w:val="004E2BF5"/>
    <w:rsid w:val="004E333A"/>
    <w:rsid w:val="004E3E28"/>
    <w:rsid w:val="004E478A"/>
    <w:rsid w:val="004E484F"/>
    <w:rsid w:val="004E48CE"/>
    <w:rsid w:val="004E4A34"/>
    <w:rsid w:val="004E50CF"/>
    <w:rsid w:val="004E564D"/>
    <w:rsid w:val="004E58AC"/>
    <w:rsid w:val="004E5B17"/>
    <w:rsid w:val="004E5B61"/>
    <w:rsid w:val="004E5E01"/>
    <w:rsid w:val="004E5ED5"/>
    <w:rsid w:val="004E5FEC"/>
    <w:rsid w:val="004E646D"/>
    <w:rsid w:val="004E69CD"/>
    <w:rsid w:val="004E69FF"/>
    <w:rsid w:val="004E6CFC"/>
    <w:rsid w:val="004E70D5"/>
    <w:rsid w:val="004E73A0"/>
    <w:rsid w:val="004E761B"/>
    <w:rsid w:val="004E7789"/>
    <w:rsid w:val="004E77AE"/>
    <w:rsid w:val="004E7891"/>
    <w:rsid w:val="004E793F"/>
    <w:rsid w:val="004F0400"/>
    <w:rsid w:val="004F071A"/>
    <w:rsid w:val="004F0A6B"/>
    <w:rsid w:val="004F0B44"/>
    <w:rsid w:val="004F0EB1"/>
    <w:rsid w:val="004F2496"/>
    <w:rsid w:val="004F24BB"/>
    <w:rsid w:val="004F283F"/>
    <w:rsid w:val="004F2A17"/>
    <w:rsid w:val="004F45A4"/>
    <w:rsid w:val="004F47A0"/>
    <w:rsid w:val="004F4C85"/>
    <w:rsid w:val="004F53E9"/>
    <w:rsid w:val="004F5624"/>
    <w:rsid w:val="004F7E30"/>
    <w:rsid w:val="00500301"/>
    <w:rsid w:val="0050150D"/>
    <w:rsid w:val="00501985"/>
    <w:rsid w:val="00502210"/>
    <w:rsid w:val="005025AC"/>
    <w:rsid w:val="005028E8"/>
    <w:rsid w:val="00502EA8"/>
    <w:rsid w:val="00502F8F"/>
    <w:rsid w:val="0050340E"/>
    <w:rsid w:val="00503891"/>
    <w:rsid w:val="00504428"/>
    <w:rsid w:val="005045D1"/>
    <w:rsid w:val="00504AF0"/>
    <w:rsid w:val="00504DD2"/>
    <w:rsid w:val="00504EAD"/>
    <w:rsid w:val="00505166"/>
    <w:rsid w:val="00505ABB"/>
    <w:rsid w:val="00505E23"/>
    <w:rsid w:val="00505FB6"/>
    <w:rsid w:val="005062EF"/>
    <w:rsid w:val="00506740"/>
    <w:rsid w:val="00506AFF"/>
    <w:rsid w:val="00506BE8"/>
    <w:rsid w:val="00507237"/>
    <w:rsid w:val="0050790E"/>
    <w:rsid w:val="00507D8A"/>
    <w:rsid w:val="005106AE"/>
    <w:rsid w:val="00510718"/>
    <w:rsid w:val="00510A42"/>
    <w:rsid w:val="00510C07"/>
    <w:rsid w:val="00511249"/>
    <w:rsid w:val="0051126B"/>
    <w:rsid w:val="0051158F"/>
    <w:rsid w:val="005118BD"/>
    <w:rsid w:val="00511C0D"/>
    <w:rsid w:val="00511F2D"/>
    <w:rsid w:val="005126FA"/>
    <w:rsid w:val="00512952"/>
    <w:rsid w:val="00512D7C"/>
    <w:rsid w:val="00513067"/>
    <w:rsid w:val="005130ED"/>
    <w:rsid w:val="005137FF"/>
    <w:rsid w:val="0051419D"/>
    <w:rsid w:val="0051421F"/>
    <w:rsid w:val="00514274"/>
    <w:rsid w:val="00514486"/>
    <w:rsid w:val="005148E2"/>
    <w:rsid w:val="0051508A"/>
    <w:rsid w:val="005154A1"/>
    <w:rsid w:val="005159B9"/>
    <w:rsid w:val="0051630A"/>
    <w:rsid w:val="0051660A"/>
    <w:rsid w:val="00516A1C"/>
    <w:rsid w:val="00516DD5"/>
    <w:rsid w:val="0051768B"/>
    <w:rsid w:val="00517AD0"/>
    <w:rsid w:val="00520097"/>
    <w:rsid w:val="005200E5"/>
    <w:rsid w:val="00520406"/>
    <w:rsid w:val="0052057C"/>
    <w:rsid w:val="00520DCC"/>
    <w:rsid w:val="00521187"/>
    <w:rsid w:val="00521612"/>
    <w:rsid w:val="00521D22"/>
    <w:rsid w:val="00521EB7"/>
    <w:rsid w:val="00522332"/>
    <w:rsid w:val="00522CB7"/>
    <w:rsid w:val="00523131"/>
    <w:rsid w:val="00523A3C"/>
    <w:rsid w:val="00523AD7"/>
    <w:rsid w:val="00523FA0"/>
    <w:rsid w:val="00523FCB"/>
    <w:rsid w:val="0052422E"/>
    <w:rsid w:val="00524274"/>
    <w:rsid w:val="00524402"/>
    <w:rsid w:val="005256CA"/>
    <w:rsid w:val="00525ED0"/>
    <w:rsid w:val="00525F0B"/>
    <w:rsid w:val="005264C0"/>
    <w:rsid w:val="00526D9F"/>
    <w:rsid w:val="00530072"/>
    <w:rsid w:val="00530972"/>
    <w:rsid w:val="00530D33"/>
    <w:rsid w:val="005312C5"/>
    <w:rsid w:val="005314F3"/>
    <w:rsid w:val="00531A57"/>
    <w:rsid w:val="00531C29"/>
    <w:rsid w:val="00532939"/>
    <w:rsid w:val="0053294E"/>
    <w:rsid w:val="00533144"/>
    <w:rsid w:val="0053335E"/>
    <w:rsid w:val="0053421E"/>
    <w:rsid w:val="00535D67"/>
    <w:rsid w:val="00536977"/>
    <w:rsid w:val="005369D1"/>
    <w:rsid w:val="00536C37"/>
    <w:rsid w:val="00537484"/>
    <w:rsid w:val="0053761F"/>
    <w:rsid w:val="005376BB"/>
    <w:rsid w:val="005378D8"/>
    <w:rsid w:val="005379EC"/>
    <w:rsid w:val="00537D7C"/>
    <w:rsid w:val="005407D2"/>
    <w:rsid w:val="005409D7"/>
    <w:rsid w:val="0054124A"/>
    <w:rsid w:val="00541526"/>
    <w:rsid w:val="00541A07"/>
    <w:rsid w:val="005423D6"/>
    <w:rsid w:val="00542491"/>
    <w:rsid w:val="005425D2"/>
    <w:rsid w:val="005436BA"/>
    <w:rsid w:val="00543938"/>
    <w:rsid w:val="00543E7B"/>
    <w:rsid w:val="0054468B"/>
    <w:rsid w:val="00544801"/>
    <w:rsid w:val="005449BE"/>
    <w:rsid w:val="00545CCD"/>
    <w:rsid w:val="00546A66"/>
    <w:rsid w:val="00547DB5"/>
    <w:rsid w:val="00551F8D"/>
    <w:rsid w:val="00552529"/>
    <w:rsid w:val="005534B8"/>
    <w:rsid w:val="00554003"/>
    <w:rsid w:val="005546D0"/>
    <w:rsid w:val="0055516E"/>
    <w:rsid w:val="00555BB9"/>
    <w:rsid w:val="00555E51"/>
    <w:rsid w:val="00556391"/>
    <w:rsid w:val="00556437"/>
    <w:rsid w:val="00556C11"/>
    <w:rsid w:val="00557248"/>
    <w:rsid w:val="00557F06"/>
    <w:rsid w:val="00557FE2"/>
    <w:rsid w:val="0056007B"/>
    <w:rsid w:val="00560B1F"/>
    <w:rsid w:val="0056106F"/>
    <w:rsid w:val="005610BD"/>
    <w:rsid w:val="005612EA"/>
    <w:rsid w:val="0056134A"/>
    <w:rsid w:val="00561BDC"/>
    <w:rsid w:val="00561E37"/>
    <w:rsid w:val="00561EF7"/>
    <w:rsid w:val="00562372"/>
    <w:rsid w:val="00562612"/>
    <w:rsid w:val="00563043"/>
    <w:rsid w:val="00563361"/>
    <w:rsid w:val="005635E2"/>
    <w:rsid w:val="005636AB"/>
    <w:rsid w:val="0056500A"/>
    <w:rsid w:val="0056617F"/>
    <w:rsid w:val="00566A74"/>
    <w:rsid w:val="00566C39"/>
    <w:rsid w:val="005670F1"/>
    <w:rsid w:val="0056756F"/>
    <w:rsid w:val="0056761E"/>
    <w:rsid w:val="00570327"/>
    <w:rsid w:val="00570522"/>
    <w:rsid w:val="00570ECB"/>
    <w:rsid w:val="00570F4B"/>
    <w:rsid w:val="00571323"/>
    <w:rsid w:val="005715D9"/>
    <w:rsid w:val="00571BB4"/>
    <w:rsid w:val="00571DAF"/>
    <w:rsid w:val="00572351"/>
    <w:rsid w:val="00572A0C"/>
    <w:rsid w:val="00573365"/>
    <w:rsid w:val="0057399F"/>
    <w:rsid w:val="00573CCE"/>
    <w:rsid w:val="00573F08"/>
    <w:rsid w:val="0057408F"/>
    <w:rsid w:val="00574961"/>
    <w:rsid w:val="00574973"/>
    <w:rsid w:val="0057505B"/>
    <w:rsid w:val="00575429"/>
    <w:rsid w:val="00575866"/>
    <w:rsid w:val="00575CFA"/>
    <w:rsid w:val="00576503"/>
    <w:rsid w:val="005767DC"/>
    <w:rsid w:val="00576B4B"/>
    <w:rsid w:val="00576C2B"/>
    <w:rsid w:val="00577127"/>
    <w:rsid w:val="005776C4"/>
    <w:rsid w:val="005776CD"/>
    <w:rsid w:val="00577C06"/>
    <w:rsid w:val="00577CC3"/>
    <w:rsid w:val="00577ED9"/>
    <w:rsid w:val="0058021D"/>
    <w:rsid w:val="00580EFD"/>
    <w:rsid w:val="0058178A"/>
    <w:rsid w:val="00582027"/>
    <w:rsid w:val="005824CA"/>
    <w:rsid w:val="00582A81"/>
    <w:rsid w:val="00582D08"/>
    <w:rsid w:val="005835D0"/>
    <w:rsid w:val="0058385A"/>
    <w:rsid w:val="00583E88"/>
    <w:rsid w:val="00584047"/>
    <w:rsid w:val="00584DB8"/>
    <w:rsid w:val="00585CE9"/>
    <w:rsid w:val="0058612D"/>
    <w:rsid w:val="005864D2"/>
    <w:rsid w:val="00587822"/>
    <w:rsid w:val="0058782F"/>
    <w:rsid w:val="00590216"/>
    <w:rsid w:val="00590663"/>
    <w:rsid w:val="00590D0B"/>
    <w:rsid w:val="00591668"/>
    <w:rsid w:val="00591B11"/>
    <w:rsid w:val="005920CA"/>
    <w:rsid w:val="0059228B"/>
    <w:rsid w:val="00592879"/>
    <w:rsid w:val="00593154"/>
    <w:rsid w:val="005935AD"/>
    <w:rsid w:val="005941D6"/>
    <w:rsid w:val="00595139"/>
    <w:rsid w:val="00595722"/>
    <w:rsid w:val="005962D9"/>
    <w:rsid w:val="00596CEA"/>
    <w:rsid w:val="00597393"/>
    <w:rsid w:val="005975CC"/>
    <w:rsid w:val="0059789E"/>
    <w:rsid w:val="005A05CF"/>
    <w:rsid w:val="005A071F"/>
    <w:rsid w:val="005A0FEF"/>
    <w:rsid w:val="005A12C1"/>
    <w:rsid w:val="005A1834"/>
    <w:rsid w:val="005A1F25"/>
    <w:rsid w:val="005A27EC"/>
    <w:rsid w:val="005A3291"/>
    <w:rsid w:val="005A398D"/>
    <w:rsid w:val="005A3997"/>
    <w:rsid w:val="005A3CFF"/>
    <w:rsid w:val="005A49FC"/>
    <w:rsid w:val="005A590B"/>
    <w:rsid w:val="005A68DC"/>
    <w:rsid w:val="005A6AEF"/>
    <w:rsid w:val="005A7073"/>
    <w:rsid w:val="005A7460"/>
    <w:rsid w:val="005A7937"/>
    <w:rsid w:val="005A7A8A"/>
    <w:rsid w:val="005A7B72"/>
    <w:rsid w:val="005A7EA8"/>
    <w:rsid w:val="005B0940"/>
    <w:rsid w:val="005B0BE2"/>
    <w:rsid w:val="005B0C73"/>
    <w:rsid w:val="005B0CE2"/>
    <w:rsid w:val="005B0EF1"/>
    <w:rsid w:val="005B19D3"/>
    <w:rsid w:val="005B19E2"/>
    <w:rsid w:val="005B1B2D"/>
    <w:rsid w:val="005B1E0E"/>
    <w:rsid w:val="005B1EA5"/>
    <w:rsid w:val="005B1F8C"/>
    <w:rsid w:val="005B2199"/>
    <w:rsid w:val="005B2735"/>
    <w:rsid w:val="005B3385"/>
    <w:rsid w:val="005B3877"/>
    <w:rsid w:val="005B39A8"/>
    <w:rsid w:val="005B3B17"/>
    <w:rsid w:val="005B436D"/>
    <w:rsid w:val="005B438E"/>
    <w:rsid w:val="005B4512"/>
    <w:rsid w:val="005B471E"/>
    <w:rsid w:val="005B4C54"/>
    <w:rsid w:val="005B4EBC"/>
    <w:rsid w:val="005B6C23"/>
    <w:rsid w:val="005B6D91"/>
    <w:rsid w:val="005B6E87"/>
    <w:rsid w:val="005B749E"/>
    <w:rsid w:val="005B7854"/>
    <w:rsid w:val="005C017A"/>
    <w:rsid w:val="005C0946"/>
    <w:rsid w:val="005C0C4A"/>
    <w:rsid w:val="005C0DCE"/>
    <w:rsid w:val="005C11D6"/>
    <w:rsid w:val="005C1968"/>
    <w:rsid w:val="005C32DA"/>
    <w:rsid w:val="005C385D"/>
    <w:rsid w:val="005C39E1"/>
    <w:rsid w:val="005C3A8E"/>
    <w:rsid w:val="005C3CCE"/>
    <w:rsid w:val="005C4545"/>
    <w:rsid w:val="005C55B7"/>
    <w:rsid w:val="005C5699"/>
    <w:rsid w:val="005C5ECE"/>
    <w:rsid w:val="005C6BE7"/>
    <w:rsid w:val="005C6F47"/>
    <w:rsid w:val="005C6F8E"/>
    <w:rsid w:val="005C742F"/>
    <w:rsid w:val="005C7504"/>
    <w:rsid w:val="005C7533"/>
    <w:rsid w:val="005D04CD"/>
    <w:rsid w:val="005D074B"/>
    <w:rsid w:val="005D12F3"/>
    <w:rsid w:val="005D1A75"/>
    <w:rsid w:val="005D2F91"/>
    <w:rsid w:val="005D3494"/>
    <w:rsid w:val="005D3F93"/>
    <w:rsid w:val="005D43CD"/>
    <w:rsid w:val="005D4901"/>
    <w:rsid w:val="005D5599"/>
    <w:rsid w:val="005D5832"/>
    <w:rsid w:val="005D5DE5"/>
    <w:rsid w:val="005D6A6F"/>
    <w:rsid w:val="005D706C"/>
    <w:rsid w:val="005D73C1"/>
    <w:rsid w:val="005D74E6"/>
    <w:rsid w:val="005D76DB"/>
    <w:rsid w:val="005E0352"/>
    <w:rsid w:val="005E100E"/>
    <w:rsid w:val="005E168A"/>
    <w:rsid w:val="005E247E"/>
    <w:rsid w:val="005E29B8"/>
    <w:rsid w:val="005E2B64"/>
    <w:rsid w:val="005E31FA"/>
    <w:rsid w:val="005E32C8"/>
    <w:rsid w:val="005E3442"/>
    <w:rsid w:val="005E5074"/>
    <w:rsid w:val="005E5843"/>
    <w:rsid w:val="005E5B75"/>
    <w:rsid w:val="005E65C0"/>
    <w:rsid w:val="005E6680"/>
    <w:rsid w:val="005E6EDF"/>
    <w:rsid w:val="005E74B0"/>
    <w:rsid w:val="005E77F2"/>
    <w:rsid w:val="005F025A"/>
    <w:rsid w:val="005F08D1"/>
    <w:rsid w:val="005F094A"/>
    <w:rsid w:val="005F15A6"/>
    <w:rsid w:val="005F29A1"/>
    <w:rsid w:val="005F36F1"/>
    <w:rsid w:val="005F39F4"/>
    <w:rsid w:val="005F3C96"/>
    <w:rsid w:val="005F44CE"/>
    <w:rsid w:val="005F4EE2"/>
    <w:rsid w:val="005F6403"/>
    <w:rsid w:val="005F6BC5"/>
    <w:rsid w:val="005F6F90"/>
    <w:rsid w:val="005F7151"/>
    <w:rsid w:val="005F7522"/>
    <w:rsid w:val="005F7888"/>
    <w:rsid w:val="00600763"/>
    <w:rsid w:val="00600E0D"/>
    <w:rsid w:val="0060174B"/>
    <w:rsid w:val="00601C72"/>
    <w:rsid w:val="00602712"/>
    <w:rsid w:val="00603375"/>
    <w:rsid w:val="00603CB1"/>
    <w:rsid w:val="0060526D"/>
    <w:rsid w:val="00605474"/>
    <w:rsid w:val="006056A7"/>
    <w:rsid w:val="00606FE5"/>
    <w:rsid w:val="006071FC"/>
    <w:rsid w:val="00607238"/>
    <w:rsid w:val="00607B0F"/>
    <w:rsid w:val="00607EB3"/>
    <w:rsid w:val="00607FCE"/>
    <w:rsid w:val="00610832"/>
    <w:rsid w:val="006109C4"/>
    <w:rsid w:val="00611DFC"/>
    <w:rsid w:val="00612CE1"/>
    <w:rsid w:val="00613451"/>
    <w:rsid w:val="006134B2"/>
    <w:rsid w:val="00614368"/>
    <w:rsid w:val="006145DB"/>
    <w:rsid w:val="006145E8"/>
    <w:rsid w:val="006147FD"/>
    <w:rsid w:val="006153A2"/>
    <w:rsid w:val="00617959"/>
    <w:rsid w:val="00620012"/>
    <w:rsid w:val="0062003B"/>
    <w:rsid w:val="006209E2"/>
    <w:rsid w:val="00620DCD"/>
    <w:rsid w:val="00620F40"/>
    <w:rsid w:val="00621044"/>
    <w:rsid w:val="006213CD"/>
    <w:rsid w:val="00621800"/>
    <w:rsid w:val="00621889"/>
    <w:rsid w:val="00621BD5"/>
    <w:rsid w:val="006220E1"/>
    <w:rsid w:val="00622E9D"/>
    <w:rsid w:val="00623B05"/>
    <w:rsid w:val="00623C42"/>
    <w:rsid w:val="00624949"/>
    <w:rsid w:val="00624B31"/>
    <w:rsid w:val="0062529C"/>
    <w:rsid w:val="006254DF"/>
    <w:rsid w:val="006259E1"/>
    <w:rsid w:val="00625F53"/>
    <w:rsid w:val="00626152"/>
    <w:rsid w:val="00626338"/>
    <w:rsid w:val="006267D5"/>
    <w:rsid w:val="00626E68"/>
    <w:rsid w:val="00626FE0"/>
    <w:rsid w:val="00627E9C"/>
    <w:rsid w:val="00631A5A"/>
    <w:rsid w:val="00632238"/>
    <w:rsid w:val="006329B5"/>
    <w:rsid w:val="0063301F"/>
    <w:rsid w:val="006332B4"/>
    <w:rsid w:val="0063379E"/>
    <w:rsid w:val="00633BFC"/>
    <w:rsid w:val="00634822"/>
    <w:rsid w:val="00634925"/>
    <w:rsid w:val="00634A41"/>
    <w:rsid w:val="00634EAE"/>
    <w:rsid w:val="00634ED3"/>
    <w:rsid w:val="00635B0A"/>
    <w:rsid w:val="00636425"/>
    <w:rsid w:val="006367FC"/>
    <w:rsid w:val="00640AA6"/>
    <w:rsid w:val="00640B80"/>
    <w:rsid w:val="006410A6"/>
    <w:rsid w:val="00641D27"/>
    <w:rsid w:val="00642144"/>
    <w:rsid w:val="0064249E"/>
    <w:rsid w:val="006424E3"/>
    <w:rsid w:val="00642E03"/>
    <w:rsid w:val="00644097"/>
    <w:rsid w:val="00644A71"/>
    <w:rsid w:val="00645125"/>
    <w:rsid w:val="00645885"/>
    <w:rsid w:val="0064627A"/>
    <w:rsid w:val="00646B0B"/>
    <w:rsid w:val="00647801"/>
    <w:rsid w:val="00647A96"/>
    <w:rsid w:val="00647CC0"/>
    <w:rsid w:val="00650370"/>
    <w:rsid w:val="00650A92"/>
    <w:rsid w:val="00650CE4"/>
    <w:rsid w:val="00651062"/>
    <w:rsid w:val="00651137"/>
    <w:rsid w:val="0065141E"/>
    <w:rsid w:val="00651477"/>
    <w:rsid w:val="0065251D"/>
    <w:rsid w:val="00652976"/>
    <w:rsid w:val="006534BF"/>
    <w:rsid w:val="00653508"/>
    <w:rsid w:val="00653787"/>
    <w:rsid w:val="00653982"/>
    <w:rsid w:val="00654235"/>
    <w:rsid w:val="006548F1"/>
    <w:rsid w:val="006552E4"/>
    <w:rsid w:val="00655348"/>
    <w:rsid w:val="00655FBC"/>
    <w:rsid w:val="006560E0"/>
    <w:rsid w:val="00656159"/>
    <w:rsid w:val="00656466"/>
    <w:rsid w:val="006575DE"/>
    <w:rsid w:val="00657B63"/>
    <w:rsid w:val="00657F01"/>
    <w:rsid w:val="00660246"/>
    <w:rsid w:val="00660887"/>
    <w:rsid w:val="00660AB2"/>
    <w:rsid w:val="006615AE"/>
    <w:rsid w:val="00661660"/>
    <w:rsid w:val="00661756"/>
    <w:rsid w:val="006617F5"/>
    <w:rsid w:val="0066202C"/>
    <w:rsid w:val="00662367"/>
    <w:rsid w:val="00662826"/>
    <w:rsid w:val="00663528"/>
    <w:rsid w:val="006637D6"/>
    <w:rsid w:val="00663969"/>
    <w:rsid w:val="006643AC"/>
    <w:rsid w:val="006648E7"/>
    <w:rsid w:val="006649BA"/>
    <w:rsid w:val="00664ADF"/>
    <w:rsid w:val="00664C26"/>
    <w:rsid w:val="00664E20"/>
    <w:rsid w:val="00665CC7"/>
    <w:rsid w:val="006668F4"/>
    <w:rsid w:val="00666DDF"/>
    <w:rsid w:val="00667A33"/>
    <w:rsid w:val="00667E51"/>
    <w:rsid w:val="00667FF0"/>
    <w:rsid w:val="00670021"/>
    <w:rsid w:val="006701D0"/>
    <w:rsid w:val="006705DD"/>
    <w:rsid w:val="00671379"/>
    <w:rsid w:val="0067148C"/>
    <w:rsid w:val="00671807"/>
    <w:rsid w:val="006718D0"/>
    <w:rsid w:val="00672131"/>
    <w:rsid w:val="006725A3"/>
    <w:rsid w:val="0067269A"/>
    <w:rsid w:val="00673DCD"/>
    <w:rsid w:val="0067522C"/>
    <w:rsid w:val="006760CF"/>
    <w:rsid w:val="00676345"/>
    <w:rsid w:val="0067662D"/>
    <w:rsid w:val="00676880"/>
    <w:rsid w:val="00676979"/>
    <w:rsid w:val="00676BE2"/>
    <w:rsid w:val="00676DF4"/>
    <w:rsid w:val="006803E3"/>
    <w:rsid w:val="00680497"/>
    <w:rsid w:val="0068087A"/>
    <w:rsid w:val="00681DE2"/>
    <w:rsid w:val="00683022"/>
    <w:rsid w:val="00683ECD"/>
    <w:rsid w:val="00684B1A"/>
    <w:rsid w:val="00685C95"/>
    <w:rsid w:val="0068629D"/>
    <w:rsid w:val="006862E9"/>
    <w:rsid w:val="0068676B"/>
    <w:rsid w:val="0068724F"/>
    <w:rsid w:val="00687349"/>
    <w:rsid w:val="00687825"/>
    <w:rsid w:val="0068791E"/>
    <w:rsid w:val="0068799D"/>
    <w:rsid w:val="00687E9D"/>
    <w:rsid w:val="00690064"/>
    <w:rsid w:val="00690072"/>
    <w:rsid w:val="00690232"/>
    <w:rsid w:val="006905B2"/>
    <w:rsid w:val="00690949"/>
    <w:rsid w:val="00690A63"/>
    <w:rsid w:val="0069109F"/>
    <w:rsid w:val="00691243"/>
    <w:rsid w:val="00691645"/>
    <w:rsid w:val="00691684"/>
    <w:rsid w:val="0069255A"/>
    <w:rsid w:val="00692722"/>
    <w:rsid w:val="00692F7B"/>
    <w:rsid w:val="00693221"/>
    <w:rsid w:val="0069346D"/>
    <w:rsid w:val="0069467E"/>
    <w:rsid w:val="00694688"/>
    <w:rsid w:val="006959CC"/>
    <w:rsid w:val="00695A42"/>
    <w:rsid w:val="00695E51"/>
    <w:rsid w:val="006961D6"/>
    <w:rsid w:val="0069621E"/>
    <w:rsid w:val="00697121"/>
    <w:rsid w:val="00697BCB"/>
    <w:rsid w:val="00697C06"/>
    <w:rsid w:val="006A0666"/>
    <w:rsid w:val="006A08E6"/>
    <w:rsid w:val="006A0A90"/>
    <w:rsid w:val="006A0F62"/>
    <w:rsid w:val="006A10FD"/>
    <w:rsid w:val="006A1339"/>
    <w:rsid w:val="006A24AB"/>
    <w:rsid w:val="006A26A3"/>
    <w:rsid w:val="006A280D"/>
    <w:rsid w:val="006A3926"/>
    <w:rsid w:val="006A3AFB"/>
    <w:rsid w:val="006A3CF9"/>
    <w:rsid w:val="006A451D"/>
    <w:rsid w:val="006A475A"/>
    <w:rsid w:val="006A4BED"/>
    <w:rsid w:val="006A4EF3"/>
    <w:rsid w:val="006A6196"/>
    <w:rsid w:val="006A63CD"/>
    <w:rsid w:val="006A7C47"/>
    <w:rsid w:val="006A7D15"/>
    <w:rsid w:val="006B00C4"/>
    <w:rsid w:val="006B0257"/>
    <w:rsid w:val="006B0C6C"/>
    <w:rsid w:val="006B0D54"/>
    <w:rsid w:val="006B163C"/>
    <w:rsid w:val="006B16E4"/>
    <w:rsid w:val="006B20E1"/>
    <w:rsid w:val="006B27AF"/>
    <w:rsid w:val="006B333E"/>
    <w:rsid w:val="006B34BB"/>
    <w:rsid w:val="006B3A5A"/>
    <w:rsid w:val="006B3EEE"/>
    <w:rsid w:val="006B41E8"/>
    <w:rsid w:val="006B575F"/>
    <w:rsid w:val="006B5C79"/>
    <w:rsid w:val="006B5CBB"/>
    <w:rsid w:val="006B6E6C"/>
    <w:rsid w:val="006C02D4"/>
    <w:rsid w:val="006C0872"/>
    <w:rsid w:val="006C0B4C"/>
    <w:rsid w:val="006C0F95"/>
    <w:rsid w:val="006C2078"/>
    <w:rsid w:val="006C2BCB"/>
    <w:rsid w:val="006C2DD2"/>
    <w:rsid w:val="006C3B74"/>
    <w:rsid w:val="006C466E"/>
    <w:rsid w:val="006C4B69"/>
    <w:rsid w:val="006C4EC1"/>
    <w:rsid w:val="006C5701"/>
    <w:rsid w:val="006C5BD4"/>
    <w:rsid w:val="006C6054"/>
    <w:rsid w:val="006C6308"/>
    <w:rsid w:val="006C6484"/>
    <w:rsid w:val="006C728C"/>
    <w:rsid w:val="006C72D6"/>
    <w:rsid w:val="006C74B7"/>
    <w:rsid w:val="006C7513"/>
    <w:rsid w:val="006C7D37"/>
    <w:rsid w:val="006D0428"/>
    <w:rsid w:val="006D0E74"/>
    <w:rsid w:val="006D0EC0"/>
    <w:rsid w:val="006D14D9"/>
    <w:rsid w:val="006D1BE5"/>
    <w:rsid w:val="006D2050"/>
    <w:rsid w:val="006D2670"/>
    <w:rsid w:val="006D2A34"/>
    <w:rsid w:val="006D2BC4"/>
    <w:rsid w:val="006D2D73"/>
    <w:rsid w:val="006D2E59"/>
    <w:rsid w:val="006D2EB4"/>
    <w:rsid w:val="006D30DA"/>
    <w:rsid w:val="006D3303"/>
    <w:rsid w:val="006D33A9"/>
    <w:rsid w:val="006D3719"/>
    <w:rsid w:val="006D48CD"/>
    <w:rsid w:val="006D4949"/>
    <w:rsid w:val="006D49AD"/>
    <w:rsid w:val="006D4BF6"/>
    <w:rsid w:val="006D4E0A"/>
    <w:rsid w:val="006D529A"/>
    <w:rsid w:val="006D57C9"/>
    <w:rsid w:val="006D580A"/>
    <w:rsid w:val="006D5E5F"/>
    <w:rsid w:val="006D6B5C"/>
    <w:rsid w:val="006D6CB9"/>
    <w:rsid w:val="006D7BE6"/>
    <w:rsid w:val="006E04F5"/>
    <w:rsid w:val="006E10C6"/>
    <w:rsid w:val="006E206B"/>
    <w:rsid w:val="006E39BD"/>
    <w:rsid w:val="006E4BF5"/>
    <w:rsid w:val="006E5537"/>
    <w:rsid w:val="006E57D9"/>
    <w:rsid w:val="006E5864"/>
    <w:rsid w:val="006E5F65"/>
    <w:rsid w:val="006E5F6A"/>
    <w:rsid w:val="006E6A60"/>
    <w:rsid w:val="006E6C35"/>
    <w:rsid w:val="006E6E91"/>
    <w:rsid w:val="006E6F3E"/>
    <w:rsid w:val="006E7066"/>
    <w:rsid w:val="006F047B"/>
    <w:rsid w:val="006F079A"/>
    <w:rsid w:val="006F0850"/>
    <w:rsid w:val="006F0BC8"/>
    <w:rsid w:val="006F0CF0"/>
    <w:rsid w:val="006F14AE"/>
    <w:rsid w:val="006F154C"/>
    <w:rsid w:val="006F15DA"/>
    <w:rsid w:val="006F1AE8"/>
    <w:rsid w:val="006F1BE7"/>
    <w:rsid w:val="006F27B0"/>
    <w:rsid w:val="006F317C"/>
    <w:rsid w:val="006F322E"/>
    <w:rsid w:val="006F3684"/>
    <w:rsid w:val="006F3715"/>
    <w:rsid w:val="006F41A0"/>
    <w:rsid w:val="006F48EB"/>
    <w:rsid w:val="006F4913"/>
    <w:rsid w:val="006F4B2A"/>
    <w:rsid w:val="006F5A3D"/>
    <w:rsid w:val="006F5AB3"/>
    <w:rsid w:val="006F6C7A"/>
    <w:rsid w:val="006F6E48"/>
    <w:rsid w:val="006F7294"/>
    <w:rsid w:val="00700E17"/>
    <w:rsid w:val="00700F31"/>
    <w:rsid w:val="007015BF"/>
    <w:rsid w:val="00701B23"/>
    <w:rsid w:val="0070212E"/>
    <w:rsid w:val="0070366E"/>
    <w:rsid w:val="00703719"/>
    <w:rsid w:val="00703F1C"/>
    <w:rsid w:val="007041E4"/>
    <w:rsid w:val="00704E5F"/>
    <w:rsid w:val="007051ED"/>
    <w:rsid w:val="007053BB"/>
    <w:rsid w:val="00706001"/>
    <w:rsid w:val="0070723D"/>
    <w:rsid w:val="0070736A"/>
    <w:rsid w:val="00707710"/>
    <w:rsid w:val="00707859"/>
    <w:rsid w:val="007102FF"/>
    <w:rsid w:val="007107A7"/>
    <w:rsid w:val="0071134F"/>
    <w:rsid w:val="00711817"/>
    <w:rsid w:val="00711D8C"/>
    <w:rsid w:val="0071221C"/>
    <w:rsid w:val="0071308E"/>
    <w:rsid w:val="007132DE"/>
    <w:rsid w:val="00714510"/>
    <w:rsid w:val="007145C2"/>
    <w:rsid w:val="00714811"/>
    <w:rsid w:val="00715527"/>
    <w:rsid w:val="0071566E"/>
    <w:rsid w:val="0071569B"/>
    <w:rsid w:val="00715EBE"/>
    <w:rsid w:val="00716275"/>
    <w:rsid w:val="0071682E"/>
    <w:rsid w:val="00716992"/>
    <w:rsid w:val="00717085"/>
    <w:rsid w:val="007173FC"/>
    <w:rsid w:val="0071750A"/>
    <w:rsid w:val="00717DAB"/>
    <w:rsid w:val="00721F4E"/>
    <w:rsid w:val="0072239B"/>
    <w:rsid w:val="00722BA7"/>
    <w:rsid w:val="00722CA6"/>
    <w:rsid w:val="007237CD"/>
    <w:rsid w:val="0072472A"/>
    <w:rsid w:val="007247A7"/>
    <w:rsid w:val="00724887"/>
    <w:rsid w:val="007249F6"/>
    <w:rsid w:val="00725DDC"/>
    <w:rsid w:val="00727456"/>
    <w:rsid w:val="00727C1E"/>
    <w:rsid w:val="00727CB1"/>
    <w:rsid w:val="00731105"/>
    <w:rsid w:val="00731424"/>
    <w:rsid w:val="0073172F"/>
    <w:rsid w:val="00731FBC"/>
    <w:rsid w:val="007325C6"/>
    <w:rsid w:val="00732749"/>
    <w:rsid w:val="00732BD9"/>
    <w:rsid w:val="00732C19"/>
    <w:rsid w:val="007330B5"/>
    <w:rsid w:val="00733F23"/>
    <w:rsid w:val="0073447B"/>
    <w:rsid w:val="00735243"/>
    <w:rsid w:val="0073627B"/>
    <w:rsid w:val="0073662C"/>
    <w:rsid w:val="0073679A"/>
    <w:rsid w:val="007369A7"/>
    <w:rsid w:val="00737A23"/>
    <w:rsid w:val="00737AC8"/>
    <w:rsid w:val="007402CF"/>
    <w:rsid w:val="00740B9C"/>
    <w:rsid w:val="0074118C"/>
    <w:rsid w:val="007411A8"/>
    <w:rsid w:val="0074139F"/>
    <w:rsid w:val="00741BD2"/>
    <w:rsid w:val="007420C2"/>
    <w:rsid w:val="00742155"/>
    <w:rsid w:val="00742EBE"/>
    <w:rsid w:val="00742FE1"/>
    <w:rsid w:val="00743132"/>
    <w:rsid w:val="00744031"/>
    <w:rsid w:val="0074452D"/>
    <w:rsid w:val="007447ED"/>
    <w:rsid w:val="00744D20"/>
    <w:rsid w:val="00744E7B"/>
    <w:rsid w:val="00745191"/>
    <w:rsid w:val="0074540A"/>
    <w:rsid w:val="007458A5"/>
    <w:rsid w:val="00746245"/>
    <w:rsid w:val="00746B68"/>
    <w:rsid w:val="00746E9A"/>
    <w:rsid w:val="00747138"/>
    <w:rsid w:val="007472B5"/>
    <w:rsid w:val="0074743D"/>
    <w:rsid w:val="00747579"/>
    <w:rsid w:val="007501C8"/>
    <w:rsid w:val="00750226"/>
    <w:rsid w:val="00750D2D"/>
    <w:rsid w:val="00751122"/>
    <w:rsid w:val="007520AD"/>
    <w:rsid w:val="007528F0"/>
    <w:rsid w:val="00752A8C"/>
    <w:rsid w:val="00753284"/>
    <w:rsid w:val="007541F9"/>
    <w:rsid w:val="00754215"/>
    <w:rsid w:val="0075451C"/>
    <w:rsid w:val="00754C7A"/>
    <w:rsid w:val="00755253"/>
    <w:rsid w:val="00756244"/>
    <w:rsid w:val="00756371"/>
    <w:rsid w:val="007573A9"/>
    <w:rsid w:val="00757F4E"/>
    <w:rsid w:val="00760045"/>
    <w:rsid w:val="007601F4"/>
    <w:rsid w:val="0076053C"/>
    <w:rsid w:val="00760720"/>
    <w:rsid w:val="00760ADA"/>
    <w:rsid w:val="00760D04"/>
    <w:rsid w:val="00761CB0"/>
    <w:rsid w:val="00762277"/>
    <w:rsid w:val="0076264D"/>
    <w:rsid w:val="00762A47"/>
    <w:rsid w:val="0076346E"/>
    <w:rsid w:val="00763920"/>
    <w:rsid w:val="00763D5B"/>
    <w:rsid w:val="00764A7E"/>
    <w:rsid w:val="0076510D"/>
    <w:rsid w:val="007651BF"/>
    <w:rsid w:val="007657B9"/>
    <w:rsid w:val="007660A5"/>
    <w:rsid w:val="0076611F"/>
    <w:rsid w:val="0076693F"/>
    <w:rsid w:val="00766CAF"/>
    <w:rsid w:val="00767037"/>
    <w:rsid w:val="00767481"/>
    <w:rsid w:val="00767C34"/>
    <w:rsid w:val="00767E99"/>
    <w:rsid w:val="007703B6"/>
    <w:rsid w:val="0077065D"/>
    <w:rsid w:val="0077066B"/>
    <w:rsid w:val="00770B92"/>
    <w:rsid w:val="00771053"/>
    <w:rsid w:val="00771B2B"/>
    <w:rsid w:val="00771F3E"/>
    <w:rsid w:val="00772337"/>
    <w:rsid w:val="007723DD"/>
    <w:rsid w:val="007724A1"/>
    <w:rsid w:val="00772A14"/>
    <w:rsid w:val="00773B08"/>
    <w:rsid w:val="00775193"/>
    <w:rsid w:val="00776B0E"/>
    <w:rsid w:val="007778D4"/>
    <w:rsid w:val="00777981"/>
    <w:rsid w:val="0078000E"/>
    <w:rsid w:val="0078031B"/>
    <w:rsid w:val="00780EE2"/>
    <w:rsid w:val="007812B4"/>
    <w:rsid w:val="00781431"/>
    <w:rsid w:val="00781B7D"/>
    <w:rsid w:val="00781C7E"/>
    <w:rsid w:val="00783101"/>
    <w:rsid w:val="00783936"/>
    <w:rsid w:val="00783973"/>
    <w:rsid w:val="007839A5"/>
    <w:rsid w:val="00783A60"/>
    <w:rsid w:val="00784181"/>
    <w:rsid w:val="00784895"/>
    <w:rsid w:val="00784A52"/>
    <w:rsid w:val="0078545D"/>
    <w:rsid w:val="0078662B"/>
    <w:rsid w:val="007870EE"/>
    <w:rsid w:val="00787B9E"/>
    <w:rsid w:val="00790216"/>
    <w:rsid w:val="00790437"/>
    <w:rsid w:val="0079068B"/>
    <w:rsid w:val="00790771"/>
    <w:rsid w:val="00790EB0"/>
    <w:rsid w:val="00791218"/>
    <w:rsid w:val="007915E6"/>
    <w:rsid w:val="007918C5"/>
    <w:rsid w:val="007919EF"/>
    <w:rsid w:val="00791AFA"/>
    <w:rsid w:val="00791D11"/>
    <w:rsid w:val="00791D58"/>
    <w:rsid w:val="00792595"/>
    <w:rsid w:val="0079300C"/>
    <w:rsid w:val="007930F2"/>
    <w:rsid w:val="00793791"/>
    <w:rsid w:val="00793A9C"/>
    <w:rsid w:val="00794288"/>
    <w:rsid w:val="00794E79"/>
    <w:rsid w:val="007966B9"/>
    <w:rsid w:val="00796A13"/>
    <w:rsid w:val="00796EB8"/>
    <w:rsid w:val="00797528"/>
    <w:rsid w:val="00797601"/>
    <w:rsid w:val="00797E32"/>
    <w:rsid w:val="007A027B"/>
    <w:rsid w:val="007A061F"/>
    <w:rsid w:val="007A0624"/>
    <w:rsid w:val="007A135C"/>
    <w:rsid w:val="007A145C"/>
    <w:rsid w:val="007A18D1"/>
    <w:rsid w:val="007A3D1B"/>
    <w:rsid w:val="007A4D38"/>
    <w:rsid w:val="007A5D1D"/>
    <w:rsid w:val="007A5D38"/>
    <w:rsid w:val="007A5E60"/>
    <w:rsid w:val="007A5FFD"/>
    <w:rsid w:val="007A723A"/>
    <w:rsid w:val="007A7298"/>
    <w:rsid w:val="007B015E"/>
    <w:rsid w:val="007B06AC"/>
    <w:rsid w:val="007B18F6"/>
    <w:rsid w:val="007B1A83"/>
    <w:rsid w:val="007B215E"/>
    <w:rsid w:val="007B2319"/>
    <w:rsid w:val="007B27BB"/>
    <w:rsid w:val="007B35E7"/>
    <w:rsid w:val="007B3B24"/>
    <w:rsid w:val="007B4215"/>
    <w:rsid w:val="007B421C"/>
    <w:rsid w:val="007B45FC"/>
    <w:rsid w:val="007B5D12"/>
    <w:rsid w:val="007B6B6E"/>
    <w:rsid w:val="007B6DC9"/>
    <w:rsid w:val="007B7794"/>
    <w:rsid w:val="007C0D98"/>
    <w:rsid w:val="007C1C36"/>
    <w:rsid w:val="007C2448"/>
    <w:rsid w:val="007C25ED"/>
    <w:rsid w:val="007C285E"/>
    <w:rsid w:val="007C29F1"/>
    <w:rsid w:val="007C2DE5"/>
    <w:rsid w:val="007C3818"/>
    <w:rsid w:val="007C3BE8"/>
    <w:rsid w:val="007C3D02"/>
    <w:rsid w:val="007C52BB"/>
    <w:rsid w:val="007C5A99"/>
    <w:rsid w:val="007C5BB5"/>
    <w:rsid w:val="007C6353"/>
    <w:rsid w:val="007C681A"/>
    <w:rsid w:val="007C7393"/>
    <w:rsid w:val="007C75CE"/>
    <w:rsid w:val="007C76CC"/>
    <w:rsid w:val="007C7885"/>
    <w:rsid w:val="007C7BD8"/>
    <w:rsid w:val="007D06F9"/>
    <w:rsid w:val="007D0B61"/>
    <w:rsid w:val="007D113E"/>
    <w:rsid w:val="007D157B"/>
    <w:rsid w:val="007D1737"/>
    <w:rsid w:val="007D1ED4"/>
    <w:rsid w:val="007D1F43"/>
    <w:rsid w:val="007D2089"/>
    <w:rsid w:val="007D267E"/>
    <w:rsid w:val="007D26D5"/>
    <w:rsid w:val="007D2C91"/>
    <w:rsid w:val="007D2E44"/>
    <w:rsid w:val="007D382B"/>
    <w:rsid w:val="007D392E"/>
    <w:rsid w:val="007D431E"/>
    <w:rsid w:val="007D4947"/>
    <w:rsid w:val="007D4E88"/>
    <w:rsid w:val="007D52B1"/>
    <w:rsid w:val="007D53FE"/>
    <w:rsid w:val="007D5524"/>
    <w:rsid w:val="007D58AD"/>
    <w:rsid w:val="007D5EB1"/>
    <w:rsid w:val="007D6D91"/>
    <w:rsid w:val="007D6F3D"/>
    <w:rsid w:val="007D75E9"/>
    <w:rsid w:val="007E0080"/>
    <w:rsid w:val="007E0C3A"/>
    <w:rsid w:val="007E1427"/>
    <w:rsid w:val="007E17F7"/>
    <w:rsid w:val="007E18B4"/>
    <w:rsid w:val="007E1BE0"/>
    <w:rsid w:val="007E1D71"/>
    <w:rsid w:val="007E225E"/>
    <w:rsid w:val="007E256A"/>
    <w:rsid w:val="007E2FA0"/>
    <w:rsid w:val="007E33F5"/>
    <w:rsid w:val="007E4CB5"/>
    <w:rsid w:val="007E4F84"/>
    <w:rsid w:val="007E560C"/>
    <w:rsid w:val="007E609D"/>
    <w:rsid w:val="007E6231"/>
    <w:rsid w:val="007E7E6D"/>
    <w:rsid w:val="007F00AD"/>
    <w:rsid w:val="007F1362"/>
    <w:rsid w:val="007F16FF"/>
    <w:rsid w:val="007F2B9D"/>
    <w:rsid w:val="007F335F"/>
    <w:rsid w:val="007F3B13"/>
    <w:rsid w:val="007F3FE2"/>
    <w:rsid w:val="007F4523"/>
    <w:rsid w:val="007F4BF1"/>
    <w:rsid w:val="007F505F"/>
    <w:rsid w:val="007F55A1"/>
    <w:rsid w:val="007F5AEB"/>
    <w:rsid w:val="007F6347"/>
    <w:rsid w:val="007F69F7"/>
    <w:rsid w:val="007F74F0"/>
    <w:rsid w:val="007F756D"/>
    <w:rsid w:val="007F7A00"/>
    <w:rsid w:val="00800E55"/>
    <w:rsid w:val="0080183F"/>
    <w:rsid w:val="00801BCE"/>
    <w:rsid w:val="00801C6B"/>
    <w:rsid w:val="00801C6D"/>
    <w:rsid w:val="00801DB8"/>
    <w:rsid w:val="008024F3"/>
    <w:rsid w:val="008028F8"/>
    <w:rsid w:val="008036E7"/>
    <w:rsid w:val="008039E7"/>
    <w:rsid w:val="00804C38"/>
    <w:rsid w:val="00805135"/>
    <w:rsid w:val="00805C4A"/>
    <w:rsid w:val="008060B0"/>
    <w:rsid w:val="00806BDB"/>
    <w:rsid w:val="0080711A"/>
    <w:rsid w:val="00807A71"/>
    <w:rsid w:val="0081012E"/>
    <w:rsid w:val="00810B59"/>
    <w:rsid w:val="00810B5C"/>
    <w:rsid w:val="00812261"/>
    <w:rsid w:val="00812381"/>
    <w:rsid w:val="00812DAA"/>
    <w:rsid w:val="00813FC0"/>
    <w:rsid w:val="00814F24"/>
    <w:rsid w:val="00815380"/>
    <w:rsid w:val="008153E6"/>
    <w:rsid w:val="00815CFF"/>
    <w:rsid w:val="00815D10"/>
    <w:rsid w:val="0081611B"/>
    <w:rsid w:val="00817A20"/>
    <w:rsid w:val="0082027D"/>
    <w:rsid w:val="0082161C"/>
    <w:rsid w:val="008216C9"/>
    <w:rsid w:val="00822E91"/>
    <w:rsid w:val="0082305A"/>
    <w:rsid w:val="0082443A"/>
    <w:rsid w:val="00824601"/>
    <w:rsid w:val="00824C89"/>
    <w:rsid w:val="008252BE"/>
    <w:rsid w:val="008253E5"/>
    <w:rsid w:val="008256A7"/>
    <w:rsid w:val="00825A37"/>
    <w:rsid w:val="008263AE"/>
    <w:rsid w:val="0082660C"/>
    <w:rsid w:val="008271C9"/>
    <w:rsid w:val="00831BA5"/>
    <w:rsid w:val="00831D37"/>
    <w:rsid w:val="00831F62"/>
    <w:rsid w:val="008323B6"/>
    <w:rsid w:val="0083279E"/>
    <w:rsid w:val="008327C8"/>
    <w:rsid w:val="00832CC0"/>
    <w:rsid w:val="00833003"/>
    <w:rsid w:val="0083336C"/>
    <w:rsid w:val="0083342C"/>
    <w:rsid w:val="00833935"/>
    <w:rsid w:val="00833BF1"/>
    <w:rsid w:val="00834191"/>
    <w:rsid w:val="00834E24"/>
    <w:rsid w:val="0083584C"/>
    <w:rsid w:val="00835979"/>
    <w:rsid w:val="00835DE7"/>
    <w:rsid w:val="00835DF2"/>
    <w:rsid w:val="00836204"/>
    <w:rsid w:val="00836C09"/>
    <w:rsid w:val="00837524"/>
    <w:rsid w:val="008376A4"/>
    <w:rsid w:val="008377FD"/>
    <w:rsid w:val="00837970"/>
    <w:rsid w:val="00837B61"/>
    <w:rsid w:val="008402FC"/>
    <w:rsid w:val="00840E17"/>
    <w:rsid w:val="00840E94"/>
    <w:rsid w:val="008413FD"/>
    <w:rsid w:val="008418FB"/>
    <w:rsid w:val="00841921"/>
    <w:rsid w:val="00841E86"/>
    <w:rsid w:val="0084311C"/>
    <w:rsid w:val="0084365A"/>
    <w:rsid w:val="00843A4D"/>
    <w:rsid w:val="00843BF6"/>
    <w:rsid w:val="00843D02"/>
    <w:rsid w:val="00843E3E"/>
    <w:rsid w:val="008448C9"/>
    <w:rsid w:val="00844CE8"/>
    <w:rsid w:val="00844D88"/>
    <w:rsid w:val="00845929"/>
    <w:rsid w:val="00846138"/>
    <w:rsid w:val="008466C2"/>
    <w:rsid w:val="008472DF"/>
    <w:rsid w:val="00850059"/>
    <w:rsid w:val="0085035E"/>
    <w:rsid w:val="0085246D"/>
    <w:rsid w:val="00853078"/>
    <w:rsid w:val="008532F3"/>
    <w:rsid w:val="00853E9B"/>
    <w:rsid w:val="00854596"/>
    <w:rsid w:val="008548DE"/>
    <w:rsid w:val="00854ABE"/>
    <w:rsid w:val="00854B3E"/>
    <w:rsid w:val="00856A9C"/>
    <w:rsid w:val="00856CB7"/>
    <w:rsid w:val="00856CC3"/>
    <w:rsid w:val="00857DCE"/>
    <w:rsid w:val="00860D94"/>
    <w:rsid w:val="0086147B"/>
    <w:rsid w:val="008614B0"/>
    <w:rsid w:val="00861A6C"/>
    <w:rsid w:val="00861CFC"/>
    <w:rsid w:val="00862075"/>
    <w:rsid w:val="008628E3"/>
    <w:rsid w:val="008628F2"/>
    <w:rsid w:val="00862F47"/>
    <w:rsid w:val="00863597"/>
    <w:rsid w:val="00863BC9"/>
    <w:rsid w:val="00863C9C"/>
    <w:rsid w:val="0086403D"/>
    <w:rsid w:val="008640DF"/>
    <w:rsid w:val="0086412D"/>
    <w:rsid w:val="00864309"/>
    <w:rsid w:val="00864457"/>
    <w:rsid w:val="00864467"/>
    <w:rsid w:val="0086487F"/>
    <w:rsid w:val="00864B61"/>
    <w:rsid w:val="00865269"/>
    <w:rsid w:val="008655A3"/>
    <w:rsid w:val="00865636"/>
    <w:rsid w:val="00865779"/>
    <w:rsid w:val="00865DA7"/>
    <w:rsid w:val="00865E68"/>
    <w:rsid w:val="008670D6"/>
    <w:rsid w:val="00867D3A"/>
    <w:rsid w:val="008706BB"/>
    <w:rsid w:val="00870829"/>
    <w:rsid w:val="00870D3C"/>
    <w:rsid w:val="0087129D"/>
    <w:rsid w:val="00871464"/>
    <w:rsid w:val="008719E4"/>
    <w:rsid w:val="00871BEB"/>
    <w:rsid w:val="00871D05"/>
    <w:rsid w:val="00872D0B"/>
    <w:rsid w:val="008738DB"/>
    <w:rsid w:val="00873956"/>
    <w:rsid w:val="00873BC4"/>
    <w:rsid w:val="0087466C"/>
    <w:rsid w:val="00874685"/>
    <w:rsid w:val="00874ACD"/>
    <w:rsid w:val="00874C9C"/>
    <w:rsid w:val="00874D80"/>
    <w:rsid w:val="008752AB"/>
    <w:rsid w:val="00875F11"/>
    <w:rsid w:val="00876FAC"/>
    <w:rsid w:val="00877B7C"/>
    <w:rsid w:val="00877B9D"/>
    <w:rsid w:val="00877F93"/>
    <w:rsid w:val="008806A5"/>
    <w:rsid w:val="0088158F"/>
    <w:rsid w:val="00881679"/>
    <w:rsid w:val="00881702"/>
    <w:rsid w:val="008817C9"/>
    <w:rsid w:val="00881D28"/>
    <w:rsid w:val="008820E6"/>
    <w:rsid w:val="00882C68"/>
    <w:rsid w:val="00883B63"/>
    <w:rsid w:val="00883C9D"/>
    <w:rsid w:val="00884682"/>
    <w:rsid w:val="00884CDC"/>
    <w:rsid w:val="00884D9B"/>
    <w:rsid w:val="00884F48"/>
    <w:rsid w:val="00885E55"/>
    <w:rsid w:val="00886AA4"/>
    <w:rsid w:val="008872DA"/>
    <w:rsid w:val="00887B4A"/>
    <w:rsid w:val="00890735"/>
    <w:rsid w:val="00891E60"/>
    <w:rsid w:val="00892481"/>
    <w:rsid w:val="00892E1D"/>
    <w:rsid w:val="00892EE9"/>
    <w:rsid w:val="00893002"/>
    <w:rsid w:val="00893419"/>
    <w:rsid w:val="00894319"/>
    <w:rsid w:val="00894444"/>
    <w:rsid w:val="008944A6"/>
    <w:rsid w:val="0089452C"/>
    <w:rsid w:val="00894709"/>
    <w:rsid w:val="00894BE6"/>
    <w:rsid w:val="00894D66"/>
    <w:rsid w:val="008950FF"/>
    <w:rsid w:val="00895203"/>
    <w:rsid w:val="008953CE"/>
    <w:rsid w:val="0089541A"/>
    <w:rsid w:val="00895454"/>
    <w:rsid w:val="008956DC"/>
    <w:rsid w:val="0089579A"/>
    <w:rsid w:val="00895B9A"/>
    <w:rsid w:val="00896449"/>
    <w:rsid w:val="00896F38"/>
    <w:rsid w:val="00897326"/>
    <w:rsid w:val="008978AD"/>
    <w:rsid w:val="008979E8"/>
    <w:rsid w:val="00897D75"/>
    <w:rsid w:val="008A0E20"/>
    <w:rsid w:val="008A178B"/>
    <w:rsid w:val="008A1A92"/>
    <w:rsid w:val="008A243D"/>
    <w:rsid w:val="008A3410"/>
    <w:rsid w:val="008A3498"/>
    <w:rsid w:val="008A532E"/>
    <w:rsid w:val="008A6024"/>
    <w:rsid w:val="008A61CD"/>
    <w:rsid w:val="008A624E"/>
    <w:rsid w:val="008A658F"/>
    <w:rsid w:val="008A7FE2"/>
    <w:rsid w:val="008B000D"/>
    <w:rsid w:val="008B0650"/>
    <w:rsid w:val="008B0AB9"/>
    <w:rsid w:val="008B1519"/>
    <w:rsid w:val="008B193B"/>
    <w:rsid w:val="008B19BC"/>
    <w:rsid w:val="008B2220"/>
    <w:rsid w:val="008B2A05"/>
    <w:rsid w:val="008B3274"/>
    <w:rsid w:val="008B32E0"/>
    <w:rsid w:val="008B3568"/>
    <w:rsid w:val="008B434A"/>
    <w:rsid w:val="008B489E"/>
    <w:rsid w:val="008B4F3E"/>
    <w:rsid w:val="008B56AB"/>
    <w:rsid w:val="008B5AB3"/>
    <w:rsid w:val="008B5F62"/>
    <w:rsid w:val="008B6D06"/>
    <w:rsid w:val="008B6D9A"/>
    <w:rsid w:val="008B7B95"/>
    <w:rsid w:val="008C00E9"/>
    <w:rsid w:val="008C04CC"/>
    <w:rsid w:val="008C11F4"/>
    <w:rsid w:val="008C1809"/>
    <w:rsid w:val="008C2EE5"/>
    <w:rsid w:val="008C2FE3"/>
    <w:rsid w:val="008C407B"/>
    <w:rsid w:val="008C44D5"/>
    <w:rsid w:val="008C4BB1"/>
    <w:rsid w:val="008C4E33"/>
    <w:rsid w:val="008C5266"/>
    <w:rsid w:val="008C5EC8"/>
    <w:rsid w:val="008C7C40"/>
    <w:rsid w:val="008D0FCD"/>
    <w:rsid w:val="008D1C20"/>
    <w:rsid w:val="008D26A3"/>
    <w:rsid w:val="008D2927"/>
    <w:rsid w:val="008D2ED3"/>
    <w:rsid w:val="008D3491"/>
    <w:rsid w:val="008D3AE8"/>
    <w:rsid w:val="008D3D3E"/>
    <w:rsid w:val="008D4142"/>
    <w:rsid w:val="008D4302"/>
    <w:rsid w:val="008D46B5"/>
    <w:rsid w:val="008D5301"/>
    <w:rsid w:val="008D6124"/>
    <w:rsid w:val="008D6299"/>
    <w:rsid w:val="008D62C8"/>
    <w:rsid w:val="008D6BA1"/>
    <w:rsid w:val="008D7FF4"/>
    <w:rsid w:val="008E10EA"/>
    <w:rsid w:val="008E11C4"/>
    <w:rsid w:val="008E2A06"/>
    <w:rsid w:val="008E314D"/>
    <w:rsid w:val="008E35BC"/>
    <w:rsid w:val="008E37E9"/>
    <w:rsid w:val="008E3E1A"/>
    <w:rsid w:val="008E40ED"/>
    <w:rsid w:val="008E448E"/>
    <w:rsid w:val="008E4735"/>
    <w:rsid w:val="008E47C1"/>
    <w:rsid w:val="008E4DE1"/>
    <w:rsid w:val="008E5E53"/>
    <w:rsid w:val="008E6F01"/>
    <w:rsid w:val="008E7105"/>
    <w:rsid w:val="008F023E"/>
    <w:rsid w:val="008F04D1"/>
    <w:rsid w:val="008F0824"/>
    <w:rsid w:val="008F0ECA"/>
    <w:rsid w:val="008F14A9"/>
    <w:rsid w:val="008F19A8"/>
    <w:rsid w:val="008F1EE5"/>
    <w:rsid w:val="008F26C2"/>
    <w:rsid w:val="008F2950"/>
    <w:rsid w:val="008F39E2"/>
    <w:rsid w:val="008F3B47"/>
    <w:rsid w:val="008F3C99"/>
    <w:rsid w:val="008F3EC1"/>
    <w:rsid w:val="008F4956"/>
    <w:rsid w:val="008F5556"/>
    <w:rsid w:val="008F561E"/>
    <w:rsid w:val="008F5D12"/>
    <w:rsid w:val="008F5ED0"/>
    <w:rsid w:val="008F60BD"/>
    <w:rsid w:val="008F6809"/>
    <w:rsid w:val="008F6FC1"/>
    <w:rsid w:val="008F71C8"/>
    <w:rsid w:val="008F755B"/>
    <w:rsid w:val="008F7F54"/>
    <w:rsid w:val="009000E2"/>
    <w:rsid w:val="00900B57"/>
    <w:rsid w:val="00900CAD"/>
    <w:rsid w:val="009014F8"/>
    <w:rsid w:val="00901A4B"/>
    <w:rsid w:val="00901C71"/>
    <w:rsid w:val="00901CCB"/>
    <w:rsid w:val="00901E0A"/>
    <w:rsid w:val="00902EB6"/>
    <w:rsid w:val="00903228"/>
    <w:rsid w:val="00903B0C"/>
    <w:rsid w:val="00903BA1"/>
    <w:rsid w:val="009042C8"/>
    <w:rsid w:val="009052EC"/>
    <w:rsid w:val="00905E78"/>
    <w:rsid w:val="0090658B"/>
    <w:rsid w:val="00906672"/>
    <w:rsid w:val="00906D95"/>
    <w:rsid w:val="00907036"/>
    <w:rsid w:val="00907971"/>
    <w:rsid w:val="009079E6"/>
    <w:rsid w:val="009104A2"/>
    <w:rsid w:val="009105C4"/>
    <w:rsid w:val="00910D3A"/>
    <w:rsid w:val="00910F38"/>
    <w:rsid w:val="009113AB"/>
    <w:rsid w:val="00911E7D"/>
    <w:rsid w:val="009129BA"/>
    <w:rsid w:val="00913554"/>
    <w:rsid w:val="009140C8"/>
    <w:rsid w:val="0091416C"/>
    <w:rsid w:val="0091511A"/>
    <w:rsid w:val="00915126"/>
    <w:rsid w:val="009157CA"/>
    <w:rsid w:val="00916181"/>
    <w:rsid w:val="00917988"/>
    <w:rsid w:val="0092021C"/>
    <w:rsid w:val="00921D82"/>
    <w:rsid w:val="00921ECA"/>
    <w:rsid w:val="009222C2"/>
    <w:rsid w:val="009223D3"/>
    <w:rsid w:val="00923579"/>
    <w:rsid w:val="0092358B"/>
    <w:rsid w:val="00923AF1"/>
    <w:rsid w:val="00924021"/>
    <w:rsid w:val="0092420A"/>
    <w:rsid w:val="009243BC"/>
    <w:rsid w:val="00924752"/>
    <w:rsid w:val="00924CA7"/>
    <w:rsid w:val="009250AB"/>
    <w:rsid w:val="009252CF"/>
    <w:rsid w:val="00926318"/>
    <w:rsid w:val="00926370"/>
    <w:rsid w:val="009269EB"/>
    <w:rsid w:val="00926D85"/>
    <w:rsid w:val="00927E45"/>
    <w:rsid w:val="00930E29"/>
    <w:rsid w:val="00931BA7"/>
    <w:rsid w:val="0093248F"/>
    <w:rsid w:val="009326D0"/>
    <w:rsid w:val="00932B63"/>
    <w:rsid w:val="00933584"/>
    <w:rsid w:val="0093389C"/>
    <w:rsid w:val="0093405C"/>
    <w:rsid w:val="00934807"/>
    <w:rsid w:val="00934D8D"/>
    <w:rsid w:val="00935592"/>
    <w:rsid w:val="00935752"/>
    <w:rsid w:val="00935AA1"/>
    <w:rsid w:val="009364E7"/>
    <w:rsid w:val="00936560"/>
    <w:rsid w:val="009368A8"/>
    <w:rsid w:val="009368D7"/>
    <w:rsid w:val="009368DC"/>
    <w:rsid w:val="0093708A"/>
    <w:rsid w:val="009404ED"/>
    <w:rsid w:val="00940ADA"/>
    <w:rsid w:val="00943176"/>
    <w:rsid w:val="00943594"/>
    <w:rsid w:val="009438FF"/>
    <w:rsid w:val="00943B97"/>
    <w:rsid w:val="00944430"/>
    <w:rsid w:val="00944FCD"/>
    <w:rsid w:val="0094585E"/>
    <w:rsid w:val="009462FD"/>
    <w:rsid w:val="00946357"/>
    <w:rsid w:val="00946628"/>
    <w:rsid w:val="00946852"/>
    <w:rsid w:val="00946C51"/>
    <w:rsid w:val="00946CCA"/>
    <w:rsid w:val="00946E4D"/>
    <w:rsid w:val="0094739C"/>
    <w:rsid w:val="00950263"/>
    <w:rsid w:val="00950624"/>
    <w:rsid w:val="00951213"/>
    <w:rsid w:val="00951324"/>
    <w:rsid w:val="00951F26"/>
    <w:rsid w:val="009520C7"/>
    <w:rsid w:val="009520ED"/>
    <w:rsid w:val="009523EC"/>
    <w:rsid w:val="00953819"/>
    <w:rsid w:val="009538D1"/>
    <w:rsid w:val="00953A22"/>
    <w:rsid w:val="00953B41"/>
    <w:rsid w:val="00953BB8"/>
    <w:rsid w:val="00953CAC"/>
    <w:rsid w:val="00953E1D"/>
    <w:rsid w:val="0095447E"/>
    <w:rsid w:val="009544B3"/>
    <w:rsid w:val="00954B1C"/>
    <w:rsid w:val="00954FD8"/>
    <w:rsid w:val="0095518E"/>
    <w:rsid w:val="009557C0"/>
    <w:rsid w:val="00956665"/>
    <w:rsid w:val="00956BC1"/>
    <w:rsid w:val="00956F13"/>
    <w:rsid w:val="009600CA"/>
    <w:rsid w:val="009606E4"/>
    <w:rsid w:val="00960962"/>
    <w:rsid w:val="009609E1"/>
    <w:rsid w:val="009619B7"/>
    <w:rsid w:val="00961A79"/>
    <w:rsid w:val="00961E26"/>
    <w:rsid w:val="0096214F"/>
    <w:rsid w:val="0096275F"/>
    <w:rsid w:val="00962863"/>
    <w:rsid w:val="00962945"/>
    <w:rsid w:val="00962A89"/>
    <w:rsid w:val="00962B33"/>
    <w:rsid w:val="00964053"/>
    <w:rsid w:val="00964114"/>
    <w:rsid w:val="00964646"/>
    <w:rsid w:val="009648AF"/>
    <w:rsid w:val="009656A2"/>
    <w:rsid w:val="00965811"/>
    <w:rsid w:val="009667DE"/>
    <w:rsid w:val="0096783B"/>
    <w:rsid w:val="00967886"/>
    <w:rsid w:val="0097012D"/>
    <w:rsid w:val="009701EA"/>
    <w:rsid w:val="009703B9"/>
    <w:rsid w:val="00970C07"/>
    <w:rsid w:val="009724F2"/>
    <w:rsid w:val="00973421"/>
    <w:rsid w:val="0097374D"/>
    <w:rsid w:val="00974362"/>
    <w:rsid w:val="009744CF"/>
    <w:rsid w:val="009748B2"/>
    <w:rsid w:val="0097493E"/>
    <w:rsid w:val="00974DC2"/>
    <w:rsid w:val="00976702"/>
    <w:rsid w:val="00976813"/>
    <w:rsid w:val="009768F1"/>
    <w:rsid w:val="00976ADB"/>
    <w:rsid w:val="00976B22"/>
    <w:rsid w:val="00977777"/>
    <w:rsid w:val="00977EFD"/>
    <w:rsid w:val="009804C1"/>
    <w:rsid w:val="0098135B"/>
    <w:rsid w:val="00982015"/>
    <w:rsid w:val="009829AD"/>
    <w:rsid w:val="00982FB2"/>
    <w:rsid w:val="009833D1"/>
    <w:rsid w:val="00983493"/>
    <w:rsid w:val="00983561"/>
    <w:rsid w:val="0098372D"/>
    <w:rsid w:val="00983B2E"/>
    <w:rsid w:val="00983F3D"/>
    <w:rsid w:val="00983F7F"/>
    <w:rsid w:val="00984567"/>
    <w:rsid w:val="009846BC"/>
    <w:rsid w:val="0098487C"/>
    <w:rsid w:val="00984DDD"/>
    <w:rsid w:val="00984F20"/>
    <w:rsid w:val="00985214"/>
    <w:rsid w:val="00985E04"/>
    <w:rsid w:val="00985EAD"/>
    <w:rsid w:val="00986157"/>
    <w:rsid w:val="00987638"/>
    <w:rsid w:val="0098778D"/>
    <w:rsid w:val="00987A36"/>
    <w:rsid w:val="00987C75"/>
    <w:rsid w:val="00987EFD"/>
    <w:rsid w:val="009905E3"/>
    <w:rsid w:val="00990A4F"/>
    <w:rsid w:val="00991194"/>
    <w:rsid w:val="00992314"/>
    <w:rsid w:val="009923AA"/>
    <w:rsid w:val="00992EDE"/>
    <w:rsid w:val="00993C15"/>
    <w:rsid w:val="00994DD8"/>
    <w:rsid w:val="0099501F"/>
    <w:rsid w:val="009954AD"/>
    <w:rsid w:val="00995620"/>
    <w:rsid w:val="00997646"/>
    <w:rsid w:val="00997670"/>
    <w:rsid w:val="00997C1A"/>
    <w:rsid w:val="00997C3D"/>
    <w:rsid w:val="00997F73"/>
    <w:rsid w:val="009A049D"/>
    <w:rsid w:val="009A050D"/>
    <w:rsid w:val="009A05E2"/>
    <w:rsid w:val="009A0C22"/>
    <w:rsid w:val="009A2025"/>
    <w:rsid w:val="009A2D58"/>
    <w:rsid w:val="009A2FCC"/>
    <w:rsid w:val="009A32D9"/>
    <w:rsid w:val="009A3A20"/>
    <w:rsid w:val="009A3D5C"/>
    <w:rsid w:val="009A3E1D"/>
    <w:rsid w:val="009A43A1"/>
    <w:rsid w:val="009A4A96"/>
    <w:rsid w:val="009A4AC3"/>
    <w:rsid w:val="009A4CE8"/>
    <w:rsid w:val="009A4E42"/>
    <w:rsid w:val="009A5052"/>
    <w:rsid w:val="009A5254"/>
    <w:rsid w:val="009A5BCC"/>
    <w:rsid w:val="009A678B"/>
    <w:rsid w:val="009A684F"/>
    <w:rsid w:val="009A6F75"/>
    <w:rsid w:val="009A7469"/>
    <w:rsid w:val="009A7640"/>
    <w:rsid w:val="009B054A"/>
    <w:rsid w:val="009B064E"/>
    <w:rsid w:val="009B2763"/>
    <w:rsid w:val="009B2876"/>
    <w:rsid w:val="009B290A"/>
    <w:rsid w:val="009B2AE3"/>
    <w:rsid w:val="009B3529"/>
    <w:rsid w:val="009B3970"/>
    <w:rsid w:val="009B43A5"/>
    <w:rsid w:val="009B4A49"/>
    <w:rsid w:val="009B4A5C"/>
    <w:rsid w:val="009B4FCC"/>
    <w:rsid w:val="009B5B61"/>
    <w:rsid w:val="009B619E"/>
    <w:rsid w:val="009B75D3"/>
    <w:rsid w:val="009B7F4A"/>
    <w:rsid w:val="009C0CF8"/>
    <w:rsid w:val="009C0DD2"/>
    <w:rsid w:val="009C112C"/>
    <w:rsid w:val="009C148F"/>
    <w:rsid w:val="009C1F05"/>
    <w:rsid w:val="009C2283"/>
    <w:rsid w:val="009C22D8"/>
    <w:rsid w:val="009C297B"/>
    <w:rsid w:val="009C2A5A"/>
    <w:rsid w:val="009C3075"/>
    <w:rsid w:val="009C3A61"/>
    <w:rsid w:val="009C3B09"/>
    <w:rsid w:val="009C3D08"/>
    <w:rsid w:val="009C48F0"/>
    <w:rsid w:val="009C4FA4"/>
    <w:rsid w:val="009C5220"/>
    <w:rsid w:val="009C53FC"/>
    <w:rsid w:val="009C54CF"/>
    <w:rsid w:val="009C6CD4"/>
    <w:rsid w:val="009C6E03"/>
    <w:rsid w:val="009C7A58"/>
    <w:rsid w:val="009D050F"/>
    <w:rsid w:val="009D0561"/>
    <w:rsid w:val="009D30BB"/>
    <w:rsid w:val="009D323B"/>
    <w:rsid w:val="009D355D"/>
    <w:rsid w:val="009D4E9E"/>
    <w:rsid w:val="009D52B8"/>
    <w:rsid w:val="009D59EE"/>
    <w:rsid w:val="009D5D13"/>
    <w:rsid w:val="009D629C"/>
    <w:rsid w:val="009D73A0"/>
    <w:rsid w:val="009D7F6F"/>
    <w:rsid w:val="009E0386"/>
    <w:rsid w:val="009E0D24"/>
    <w:rsid w:val="009E11F6"/>
    <w:rsid w:val="009E1C78"/>
    <w:rsid w:val="009E2494"/>
    <w:rsid w:val="009E3395"/>
    <w:rsid w:val="009E33A1"/>
    <w:rsid w:val="009E3F03"/>
    <w:rsid w:val="009E544C"/>
    <w:rsid w:val="009E55FF"/>
    <w:rsid w:val="009E5D8A"/>
    <w:rsid w:val="009E65D9"/>
    <w:rsid w:val="009E6A44"/>
    <w:rsid w:val="009E6F0B"/>
    <w:rsid w:val="009E75FF"/>
    <w:rsid w:val="009E7A5E"/>
    <w:rsid w:val="009F049A"/>
    <w:rsid w:val="009F09A5"/>
    <w:rsid w:val="009F09A6"/>
    <w:rsid w:val="009F0C90"/>
    <w:rsid w:val="009F102D"/>
    <w:rsid w:val="009F197D"/>
    <w:rsid w:val="009F1AE6"/>
    <w:rsid w:val="009F1B99"/>
    <w:rsid w:val="009F1C8F"/>
    <w:rsid w:val="009F2D65"/>
    <w:rsid w:val="009F35B4"/>
    <w:rsid w:val="009F37C8"/>
    <w:rsid w:val="009F3CA1"/>
    <w:rsid w:val="009F460B"/>
    <w:rsid w:val="009F58AE"/>
    <w:rsid w:val="009F6A8F"/>
    <w:rsid w:val="009F6D08"/>
    <w:rsid w:val="009F7513"/>
    <w:rsid w:val="009F778D"/>
    <w:rsid w:val="009F7C3C"/>
    <w:rsid w:val="00A001F2"/>
    <w:rsid w:val="00A004C1"/>
    <w:rsid w:val="00A01967"/>
    <w:rsid w:val="00A0247E"/>
    <w:rsid w:val="00A0353C"/>
    <w:rsid w:val="00A036D3"/>
    <w:rsid w:val="00A03797"/>
    <w:rsid w:val="00A03811"/>
    <w:rsid w:val="00A039FE"/>
    <w:rsid w:val="00A03A4F"/>
    <w:rsid w:val="00A03C5D"/>
    <w:rsid w:val="00A0424D"/>
    <w:rsid w:val="00A04A5E"/>
    <w:rsid w:val="00A04D9A"/>
    <w:rsid w:val="00A05829"/>
    <w:rsid w:val="00A0631C"/>
    <w:rsid w:val="00A06E27"/>
    <w:rsid w:val="00A0735E"/>
    <w:rsid w:val="00A073E1"/>
    <w:rsid w:val="00A100C3"/>
    <w:rsid w:val="00A105F7"/>
    <w:rsid w:val="00A1060A"/>
    <w:rsid w:val="00A10A07"/>
    <w:rsid w:val="00A116AD"/>
    <w:rsid w:val="00A1216D"/>
    <w:rsid w:val="00A13057"/>
    <w:rsid w:val="00A13284"/>
    <w:rsid w:val="00A13D56"/>
    <w:rsid w:val="00A1400B"/>
    <w:rsid w:val="00A143DC"/>
    <w:rsid w:val="00A14A8A"/>
    <w:rsid w:val="00A14E4E"/>
    <w:rsid w:val="00A153ED"/>
    <w:rsid w:val="00A15B3C"/>
    <w:rsid w:val="00A15BAC"/>
    <w:rsid w:val="00A16F90"/>
    <w:rsid w:val="00A17A48"/>
    <w:rsid w:val="00A17A5A"/>
    <w:rsid w:val="00A201C4"/>
    <w:rsid w:val="00A20A98"/>
    <w:rsid w:val="00A21CD9"/>
    <w:rsid w:val="00A22006"/>
    <w:rsid w:val="00A22146"/>
    <w:rsid w:val="00A226E4"/>
    <w:rsid w:val="00A22B7F"/>
    <w:rsid w:val="00A2315D"/>
    <w:rsid w:val="00A23EBE"/>
    <w:rsid w:val="00A23FBA"/>
    <w:rsid w:val="00A24138"/>
    <w:rsid w:val="00A24664"/>
    <w:rsid w:val="00A2501B"/>
    <w:rsid w:val="00A25892"/>
    <w:rsid w:val="00A25F9B"/>
    <w:rsid w:val="00A2685F"/>
    <w:rsid w:val="00A26F05"/>
    <w:rsid w:val="00A27828"/>
    <w:rsid w:val="00A27D75"/>
    <w:rsid w:val="00A302EB"/>
    <w:rsid w:val="00A3036A"/>
    <w:rsid w:val="00A305E5"/>
    <w:rsid w:val="00A30ABC"/>
    <w:rsid w:val="00A30AD3"/>
    <w:rsid w:val="00A30AE8"/>
    <w:rsid w:val="00A30B1E"/>
    <w:rsid w:val="00A30C54"/>
    <w:rsid w:val="00A325AB"/>
    <w:rsid w:val="00A32A63"/>
    <w:rsid w:val="00A33CB1"/>
    <w:rsid w:val="00A34161"/>
    <w:rsid w:val="00A34325"/>
    <w:rsid w:val="00A3457E"/>
    <w:rsid w:val="00A34592"/>
    <w:rsid w:val="00A3538F"/>
    <w:rsid w:val="00A35B5C"/>
    <w:rsid w:val="00A36322"/>
    <w:rsid w:val="00A36590"/>
    <w:rsid w:val="00A36B5F"/>
    <w:rsid w:val="00A36DF0"/>
    <w:rsid w:val="00A374E8"/>
    <w:rsid w:val="00A37F6C"/>
    <w:rsid w:val="00A40178"/>
    <w:rsid w:val="00A4062A"/>
    <w:rsid w:val="00A40B86"/>
    <w:rsid w:val="00A40CDA"/>
    <w:rsid w:val="00A40DE3"/>
    <w:rsid w:val="00A412A3"/>
    <w:rsid w:val="00A415BB"/>
    <w:rsid w:val="00A41CB6"/>
    <w:rsid w:val="00A424D2"/>
    <w:rsid w:val="00A428DB"/>
    <w:rsid w:val="00A42CCF"/>
    <w:rsid w:val="00A43436"/>
    <w:rsid w:val="00A436FD"/>
    <w:rsid w:val="00A450AC"/>
    <w:rsid w:val="00A450E6"/>
    <w:rsid w:val="00A45819"/>
    <w:rsid w:val="00A45D75"/>
    <w:rsid w:val="00A46148"/>
    <w:rsid w:val="00A47648"/>
    <w:rsid w:val="00A47FF0"/>
    <w:rsid w:val="00A50A08"/>
    <w:rsid w:val="00A50A58"/>
    <w:rsid w:val="00A51198"/>
    <w:rsid w:val="00A51481"/>
    <w:rsid w:val="00A51D56"/>
    <w:rsid w:val="00A52F9F"/>
    <w:rsid w:val="00A53ECE"/>
    <w:rsid w:val="00A542ED"/>
    <w:rsid w:val="00A5485E"/>
    <w:rsid w:val="00A54932"/>
    <w:rsid w:val="00A555DC"/>
    <w:rsid w:val="00A55C2B"/>
    <w:rsid w:val="00A55CEB"/>
    <w:rsid w:val="00A55DE7"/>
    <w:rsid w:val="00A574F8"/>
    <w:rsid w:val="00A57681"/>
    <w:rsid w:val="00A606F9"/>
    <w:rsid w:val="00A608DF"/>
    <w:rsid w:val="00A609DB"/>
    <w:rsid w:val="00A60ACC"/>
    <w:rsid w:val="00A6146A"/>
    <w:rsid w:val="00A61A92"/>
    <w:rsid w:val="00A61CA5"/>
    <w:rsid w:val="00A624D7"/>
    <w:rsid w:val="00A62712"/>
    <w:rsid w:val="00A63F78"/>
    <w:rsid w:val="00A64425"/>
    <w:rsid w:val="00A6517D"/>
    <w:rsid w:val="00A65360"/>
    <w:rsid w:val="00A65A0E"/>
    <w:rsid w:val="00A65DBA"/>
    <w:rsid w:val="00A660CF"/>
    <w:rsid w:val="00A667B3"/>
    <w:rsid w:val="00A66846"/>
    <w:rsid w:val="00A671F5"/>
    <w:rsid w:val="00A6722B"/>
    <w:rsid w:val="00A700E5"/>
    <w:rsid w:val="00A7035D"/>
    <w:rsid w:val="00A70377"/>
    <w:rsid w:val="00A70C79"/>
    <w:rsid w:val="00A7238C"/>
    <w:rsid w:val="00A7275C"/>
    <w:rsid w:val="00A728AC"/>
    <w:rsid w:val="00A732E0"/>
    <w:rsid w:val="00A7332E"/>
    <w:rsid w:val="00A73623"/>
    <w:rsid w:val="00A740C3"/>
    <w:rsid w:val="00A7440C"/>
    <w:rsid w:val="00A74750"/>
    <w:rsid w:val="00A75112"/>
    <w:rsid w:val="00A752EF"/>
    <w:rsid w:val="00A753C8"/>
    <w:rsid w:val="00A7572F"/>
    <w:rsid w:val="00A7627A"/>
    <w:rsid w:val="00A7644E"/>
    <w:rsid w:val="00A7646C"/>
    <w:rsid w:val="00A76B7F"/>
    <w:rsid w:val="00A77733"/>
    <w:rsid w:val="00A802E0"/>
    <w:rsid w:val="00A8060C"/>
    <w:rsid w:val="00A807C9"/>
    <w:rsid w:val="00A81629"/>
    <w:rsid w:val="00A8202F"/>
    <w:rsid w:val="00A822D9"/>
    <w:rsid w:val="00A82A2C"/>
    <w:rsid w:val="00A82BC1"/>
    <w:rsid w:val="00A83450"/>
    <w:rsid w:val="00A8357C"/>
    <w:rsid w:val="00A83C2E"/>
    <w:rsid w:val="00A84C6A"/>
    <w:rsid w:val="00A856CF"/>
    <w:rsid w:val="00A85D90"/>
    <w:rsid w:val="00A86425"/>
    <w:rsid w:val="00A86BA7"/>
    <w:rsid w:val="00A87353"/>
    <w:rsid w:val="00A9045A"/>
    <w:rsid w:val="00A9069F"/>
    <w:rsid w:val="00A9087A"/>
    <w:rsid w:val="00A9211D"/>
    <w:rsid w:val="00A92B01"/>
    <w:rsid w:val="00A92CA2"/>
    <w:rsid w:val="00A92FC9"/>
    <w:rsid w:val="00A93D2C"/>
    <w:rsid w:val="00A944D0"/>
    <w:rsid w:val="00A947F6"/>
    <w:rsid w:val="00A94D34"/>
    <w:rsid w:val="00A94E77"/>
    <w:rsid w:val="00A94EB1"/>
    <w:rsid w:val="00A95356"/>
    <w:rsid w:val="00A954F4"/>
    <w:rsid w:val="00A95768"/>
    <w:rsid w:val="00A95C08"/>
    <w:rsid w:val="00A96770"/>
    <w:rsid w:val="00A97164"/>
    <w:rsid w:val="00AA035C"/>
    <w:rsid w:val="00AA0629"/>
    <w:rsid w:val="00AA08EE"/>
    <w:rsid w:val="00AA0ECE"/>
    <w:rsid w:val="00AA0EF5"/>
    <w:rsid w:val="00AA13F7"/>
    <w:rsid w:val="00AA1431"/>
    <w:rsid w:val="00AA165E"/>
    <w:rsid w:val="00AA1B01"/>
    <w:rsid w:val="00AA33F7"/>
    <w:rsid w:val="00AA3FCF"/>
    <w:rsid w:val="00AA61C4"/>
    <w:rsid w:val="00AA621E"/>
    <w:rsid w:val="00AA6457"/>
    <w:rsid w:val="00AA6486"/>
    <w:rsid w:val="00AA6791"/>
    <w:rsid w:val="00AA69E1"/>
    <w:rsid w:val="00AA6DE9"/>
    <w:rsid w:val="00AA75BB"/>
    <w:rsid w:val="00AB0034"/>
    <w:rsid w:val="00AB0BA3"/>
    <w:rsid w:val="00AB1190"/>
    <w:rsid w:val="00AB1911"/>
    <w:rsid w:val="00AB20B7"/>
    <w:rsid w:val="00AB24E3"/>
    <w:rsid w:val="00AB2666"/>
    <w:rsid w:val="00AB2681"/>
    <w:rsid w:val="00AB279F"/>
    <w:rsid w:val="00AB2AEF"/>
    <w:rsid w:val="00AB4702"/>
    <w:rsid w:val="00AB4853"/>
    <w:rsid w:val="00AB5A1D"/>
    <w:rsid w:val="00AB647A"/>
    <w:rsid w:val="00AB681D"/>
    <w:rsid w:val="00AB6E4B"/>
    <w:rsid w:val="00AB7099"/>
    <w:rsid w:val="00AB7B45"/>
    <w:rsid w:val="00AC03B6"/>
    <w:rsid w:val="00AC206C"/>
    <w:rsid w:val="00AC2A17"/>
    <w:rsid w:val="00AC3208"/>
    <w:rsid w:val="00AC35A8"/>
    <w:rsid w:val="00AC42DE"/>
    <w:rsid w:val="00AC4F29"/>
    <w:rsid w:val="00AC5584"/>
    <w:rsid w:val="00AC584D"/>
    <w:rsid w:val="00AC59C9"/>
    <w:rsid w:val="00AC6565"/>
    <w:rsid w:val="00AC66B1"/>
    <w:rsid w:val="00AC6A36"/>
    <w:rsid w:val="00AC6C20"/>
    <w:rsid w:val="00AC6E72"/>
    <w:rsid w:val="00AC706B"/>
    <w:rsid w:val="00AC7864"/>
    <w:rsid w:val="00AC7ADB"/>
    <w:rsid w:val="00AD0133"/>
    <w:rsid w:val="00AD08D5"/>
    <w:rsid w:val="00AD127F"/>
    <w:rsid w:val="00AD1780"/>
    <w:rsid w:val="00AD210D"/>
    <w:rsid w:val="00AD26BD"/>
    <w:rsid w:val="00AD2944"/>
    <w:rsid w:val="00AD3B2F"/>
    <w:rsid w:val="00AD3F46"/>
    <w:rsid w:val="00AD42C1"/>
    <w:rsid w:val="00AD43BE"/>
    <w:rsid w:val="00AD4F84"/>
    <w:rsid w:val="00AD54D4"/>
    <w:rsid w:val="00AD58F5"/>
    <w:rsid w:val="00AD5A77"/>
    <w:rsid w:val="00AD5B92"/>
    <w:rsid w:val="00AD7170"/>
    <w:rsid w:val="00AE004E"/>
    <w:rsid w:val="00AE0339"/>
    <w:rsid w:val="00AE098D"/>
    <w:rsid w:val="00AE1147"/>
    <w:rsid w:val="00AE1CD4"/>
    <w:rsid w:val="00AE2B68"/>
    <w:rsid w:val="00AE3283"/>
    <w:rsid w:val="00AE3318"/>
    <w:rsid w:val="00AE379F"/>
    <w:rsid w:val="00AE37B2"/>
    <w:rsid w:val="00AE3DF8"/>
    <w:rsid w:val="00AE3DFC"/>
    <w:rsid w:val="00AE4B7B"/>
    <w:rsid w:val="00AE4C79"/>
    <w:rsid w:val="00AE531D"/>
    <w:rsid w:val="00AE5625"/>
    <w:rsid w:val="00AE57BF"/>
    <w:rsid w:val="00AE5881"/>
    <w:rsid w:val="00AE672C"/>
    <w:rsid w:val="00AE6BDC"/>
    <w:rsid w:val="00AF1209"/>
    <w:rsid w:val="00AF14D5"/>
    <w:rsid w:val="00AF215B"/>
    <w:rsid w:val="00AF22E0"/>
    <w:rsid w:val="00AF244A"/>
    <w:rsid w:val="00AF34F1"/>
    <w:rsid w:val="00AF373D"/>
    <w:rsid w:val="00AF3BEC"/>
    <w:rsid w:val="00AF47E1"/>
    <w:rsid w:val="00AF4AF3"/>
    <w:rsid w:val="00AF4D81"/>
    <w:rsid w:val="00AF4E9D"/>
    <w:rsid w:val="00AF4F9B"/>
    <w:rsid w:val="00AF4FA1"/>
    <w:rsid w:val="00AF5683"/>
    <w:rsid w:val="00AF56C0"/>
    <w:rsid w:val="00AF69A6"/>
    <w:rsid w:val="00AF7120"/>
    <w:rsid w:val="00AF757E"/>
    <w:rsid w:val="00AF7584"/>
    <w:rsid w:val="00AF781B"/>
    <w:rsid w:val="00AF7C63"/>
    <w:rsid w:val="00AF7E49"/>
    <w:rsid w:val="00B0071C"/>
    <w:rsid w:val="00B00C8F"/>
    <w:rsid w:val="00B010B9"/>
    <w:rsid w:val="00B0154C"/>
    <w:rsid w:val="00B01E2E"/>
    <w:rsid w:val="00B02247"/>
    <w:rsid w:val="00B02848"/>
    <w:rsid w:val="00B02939"/>
    <w:rsid w:val="00B02B09"/>
    <w:rsid w:val="00B02E7A"/>
    <w:rsid w:val="00B03065"/>
    <w:rsid w:val="00B03156"/>
    <w:rsid w:val="00B03E32"/>
    <w:rsid w:val="00B0433F"/>
    <w:rsid w:val="00B0463B"/>
    <w:rsid w:val="00B04CDC"/>
    <w:rsid w:val="00B04E86"/>
    <w:rsid w:val="00B063E7"/>
    <w:rsid w:val="00B06940"/>
    <w:rsid w:val="00B069E7"/>
    <w:rsid w:val="00B07015"/>
    <w:rsid w:val="00B0712A"/>
    <w:rsid w:val="00B10095"/>
    <w:rsid w:val="00B102D9"/>
    <w:rsid w:val="00B10F51"/>
    <w:rsid w:val="00B110CF"/>
    <w:rsid w:val="00B118B7"/>
    <w:rsid w:val="00B13526"/>
    <w:rsid w:val="00B13C25"/>
    <w:rsid w:val="00B15144"/>
    <w:rsid w:val="00B15437"/>
    <w:rsid w:val="00B1552F"/>
    <w:rsid w:val="00B15DD4"/>
    <w:rsid w:val="00B162D4"/>
    <w:rsid w:val="00B16B66"/>
    <w:rsid w:val="00B177D7"/>
    <w:rsid w:val="00B201F3"/>
    <w:rsid w:val="00B20A3F"/>
    <w:rsid w:val="00B20DCE"/>
    <w:rsid w:val="00B2106F"/>
    <w:rsid w:val="00B2148B"/>
    <w:rsid w:val="00B21B38"/>
    <w:rsid w:val="00B22021"/>
    <w:rsid w:val="00B223F7"/>
    <w:rsid w:val="00B224C5"/>
    <w:rsid w:val="00B22737"/>
    <w:rsid w:val="00B23041"/>
    <w:rsid w:val="00B23C4B"/>
    <w:rsid w:val="00B24420"/>
    <w:rsid w:val="00B24441"/>
    <w:rsid w:val="00B259CC"/>
    <w:rsid w:val="00B25B2F"/>
    <w:rsid w:val="00B260F3"/>
    <w:rsid w:val="00B2642F"/>
    <w:rsid w:val="00B26C23"/>
    <w:rsid w:val="00B26F13"/>
    <w:rsid w:val="00B275E7"/>
    <w:rsid w:val="00B27872"/>
    <w:rsid w:val="00B27C42"/>
    <w:rsid w:val="00B27CE7"/>
    <w:rsid w:val="00B31704"/>
    <w:rsid w:val="00B329A0"/>
    <w:rsid w:val="00B32D85"/>
    <w:rsid w:val="00B32EEC"/>
    <w:rsid w:val="00B33762"/>
    <w:rsid w:val="00B33799"/>
    <w:rsid w:val="00B33D39"/>
    <w:rsid w:val="00B34504"/>
    <w:rsid w:val="00B34839"/>
    <w:rsid w:val="00B36E8B"/>
    <w:rsid w:val="00B36FCE"/>
    <w:rsid w:val="00B373F3"/>
    <w:rsid w:val="00B37F72"/>
    <w:rsid w:val="00B41C84"/>
    <w:rsid w:val="00B41D0C"/>
    <w:rsid w:val="00B41FC5"/>
    <w:rsid w:val="00B42502"/>
    <w:rsid w:val="00B42F5C"/>
    <w:rsid w:val="00B44750"/>
    <w:rsid w:val="00B44A0D"/>
    <w:rsid w:val="00B44CC1"/>
    <w:rsid w:val="00B451EB"/>
    <w:rsid w:val="00B451F4"/>
    <w:rsid w:val="00B45AE0"/>
    <w:rsid w:val="00B45B97"/>
    <w:rsid w:val="00B46DD1"/>
    <w:rsid w:val="00B46E48"/>
    <w:rsid w:val="00B476D7"/>
    <w:rsid w:val="00B47B06"/>
    <w:rsid w:val="00B47B80"/>
    <w:rsid w:val="00B50277"/>
    <w:rsid w:val="00B504A8"/>
    <w:rsid w:val="00B5055C"/>
    <w:rsid w:val="00B50665"/>
    <w:rsid w:val="00B50AC9"/>
    <w:rsid w:val="00B50BB8"/>
    <w:rsid w:val="00B52011"/>
    <w:rsid w:val="00B52242"/>
    <w:rsid w:val="00B5253F"/>
    <w:rsid w:val="00B52782"/>
    <w:rsid w:val="00B53CC1"/>
    <w:rsid w:val="00B53D2E"/>
    <w:rsid w:val="00B542C0"/>
    <w:rsid w:val="00B54369"/>
    <w:rsid w:val="00B5455D"/>
    <w:rsid w:val="00B5463D"/>
    <w:rsid w:val="00B547A0"/>
    <w:rsid w:val="00B54B0E"/>
    <w:rsid w:val="00B54D1A"/>
    <w:rsid w:val="00B54DE5"/>
    <w:rsid w:val="00B54E35"/>
    <w:rsid w:val="00B55223"/>
    <w:rsid w:val="00B5779C"/>
    <w:rsid w:val="00B57B37"/>
    <w:rsid w:val="00B607EF"/>
    <w:rsid w:val="00B60D2C"/>
    <w:rsid w:val="00B6151F"/>
    <w:rsid w:val="00B61F84"/>
    <w:rsid w:val="00B6225D"/>
    <w:rsid w:val="00B63610"/>
    <w:rsid w:val="00B63F47"/>
    <w:rsid w:val="00B64152"/>
    <w:rsid w:val="00B64DC4"/>
    <w:rsid w:val="00B6575E"/>
    <w:rsid w:val="00B657C2"/>
    <w:rsid w:val="00B65B1D"/>
    <w:rsid w:val="00B66A35"/>
    <w:rsid w:val="00B66CA5"/>
    <w:rsid w:val="00B67180"/>
    <w:rsid w:val="00B673C8"/>
    <w:rsid w:val="00B67934"/>
    <w:rsid w:val="00B67A99"/>
    <w:rsid w:val="00B71AE9"/>
    <w:rsid w:val="00B71EE2"/>
    <w:rsid w:val="00B72CBE"/>
    <w:rsid w:val="00B735F3"/>
    <w:rsid w:val="00B7477B"/>
    <w:rsid w:val="00B74950"/>
    <w:rsid w:val="00B755ED"/>
    <w:rsid w:val="00B75B2E"/>
    <w:rsid w:val="00B76B9A"/>
    <w:rsid w:val="00B77477"/>
    <w:rsid w:val="00B7747F"/>
    <w:rsid w:val="00B77D12"/>
    <w:rsid w:val="00B810B0"/>
    <w:rsid w:val="00B81561"/>
    <w:rsid w:val="00B81954"/>
    <w:rsid w:val="00B81D5B"/>
    <w:rsid w:val="00B81F15"/>
    <w:rsid w:val="00B824B2"/>
    <w:rsid w:val="00B824BA"/>
    <w:rsid w:val="00B839B3"/>
    <w:rsid w:val="00B83CEF"/>
    <w:rsid w:val="00B84441"/>
    <w:rsid w:val="00B846B9"/>
    <w:rsid w:val="00B8493D"/>
    <w:rsid w:val="00B84AD2"/>
    <w:rsid w:val="00B85577"/>
    <w:rsid w:val="00B855FC"/>
    <w:rsid w:val="00B864B2"/>
    <w:rsid w:val="00B866C7"/>
    <w:rsid w:val="00B874D1"/>
    <w:rsid w:val="00B87524"/>
    <w:rsid w:val="00B878C5"/>
    <w:rsid w:val="00B87A84"/>
    <w:rsid w:val="00B90819"/>
    <w:rsid w:val="00B90C8E"/>
    <w:rsid w:val="00B91E7F"/>
    <w:rsid w:val="00B91EAC"/>
    <w:rsid w:val="00B91F3E"/>
    <w:rsid w:val="00B921B2"/>
    <w:rsid w:val="00B948F9"/>
    <w:rsid w:val="00B95D23"/>
    <w:rsid w:val="00B96033"/>
    <w:rsid w:val="00B969A3"/>
    <w:rsid w:val="00B9755D"/>
    <w:rsid w:val="00BA0277"/>
    <w:rsid w:val="00BA03C0"/>
    <w:rsid w:val="00BA04A8"/>
    <w:rsid w:val="00BA05DF"/>
    <w:rsid w:val="00BA0CB6"/>
    <w:rsid w:val="00BA0FE1"/>
    <w:rsid w:val="00BA1239"/>
    <w:rsid w:val="00BA1277"/>
    <w:rsid w:val="00BA26D4"/>
    <w:rsid w:val="00BA2C65"/>
    <w:rsid w:val="00BA2D25"/>
    <w:rsid w:val="00BA3121"/>
    <w:rsid w:val="00BA3390"/>
    <w:rsid w:val="00BA35B4"/>
    <w:rsid w:val="00BA3901"/>
    <w:rsid w:val="00BA3B30"/>
    <w:rsid w:val="00BA3B8A"/>
    <w:rsid w:val="00BA47E3"/>
    <w:rsid w:val="00BA47ED"/>
    <w:rsid w:val="00BA4E31"/>
    <w:rsid w:val="00BA538F"/>
    <w:rsid w:val="00BA577A"/>
    <w:rsid w:val="00BA57BB"/>
    <w:rsid w:val="00BA5AFF"/>
    <w:rsid w:val="00BA6B2E"/>
    <w:rsid w:val="00BA7E90"/>
    <w:rsid w:val="00BB21EB"/>
    <w:rsid w:val="00BB2492"/>
    <w:rsid w:val="00BB322E"/>
    <w:rsid w:val="00BB45C1"/>
    <w:rsid w:val="00BB4B00"/>
    <w:rsid w:val="00BB4B76"/>
    <w:rsid w:val="00BB5B30"/>
    <w:rsid w:val="00BB5E05"/>
    <w:rsid w:val="00BB5EF9"/>
    <w:rsid w:val="00BB6165"/>
    <w:rsid w:val="00BB6D61"/>
    <w:rsid w:val="00BB782D"/>
    <w:rsid w:val="00BC05AD"/>
    <w:rsid w:val="00BC132A"/>
    <w:rsid w:val="00BC156E"/>
    <w:rsid w:val="00BC1620"/>
    <w:rsid w:val="00BC2935"/>
    <w:rsid w:val="00BC3B53"/>
    <w:rsid w:val="00BC43E1"/>
    <w:rsid w:val="00BC4646"/>
    <w:rsid w:val="00BC4D79"/>
    <w:rsid w:val="00BC5205"/>
    <w:rsid w:val="00BC53DF"/>
    <w:rsid w:val="00BC587B"/>
    <w:rsid w:val="00BC5CD1"/>
    <w:rsid w:val="00BC5F44"/>
    <w:rsid w:val="00BC6263"/>
    <w:rsid w:val="00BC629B"/>
    <w:rsid w:val="00BC637C"/>
    <w:rsid w:val="00BC6C21"/>
    <w:rsid w:val="00BC6C65"/>
    <w:rsid w:val="00BC6FA3"/>
    <w:rsid w:val="00BC7448"/>
    <w:rsid w:val="00BC751E"/>
    <w:rsid w:val="00BC7F9E"/>
    <w:rsid w:val="00BC7FC7"/>
    <w:rsid w:val="00BD01B4"/>
    <w:rsid w:val="00BD1DA5"/>
    <w:rsid w:val="00BD1E70"/>
    <w:rsid w:val="00BD2595"/>
    <w:rsid w:val="00BD25EF"/>
    <w:rsid w:val="00BD3378"/>
    <w:rsid w:val="00BD3DA8"/>
    <w:rsid w:val="00BD401A"/>
    <w:rsid w:val="00BD4CD0"/>
    <w:rsid w:val="00BD52D2"/>
    <w:rsid w:val="00BD62D8"/>
    <w:rsid w:val="00BD65E2"/>
    <w:rsid w:val="00BD6F31"/>
    <w:rsid w:val="00BD79F5"/>
    <w:rsid w:val="00BE00F5"/>
    <w:rsid w:val="00BE02B8"/>
    <w:rsid w:val="00BE1132"/>
    <w:rsid w:val="00BE141D"/>
    <w:rsid w:val="00BE1931"/>
    <w:rsid w:val="00BE21F6"/>
    <w:rsid w:val="00BE22E0"/>
    <w:rsid w:val="00BE246D"/>
    <w:rsid w:val="00BE28F1"/>
    <w:rsid w:val="00BE2EA3"/>
    <w:rsid w:val="00BE2ED5"/>
    <w:rsid w:val="00BE32AF"/>
    <w:rsid w:val="00BE3869"/>
    <w:rsid w:val="00BE4D60"/>
    <w:rsid w:val="00BE4F03"/>
    <w:rsid w:val="00BE54E8"/>
    <w:rsid w:val="00BE5533"/>
    <w:rsid w:val="00BE553A"/>
    <w:rsid w:val="00BE5A12"/>
    <w:rsid w:val="00BE5C62"/>
    <w:rsid w:val="00BE5F42"/>
    <w:rsid w:val="00BE67B1"/>
    <w:rsid w:val="00BE6ADC"/>
    <w:rsid w:val="00BE6F4C"/>
    <w:rsid w:val="00BE75EE"/>
    <w:rsid w:val="00BE7FAC"/>
    <w:rsid w:val="00BF00B0"/>
    <w:rsid w:val="00BF0C28"/>
    <w:rsid w:val="00BF1963"/>
    <w:rsid w:val="00BF1DCB"/>
    <w:rsid w:val="00BF277C"/>
    <w:rsid w:val="00BF2787"/>
    <w:rsid w:val="00BF27C7"/>
    <w:rsid w:val="00BF2F8A"/>
    <w:rsid w:val="00BF33C1"/>
    <w:rsid w:val="00BF3601"/>
    <w:rsid w:val="00BF3A87"/>
    <w:rsid w:val="00BF4046"/>
    <w:rsid w:val="00BF5405"/>
    <w:rsid w:val="00BF58D2"/>
    <w:rsid w:val="00BF6473"/>
    <w:rsid w:val="00BF6A0A"/>
    <w:rsid w:val="00BF6F61"/>
    <w:rsid w:val="00BF72F8"/>
    <w:rsid w:val="00BF79B9"/>
    <w:rsid w:val="00C0023A"/>
    <w:rsid w:val="00C00960"/>
    <w:rsid w:val="00C00AD6"/>
    <w:rsid w:val="00C00D2C"/>
    <w:rsid w:val="00C00F3E"/>
    <w:rsid w:val="00C018A6"/>
    <w:rsid w:val="00C01DB7"/>
    <w:rsid w:val="00C02B87"/>
    <w:rsid w:val="00C030FB"/>
    <w:rsid w:val="00C0329E"/>
    <w:rsid w:val="00C032F4"/>
    <w:rsid w:val="00C034BA"/>
    <w:rsid w:val="00C03C1F"/>
    <w:rsid w:val="00C0404D"/>
    <w:rsid w:val="00C044C8"/>
    <w:rsid w:val="00C04CB1"/>
    <w:rsid w:val="00C04FCC"/>
    <w:rsid w:val="00C04FF2"/>
    <w:rsid w:val="00C055F3"/>
    <w:rsid w:val="00C0573C"/>
    <w:rsid w:val="00C0703F"/>
    <w:rsid w:val="00C0727E"/>
    <w:rsid w:val="00C074E2"/>
    <w:rsid w:val="00C07C36"/>
    <w:rsid w:val="00C07E08"/>
    <w:rsid w:val="00C10C68"/>
    <w:rsid w:val="00C10D85"/>
    <w:rsid w:val="00C10ED5"/>
    <w:rsid w:val="00C118BB"/>
    <w:rsid w:val="00C12230"/>
    <w:rsid w:val="00C12326"/>
    <w:rsid w:val="00C1263B"/>
    <w:rsid w:val="00C129C8"/>
    <w:rsid w:val="00C12B5A"/>
    <w:rsid w:val="00C12D64"/>
    <w:rsid w:val="00C132E4"/>
    <w:rsid w:val="00C142C6"/>
    <w:rsid w:val="00C14E19"/>
    <w:rsid w:val="00C14ECE"/>
    <w:rsid w:val="00C150E4"/>
    <w:rsid w:val="00C154B0"/>
    <w:rsid w:val="00C1565E"/>
    <w:rsid w:val="00C15946"/>
    <w:rsid w:val="00C15D97"/>
    <w:rsid w:val="00C160C8"/>
    <w:rsid w:val="00C16648"/>
    <w:rsid w:val="00C16821"/>
    <w:rsid w:val="00C16829"/>
    <w:rsid w:val="00C16A3D"/>
    <w:rsid w:val="00C16BC4"/>
    <w:rsid w:val="00C17342"/>
    <w:rsid w:val="00C17576"/>
    <w:rsid w:val="00C17718"/>
    <w:rsid w:val="00C20BD2"/>
    <w:rsid w:val="00C2195F"/>
    <w:rsid w:val="00C226C2"/>
    <w:rsid w:val="00C23311"/>
    <w:rsid w:val="00C240BA"/>
    <w:rsid w:val="00C25857"/>
    <w:rsid w:val="00C25E5A"/>
    <w:rsid w:val="00C26283"/>
    <w:rsid w:val="00C27334"/>
    <w:rsid w:val="00C273E3"/>
    <w:rsid w:val="00C27533"/>
    <w:rsid w:val="00C27A48"/>
    <w:rsid w:val="00C30A14"/>
    <w:rsid w:val="00C30C2C"/>
    <w:rsid w:val="00C30E40"/>
    <w:rsid w:val="00C312C5"/>
    <w:rsid w:val="00C31768"/>
    <w:rsid w:val="00C31DA2"/>
    <w:rsid w:val="00C327F3"/>
    <w:rsid w:val="00C32DB7"/>
    <w:rsid w:val="00C33EFC"/>
    <w:rsid w:val="00C35185"/>
    <w:rsid w:val="00C35552"/>
    <w:rsid w:val="00C363B8"/>
    <w:rsid w:val="00C36B57"/>
    <w:rsid w:val="00C36D16"/>
    <w:rsid w:val="00C36D3D"/>
    <w:rsid w:val="00C36DA3"/>
    <w:rsid w:val="00C37C3A"/>
    <w:rsid w:val="00C37E46"/>
    <w:rsid w:val="00C410A3"/>
    <w:rsid w:val="00C414A7"/>
    <w:rsid w:val="00C42B39"/>
    <w:rsid w:val="00C42ECB"/>
    <w:rsid w:val="00C432DF"/>
    <w:rsid w:val="00C43BAB"/>
    <w:rsid w:val="00C43C36"/>
    <w:rsid w:val="00C43D36"/>
    <w:rsid w:val="00C45585"/>
    <w:rsid w:val="00C45674"/>
    <w:rsid w:val="00C45B6F"/>
    <w:rsid w:val="00C46519"/>
    <w:rsid w:val="00C4656D"/>
    <w:rsid w:val="00C46666"/>
    <w:rsid w:val="00C47493"/>
    <w:rsid w:val="00C5110C"/>
    <w:rsid w:val="00C52077"/>
    <w:rsid w:val="00C5245C"/>
    <w:rsid w:val="00C526AA"/>
    <w:rsid w:val="00C52C17"/>
    <w:rsid w:val="00C52D2E"/>
    <w:rsid w:val="00C54329"/>
    <w:rsid w:val="00C545E3"/>
    <w:rsid w:val="00C551F8"/>
    <w:rsid w:val="00C55697"/>
    <w:rsid w:val="00C558A4"/>
    <w:rsid w:val="00C568C2"/>
    <w:rsid w:val="00C569CF"/>
    <w:rsid w:val="00C56B83"/>
    <w:rsid w:val="00C570AD"/>
    <w:rsid w:val="00C57A8B"/>
    <w:rsid w:val="00C60CB3"/>
    <w:rsid w:val="00C60F91"/>
    <w:rsid w:val="00C6158B"/>
    <w:rsid w:val="00C62799"/>
    <w:rsid w:val="00C65AB7"/>
    <w:rsid w:val="00C65B6F"/>
    <w:rsid w:val="00C66097"/>
    <w:rsid w:val="00C6623C"/>
    <w:rsid w:val="00C662F7"/>
    <w:rsid w:val="00C66D12"/>
    <w:rsid w:val="00C677E1"/>
    <w:rsid w:val="00C679B2"/>
    <w:rsid w:val="00C71327"/>
    <w:rsid w:val="00C714A9"/>
    <w:rsid w:val="00C71CCF"/>
    <w:rsid w:val="00C72343"/>
    <w:rsid w:val="00C72378"/>
    <w:rsid w:val="00C726EB"/>
    <w:rsid w:val="00C72789"/>
    <w:rsid w:val="00C7298D"/>
    <w:rsid w:val="00C729E8"/>
    <w:rsid w:val="00C7333A"/>
    <w:rsid w:val="00C73406"/>
    <w:rsid w:val="00C734C5"/>
    <w:rsid w:val="00C73668"/>
    <w:rsid w:val="00C73DFB"/>
    <w:rsid w:val="00C74CE8"/>
    <w:rsid w:val="00C74E06"/>
    <w:rsid w:val="00C7517F"/>
    <w:rsid w:val="00C752F0"/>
    <w:rsid w:val="00C754A3"/>
    <w:rsid w:val="00C7558D"/>
    <w:rsid w:val="00C759CC"/>
    <w:rsid w:val="00C75A64"/>
    <w:rsid w:val="00C75DB3"/>
    <w:rsid w:val="00C7609F"/>
    <w:rsid w:val="00C7649A"/>
    <w:rsid w:val="00C7665F"/>
    <w:rsid w:val="00C76E10"/>
    <w:rsid w:val="00C7714F"/>
    <w:rsid w:val="00C77171"/>
    <w:rsid w:val="00C77824"/>
    <w:rsid w:val="00C77D4A"/>
    <w:rsid w:val="00C80503"/>
    <w:rsid w:val="00C80BBC"/>
    <w:rsid w:val="00C81E13"/>
    <w:rsid w:val="00C81F01"/>
    <w:rsid w:val="00C83464"/>
    <w:rsid w:val="00C83697"/>
    <w:rsid w:val="00C84265"/>
    <w:rsid w:val="00C84A20"/>
    <w:rsid w:val="00C84C1A"/>
    <w:rsid w:val="00C85845"/>
    <w:rsid w:val="00C86167"/>
    <w:rsid w:val="00C8645F"/>
    <w:rsid w:val="00C865CC"/>
    <w:rsid w:val="00C865E4"/>
    <w:rsid w:val="00C8672B"/>
    <w:rsid w:val="00C86D03"/>
    <w:rsid w:val="00C87E8E"/>
    <w:rsid w:val="00C91B5C"/>
    <w:rsid w:val="00C91CFC"/>
    <w:rsid w:val="00C91FB2"/>
    <w:rsid w:val="00C92242"/>
    <w:rsid w:val="00C92349"/>
    <w:rsid w:val="00C923AE"/>
    <w:rsid w:val="00C92892"/>
    <w:rsid w:val="00C929A1"/>
    <w:rsid w:val="00C92B0A"/>
    <w:rsid w:val="00C933F3"/>
    <w:rsid w:val="00C936DE"/>
    <w:rsid w:val="00C93D51"/>
    <w:rsid w:val="00C945B7"/>
    <w:rsid w:val="00C946E8"/>
    <w:rsid w:val="00C95118"/>
    <w:rsid w:val="00C957B6"/>
    <w:rsid w:val="00C95876"/>
    <w:rsid w:val="00C95B6E"/>
    <w:rsid w:val="00C9603F"/>
    <w:rsid w:val="00C960D9"/>
    <w:rsid w:val="00C96597"/>
    <w:rsid w:val="00C96E9C"/>
    <w:rsid w:val="00C971E4"/>
    <w:rsid w:val="00C97896"/>
    <w:rsid w:val="00C97AD9"/>
    <w:rsid w:val="00CA12AF"/>
    <w:rsid w:val="00CA1685"/>
    <w:rsid w:val="00CA1955"/>
    <w:rsid w:val="00CA27F8"/>
    <w:rsid w:val="00CA3761"/>
    <w:rsid w:val="00CA38F2"/>
    <w:rsid w:val="00CA39C2"/>
    <w:rsid w:val="00CA4279"/>
    <w:rsid w:val="00CA4AE4"/>
    <w:rsid w:val="00CA51C1"/>
    <w:rsid w:val="00CA525F"/>
    <w:rsid w:val="00CA52D5"/>
    <w:rsid w:val="00CA5F90"/>
    <w:rsid w:val="00CA66A4"/>
    <w:rsid w:val="00CA7384"/>
    <w:rsid w:val="00CA7497"/>
    <w:rsid w:val="00CA7E20"/>
    <w:rsid w:val="00CB09B9"/>
    <w:rsid w:val="00CB105A"/>
    <w:rsid w:val="00CB1932"/>
    <w:rsid w:val="00CB288E"/>
    <w:rsid w:val="00CB2BAA"/>
    <w:rsid w:val="00CB2D5B"/>
    <w:rsid w:val="00CB3437"/>
    <w:rsid w:val="00CB3E10"/>
    <w:rsid w:val="00CB40FC"/>
    <w:rsid w:val="00CB52CE"/>
    <w:rsid w:val="00CB5A8A"/>
    <w:rsid w:val="00CB5B30"/>
    <w:rsid w:val="00CB6CC2"/>
    <w:rsid w:val="00CB7B9F"/>
    <w:rsid w:val="00CB7CDC"/>
    <w:rsid w:val="00CC1164"/>
    <w:rsid w:val="00CC13B8"/>
    <w:rsid w:val="00CC2E37"/>
    <w:rsid w:val="00CC30F5"/>
    <w:rsid w:val="00CC32AA"/>
    <w:rsid w:val="00CC33DE"/>
    <w:rsid w:val="00CC35EA"/>
    <w:rsid w:val="00CC36ED"/>
    <w:rsid w:val="00CC3971"/>
    <w:rsid w:val="00CC417E"/>
    <w:rsid w:val="00CC462C"/>
    <w:rsid w:val="00CC47D4"/>
    <w:rsid w:val="00CC4860"/>
    <w:rsid w:val="00CC5168"/>
    <w:rsid w:val="00CC528D"/>
    <w:rsid w:val="00CC5317"/>
    <w:rsid w:val="00CC53BB"/>
    <w:rsid w:val="00CC58D1"/>
    <w:rsid w:val="00CC6222"/>
    <w:rsid w:val="00CC6C6F"/>
    <w:rsid w:val="00CC75DC"/>
    <w:rsid w:val="00CC7815"/>
    <w:rsid w:val="00CC7A7F"/>
    <w:rsid w:val="00CD04B7"/>
    <w:rsid w:val="00CD07B6"/>
    <w:rsid w:val="00CD0D86"/>
    <w:rsid w:val="00CD0DCD"/>
    <w:rsid w:val="00CD0FBE"/>
    <w:rsid w:val="00CD1175"/>
    <w:rsid w:val="00CD14C0"/>
    <w:rsid w:val="00CD165E"/>
    <w:rsid w:val="00CD16C8"/>
    <w:rsid w:val="00CD18EE"/>
    <w:rsid w:val="00CD275D"/>
    <w:rsid w:val="00CD2837"/>
    <w:rsid w:val="00CD2F9D"/>
    <w:rsid w:val="00CD39CA"/>
    <w:rsid w:val="00CD444A"/>
    <w:rsid w:val="00CD45C2"/>
    <w:rsid w:val="00CD4B9B"/>
    <w:rsid w:val="00CD5C41"/>
    <w:rsid w:val="00CD6011"/>
    <w:rsid w:val="00CD68CB"/>
    <w:rsid w:val="00CD6BF8"/>
    <w:rsid w:val="00CD71AA"/>
    <w:rsid w:val="00CD7E7F"/>
    <w:rsid w:val="00CE0147"/>
    <w:rsid w:val="00CE1941"/>
    <w:rsid w:val="00CE1A74"/>
    <w:rsid w:val="00CE2211"/>
    <w:rsid w:val="00CE28EC"/>
    <w:rsid w:val="00CE2E3B"/>
    <w:rsid w:val="00CE2F7B"/>
    <w:rsid w:val="00CE41BE"/>
    <w:rsid w:val="00CE4DA3"/>
    <w:rsid w:val="00CE4E2C"/>
    <w:rsid w:val="00CE5CF6"/>
    <w:rsid w:val="00CE6406"/>
    <w:rsid w:val="00CE657B"/>
    <w:rsid w:val="00CE7AB9"/>
    <w:rsid w:val="00CE7CBC"/>
    <w:rsid w:val="00CE7DB8"/>
    <w:rsid w:val="00CF0546"/>
    <w:rsid w:val="00CF0E57"/>
    <w:rsid w:val="00CF0EE3"/>
    <w:rsid w:val="00CF1405"/>
    <w:rsid w:val="00CF1790"/>
    <w:rsid w:val="00CF195E"/>
    <w:rsid w:val="00CF222F"/>
    <w:rsid w:val="00CF290C"/>
    <w:rsid w:val="00CF2A62"/>
    <w:rsid w:val="00CF2ADD"/>
    <w:rsid w:val="00CF2F4E"/>
    <w:rsid w:val="00CF3CCC"/>
    <w:rsid w:val="00CF3FDB"/>
    <w:rsid w:val="00CF41BA"/>
    <w:rsid w:val="00CF4E95"/>
    <w:rsid w:val="00CF60DA"/>
    <w:rsid w:val="00CF7438"/>
    <w:rsid w:val="00CF7ABE"/>
    <w:rsid w:val="00D00A87"/>
    <w:rsid w:val="00D00D13"/>
    <w:rsid w:val="00D013AD"/>
    <w:rsid w:val="00D01776"/>
    <w:rsid w:val="00D01E23"/>
    <w:rsid w:val="00D0252C"/>
    <w:rsid w:val="00D03997"/>
    <w:rsid w:val="00D03999"/>
    <w:rsid w:val="00D039A1"/>
    <w:rsid w:val="00D044E5"/>
    <w:rsid w:val="00D0456C"/>
    <w:rsid w:val="00D045E7"/>
    <w:rsid w:val="00D04836"/>
    <w:rsid w:val="00D04BC8"/>
    <w:rsid w:val="00D05730"/>
    <w:rsid w:val="00D05E9C"/>
    <w:rsid w:val="00D062AD"/>
    <w:rsid w:val="00D062BD"/>
    <w:rsid w:val="00D06709"/>
    <w:rsid w:val="00D06CDE"/>
    <w:rsid w:val="00D071D3"/>
    <w:rsid w:val="00D071E6"/>
    <w:rsid w:val="00D074E3"/>
    <w:rsid w:val="00D07CB8"/>
    <w:rsid w:val="00D07F2C"/>
    <w:rsid w:val="00D102E4"/>
    <w:rsid w:val="00D10935"/>
    <w:rsid w:val="00D119BD"/>
    <w:rsid w:val="00D12442"/>
    <w:rsid w:val="00D130EE"/>
    <w:rsid w:val="00D139DB"/>
    <w:rsid w:val="00D13D25"/>
    <w:rsid w:val="00D13FBA"/>
    <w:rsid w:val="00D145FB"/>
    <w:rsid w:val="00D14969"/>
    <w:rsid w:val="00D158C2"/>
    <w:rsid w:val="00D15DB7"/>
    <w:rsid w:val="00D16D4B"/>
    <w:rsid w:val="00D17BF3"/>
    <w:rsid w:val="00D2058A"/>
    <w:rsid w:val="00D205B7"/>
    <w:rsid w:val="00D20CE5"/>
    <w:rsid w:val="00D22A77"/>
    <w:rsid w:val="00D237EE"/>
    <w:rsid w:val="00D2455E"/>
    <w:rsid w:val="00D245FA"/>
    <w:rsid w:val="00D24E4F"/>
    <w:rsid w:val="00D25A96"/>
    <w:rsid w:val="00D25F0F"/>
    <w:rsid w:val="00D262E2"/>
    <w:rsid w:val="00D26422"/>
    <w:rsid w:val="00D2753C"/>
    <w:rsid w:val="00D27834"/>
    <w:rsid w:val="00D279AE"/>
    <w:rsid w:val="00D305E3"/>
    <w:rsid w:val="00D31167"/>
    <w:rsid w:val="00D311DC"/>
    <w:rsid w:val="00D322D3"/>
    <w:rsid w:val="00D3237C"/>
    <w:rsid w:val="00D32788"/>
    <w:rsid w:val="00D32C60"/>
    <w:rsid w:val="00D33F3F"/>
    <w:rsid w:val="00D3461C"/>
    <w:rsid w:val="00D347A0"/>
    <w:rsid w:val="00D34E41"/>
    <w:rsid w:val="00D355BD"/>
    <w:rsid w:val="00D35792"/>
    <w:rsid w:val="00D369B1"/>
    <w:rsid w:val="00D36CDF"/>
    <w:rsid w:val="00D36DB9"/>
    <w:rsid w:val="00D37254"/>
    <w:rsid w:val="00D37DA7"/>
    <w:rsid w:val="00D37FCB"/>
    <w:rsid w:val="00D415F6"/>
    <w:rsid w:val="00D41E2E"/>
    <w:rsid w:val="00D41E9C"/>
    <w:rsid w:val="00D4221D"/>
    <w:rsid w:val="00D42A9A"/>
    <w:rsid w:val="00D43370"/>
    <w:rsid w:val="00D44121"/>
    <w:rsid w:val="00D4456E"/>
    <w:rsid w:val="00D449D8"/>
    <w:rsid w:val="00D45A60"/>
    <w:rsid w:val="00D45E46"/>
    <w:rsid w:val="00D45E5E"/>
    <w:rsid w:val="00D460AB"/>
    <w:rsid w:val="00D46638"/>
    <w:rsid w:val="00D467A1"/>
    <w:rsid w:val="00D46EC8"/>
    <w:rsid w:val="00D471E3"/>
    <w:rsid w:val="00D47285"/>
    <w:rsid w:val="00D47A43"/>
    <w:rsid w:val="00D47FF6"/>
    <w:rsid w:val="00D513F0"/>
    <w:rsid w:val="00D51FA2"/>
    <w:rsid w:val="00D52065"/>
    <w:rsid w:val="00D5211A"/>
    <w:rsid w:val="00D536CF"/>
    <w:rsid w:val="00D53714"/>
    <w:rsid w:val="00D53CF8"/>
    <w:rsid w:val="00D54223"/>
    <w:rsid w:val="00D54FAB"/>
    <w:rsid w:val="00D552DD"/>
    <w:rsid w:val="00D55394"/>
    <w:rsid w:val="00D55871"/>
    <w:rsid w:val="00D55CF5"/>
    <w:rsid w:val="00D56202"/>
    <w:rsid w:val="00D564EC"/>
    <w:rsid w:val="00D56BAB"/>
    <w:rsid w:val="00D5701E"/>
    <w:rsid w:val="00D57C34"/>
    <w:rsid w:val="00D60A7F"/>
    <w:rsid w:val="00D60EFE"/>
    <w:rsid w:val="00D61137"/>
    <w:rsid w:val="00D6155B"/>
    <w:rsid w:val="00D61BA3"/>
    <w:rsid w:val="00D62161"/>
    <w:rsid w:val="00D62384"/>
    <w:rsid w:val="00D62AEB"/>
    <w:rsid w:val="00D63E6C"/>
    <w:rsid w:val="00D64103"/>
    <w:rsid w:val="00D64B09"/>
    <w:rsid w:val="00D64BF8"/>
    <w:rsid w:val="00D64DB1"/>
    <w:rsid w:val="00D65CA1"/>
    <w:rsid w:val="00D66AB3"/>
    <w:rsid w:val="00D67223"/>
    <w:rsid w:val="00D679BB"/>
    <w:rsid w:val="00D7008E"/>
    <w:rsid w:val="00D706B6"/>
    <w:rsid w:val="00D7154A"/>
    <w:rsid w:val="00D71E4D"/>
    <w:rsid w:val="00D7281A"/>
    <w:rsid w:val="00D7330D"/>
    <w:rsid w:val="00D7393A"/>
    <w:rsid w:val="00D73EEF"/>
    <w:rsid w:val="00D742D9"/>
    <w:rsid w:val="00D74540"/>
    <w:rsid w:val="00D74E6E"/>
    <w:rsid w:val="00D75FD2"/>
    <w:rsid w:val="00D7615A"/>
    <w:rsid w:val="00D7615F"/>
    <w:rsid w:val="00D76C2E"/>
    <w:rsid w:val="00D76DD9"/>
    <w:rsid w:val="00D76E10"/>
    <w:rsid w:val="00D77080"/>
    <w:rsid w:val="00D770F0"/>
    <w:rsid w:val="00D77327"/>
    <w:rsid w:val="00D80FB9"/>
    <w:rsid w:val="00D81E5C"/>
    <w:rsid w:val="00D8217F"/>
    <w:rsid w:val="00D82340"/>
    <w:rsid w:val="00D824B8"/>
    <w:rsid w:val="00D82A19"/>
    <w:rsid w:val="00D82BA0"/>
    <w:rsid w:val="00D8311C"/>
    <w:rsid w:val="00D83E52"/>
    <w:rsid w:val="00D847E7"/>
    <w:rsid w:val="00D853CC"/>
    <w:rsid w:val="00D85531"/>
    <w:rsid w:val="00D87258"/>
    <w:rsid w:val="00D874E0"/>
    <w:rsid w:val="00D9071B"/>
    <w:rsid w:val="00D90834"/>
    <w:rsid w:val="00D90CDD"/>
    <w:rsid w:val="00D90E7C"/>
    <w:rsid w:val="00D918D7"/>
    <w:rsid w:val="00D92037"/>
    <w:rsid w:val="00D92341"/>
    <w:rsid w:val="00D9237D"/>
    <w:rsid w:val="00D9255E"/>
    <w:rsid w:val="00D925F9"/>
    <w:rsid w:val="00D92F3F"/>
    <w:rsid w:val="00D92FB3"/>
    <w:rsid w:val="00D9454E"/>
    <w:rsid w:val="00D95220"/>
    <w:rsid w:val="00D95771"/>
    <w:rsid w:val="00D95A0F"/>
    <w:rsid w:val="00D95A90"/>
    <w:rsid w:val="00D95F6C"/>
    <w:rsid w:val="00D9668D"/>
    <w:rsid w:val="00D97613"/>
    <w:rsid w:val="00D9777F"/>
    <w:rsid w:val="00DA0210"/>
    <w:rsid w:val="00DA0793"/>
    <w:rsid w:val="00DA0E56"/>
    <w:rsid w:val="00DA14DC"/>
    <w:rsid w:val="00DA1E4D"/>
    <w:rsid w:val="00DA20A9"/>
    <w:rsid w:val="00DA20DF"/>
    <w:rsid w:val="00DA26BA"/>
    <w:rsid w:val="00DA36D7"/>
    <w:rsid w:val="00DA3A55"/>
    <w:rsid w:val="00DA3C44"/>
    <w:rsid w:val="00DA3D3A"/>
    <w:rsid w:val="00DA3EB0"/>
    <w:rsid w:val="00DA3F15"/>
    <w:rsid w:val="00DA3FE0"/>
    <w:rsid w:val="00DA401C"/>
    <w:rsid w:val="00DA5541"/>
    <w:rsid w:val="00DA56BF"/>
    <w:rsid w:val="00DA589D"/>
    <w:rsid w:val="00DA5B89"/>
    <w:rsid w:val="00DA5EAF"/>
    <w:rsid w:val="00DA6BBC"/>
    <w:rsid w:val="00DA6E9E"/>
    <w:rsid w:val="00DB18BC"/>
    <w:rsid w:val="00DB214C"/>
    <w:rsid w:val="00DB2448"/>
    <w:rsid w:val="00DB24DE"/>
    <w:rsid w:val="00DB2F81"/>
    <w:rsid w:val="00DB30D2"/>
    <w:rsid w:val="00DB34BB"/>
    <w:rsid w:val="00DB4170"/>
    <w:rsid w:val="00DB4686"/>
    <w:rsid w:val="00DB5AA3"/>
    <w:rsid w:val="00DB5C2E"/>
    <w:rsid w:val="00DB63E9"/>
    <w:rsid w:val="00DB6684"/>
    <w:rsid w:val="00DB7105"/>
    <w:rsid w:val="00DB7E81"/>
    <w:rsid w:val="00DB7FB4"/>
    <w:rsid w:val="00DC0C25"/>
    <w:rsid w:val="00DC25A7"/>
    <w:rsid w:val="00DC3795"/>
    <w:rsid w:val="00DC4289"/>
    <w:rsid w:val="00DC4715"/>
    <w:rsid w:val="00DC4FC0"/>
    <w:rsid w:val="00DC5FF5"/>
    <w:rsid w:val="00DC7B56"/>
    <w:rsid w:val="00DC7EDB"/>
    <w:rsid w:val="00DC7FD6"/>
    <w:rsid w:val="00DD11E3"/>
    <w:rsid w:val="00DD147B"/>
    <w:rsid w:val="00DD1DB8"/>
    <w:rsid w:val="00DD205A"/>
    <w:rsid w:val="00DD2495"/>
    <w:rsid w:val="00DD25B7"/>
    <w:rsid w:val="00DD2789"/>
    <w:rsid w:val="00DD288E"/>
    <w:rsid w:val="00DD2A70"/>
    <w:rsid w:val="00DD2B76"/>
    <w:rsid w:val="00DD2C60"/>
    <w:rsid w:val="00DD3F27"/>
    <w:rsid w:val="00DD48E6"/>
    <w:rsid w:val="00DD4CB5"/>
    <w:rsid w:val="00DD4DDB"/>
    <w:rsid w:val="00DD5EA3"/>
    <w:rsid w:val="00DD6291"/>
    <w:rsid w:val="00DD649C"/>
    <w:rsid w:val="00DD6CF1"/>
    <w:rsid w:val="00DD70E9"/>
    <w:rsid w:val="00DD796D"/>
    <w:rsid w:val="00DE0049"/>
    <w:rsid w:val="00DE015B"/>
    <w:rsid w:val="00DE0935"/>
    <w:rsid w:val="00DE12CC"/>
    <w:rsid w:val="00DE13BC"/>
    <w:rsid w:val="00DE15AC"/>
    <w:rsid w:val="00DE169D"/>
    <w:rsid w:val="00DE1756"/>
    <w:rsid w:val="00DE1D2D"/>
    <w:rsid w:val="00DE27A6"/>
    <w:rsid w:val="00DE2993"/>
    <w:rsid w:val="00DE2A4E"/>
    <w:rsid w:val="00DE2EF1"/>
    <w:rsid w:val="00DE3398"/>
    <w:rsid w:val="00DE3CBF"/>
    <w:rsid w:val="00DE3EFF"/>
    <w:rsid w:val="00DE46AE"/>
    <w:rsid w:val="00DE4B81"/>
    <w:rsid w:val="00DE4EF8"/>
    <w:rsid w:val="00DE574D"/>
    <w:rsid w:val="00DE6222"/>
    <w:rsid w:val="00DE65AA"/>
    <w:rsid w:val="00DE6779"/>
    <w:rsid w:val="00DE6A72"/>
    <w:rsid w:val="00DE6B57"/>
    <w:rsid w:val="00DE6F39"/>
    <w:rsid w:val="00DE7B96"/>
    <w:rsid w:val="00DF069D"/>
    <w:rsid w:val="00DF1531"/>
    <w:rsid w:val="00DF1745"/>
    <w:rsid w:val="00DF2674"/>
    <w:rsid w:val="00DF321A"/>
    <w:rsid w:val="00DF367B"/>
    <w:rsid w:val="00DF3855"/>
    <w:rsid w:val="00DF38CC"/>
    <w:rsid w:val="00DF418C"/>
    <w:rsid w:val="00DF43FB"/>
    <w:rsid w:val="00DF4704"/>
    <w:rsid w:val="00DF47EA"/>
    <w:rsid w:val="00DF4D78"/>
    <w:rsid w:val="00DF537D"/>
    <w:rsid w:val="00DF56F1"/>
    <w:rsid w:val="00DF5DE5"/>
    <w:rsid w:val="00DF61BA"/>
    <w:rsid w:val="00DF6748"/>
    <w:rsid w:val="00DF6BB0"/>
    <w:rsid w:val="00DF774A"/>
    <w:rsid w:val="00DF7EBD"/>
    <w:rsid w:val="00E0126F"/>
    <w:rsid w:val="00E01426"/>
    <w:rsid w:val="00E015F9"/>
    <w:rsid w:val="00E01975"/>
    <w:rsid w:val="00E01D7E"/>
    <w:rsid w:val="00E01E30"/>
    <w:rsid w:val="00E020D9"/>
    <w:rsid w:val="00E027AD"/>
    <w:rsid w:val="00E030AA"/>
    <w:rsid w:val="00E03795"/>
    <w:rsid w:val="00E04653"/>
    <w:rsid w:val="00E0578F"/>
    <w:rsid w:val="00E05AAE"/>
    <w:rsid w:val="00E05C27"/>
    <w:rsid w:val="00E06203"/>
    <w:rsid w:val="00E066F5"/>
    <w:rsid w:val="00E069DB"/>
    <w:rsid w:val="00E06B69"/>
    <w:rsid w:val="00E0700E"/>
    <w:rsid w:val="00E0703D"/>
    <w:rsid w:val="00E07531"/>
    <w:rsid w:val="00E0769B"/>
    <w:rsid w:val="00E0781E"/>
    <w:rsid w:val="00E105C3"/>
    <w:rsid w:val="00E10CD4"/>
    <w:rsid w:val="00E110AD"/>
    <w:rsid w:val="00E114E3"/>
    <w:rsid w:val="00E11669"/>
    <w:rsid w:val="00E11FBB"/>
    <w:rsid w:val="00E12F4A"/>
    <w:rsid w:val="00E132BC"/>
    <w:rsid w:val="00E13726"/>
    <w:rsid w:val="00E1406D"/>
    <w:rsid w:val="00E15A99"/>
    <w:rsid w:val="00E15B47"/>
    <w:rsid w:val="00E15C0A"/>
    <w:rsid w:val="00E16392"/>
    <w:rsid w:val="00E163BF"/>
    <w:rsid w:val="00E165C4"/>
    <w:rsid w:val="00E1693C"/>
    <w:rsid w:val="00E201E9"/>
    <w:rsid w:val="00E206CA"/>
    <w:rsid w:val="00E2109A"/>
    <w:rsid w:val="00E2183E"/>
    <w:rsid w:val="00E21E3F"/>
    <w:rsid w:val="00E222AF"/>
    <w:rsid w:val="00E22FB1"/>
    <w:rsid w:val="00E23B4A"/>
    <w:rsid w:val="00E23DF7"/>
    <w:rsid w:val="00E24680"/>
    <w:rsid w:val="00E2490B"/>
    <w:rsid w:val="00E24919"/>
    <w:rsid w:val="00E24CDF"/>
    <w:rsid w:val="00E24F5C"/>
    <w:rsid w:val="00E25151"/>
    <w:rsid w:val="00E2521D"/>
    <w:rsid w:val="00E253BE"/>
    <w:rsid w:val="00E254AA"/>
    <w:rsid w:val="00E25653"/>
    <w:rsid w:val="00E25B97"/>
    <w:rsid w:val="00E26365"/>
    <w:rsid w:val="00E2655D"/>
    <w:rsid w:val="00E27EE2"/>
    <w:rsid w:val="00E3055C"/>
    <w:rsid w:val="00E30A3C"/>
    <w:rsid w:val="00E31801"/>
    <w:rsid w:val="00E32262"/>
    <w:rsid w:val="00E32431"/>
    <w:rsid w:val="00E32432"/>
    <w:rsid w:val="00E337B9"/>
    <w:rsid w:val="00E34207"/>
    <w:rsid w:val="00E347DE"/>
    <w:rsid w:val="00E34C92"/>
    <w:rsid w:val="00E34DCC"/>
    <w:rsid w:val="00E353ED"/>
    <w:rsid w:val="00E35E5E"/>
    <w:rsid w:val="00E36126"/>
    <w:rsid w:val="00E36A3A"/>
    <w:rsid w:val="00E36EA8"/>
    <w:rsid w:val="00E36FD2"/>
    <w:rsid w:val="00E373C5"/>
    <w:rsid w:val="00E374C5"/>
    <w:rsid w:val="00E3778A"/>
    <w:rsid w:val="00E37D67"/>
    <w:rsid w:val="00E40FF9"/>
    <w:rsid w:val="00E4135C"/>
    <w:rsid w:val="00E41DFA"/>
    <w:rsid w:val="00E427F3"/>
    <w:rsid w:val="00E428D0"/>
    <w:rsid w:val="00E429CC"/>
    <w:rsid w:val="00E42A19"/>
    <w:rsid w:val="00E43F7B"/>
    <w:rsid w:val="00E44BD4"/>
    <w:rsid w:val="00E454BE"/>
    <w:rsid w:val="00E459AE"/>
    <w:rsid w:val="00E45F51"/>
    <w:rsid w:val="00E46BBC"/>
    <w:rsid w:val="00E47429"/>
    <w:rsid w:val="00E476A9"/>
    <w:rsid w:val="00E509DE"/>
    <w:rsid w:val="00E523AA"/>
    <w:rsid w:val="00E52485"/>
    <w:rsid w:val="00E52BD1"/>
    <w:rsid w:val="00E52C01"/>
    <w:rsid w:val="00E52EC4"/>
    <w:rsid w:val="00E540A6"/>
    <w:rsid w:val="00E54A5C"/>
    <w:rsid w:val="00E55109"/>
    <w:rsid w:val="00E5626E"/>
    <w:rsid w:val="00E565FA"/>
    <w:rsid w:val="00E5689F"/>
    <w:rsid w:val="00E57368"/>
    <w:rsid w:val="00E604CD"/>
    <w:rsid w:val="00E60791"/>
    <w:rsid w:val="00E61050"/>
    <w:rsid w:val="00E61C3A"/>
    <w:rsid w:val="00E61DF3"/>
    <w:rsid w:val="00E61F51"/>
    <w:rsid w:val="00E6221D"/>
    <w:rsid w:val="00E62C34"/>
    <w:rsid w:val="00E633EB"/>
    <w:rsid w:val="00E63CD4"/>
    <w:rsid w:val="00E648B7"/>
    <w:rsid w:val="00E64D27"/>
    <w:rsid w:val="00E64F77"/>
    <w:rsid w:val="00E65894"/>
    <w:rsid w:val="00E65F48"/>
    <w:rsid w:val="00E669A2"/>
    <w:rsid w:val="00E66BC9"/>
    <w:rsid w:val="00E672DC"/>
    <w:rsid w:val="00E673DF"/>
    <w:rsid w:val="00E70716"/>
    <w:rsid w:val="00E70E52"/>
    <w:rsid w:val="00E71211"/>
    <w:rsid w:val="00E71E12"/>
    <w:rsid w:val="00E7228B"/>
    <w:rsid w:val="00E7243A"/>
    <w:rsid w:val="00E7276D"/>
    <w:rsid w:val="00E7348E"/>
    <w:rsid w:val="00E736A9"/>
    <w:rsid w:val="00E73C11"/>
    <w:rsid w:val="00E803EC"/>
    <w:rsid w:val="00E807CD"/>
    <w:rsid w:val="00E80BD2"/>
    <w:rsid w:val="00E80FF7"/>
    <w:rsid w:val="00E816F4"/>
    <w:rsid w:val="00E81885"/>
    <w:rsid w:val="00E81B1F"/>
    <w:rsid w:val="00E81EF7"/>
    <w:rsid w:val="00E82F29"/>
    <w:rsid w:val="00E83117"/>
    <w:rsid w:val="00E839E6"/>
    <w:rsid w:val="00E8448D"/>
    <w:rsid w:val="00E84654"/>
    <w:rsid w:val="00E846C8"/>
    <w:rsid w:val="00E84D5B"/>
    <w:rsid w:val="00E84FA0"/>
    <w:rsid w:val="00E85910"/>
    <w:rsid w:val="00E861C1"/>
    <w:rsid w:val="00E861EE"/>
    <w:rsid w:val="00E86903"/>
    <w:rsid w:val="00E87074"/>
    <w:rsid w:val="00E87C5E"/>
    <w:rsid w:val="00E87F30"/>
    <w:rsid w:val="00E900E5"/>
    <w:rsid w:val="00E90396"/>
    <w:rsid w:val="00E90BFD"/>
    <w:rsid w:val="00E9186B"/>
    <w:rsid w:val="00E91A96"/>
    <w:rsid w:val="00E92D1D"/>
    <w:rsid w:val="00E93C1F"/>
    <w:rsid w:val="00E952D4"/>
    <w:rsid w:val="00E95DC4"/>
    <w:rsid w:val="00E9764C"/>
    <w:rsid w:val="00E97DD9"/>
    <w:rsid w:val="00EA04E7"/>
    <w:rsid w:val="00EA0866"/>
    <w:rsid w:val="00EA10F0"/>
    <w:rsid w:val="00EA110F"/>
    <w:rsid w:val="00EA178A"/>
    <w:rsid w:val="00EA18DF"/>
    <w:rsid w:val="00EA27FB"/>
    <w:rsid w:val="00EA2F9D"/>
    <w:rsid w:val="00EA3120"/>
    <w:rsid w:val="00EA3702"/>
    <w:rsid w:val="00EA3A0B"/>
    <w:rsid w:val="00EA405E"/>
    <w:rsid w:val="00EA4F5D"/>
    <w:rsid w:val="00EA550F"/>
    <w:rsid w:val="00EA5616"/>
    <w:rsid w:val="00EA5FD6"/>
    <w:rsid w:val="00EA64E8"/>
    <w:rsid w:val="00EA6769"/>
    <w:rsid w:val="00EA6874"/>
    <w:rsid w:val="00EA6A7B"/>
    <w:rsid w:val="00EA6DBE"/>
    <w:rsid w:val="00EA6E34"/>
    <w:rsid w:val="00EA6EAC"/>
    <w:rsid w:val="00EA6FDC"/>
    <w:rsid w:val="00EA7751"/>
    <w:rsid w:val="00EB02D5"/>
    <w:rsid w:val="00EB096D"/>
    <w:rsid w:val="00EB27DF"/>
    <w:rsid w:val="00EB28AD"/>
    <w:rsid w:val="00EB291B"/>
    <w:rsid w:val="00EB2B8C"/>
    <w:rsid w:val="00EB2EF2"/>
    <w:rsid w:val="00EB3185"/>
    <w:rsid w:val="00EB3BD9"/>
    <w:rsid w:val="00EB3C36"/>
    <w:rsid w:val="00EB4859"/>
    <w:rsid w:val="00EB519A"/>
    <w:rsid w:val="00EB5445"/>
    <w:rsid w:val="00EB566C"/>
    <w:rsid w:val="00EB5C8F"/>
    <w:rsid w:val="00EB6653"/>
    <w:rsid w:val="00EB668F"/>
    <w:rsid w:val="00EB68BB"/>
    <w:rsid w:val="00EB7253"/>
    <w:rsid w:val="00EB7A1A"/>
    <w:rsid w:val="00EB7BC2"/>
    <w:rsid w:val="00EC00E3"/>
    <w:rsid w:val="00EC1260"/>
    <w:rsid w:val="00EC1E2B"/>
    <w:rsid w:val="00EC3175"/>
    <w:rsid w:val="00EC33EE"/>
    <w:rsid w:val="00EC3831"/>
    <w:rsid w:val="00EC41ED"/>
    <w:rsid w:val="00EC4430"/>
    <w:rsid w:val="00EC576A"/>
    <w:rsid w:val="00EC6419"/>
    <w:rsid w:val="00EC67F4"/>
    <w:rsid w:val="00EC6A20"/>
    <w:rsid w:val="00EC6BE4"/>
    <w:rsid w:val="00EC6DE7"/>
    <w:rsid w:val="00EC6E65"/>
    <w:rsid w:val="00EC75A2"/>
    <w:rsid w:val="00ED02DF"/>
    <w:rsid w:val="00ED0F44"/>
    <w:rsid w:val="00ED1A86"/>
    <w:rsid w:val="00ED27F3"/>
    <w:rsid w:val="00ED2979"/>
    <w:rsid w:val="00ED31FA"/>
    <w:rsid w:val="00ED4A23"/>
    <w:rsid w:val="00ED539A"/>
    <w:rsid w:val="00ED57C9"/>
    <w:rsid w:val="00ED58C4"/>
    <w:rsid w:val="00ED6E90"/>
    <w:rsid w:val="00ED6F72"/>
    <w:rsid w:val="00ED6FDA"/>
    <w:rsid w:val="00ED7C27"/>
    <w:rsid w:val="00EE052E"/>
    <w:rsid w:val="00EE1C13"/>
    <w:rsid w:val="00EE24C5"/>
    <w:rsid w:val="00EE284D"/>
    <w:rsid w:val="00EE3583"/>
    <w:rsid w:val="00EE3701"/>
    <w:rsid w:val="00EE373E"/>
    <w:rsid w:val="00EE42A6"/>
    <w:rsid w:val="00EE4E51"/>
    <w:rsid w:val="00EE591F"/>
    <w:rsid w:val="00EE59C8"/>
    <w:rsid w:val="00EE5C21"/>
    <w:rsid w:val="00EE602C"/>
    <w:rsid w:val="00EE77DB"/>
    <w:rsid w:val="00EE7D9A"/>
    <w:rsid w:val="00EF0731"/>
    <w:rsid w:val="00EF0BDF"/>
    <w:rsid w:val="00EF132D"/>
    <w:rsid w:val="00EF18DA"/>
    <w:rsid w:val="00EF20DD"/>
    <w:rsid w:val="00EF349F"/>
    <w:rsid w:val="00EF3713"/>
    <w:rsid w:val="00EF39D6"/>
    <w:rsid w:val="00EF3A27"/>
    <w:rsid w:val="00EF3CCC"/>
    <w:rsid w:val="00EF4040"/>
    <w:rsid w:val="00EF4744"/>
    <w:rsid w:val="00EF48BF"/>
    <w:rsid w:val="00EF5436"/>
    <w:rsid w:val="00EF5A1B"/>
    <w:rsid w:val="00EF5A67"/>
    <w:rsid w:val="00EF6627"/>
    <w:rsid w:val="00EF66AD"/>
    <w:rsid w:val="00EF6AC5"/>
    <w:rsid w:val="00EF6E12"/>
    <w:rsid w:val="00EF7C04"/>
    <w:rsid w:val="00EF7F90"/>
    <w:rsid w:val="00F00A6D"/>
    <w:rsid w:val="00F00B43"/>
    <w:rsid w:val="00F01017"/>
    <w:rsid w:val="00F011FF"/>
    <w:rsid w:val="00F01257"/>
    <w:rsid w:val="00F015B3"/>
    <w:rsid w:val="00F0264C"/>
    <w:rsid w:val="00F032F5"/>
    <w:rsid w:val="00F03884"/>
    <w:rsid w:val="00F03FA4"/>
    <w:rsid w:val="00F0455A"/>
    <w:rsid w:val="00F04810"/>
    <w:rsid w:val="00F05235"/>
    <w:rsid w:val="00F05F57"/>
    <w:rsid w:val="00F06080"/>
    <w:rsid w:val="00F064E5"/>
    <w:rsid w:val="00F0692D"/>
    <w:rsid w:val="00F072A1"/>
    <w:rsid w:val="00F078FB"/>
    <w:rsid w:val="00F10199"/>
    <w:rsid w:val="00F10CAA"/>
    <w:rsid w:val="00F12BC9"/>
    <w:rsid w:val="00F140D6"/>
    <w:rsid w:val="00F1437E"/>
    <w:rsid w:val="00F15769"/>
    <w:rsid w:val="00F158DB"/>
    <w:rsid w:val="00F1606E"/>
    <w:rsid w:val="00F16120"/>
    <w:rsid w:val="00F16FBD"/>
    <w:rsid w:val="00F174F4"/>
    <w:rsid w:val="00F17944"/>
    <w:rsid w:val="00F17A5D"/>
    <w:rsid w:val="00F17FF3"/>
    <w:rsid w:val="00F2153E"/>
    <w:rsid w:val="00F2212A"/>
    <w:rsid w:val="00F22516"/>
    <w:rsid w:val="00F2261C"/>
    <w:rsid w:val="00F22D07"/>
    <w:rsid w:val="00F23110"/>
    <w:rsid w:val="00F235E6"/>
    <w:rsid w:val="00F2365E"/>
    <w:rsid w:val="00F2380D"/>
    <w:rsid w:val="00F23FF8"/>
    <w:rsid w:val="00F24AB7"/>
    <w:rsid w:val="00F24FAE"/>
    <w:rsid w:val="00F256D7"/>
    <w:rsid w:val="00F26102"/>
    <w:rsid w:val="00F2729B"/>
    <w:rsid w:val="00F27793"/>
    <w:rsid w:val="00F30A83"/>
    <w:rsid w:val="00F316B2"/>
    <w:rsid w:val="00F31862"/>
    <w:rsid w:val="00F32B5E"/>
    <w:rsid w:val="00F3368D"/>
    <w:rsid w:val="00F33C99"/>
    <w:rsid w:val="00F34042"/>
    <w:rsid w:val="00F34270"/>
    <w:rsid w:val="00F34383"/>
    <w:rsid w:val="00F3486A"/>
    <w:rsid w:val="00F34949"/>
    <w:rsid w:val="00F35079"/>
    <w:rsid w:val="00F35830"/>
    <w:rsid w:val="00F3598A"/>
    <w:rsid w:val="00F36248"/>
    <w:rsid w:val="00F365EE"/>
    <w:rsid w:val="00F3667E"/>
    <w:rsid w:val="00F368E5"/>
    <w:rsid w:val="00F36C76"/>
    <w:rsid w:val="00F36F06"/>
    <w:rsid w:val="00F37266"/>
    <w:rsid w:val="00F3795F"/>
    <w:rsid w:val="00F37D76"/>
    <w:rsid w:val="00F41A85"/>
    <w:rsid w:val="00F420DE"/>
    <w:rsid w:val="00F42114"/>
    <w:rsid w:val="00F424AC"/>
    <w:rsid w:val="00F43D20"/>
    <w:rsid w:val="00F43D53"/>
    <w:rsid w:val="00F44106"/>
    <w:rsid w:val="00F44723"/>
    <w:rsid w:val="00F45A2A"/>
    <w:rsid w:val="00F45F43"/>
    <w:rsid w:val="00F46B84"/>
    <w:rsid w:val="00F47649"/>
    <w:rsid w:val="00F50362"/>
    <w:rsid w:val="00F51017"/>
    <w:rsid w:val="00F516AE"/>
    <w:rsid w:val="00F518E0"/>
    <w:rsid w:val="00F52EC8"/>
    <w:rsid w:val="00F53698"/>
    <w:rsid w:val="00F5545F"/>
    <w:rsid w:val="00F559C6"/>
    <w:rsid w:val="00F56BF6"/>
    <w:rsid w:val="00F57419"/>
    <w:rsid w:val="00F57425"/>
    <w:rsid w:val="00F57619"/>
    <w:rsid w:val="00F57740"/>
    <w:rsid w:val="00F57B5E"/>
    <w:rsid w:val="00F57C3D"/>
    <w:rsid w:val="00F602D3"/>
    <w:rsid w:val="00F60617"/>
    <w:rsid w:val="00F610B7"/>
    <w:rsid w:val="00F61367"/>
    <w:rsid w:val="00F6166B"/>
    <w:rsid w:val="00F618C4"/>
    <w:rsid w:val="00F619C4"/>
    <w:rsid w:val="00F62B5B"/>
    <w:rsid w:val="00F62EA3"/>
    <w:rsid w:val="00F62F87"/>
    <w:rsid w:val="00F63379"/>
    <w:rsid w:val="00F63A7C"/>
    <w:rsid w:val="00F63D93"/>
    <w:rsid w:val="00F63EC2"/>
    <w:rsid w:val="00F64488"/>
    <w:rsid w:val="00F64C11"/>
    <w:rsid w:val="00F64E94"/>
    <w:rsid w:val="00F64F6C"/>
    <w:rsid w:val="00F65D2A"/>
    <w:rsid w:val="00F66145"/>
    <w:rsid w:val="00F665FA"/>
    <w:rsid w:val="00F66C3C"/>
    <w:rsid w:val="00F67668"/>
    <w:rsid w:val="00F67908"/>
    <w:rsid w:val="00F6795E"/>
    <w:rsid w:val="00F679D5"/>
    <w:rsid w:val="00F67BF4"/>
    <w:rsid w:val="00F70135"/>
    <w:rsid w:val="00F70166"/>
    <w:rsid w:val="00F706D3"/>
    <w:rsid w:val="00F70CB0"/>
    <w:rsid w:val="00F7140E"/>
    <w:rsid w:val="00F7167B"/>
    <w:rsid w:val="00F71807"/>
    <w:rsid w:val="00F72090"/>
    <w:rsid w:val="00F72182"/>
    <w:rsid w:val="00F725C5"/>
    <w:rsid w:val="00F73446"/>
    <w:rsid w:val="00F7361B"/>
    <w:rsid w:val="00F73AA0"/>
    <w:rsid w:val="00F7446E"/>
    <w:rsid w:val="00F7458B"/>
    <w:rsid w:val="00F7494D"/>
    <w:rsid w:val="00F74AED"/>
    <w:rsid w:val="00F74D88"/>
    <w:rsid w:val="00F752C0"/>
    <w:rsid w:val="00F75B14"/>
    <w:rsid w:val="00F75FC0"/>
    <w:rsid w:val="00F762EB"/>
    <w:rsid w:val="00F7687F"/>
    <w:rsid w:val="00F77302"/>
    <w:rsid w:val="00F801FE"/>
    <w:rsid w:val="00F805EE"/>
    <w:rsid w:val="00F8114C"/>
    <w:rsid w:val="00F81652"/>
    <w:rsid w:val="00F81EB1"/>
    <w:rsid w:val="00F82B78"/>
    <w:rsid w:val="00F82E53"/>
    <w:rsid w:val="00F8370F"/>
    <w:rsid w:val="00F837B0"/>
    <w:rsid w:val="00F83FC4"/>
    <w:rsid w:val="00F84032"/>
    <w:rsid w:val="00F84F78"/>
    <w:rsid w:val="00F85744"/>
    <w:rsid w:val="00F85A12"/>
    <w:rsid w:val="00F85F9E"/>
    <w:rsid w:val="00F87904"/>
    <w:rsid w:val="00F87A19"/>
    <w:rsid w:val="00F87C14"/>
    <w:rsid w:val="00F90690"/>
    <w:rsid w:val="00F90889"/>
    <w:rsid w:val="00F90DDE"/>
    <w:rsid w:val="00F91333"/>
    <w:rsid w:val="00F91826"/>
    <w:rsid w:val="00F921D2"/>
    <w:rsid w:val="00F92FF0"/>
    <w:rsid w:val="00F93095"/>
    <w:rsid w:val="00F9330B"/>
    <w:rsid w:val="00F93CAD"/>
    <w:rsid w:val="00F93D18"/>
    <w:rsid w:val="00F93E53"/>
    <w:rsid w:val="00F94047"/>
    <w:rsid w:val="00F943A4"/>
    <w:rsid w:val="00F946E1"/>
    <w:rsid w:val="00F94968"/>
    <w:rsid w:val="00F95621"/>
    <w:rsid w:val="00F963B3"/>
    <w:rsid w:val="00F96FAD"/>
    <w:rsid w:val="00F97F65"/>
    <w:rsid w:val="00FA02D4"/>
    <w:rsid w:val="00FA0570"/>
    <w:rsid w:val="00FA0693"/>
    <w:rsid w:val="00FA0758"/>
    <w:rsid w:val="00FA0870"/>
    <w:rsid w:val="00FA0EFD"/>
    <w:rsid w:val="00FA1428"/>
    <w:rsid w:val="00FA19B4"/>
    <w:rsid w:val="00FA19E9"/>
    <w:rsid w:val="00FA1CF7"/>
    <w:rsid w:val="00FA210E"/>
    <w:rsid w:val="00FA2480"/>
    <w:rsid w:val="00FA3429"/>
    <w:rsid w:val="00FA3B09"/>
    <w:rsid w:val="00FA55E4"/>
    <w:rsid w:val="00FA6BB5"/>
    <w:rsid w:val="00FA7025"/>
    <w:rsid w:val="00FB00A0"/>
    <w:rsid w:val="00FB069C"/>
    <w:rsid w:val="00FB08B7"/>
    <w:rsid w:val="00FB1015"/>
    <w:rsid w:val="00FB1774"/>
    <w:rsid w:val="00FB1864"/>
    <w:rsid w:val="00FB1B96"/>
    <w:rsid w:val="00FB20AB"/>
    <w:rsid w:val="00FB23E0"/>
    <w:rsid w:val="00FB2605"/>
    <w:rsid w:val="00FB3D12"/>
    <w:rsid w:val="00FB50F7"/>
    <w:rsid w:val="00FB57EB"/>
    <w:rsid w:val="00FB65E6"/>
    <w:rsid w:val="00FB6E72"/>
    <w:rsid w:val="00FB7E94"/>
    <w:rsid w:val="00FC051C"/>
    <w:rsid w:val="00FC097E"/>
    <w:rsid w:val="00FC0E05"/>
    <w:rsid w:val="00FC2516"/>
    <w:rsid w:val="00FC3C30"/>
    <w:rsid w:val="00FC3D7D"/>
    <w:rsid w:val="00FC450B"/>
    <w:rsid w:val="00FC55DC"/>
    <w:rsid w:val="00FC5640"/>
    <w:rsid w:val="00FC5647"/>
    <w:rsid w:val="00FC5A25"/>
    <w:rsid w:val="00FC6C1C"/>
    <w:rsid w:val="00FC6E49"/>
    <w:rsid w:val="00FC7615"/>
    <w:rsid w:val="00FC7772"/>
    <w:rsid w:val="00FD05DF"/>
    <w:rsid w:val="00FD06C5"/>
    <w:rsid w:val="00FD0983"/>
    <w:rsid w:val="00FD12CE"/>
    <w:rsid w:val="00FD1F60"/>
    <w:rsid w:val="00FD21EA"/>
    <w:rsid w:val="00FD2CFB"/>
    <w:rsid w:val="00FD31D4"/>
    <w:rsid w:val="00FD38D6"/>
    <w:rsid w:val="00FD3C82"/>
    <w:rsid w:val="00FD47BB"/>
    <w:rsid w:val="00FD527F"/>
    <w:rsid w:val="00FD5B53"/>
    <w:rsid w:val="00FD6830"/>
    <w:rsid w:val="00FD6CD7"/>
    <w:rsid w:val="00FE02BA"/>
    <w:rsid w:val="00FE109E"/>
    <w:rsid w:val="00FE34B6"/>
    <w:rsid w:val="00FE374D"/>
    <w:rsid w:val="00FE3782"/>
    <w:rsid w:val="00FE3BA1"/>
    <w:rsid w:val="00FE4306"/>
    <w:rsid w:val="00FE4380"/>
    <w:rsid w:val="00FE516D"/>
    <w:rsid w:val="00FE5203"/>
    <w:rsid w:val="00FE5484"/>
    <w:rsid w:val="00FE59A7"/>
    <w:rsid w:val="00FE5E13"/>
    <w:rsid w:val="00FE68BC"/>
    <w:rsid w:val="00FE6BEA"/>
    <w:rsid w:val="00FE6FF9"/>
    <w:rsid w:val="00FE78BA"/>
    <w:rsid w:val="00FE799F"/>
    <w:rsid w:val="00FF09E7"/>
    <w:rsid w:val="00FF24CD"/>
    <w:rsid w:val="00FF2FBE"/>
    <w:rsid w:val="00FF3002"/>
    <w:rsid w:val="00FF303C"/>
    <w:rsid w:val="00FF322D"/>
    <w:rsid w:val="00FF4D0E"/>
    <w:rsid w:val="00FF51A9"/>
    <w:rsid w:val="00FF5452"/>
    <w:rsid w:val="00FF5AB8"/>
    <w:rsid w:val="00FF63AF"/>
    <w:rsid w:val="00FF650F"/>
    <w:rsid w:val="00FF672E"/>
    <w:rsid w:val="00FF7541"/>
    <w:rsid w:val="00FF778C"/>
    <w:rsid w:val="00FF797C"/>
    <w:rsid w:val="00FF7B0F"/>
    <w:rsid w:val="02CE7898"/>
    <w:rsid w:val="038518B3"/>
    <w:rsid w:val="06C76C7A"/>
    <w:rsid w:val="08184A7B"/>
    <w:rsid w:val="094D54F7"/>
    <w:rsid w:val="09D83D52"/>
    <w:rsid w:val="0A2A40FB"/>
    <w:rsid w:val="0B4C7F81"/>
    <w:rsid w:val="0F025C80"/>
    <w:rsid w:val="129F612D"/>
    <w:rsid w:val="12FE1C75"/>
    <w:rsid w:val="147B2FDE"/>
    <w:rsid w:val="14B03784"/>
    <w:rsid w:val="164B51D1"/>
    <w:rsid w:val="169A7F07"/>
    <w:rsid w:val="17057BF5"/>
    <w:rsid w:val="1A69625B"/>
    <w:rsid w:val="1B72378B"/>
    <w:rsid w:val="1C45326E"/>
    <w:rsid w:val="1FFC6717"/>
    <w:rsid w:val="200E130A"/>
    <w:rsid w:val="2208041A"/>
    <w:rsid w:val="263F63D5"/>
    <w:rsid w:val="2A89317C"/>
    <w:rsid w:val="2DE5579D"/>
    <w:rsid w:val="2DEF5412"/>
    <w:rsid w:val="31903F88"/>
    <w:rsid w:val="32D02B12"/>
    <w:rsid w:val="343B79A2"/>
    <w:rsid w:val="364A6DFC"/>
    <w:rsid w:val="378F28CE"/>
    <w:rsid w:val="380D6336"/>
    <w:rsid w:val="38D0417E"/>
    <w:rsid w:val="3A9A3131"/>
    <w:rsid w:val="3BC62A80"/>
    <w:rsid w:val="3E9D5996"/>
    <w:rsid w:val="3F0B01A8"/>
    <w:rsid w:val="42BE08E3"/>
    <w:rsid w:val="452B6074"/>
    <w:rsid w:val="46B77D56"/>
    <w:rsid w:val="47086643"/>
    <w:rsid w:val="47394B20"/>
    <w:rsid w:val="4A5D57E8"/>
    <w:rsid w:val="4C0C011A"/>
    <w:rsid w:val="4E64361B"/>
    <w:rsid w:val="535D4396"/>
    <w:rsid w:val="539B3C3A"/>
    <w:rsid w:val="54465360"/>
    <w:rsid w:val="54A55CAF"/>
    <w:rsid w:val="57946598"/>
    <w:rsid w:val="58DB1253"/>
    <w:rsid w:val="5B781394"/>
    <w:rsid w:val="5B914803"/>
    <w:rsid w:val="5BBA2879"/>
    <w:rsid w:val="62284746"/>
    <w:rsid w:val="649F75B2"/>
    <w:rsid w:val="66952ECC"/>
    <w:rsid w:val="6AFB3FBA"/>
    <w:rsid w:val="6BC73B27"/>
    <w:rsid w:val="6C1F5E15"/>
    <w:rsid w:val="6DB519B1"/>
    <w:rsid w:val="70253370"/>
    <w:rsid w:val="72E408C6"/>
    <w:rsid w:val="749122D8"/>
    <w:rsid w:val="752E3486"/>
    <w:rsid w:val="7762585B"/>
    <w:rsid w:val="7B1B1DDD"/>
    <w:rsid w:val="7CA30A99"/>
    <w:rsid w:val="7FD43E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jc w:val="center"/>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5"/>
    <w:next w:val="1"/>
    <w:qFormat/>
    <w:uiPriority w:val="0"/>
    <w:pPr>
      <w:keepNext/>
      <w:keepLines/>
      <w:spacing w:before="120" w:beforeLines="50" w:after="120" w:afterLines="50" w:line="340" w:lineRule="exact"/>
      <w:jc w:val="left"/>
      <w:outlineLvl w:val="2"/>
    </w:pPr>
    <w:rPr>
      <w:rFonts w:ascii="仿宋_GB2312"/>
      <w:bCs/>
      <w:sz w:val="24"/>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33">
    <w:name w:val="Default Paragraph Font"/>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5">
    <w:name w:val="index 1"/>
    <w:basedOn w:val="1"/>
    <w:next w:val="1"/>
    <w:semiHidden/>
    <w:qFormat/>
    <w:uiPriority w:val="0"/>
    <w:rPr>
      <w:rFonts w:eastAsia="仿宋_GB2312"/>
    </w:rPr>
  </w:style>
  <w:style w:type="paragraph" w:styleId="7">
    <w:name w:val="toc 7"/>
    <w:basedOn w:val="1"/>
    <w:next w:val="1"/>
    <w:semiHidden/>
    <w:qFormat/>
    <w:uiPriority w:val="0"/>
    <w:pPr>
      <w:ind w:left="2520"/>
    </w:pPr>
  </w:style>
  <w:style w:type="paragraph" w:styleId="8">
    <w:name w:val="Normal Indent"/>
    <w:basedOn w:val="1"/>
    <w:qFormat/>
    <w:uiPriority w:val="0"/>
    <w:pPr>
      <w:ind w:firstLine="420" w:firstLineChars="200"/>
    </w:pPr>
  </w:style>
  <w:style w:type="paragraph" w:styleId="9">
    <w:name w:val="Document Map"/>
    <w:basedOn w:val="1"/>
    <w:semiHidden/>
    <w:qFormat/>
    <w:uiPriority w:val="0"/>
    <w:pPr>
      <w:shd w:val="clear" w:color="auto" w:fill="000080"/>
    </w:pPr>
  </w:style>
  <w:style w:type="paragraph" w:styleId="10">
    <w:name w:val="annotation text"/>
    <w:basedOn w:val="1"/>
    <w:semiHidden/>
    <w:qFormat/>
    <w:uiPriority w:val="0"/>
    <w:pPr>
      <w:jc w:val="left"/>
    </w:pPr>
  </w:style>
  <w:style w:type="paragraph" w:styleId="11">
    <w:name w:val="Body Text"/>
    <w:basedOn w:val="1"/>
    <w:qFormat/>
    <w:uiPriority w:val="0"/>
    <w:pPr>
      <w:spacing w:after="120"/>
    </w:pPr>
  </w:style>
  <w:style w:type="paragraph" w:styleId="12">
    <w:name w:val="Body Text Indent"/>
    <w:basedOn w:val="1"/>
    <w:qFormat/>
    <w:uiPriority w:val="0"/>
    <w:pPr>
      <w:widowControl/>
      <w:spacing w:line="360" w:lineRule="auto"/>
      <w:ind w:left="240"/>
      <w:jc w:val="left"/>
    </w:pPr>
    <w:rPr>
      <w:kern w:val="0"/>
      <w:sz w:val="24"/>
    </w:rPr>
  </w:style>
  <w:style w:type="paragraph" w:styleId="13">
    <w:name w:val="toc 5"/>
    <w:basedOn w:val="1"/>
    <w:next w:val="1"/>
    <w:semiHidden/>
    <w:qFormat/>
    <w:uiPriority w:val="0"/>
    <w:pPr>
      <w:ind w:left="1680"/>
    </w:pPr>
  </w:style>
  <w:style w:type="paragraph" w:styleId="14">
    <w:name w:val="toc 3"/>
    <w:basedOn w:val="1"/>
    <w:next w:val="1"/>
    <w:semiHidden/>
    <w:qFormat/>
    <w:uiPriority w:val="0"/>
    <w:pPr>
      <w:tabs>
        <w:tab w:val="right" w:leader="dot" w:pos="8505"/>
        <w:tab w:val="left" w:pos="8925"/>
      </w:tabs>
      <w:spacing w:line="360" w:lineRule="auto"/>
      <w:ind w:left="336" w:leftChars="160" w:right="210" w:rightChars="100" w:firstLine="28"/>
    </w:pPr>
    <w:rPr>
      <w:rFonts w:eastAsia="仿宋_GB2312"/>
    </w:rPr>
  </w:style>
  <w:style w:type="paragraph" w:styleId="15">
    <w:name w:val="Plain Text"/>
    <w:basedOn w:val="1"/>
    <w:link w:val="39"/>
    <w:qFormat/>
    <w:uiPriority w:val="0"/>
    <w:rPr>
      <w:rFonts w:ascii="宋体" w:hAnsi="Courier New"/>
      <w:szCs w:val="20"/>
    </w:rPr>
  </w:style>
  <w:style w:type="paragraph" w:styleId="16">
    <w:name w:val="toc 8"/>
    <w:basedOn w:val="1"/>
    <w:next w:val="1"/>
    <w:semiHidden/>
    <w:qFormat/>
    <w:uiPriority w:val="0"/>
    <w:pPr>
      <w:ind w:left="2940"/>
    </w:pPr>
  </w:style>
  <w:style w:type="paragraph" w:styleId="17">
    <w:name w:val="Date"/>
    <w:basedOn w:val="1"/>
    <w:next w:val="1"/>
    <w:link w:val="40"/>
    <w:qFormat/>
    <w:uiPriority w:val="0"/>
    <w:pPr>
      <w:ind w:left="100" w:leftChars="2500"/>
    </w:pPr>
  </w:style>
  <w:style w:type="paragraph" w:styleId="18">
    <w:name w:val="Body Text Indent 2"/>
    <w:basedOn w:val="1"/>
    <w:qFormat/>
    <w:uiPriority w:val="0"/>
    <w:pPr>
      <w:spacing w:line="440" w:lineRule="exact"/>
      <w:ind w:left="1" w:firstLine="490" w:firstLineChars="204"/>
      <w:jc w:val="left"/>
    </w:pPr>
    <w:rPr>
      <w:rFonts w:eastAsia="仿宋_GB2312"/>
      <w:color w:val="000000"/>
      <w:kern w:val="0"/>
      <w:sz w:val="24"/>
      <w:szCs w:val="20"/>
    </w:rPr>
  </w:style>
  <w:style w:type="paragraph" w:styleId="19">
    <w:name w:val="Balloon Text"/>
    <w:basedOn w:val="1"/>
    <w:semiHidden/>
    <w:qFormat/>
    <w:uiPriority w:val="0"/>
    <w:rPr>
      <w:sz w:val="18"/>
      <w:szCs w:val="18"/>
    </w:rPr>
  </w:style>
  <w:style w:type="paragraph" w:styleId="20">
    <w:name w:val="footer"/>
    <w:basedOn w:val="1"/>
    <w:qFormat/>
    <w:uiPriority w:val="0"/>
    <w:pPr>
      <w:tabs>
        <w:tab w:val="center" w:pos="4153"/>
        <w:tab w:val="right" w:pos="8306"/>
      </w:tabs>
      <w:snapToGrid w:val="0"/>
      <w:jc w:val="left"/>
    </w:pPr>
    <w:rPr>
      <w:sz w:val="18"/>
      <w:szCs w:val="18"/>
    </w:rPr>
  </w:style>
  <w:style w:type="paragraph" w:styleId="2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semiHidden/>
    <w:qFormat/>
    <w:uiPriority w:val="0"/>
    <w:pPr>
      <w:tabs>
        <w:tab w:val="right" w:leader="dot" w:pos="8511"/>
      </w:tabs>
      <w:spacing w:line="360" w:lineRule="auto"/>
      <w:ind w:left="349" w:hanging="349" w:hangingChars="166"/>
    </w:pPr>
    <w:rPr>
      <w:b/>
    </w:rPr>
  </w:style>
  <w:style w:type="paragraph" w:styleId="23">
    <w:name w:val="toc 4"/>
    <w:basedOn w:val="1"/>
    <w:next w:val="1"/>
    <w:semiHidden/>
    <w:qFormat/>
    <w:uiPriority w:val="0"/>
    <w:pPr>
      <w:ind w:left="1260"/>
    </w:pPr>
  </w:style>
  <w:style w:type="paragraph" w:styleId="24">
    <w:name w:val="toc 6"/>
    <w:basedOn w:val="1"/>
    <w:next w:val="1"/>
    <w:semiHidden/>
    <w:qFormat/>
    <w:uiPriority w:val="0"/>
    <w:pPr>
      <w:ind w:left="2100"/>
    </w:pPr>
  </w:style>
  <w:style w:type="paragraph" w:styleId="25">
    <w:name w:val="Body Text Indent 3"/>
    <w:basedOn w:val="1"/>
    <w:qFormat/>
    <w:uiPriority w:val="0"/>
    <w:pPr>
      <w:spacing w:after="120"/>
      <w:ind w:left="420" w:leftChars="200"/>
    </w:pPr>
    <w:rPr>
      <w:sz w:val="16"/>
      <w:szCs w:val="16"/>
    </w:rPr>
  </w:style>
  <w:style w:type="paragraph" w:styleId="26">
    <w:name w:val="toc 2"/>
    <w:basedOn w:val="1"/>
    <w:next w:val="1"/>
    <w:semiHidden/>
    <w:qFormat/>
    <w:uiPriority w:val="0"/>
    <w:pPr>
      <w:tabs>
        <w:tab w:val="right" w:leader="dot" w:pos="8505"/>
      </w:tabs>
      <w:spacing w:line="360" w:lineRule="auto"/>
      <w:ind w:left="393" w:leftChars="50" w:hanging="288" w:hangingChars="120"/>
    </w:pPr>
    <w:rPr>
      <w:b/>
    </w:rPr>
  </w:style>
  <w:style w:type="paragraph" w:styleId="27">
    <w:name w:val="toc 9"/>
    <w:basedOn w:val="1"/>
    <w:next w:val="1"/>
    <w:semiHidden/>
    <w:qFormat/>
    <w:uiPriority w:val="0"/>
    <w:pPr>
      <w:ind w:left="3360"/>
    </w:pPr>
  </w:style>
  <w:style w:type="paragraph" w:styleId="2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9">
    <w:name w:val="Title"/>
    <w:basedOn w:val="1"/>
    <w:qFormat/>
    <w:uiPriority w:val="0"/>
    <w:pPr>
      <w:spacing w:before="240" w:after="60"/>
      <w:jc w:val="center"/>
      <w:outlineLvl w:val="0"/>
    </w:pPr>
    <w:rPr>
      <w:rFonts w:ascii="Arial" w:hAnsi="Arial" w:cs="Arial"/>
      <w:b/>
      <w:bCs/>
      <w:sz w:val="32"/>
      <w:szCs w:val="32"/>
    </w:rPr>
  </w:style>
  <w:style w:type="paragraph" w:styleId="30">
    <w:name w:val="annotation subject"/>
    <w:basedOn w:val="10"/>
    <w:next w:val="10"/>
    <w:semiHidden/>
    <w:qFormat/>
    <w:uiPriority w:val="0"/>
    <w:rPr>
      <w:b/>
      <w:bCs/>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qFormat/>
    <w:uiPriority w:val="0"/>
    <w:rPr>
      <w:b/>
      <w:bCs/>
    </w:rPr>
  </w:style>
  <w:style w:type="character" w:styleId="35">
    <w:name w:val="page number"/>
    <w:qFormat/>
    <w:uiPriority w:val="0"/>
  </w:style>
  <w:style w:type="character" w:styleId="36">
    <w:name w:val="FollowedHyperlink"/>
    <w:qFormat/>
    <w:uiPriority w:val="0"/>
    <w:rPr>
      <w:color w:val="800080"/>
      <w:u w:val="single"/>
    </w:rPr>
  </w:style>
  <w:style w:type="character" w:styleId="37">
    <w:name w:val="Hyperlink"/>
    <w:qFormat/>
    <w:uiPriority w:val="0"/>
    <w:rPr>
      <w:color w:val="auto"/>
      <w:u w:val="none"/>
    </w:rPr>
  </w:style>
  <w:style w:type="character" w:styleId="38">
    <w:name w:val="annotation reference"/>
    <w:semiHidden/>
    <w:qFormat/>
    <w:uiPriority w:val="0"/>
    <w:rPr>
      <w:sz w:val="21"/>
      <w:szCs w:val="21"/>
    </w:rPr>
  </w:style>
  <w:style w:type="character" w:customStyle="1" w:styleId="39">
    <w:name w:val="纯文本 字符"/>
    <w:link w:val="15"/>
    <w:qFormat/>
    <w:uiPriority w:val="0"/>
    <w:rPr>
      <w:rFonts w:ascii="宋体" w:hAnsi="Courier New"/>
      <w:kern w:val="2"/>
      <w:sz w:val="21"/>
    </w:rPr>
  </w:style>
  <w:style w:type="character" w:customStyle="1" w:styleId="40">
    <w:name w:val="日期 字符"/>
    <w:link w:val="17"/>
    <w:qFormat/>
    <w:uiPriority w:val="0"/>
    <w:rPr>
      <w:rFonts w:eastAsia="宋体"/>
      <w:kern w:val="2"/>
      <w:sz w:val="21"/>
      <w:szCs w:val="24"/>
      <w:lang w:val="en-US" w:eastAsia="zh-CN" w:bidi="ar-SA"/>
    </w:rPr>
  </w:style>
  <w:style w:type="paragraph" w:customStyle="1" w:styleId="41">
    <w:name w:val="Char Char Char Char Char Char Char Char Char Char Char Char Char"/>
    <w:basedOn w:val="1"/>
    <w:qFormat/>
    <w:uiPriority w:val="0"/>
    <w:rPr>
      <w:rFonts w:ascii="仿宋_GB2312" w:eastAsia="仿宋_GB2312"/>
      <w:b/>
      <w:sz w:val="32"/>
      <w:szCs w:val="32"/>
    </w:rPr>
  </w:style>
  <w:style w:type="paragraph" w:customStyle="1" w:styleId="42">
    <w:name w:val="表"/>
    <w:basedOn w:val="1"/>
    <w:qFormat/>
    <w:uiPriority w:val="0"/>
    <w:pPr>
      <w:adjustRightInd w:val="0"/>
      <w:snapToGrid w:val="0"/>
      <w:spacing w:line="240" w:lineRule="atLeast"/>
    </w:pPr>
    <w:rPr>
      <w:rFonts w:ascii="Arial" w:hAnsi="Arial"/>
      <w:sz w:val="24"/>
    </w:rPr>
  </w:style>
  <w:style w:type="character" w:customStyle="1" w:styleId="43">
    <w:name w:val="索引 1 Char Char"/>
    <w:qFormat/>
    <w:uiPriority w:val="0"/>
    <w:rPr>
      <w:rFonts w:eastAsia="宋体"/>
      <w:kern w:val="2"/>
      <w:sz w:val="21"/>
      <w:szCs w:val="24"/>
      <w:lang w:val="en-US" w:eastAsia="zh-CN" w:bidi="ar-SA"/>
    </w:rPr>
  </w:style>
  <w:style w:type="character" w:customStyle="1" w:styleId="44">
    <w:name w:val="标题 3 Char Char"/>
    <w:qFormat/>
    <w:uiPriority w:val="0"/>
    <w:rPr>
      <w:rFonts w:ascii="仿宋_GB2312" w:eastAsia="仿宋_GB2312"/>
      <w:bCs/>
      <w:kern w:val="2"/>
      <w:sz w:val="24"/>
      <w:szCs w:val="24"/>
      <w:lang w:val="en-US" w:eastAsia="zh-CN" w:bidi="ar-SA"/>
    </w:rPr>
  </w:style>
  <w:style w:type="paragraph" w:customStyle="1" w:styleId="45">
    <w:name w:val="样式 楷体_GB2312 小四 首行缩进:  0.8 厘米 行距: 固定值 28 磅"/>
    <w:basedOn w:val="1"/>
    <w:qFormat/>
    <w:uiPriority w:val="0"/>
    <w:pPr>
      <w:spacing w:line="360" w:lineRule="auto"/>
      <w:jc w:val="center"/>
    </w:pPr>
    <w:rPr>
      <w:rFonts w:eastAsia="仿宋_GB2312"/>
      <w:szCs w:val="21"/>
    </w:rPr>
  </w:style>
  <w:style w:type="character" w:customStyle="1" w:styleId="46">
    <w:name w:val="样式 超链接 + 仿宋_GB2312 小四 加粗"/>
    <w:qFormat/>
    <w:uiPriority w:val="0"/>
    <w:rPr>
      <w:rFonts w:ascii="仿宋_GB2312" w:hAnsi="仿宋_GB2312" w:eastAsia="黑体"/>
      <w:b/>
      <w:bCs/>
      <w:color w:val="auto"/>
      <w:sz w:val="24"/>
      <w:u w:val="none"/>
    </w:rPr>
  </w:style>
  <w:style w:type="paragraph" w:customStyle="1" w:styleId="47">
    <w:name w:val="样式 标题 3 + 二号 Char Char Char Char"/>
    <w:basedOn w:val="4"/>
    <w:qFormat/>
    <w:uiPriority w:val="0"/>
    <w:pPr>
      <w:spacing w:before="0" w:beforeLines="0" w:after="0" w:afterLines="0" w:line="240" w:lineRule="auto"/>
    </w:pPr>
    <w:rPr>
      <w:rFonts w:hAnsi="华文中宋"/>
      <w:sz w:val="44"/>
    </w:rPr>
  </w:style>
  <w:style w:type="character" w:customStyle="1" w:styleId="48">
    <w:name w:val="样式 标题 3 + 二号 Char Char Char Char Char"/>
    <w:qFormat/>
    <w:uiPriority w:val="0"/>
    <w:rPr>
      <w:rFonts w:ascii="仿宋_GB2312" w:hAnsi="华文中宋" w:eastAsia="仿宋_GB2312"/>
      <w:bCs/>
      <w:kern w:val="2"/>
      <w:sz w:val="44"/>
      <w:szCs w:val="24"/>
      <w:lang w:val="en-US" w:eastAsia="zh-CN" w:bidi="ar-SA"/>
    </w:rPr>
  </w:style>
  <w:style w:type="paragraph" w:customStyle="1" w:styleId="49">
    <w:name w:val="样式 华文中宋 小四 加粗 Char"/>
    <w:basedOn w:val="1"/>
    <w:qFormat/>
    <w:uiPriority w:val="0"/>
    <w:rPr>
      <w:rFonts w:ascii="华文中宋" w:hAnsi="华文中宋" w:eastAsia="华文中宋"/>
      <w:b/>
      <w:bCs/>
      <w:sz w:val="24"/>
    </w:rPr>
  </w:style>
  <w:style w:type="character" w:customStyle="1" w:styleId="50">
    <w:name w:val="样式 华文中宋 小四 加粗 Char Char"/>
    <w:qFormat/>
    <w:uiPriority w:val="0"/>
    <w:rPr>
      <w:rFonts w:ascii="华文中宋" w:hAnsi="华文中宋" w:eastAsia="华文中宋"/>
      <w:b/>
      <w:bCs/>
      <w:kern w:val="2"/>
      <w:sz w:val="24"/>
      <w:szCs w:val="24"/>
      <w:lang w:val="en-US" w:eastAsia="zh-CN" w:bidi="ar-SA"/>
    </w:rPr>
  </w:style>
  <w:style w:type="paragraph" w:customStyle="1" w:styleId="51">
    <w:name w:val="正文2"/>
    <w:basedOn w:val="1"/>
    <w:qFormat/>
    <w:uiPriority w:val="0"/>
    <w:pPr>
      <w:spacing w:line="360" w:lineRule="auto"/>
    </w:pPr>
    <w:rPr>
      <w:rFonts w:eastAsia="楷体_GB2312"/>
      <w:sz w:val="28"/>
    </w:rPr>
  </w:style>
  <w:style w:type="paragraph" w:customStyle="1" w:styleId="52">
    <w:name w:val="样式 标题 3 +"/>
    <w:basedOn w:val="4"/>
    <w:qFormat/>
    <w:uiPriority w:val="0"/>
    <w:pPr>
      <w:spacing w:before="0" w:beforeLines="0" w:after="0" w:afterLines="0" w:line="360" w:lineRule="auto"/>
    </w:pPr>
    <w:rPr>
      <w:rFonts w:ascii="Times New Roman"/>
      <w:kern w:val="0"/>
      <w:lang w:val="zh-CN"/>
    </w:rPr>
  </w:style>
  <w:style w:type="paragraph" w:customStyle="1" w:styleId="53">
    <w:name w:val="样式 标题 3 + 仿宋_GB2312 小四 段前: 0 磅 段后: 0 磅"/>
    <w:basedOn w:val="4"/>
    <w:qFormat/>
    <w:uiPriority w:val="0"/>
    <w:pPr>
      <w:spacing w:before="50" w:after="0" w:afterLines="0" w:line="415" w:lineRule="auto"/>
    </w:pPr>
    <w:rPr>
      <w:rFonts w:cs="宋体"/>
      <w:b/>
      <w:kern w:val="0"/>
      <w:szCs w:val="20"/>
    </w:rPr>
  </w:style>
  <w:style w:type="paragraph" w:customStyle="1" w:styleId="54">
    <w:name w:val="样式 样式 标题 3 + 仿宋_GB2312 小四 段前: 0 磅 段后: 0 磅 + 段前: 0.5 行"/>
    <w:basedOn w:val="53"/>
    <w:qFormat/>
    <w:uiPriority w:val="0"/>
    <w:pPr>
      <w:spacing w:after="50" w:afterLines="50"/>
    </w:pPr>
  </w:style>
  <w:style w:type="paragraph" w:customStyle="1" w:styleId="55">
    <w:name w:val="样式 样式 样式 标题 3 + 仿宋_GB2312 小四 段前: 0 磅 段后: 0 磅 + 段前: 0.5 行 + 段前: 0..."/>
    <w:basedOn w:val="54"/>
    <w:qFormat/>
    <w:uiPriority w:val="0"/>
    <w:pPr>
      <w:spacing w:before="100" w:beforeLines="100"/>
    </w:pPr>
  </w:style>
  <w:style w:type="paragraph" w:customStyle="1" w:styleId="56">
    <w:name w:val="2"/>
    <w:basedOn w:val="1"/>
    <w:next w:val="28"/>
    <w:qFormat/>
    <w:uiPriority w:val="0"/>
    <w:pPr>
      <w:widowControl/>
      <w:spacing w:before="100" w:beforeAutospacing="1" w:after="100" w:afterAutospacing="1"/>
      <w:jc w:val="left"/>
    </w:pPr>
    <w:rPr>
      <w:rFonts w:ascii="宋体" w:hAnsi="宋体" w:cs="宋体"/>
      <w:kern w:val="0"/>
      <w:sz w:val="24"/>
    </w:rPr>
  </w:style>
  <w:style w:type="paragraph" w:customStyle="1" w:styleId="57">
    <w:name w:val="样式 标题 3 + 二号 Char Char Char"/>
    <w:basedOn w:val="4"/>
    <w:qFormat/>
    <w:uiPriority w:val="0"/>
    <w:pPr>
      <w:spacing w:before="0" w:beforeLines="0" w:after="0" w:afterLines="0" w:line="240" w:lineRule="auto"/>
    </w:pPr>
    <w:rPr>
      <w:rFonts w:hAnsi="华文中宋"/>
      <w:sz w:val="44"/>
    </w:rPr>
  </w:style>
  <w:style w:type="paragraph" w:customStyle="1" w:styleId="58">
    <w:name w:val="样式 华文中宋 小四 加粗"/>
    <w:basedOn w:val="1"/>
    <w:qFormat/>
    <w:uiPriority w:val="0"/>
    <w:rPr>
      <w:rFonts w:ascii="华文中宋" w:hAnsi="华文中宋" w:eastAsia="华文中宋"/>
      <w:b/>
      <w:bCs/>
      <w:sz w:val="24"/>
    </w:rPr>
  </w:style>
  <w:style w:type="paragraph" w:customStyle="1" w:styleId="59">
    <w:name w:val="1"/>
    <w:basedOn w:val="1"/>
    <w:next w:val="28"/>
    <w:qFormat/>
    <w:uiPriority w:val="0"/>
    <w:pPr>
      <w:widowControl/>
      <w:spacing w:before="100" w:beforeAutospacing="1" w:after="100" w:afterAutospacing="1"/>
      <w:jc w:val="left"/>
    </w:pPr>
    <w:rPr>
      <w:rFonts w:ascii="宋体" w:hAnsi="宋体" w:cs="宋体"/>
      <w:kern w:val="0"/>
      <w:sz w:val="24"/>
    </w:rPr>
  </w:style>
  <w:style w:type="paragraph" w:customStyle="1" w:styleId="60">
    <w:name w:val="Char"/>
    <w:basedOn w:val="1"/>
    <w:qFormat/>
    <w:uiPriority w:val="0"/>
    <w:rPr>
      <w:rFonts w:ascii="仿宋_GB2312" w:eastAsia="仿宋_GB2312"/>
      <w:b/>
      <w:sz w:val="32"/>
      <w:szCs w:val="32"/>
    </w:rPr>
  </w:style>
  <w:style w:type="paragraph" w:customStyle="1" w:styleId="61">
    <w:name w:val="样式 标题 2 + (西文) Times New Roman (中文) 仿宋_GB2312 居中 段前: 6 磅 段后:..."/>
    <w:basedOn w:val="3"/>
    <w:qFormat/>
    <w:uiPriority w:val="0"/>
    <w:pPr>
      <w:spacing w:before="120" w:after="120" w:line="360" w:lineRule="auto"/>
      <w:ind w:firstLine="200" w:firstLineChars="200"/>
      <w:jc w:val="left"/>
    </w:pPr>
    <w:rPr>
      <w:rFonts w:ascii="Times New Roman" w:hAnsi="Times New Roman" w:eastAsia="仿宋_GB2312" w:cs="宋体"/>
      <w:szCs w:val="20"/>
    </w:rPr>
  </w:style>
  <w:style w:type="paragraph" w:customStyle="1" w:styleId="62">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63">
    <w:name w:val="font6"/>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64">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6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66">
    <w:name w:val="xl26"/>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6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68">
    <w:name w:val="xl28"/>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69">
    <w:name w:val="xl29"/>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70">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71">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72">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73">
    <w:name w:val="xl33"/>
    <w:basedOn w:val="1"/>
    <w:qFormat/>
    <w:uiPriority w:val="0"/>
    <w:pPr>
      <w:widowControl/>
      <w:pBdr>
        <w:top w:val="single" w:color="auto" w:sz="4" w:space="0"/>
      </w:pBdr>
      <w:spacing w:before="100" w:beforeAutospacing="1" w:after="100" w:afterAutospacing="1"/>
      <w:jc w:val="center"/>
    </w:pPr>
    <w:rPr>
      <w:rFonts w:ascii="宋体" w:hAnsi="宋体"/>
      <w:b/>
      <w:bCs/>
      <w:kern w:val="0"/>
      <w:sz w:val="22"/>
      <w:szCs w:val="22"/>
    </w:rPr>
  </w:style>
  <w:style w:type="paragraph" w:customStyle="1" w:styleId="74">
    <w:name w:val="xl68"/>
    <w:basedOn w:val="1"/>
    <w:qFormat/>
    <w:uiPriority w:val="0"/>
    <w:pPr>
      <w:widowControl/>
      <w:spacing w:before="100" w:beforeAutospacing="1" w:after="100" w:afterAutospacing="1"/>
      <w:jc w:val="center"/>
      <w:textAlignment w:val="center"/>
    </w:pPr>
    <w:rPr>
      <w:rFonts w:ascii="宋体" w:hAnsi="宋体"/>
      <w:b/>
      <w:bCs/>
      <w:kern w:val="0"/>
      <w:sz w:val="36"/>
      <w:szCs w:val="36"/>
    </w:rPr>
  </w:style>
  <w:style w:type="paragraph" w:customStyle="1" w:styleId="75">
    <w:name w:val="Char Char Char Char Char Char Char Char Char Char Char Char Char1"/>
    <w:basedOn w:val="1"/>
    <w:qFormat/>
    <w:uiPriority w:val="0"/>
    <w:rPr>
      <w:rFonts w:ascii="仿宋_GB2312" w:eastAsia="仿宋_GB2312"/>
      <w:b/>
      <w:sz w:val="32"/>
      <w:szCs w:val="32"/>
    </w:rPr>
  </w:style>
  <w:style w:type="paragraph" w:customStyle="1" w:styleId="76">
    <w:name w:val="Char Char Char Char Char Char Char"/>
    <w:basedOn w:val="1"/>
    <w:qFormat/>
    <w:uiPriority w:val="0"/>
    <w:rPr>
      <w:rFonts w:ascii="仿宋_GB2312" w:eastAsia="仿宋_GB2312"/>
      <w:b/>
      <w:sz w:val="32"/>
      <w:szCs w:val="32"/>
    </w:rPr>
  </w:style>
  <w:style w:type="paragraph" w:customStyle="1" w:styleId="77">
    <w:name w:val="ee"/>
    <w:basedOn w:val="1"/>
    <w:qFormat/>
    <w:uiPriority w:val="0"/>
    <w:pPr>
      <w:widowControl/>
      <w:spacing w:before="100" w:beforeAutospacing="1" w:after="100" w:afterAutospacing="1" w:line="300" w:lineRule="atLeast"/>
      <w:jc w:val="left"/>
    </w:pPr>
    <w:rPr>
      <w:rFonts w:ascii="宋体" w:hAnsi="宋体" w:cs="宋体"/>
      <w:color w:val="000000"/>
      <w:kern w:val="0"/>
      <w:sz w:val="18"/>
      <w:szCs w:val="18"/>
    </w:rPr>
  </w:style>
  <w:style w:type="paragraph" w:customStyle="1" w:styleId="78">
    <w:name w:val="Char1"/>
    <w:basedOn w:val="1"/>
    <w:qFormat/>
    <w:uiPriority w:val="0"/>
    <w:rPr>
      <w:rFonts w:ascii="仿宋_GB2312" w:eastAsia="仿宋_GB2312"/>
      <w:b/>
      <w:sz w:val="32"/>
      <w:szCs w:val="32"/>
    </w:rPr>
  </w:style>
  <w:style w:type="paragraph" w:customStyle="1" w:styleId="79">
    <w:name w:val="正文H"/>
    <w:next w:val="1"/>
    <w:qFormat/>
    <w:uiPriority w:val="0"/>
    <w:pPr>
      <w:adjustRightInd w:val="0"/>
      <w:spacing w:line="360" w:lineRule="auto"/>
      <w:ind w:firstLine="200" w:firstLineChars="200"/>
    </w:pPr>
    <w:rPr>
      <w:rFonts w:ascii="Times New Roman" w:hAnsi="Times New Roman" w:eastAsia="宋体" w:cs="Times New Roman"/>
      <w:kern w:val="2"/>
      <w:sz w:val="21"/>
      <w:szCs w:val="21"/>
      <w:lang w:val="en-US" w:eastAsia="zh-CN" w:bidi="ar-SA"/>
    </w:rPr>
  </w:style>
  <w:style w:type="character" w:customStyle="1" w:styleId="80">
    <w:name w:val="middle1"/>
    <w:qFormat/>
    <w:uiPriority w:val="0"/>
    <w:rPr>
      <w:rFonts w:hint="default"/>
      <w:sz w:val="21"/>
      <w:szCs w:val="21"/>
    </w:rPr>
  </w:style>
  <w:style w:type="paragraph" w:styleId="81">
    <w:name w:val="No Spacing"/>
    <w:link w:val="82"/>
    <w:qFormat/>
    <w:uiPriority w:val="0"/>
    <w:pPr>
      <w:widowControl w:val="0"/>
      <w:adjustRightInd w:val="0"/>
      <w:snapToGrid w:val="0"/>
      <w:jc w:val="center"/>
    </w:pPr>
    <w:rPr>
      <w:rFonts w:ascii="Calibri" w:hAnsi="Calibri" w:eastAsia="宋体" w:cs="Times New Roman"/>
      <w:kern w:val="2"/>
      <w:sz w:val="18"/>
      <w:szCs w:val="18"/>
      <w:lang w:val="en-US" w:eastAsia="zh-CN" w:bidi="ar-SA"/>
    </w:rPr>
  </w:style>
  <w:style w:type="character" w:customStyle="1" w:styleId="82">
    <w:name w:val="无间隔 字符"/>
    <w:link w:val="81"/>
    <w:qFormat/>
    <w:uiPriority w:val="0"/>
    <w:rPr>
      <w:rFonts w:ascii="Calibri" w:hAnsi="Calibri"/>
      <w:kern w:val="2"/>
      <w:sz w:val="18"/>
      <w:szCs w:val="18"/>
      <w:lang w:val="en-US" w:eastAsia="zh-CN" w:bidi="ar-SA"/>
    </w:rPr>
  </w:style>
  <w:style w:type="paragraph" w:customStyle="1" w:styleId="83">
    <w:name w:val="标题一"/>
    <w:basedOn w:val="29"/>
    <w:qFormat/>
    <w:uiPriority w:val="0"/>
    <w:pPr>
      <w:adjustRightInd w:val="0"/>
      <w:snapToGrid w:val="0"/>
      <w:spacing w:before="50" w:beforeLines="50" w:after="0" w:line="440" w:lineRule="exact"/>
      <w:ind w:firstLine="200" w:firstLineChars="200"/>
      <w:jc w:val="left"/>
    </w:pPr>
    <w:rPr>
      <w:rFonts w:ascii="宋体" w:hAnsi="宋体"/>
      <w:sz w:val="21"/>
    </w:rPr>
  </w:style>
  <w:style w:type="paragraph" w:customStyle="1" w:styleId="8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5">
    <w:name w:val="表格"/>
    <w:basedOn w:val="1"/>
    <w:qFormat/>
    <w:uiPriority w:val="0"/>
    <w:pPr>
      <w:adjustRightInd w:val="0"/>
      <w:snapToGrid w:val="0"/>
      <w:spacing w:line="240" w:lineRule="atLeast"/>
      <w:ind w:left="-103" w:leftChars="-51" w:hanging="4" w:hangingChars="2"/>
    </w:pPr>
    <w:rPr>
      <w:rFonts w:ascii="宋体" w:hAnsi="宋体"/>
      <w:color w:val="000000"/>
      <w:kern w:val="0"/>
      <w:sz w:val="20"/>
      <w:szCs w:val="20"/>
    </w:rPr>
  </w:style>
  <w:style w:type="paragraph" w:customStyle="1" w:styleId="86">
    <w:name w:val="Revision"/>
    <w:unhideWhenUsed/>
    <w:qFormat/>
    <w:uiPriority w:val="99"/>
    <w:rPr>
      <w:rFonts w:ascii="Times New Roman" w:hAnsi="Times New Roman" w:eastAsia="宋体" w:cs="Times New Roman"/>
      <w:kern w:val="2"/>
      <w:sz w:val="21"/>
      <w:szCs w:val="24"/>
      <w:lang w:val="en-US" w:eastAsia="zh-CN" w:bidi="ar-SA"/>
    </w:rPr>
  </w:style>
  <w:style w:type="paragraph" w:styleId="8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87</Pages>
  <Words>576</Words>
  <Characters>628</Characters>
  <Lines>153</Lines>
  <Paragraphs>43</Paragraphs>
  <TotalTime>2</TotalTime>
  <ScaleCrop>false</ScaleCrop>
  <LinksUpToDate>false</LinksUpToDate>
  <CharactersWithSpaces>631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2026-04-22T03:30:00Z</dcterms:created>
  <dc:creator>user</dc:creator>
  <cp:lastModifiedBy>我可是仙人掌啊</cp:lastModifiedBy>
  <cp:lastPrinted>2016-07-19T02:19:00Z</cp:lastPrinted>
  <dcterms:modified xsi:type="dcterms:W3CDTF">2026-08-20T07:10:45Z</dcterms:modified>
  <dc:title>招标备案编号：20110118</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A458740DF6B94932A213184744F4D65B</vt:lpwstr>
  </property>
  <property fmtid="{D5CDD505-2E9C-101B-9397-08002B2CF9AE}" pid="4" name="KSOTemplateDocerSaveRecord">
    <vt:lpwstr>eyJoZGlkIjoiNmE1NTcxZTNhNTg4MjY2YmU3M2MzMzM0MWVhMDFhNjUiLCJ1c2VySWQiOiIyMzk3MDQ5NDIifQ==</vt:lpwstr>
  </property>
</Properties>
</file>