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C46831">
      <w:pPr>
        <w:spacing w:line="360" w:lineRule="auto"/>
        <w:jc w:val="left"/>
        <w:rPr>
          <w:rFonts w:hint="eastAsia" w:eastAsia="仿宋_GB2312"/>
          <w:bCs/>
          <w:color w:val="000000"/>
          <w:sz w:val="28"/>
          <w:szCs w:val="28"/>
          <w:highlight w:val="none"/>
          <w:u w:val="single"/>
          <w:lang w:val="en-US" w:eastAsia="zh-CN"/>
        </w:rPr>
      </w:pPr>
      <w:bookmarkStart w:id="0" w:name="_Hlk126831517"/>
      <w:r>
        <w:rPr>
          <w:rFonts w:hint="eastAsia" w:eastAsia="仿宋_GB2312"/>
          <w:bCs/>
          <w:color w:val="000000"/>
          <w:sz w:val="28"/>
          <w:szCs w:val="28"/>
          <w:highlight w:val="none"/>
        </w:rPr>
        <w:t>合同编号：</w:t>
      </w:r>
      <w:permStart w:id="0" w:edGrp="everyone"/>
      <w:r>
        <w:rPr>
          <w:rFonts w:hint="eastAsia" w:eastAsia="仿宋_GB2312"/>
          <w:bCs/>
          <w:color w:val="000000"/>
          <w:sz w:val="28"/>
          <w:szCs w:val="28"/>
          <w:highlight w:val="none"/>
          <w:u w:val="single"/>
        </w:rPr>
        <w:t xml:space="preserve"> </w:t>
      </w:r>
      <w:r>
        <w:rPr>
          <w:rFonts w:hint="eastAsia" w:ascii="宋体" w:hAnsi="宋体" w:eastAsia="宋体"/>
          <w:highlight w:val="none"/>
          <w:u w:val="single"/>
        </w:rPr>
        <w:t>ZJLQ-FG-兴坪景区道路项目-02</w:t>
      </w:r>
      <w:r>
        <w:rPr>
          <w:rFonts w:hint="eastAsia" w:ascii="宋体" w:hAnsi="宋体" w:eastAsia="宋体"/>
          <w:highlight w:val="none"/>
          <w:u w:val="single"/>
          <w:lang w:val="en-US" w:eastAsia="zh-CN"/>
        </w:rPr>
        <w:t>4</w:t>
      </w:r>
      <w:r>
        <w:rPr>
          <w:rFonts w:hint="eastAsia" w:ascii="宋体" w:hAnsi="宋体" w:eastAsia="宋体"/>
          <w:highlight w:val="none"/>
          <w:u w:val="single"/>
        </w:rPr>
        <w:t>号</w:t>
      </w:r>
      <w:r>
        <w:rPr>
          <w:rFonts w:hint="eastAsia" w:eastAsia="仿宋_GB2312"/>
          <w:bCs/>
          <w:color w:val="000000"/>
          <w:sz w:val="28"/>
          <w:szCs w:val="28"/>
          <w:highlight w:val="none"/>
          <w:u w:val="single"/>
        </w:rPr>
        <w:t xml:space="preserve">  </w:t>
      </w:r>
      <w:r>
        <w:rPr>
          <w:rFonts w:hint="eastAsia" w:eastAsia="仿宋_GB2312"/>
          <w:bCs/>
          <w:color w:val="000000"/>
          <w:sz w:val="28"/>
          <w:szCs w:val="28"/>
          <w:highlight w:val="none"/>
          <w:u w:val="single"/>
          <w:lang w:val="en-US" w:eastAsia="zh-CN"/>
        </w:rPr>
        <w:t xml:space="preserve">   </w:t>
      </w:r>
      <w:r>
        <w:rPr>
          <w:rFonts w:hint="eastAsia" w:eastAsia="仿宋_GB2312"/>
          <w:bCs/>
          <w:color w:val="000000"/>
          <w:sz w:val="28"/>
          <w:szCs w:val="28"/>
          <w:highlight w:val="none"/>
          <w:u w:val="single"/>
        </w:rPr>
        <w:t xml:space="preserve">  </w:t>
      </w:r>
      <w:r>
        <w:rPr>
          <w:rFonts w:hint="eastAsia" w:eastAsia="仿宋_GB2312"/>
          <w:bCs/>
          <w:color w:val="000000"/>
          <w:sz w:val="28"/>
          <w:szCs w:val="28"/>
          <w:highlight w:val="none"/>
          <w:u w:val="single"/>
          <w:lang w:val="en-US" w:eastAsia="zh-CN"/>
        </w:rPr>
        <w:t xml:space="preserve"> </w:t>
      </w:r>
      <w:permEnd w:id="0"/>
    </w:p>
    <w:p w14:paraId="59B6A75F">
      <w:pPr>
        <w:wordWrap w:val="0"/>
        <w:spacing w:line="640" w:lineRule="exact"/>
        <w:jc w:val="both"/>
        <w:rPr>
          <w:rFonts w:ascii="仿宋_GB2312" w:hAnsi="仿宋" w:eastAsia="仿宋_GB2312" w:cs="仿宋"/>
          <w:color w:val="000000" w:themeColor="text1"/>
          <w:sz w:val="24"/>
          <w:szCs w:val="24"/>
          <w:highlight w:val="none"/>
          <w14:textFill>
            <w14:solidFill>
              <w14:schemeClr w14:val="tx1"/>
            </w14:solidFill>
          </w14:textFill>
        </w:rPr>
      </w:pPr>
      <w:r>
        <w:rPr>
          <w:rFonts w:hint="eastAsia" w:eastAsia="仿宋_GB2312"/>
          <w:bCs/>
          <w:color w:val="000000"/>
          <w:sz w:val="28"/>
          <w:szCs w:val="28"/>
          <w:highlight w:val="none"/>
        </w:rPr>
        <w:t>框架协议：</w:t>
      </w:r>
      <w:permStart w:id="1" w:edGrp="everyone"/>
      <w:r>
        <w:rPr>
          <w:rFonts w:hint="eastAsia" w:eastAsia="仿宋_GB2312"/>
          <w:bCs/>
          <w:color w:val="000000"/>
          <w:sz w:val="28"/>
          <w:szCs w:val="28"/>
          <w:highlight w:val="none"/>
          <w:u w:val="single"/>
        </w:rPr>
        <w:t xml:space="preserve">                    </w:t>
      </w:r>
      <w:permEnd w:id="1"/>
    </w:p>
    <w:p w14:paraId="50612A7C">
      <w:pPr>
        <w:spacing w:line="360" w:lineRule="auto"/>
        <w:jc w:val="left"/>
        <w:rPr>
          <w:rFonts w:hint="eastAsia" w:ascii="仿宋_GB2312" w:hAnsi="仿宋_GB2312" w:eastAsia="仿宋_GB2312" w:cs="仿宋_GB2312"/>
          <w:sz w:val="28"/>
          <w:szCs w:val="28"/>
          <w:highlight w:val="none"/>
        </w:rPr>
      </w:pPr>
      <w:r>
        <w:rPr>
          <w:highlight w:val="none"/>
        </w:rPr>
        <w:pict>
          <v:shape id="_x0000_s1029" o:spid="_x0000_s1029" o:spt="136" type="#_x0000_t136" style="position:absolute;left:0pt;margin-left:100pt;margin-top:100pt;height:100pt;width:200pt;z-index:251663360;mso-width-relative:page;mso-height-relative:page;" coordsize="21600,21600">
            <v:path/>
            <v:fill opacity="32768f" focussize="0,0"/>
            <v:stroke/>
            <v:imagedata o:title=""/>
            <o:lock v:ext="edit"/>
            <v:textpath on="t" fitshape="t" fitpath="t" trim="t" xscale="f" string="" style="font-size:36pt;v-text-align:center;"/>
          </v:shape>
        </w:pict>
      </w:r>
    </w:p>
    <w:p w14:paraId="46DCEF69">
      <w:pPr>
        <w:pStyle w:val="9"/>
        <w:rPr>
          <w:rFonts w:hint="eastAsia"/>
          <w:highlight w:val="none"/>
        </w:rPr>
      </w:pPr>
    </w:p>
    <w:p w14:paraId="2496C394">
      <w:pPr>
        <w:pStyle w:val="9"/>
        <w:rPr>
          <w:rFonts w:hint="eastAsia"/>
          <w:highlight w:val="none"/>
        </w:rPr>
      </w:pPr>
    </w:p>
    <w:p w14:paraId="764E2235">
      <w:pPr>
        <w:pStyle w:val="9"/>
        <w:rPr>
          <w:rFonts w:hint="eastAsia"/>
          <w:highlight w:val="none"/>
        </w:rPr>
      </w:pPr>
    </w:p>
    <w:p w14:paraId="0F14C997">
      <w:pPr>
        <w:spacing w:line="360" w:lineRule="auto"/>
        <w:jc w:val="center"/>
        <w:rPr>
          <w:rFonts w:hint="eastAsia" w:ascii="华文中宋" w:hAnsi="华文中宋" w:eastAsia="华文中宋" w:cs="华文中宋"/>
          <w:b/>
          <w:sz w:val="52"/>
          <w:szCs w:val="52"/>
          <w:highlight w:val="none"/>
        </w:rPr>
      </w:pPr>
      <w:r>
        <w:rPr>
          <w:rFonts w:hint="eastAsia" w:ascii="华文中宋" w:hAnsi="华文中宋" w:eastAsia="华文中宋" w:cs="华文中宋"/>
          <w:b/>
          <w:sz w:val="52"/>
          <w:szCs w:val="52"/>
          <w:highlight w:val="none"/>
        </w:rPr>
        <w:t>【</w:t>
      </w:r>
      <w:r>
        <w:rPr>
          <w:rFonts w:hint="eastAsia" w:ascii="华文中宋" w:hAnsi="华文中宋" w:eastAsia="华文中宋" w:cs="华文中宋"/>
          <w:b/>
          <w:sz w:val="52"/>
          <w:szCs w:val="52"/>
          <w:highlight w:val="none"/>
          <w:lang w:val="en-US" w:eastAsia="zh-CN"/>
        </w:rPr>
        <w:t>商品混凝土</w:t>
      </w:r>
      <w:r>
        <w:rPr>
          <w:rFonts w:hint="eastAsia" w:ascii="华文中宋" w:hAnsi="华文中宋" w:eastAsia="华文中宋" w:cs="华文中宋"/>
          <w:b/>
          <w:sz w:val="52"/>
          <w:szCs w:val="52"/>
          <w:highlight w:val="none"/>
        </w:rPr>
        <w:t>】采购与供应合同</w:t>
      </w:r>
    </w:p>
    <w:p w14:paraId="02D5B51B">
      <w:pPr>
        <w:spacing w:line="360" w:lineRule="auto"/>
        <w:jc w:val="center"/>
        <w:rPr>
          <w:rFonts w:hint="eastAsia" w:ascii="宋体" w:hAnsi="宋体" w:cs="宋体"/>
          <w:b/>
          <w:sz w:val="28"/>
          <w:szCs w:val="28"/>
          <w:highlight w:val="none"/>
        </w:rPr>
      </w:pPr>
      <w:r>
        <w:rPr>
          <w:highlight w:val="none"/>
        </w:rPr>
        <w:drawing>
          <wp:anchor distT="0" distB="0" distL="114300" distR="114300" simplePos="0" relativeHeight="251662336" behindDoc="1" locked="0" layoutInCell="1" allowOverlap="1">
            <wp:simplePos x="0" y="0"/>
            <wp:positionH relativeFrom="column">
              <wp:posOffset>1829435</wp:posOffset>
            </wp:positionH>
            <wp:positionV relativeFrom="paragraph">
              <wp:posOffset>245745</wp:posOffset>
            </wp:positionV>
            <wp:extent cx="1685925" cy="2352675"/>
            <wp:effectExtent l="0" t="0" r="9525" b="9525"/>
            <wp:wrapNone/>
            <wp:docPr id="13" name="图片 3" descr="说明: 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descr="说明: 图片1"/>
                    <pic:cNvPicPr>
                      <a:picLocks noChangeAspect="1"/>
                    </pic:cNvPicPr>
                  </pic:nvPicPr>
                  <pic:blipFill>
                    <a:blip r:embed="rId15">
                      <a:clrChange>
                        <a:clrFrom>
                          <a:srgbClr val="FEFEFC"/>
                        </a:clrFrom>
                        <a:clrTo>
                          <a:srgbClr val="FEFEFC">
                            <a:alpha val="0"/>
                          </a:srgbClr>
                        </a:clrTo>
                      </a:clrChange>
                    </a:blip>
                    <a:stretch>
                      <a:fillRect/>
                    </a:stretch>
                  </pic:blipFill>
                  <pic:spPr>
                    <a:xfrm>
                      <a:off x="0" y="0"/>
                      <a:ext cx="1685925" cy="2352675"/>
                    </a:xfrm>
                    <a:prstGeom prst="rect">
                      <a:avLst/>
                    </a:prstGeom>
                    <a:noFill/>
                    <a:ln>
                      <a:noFill/>
                    </a:ln>
                  </pic:spPr>
                </pic:pic>
              </a:graphicData>
            </a:graphic>
          </wp:anchor>
        </w:drawing>
      </w:r>
    </w:p>
    <w:p w14:paraId="3A6DB439">
      <w:pPr>
        <w:spacing w:line="360" w:lineRule="auto"/>
        <w:jc w:val="center"/>
        <w:rPr>
          <w:rFonts w:hint="eastAsia" w:ascii="宋体" w:hAnsi="宋体" w:cs="宋体"/>
          <w:b/>
          <w:sz w:val="28"/>
          <w:szCs w:val="28"/>
          <w:highlight w:val="none"/>
        </w:rPr>
      </w:pPr>
    </w:p>
    <w:p w14:paraId="108F7FA4">
      <w:pPr>
        <w:spacing w:line="360" w:lineRule="auto"/>
        <w:jc w:val="center"/>
        <w:rPr>
          <w:rFonts w:hint="eastAsia" w:ascii="宋体" w:hAnsi="宋体" w:cs="宋体"/>
          <w:b/>
          <w:sz w:val="28"/>
          <w:szCs w:val="28"/>
          <w:highlight w:val="none"/>
        </w:rPr>
      </w:pPr>
    </w:p>
    <w:p w14:paraId="3C7947F1">
      <w:pPr>
        <w:spacing w:line="360" w:lineRule="auto"/>
        <w:jc w:val="center"/>
        <w:rPr>
          <w:rFonts w:hint="eastAsia" w:ascii="宋体" w:hAnsi="宋体" w:cs="宋体"/>
          <w:b/>
          <w:sz w:val="28"/>
          <w:szCs w:val="28"/>
          <w:highlight w:val="none"/>
        </w:rPr>
      </w:pPr>
    </w:p>
    <w:p w14:paraId="51289F36">
      <w:pPr>
        <w:spacing w:line="360" w:lineRule="auto"/>
        <w:jc w:val="center"/>
        <w:rPr>
          <w:rFonts w:hint="eastAsia" w:ascii="宋体" w:hAnsi="宋体" w:cs="宋体"/>
          <w:b/>
          <w:sz w:val="28"/>
          <w:szCs w:val="28"/>
          <w:highlight w:val="none"/>
        </w:rPr>
      </w:pPr>
    </w:p>
    <w:p w14:paraId="73D0B6A8">
      <w:pPr>
        <w:spacing w:line="360" w:lineRule="auto"/>
        <w:rPr>
          <w:rFonts w:hint="eastAsia" w:ascii="宋体" w:hAnsi="宋体" w:cs="宋体"/>
          <w:b/>
          <w:sz w:val="28"/>
          <w:szCs w:val="28"/>
          <w:highlight w:val="none"/>
        </w:rPr>
      </w:pPr>
    </w:p>
    <w:p w14:paraId="69E74FE1">
      <w:pPr>
        <w:pStyle w:val="10"/>
        <w:spacing w:after="120"/>
        <w:rPr>
          <w:rFonts w:hint="eastAsia" w:ascii="宋体" w:hAnsi="宋体" w:cs="宋体"/>
          <w:b/>
          <w:sz w:val="28"/>
          <w:szCs w:val="28"/>
          <w:highlight w:val="none"/>
        </w:rPr>
      </w:pPr>
    </w:p>
    <w:p w14:paraId="153677C7">
      <w:pPr>
        <w:spacing w:line="360" w:lineRule="auto"/>
        <w:rPr>
          <w:rFonts w:hint="eastAsia" w:ascii="仿宋_GB2312" w:hAnsi="仿宋_GB2312" w:eastAsia="仿宋_GB2312" w:cs="仿宋_GB2312"/>
          <w:b/>
          <w:bCs/>
          <w:sz w:val="28"/>
          <w:szCs w:val="28"/>
          <w:highlight w:val="none"/>
        </w:rPr>
      </w:pPr>
    </w:p>
    <w:p w14:paraId="273FA7DE">
      <w:pPr>
        <w:pStyle w:val="4"/>
        <w:numPr>
          <w:ilvl w:val="0"/>
          <w:numId w:val="0"/>
        </w:numPr>
        <w:adjustRightInd w:val="0"/>
        <w:snapToGrid w:val="0"/>
        <w:spacing w:before="120" w:after="120" w:line="240" w:lineRule="auto"/>
        <w:jc w:val="center"/>
        <w:rPr>
          <w:rFonts w:hint="eastAsia" w:ascii="仿宋_GB2312" w:hAnsi="仿宋_GB2312" w:eastAsia="仿宋_GB2312" w:cs="仿宋_GB2312"/>
          <w:b/>
          <w:bCs/>
          <w:sz w:val="28"/>
          <w:szCs w:val="28"/>
          <w:highlight w:val="none"/>
        </w:rPr>
      </w:pPr>
      <w:permStart w:id="2" w:edGrp="everyone"/>
      <w:r>
        <w:rPr>
          <w:rFonts w:hint="eastAsia" w:ascii="仿宋_GB2312" w:hAnsi="仿宋_GB2312" w:eastAsia="仿宋_GB2312" w:cs="仿宋_GB2312"/>
          <w:b/>
          <w:bCs/>
          <w:sz w:val="28"/>
          <w:szCs w:val="28"/>
          <w:highlight w:val="none"/>
        </w:rPr>
        <w:t>项目名称：</w:t>
      </w:r>
      <w:r>
        <w:rPr>
          <w:rFonts w:hint="eastAsia" w:ascii="仿宋_GB2312" w:hAnsi="仿宋_GB2312" w:eastAsia="仿宋_GB2312" w:cs="仿宋_GB2312"/>
          <w:b/>
          <w:color w:val="000000"/>
          <w:sz w:val="28"/>
          <w:szCs w:val="28"/>
          <w:highlight w:val="none"/>
        </w:rPr>
        <w:t xml:space="preserve">【 </w:t>
      </w:r>
      <w:r>
        <w:rPr>
          <w:rFonts w:hint="eastAsia" w:ascii="仿宋_GB2312" w:hAnsi="仿宋_GB2312" w:eastAsia="仿宋_GB2312" w:cs="仿宋_GB2312"/>
          <w:b/>
          <w:bCs/>
          <w:sz w:val="28"/>
          <w:szCs w:val="28"/>
          <w:highlight w:val="none"/>
        </w:rPr>
        <w:t>阳朔县兴阳路至兴坪漓江景区道路含</w:t>
      </w:r>
    </w:p>
    <w:p w14:paraId="552A50EC">
      <w:pPr>
        <w:pStyle w:val="4"/>
        <w:numPr>
          <w:ilvl w:val="0"/>
          <w:numId w:val="0"/>
        </w:numPr>
        <w:adjustRightInd w:val="0"/>
        <w:snapToGrid w:val="0"/>
        <w:spacing w:before="120" w:after="120" w:line="240" w:lineRule="auto"/>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b/>
          <w:bCs/>
          <w:sz w:val="28"/>
          <w:szCs w:val="28"/>
          <w:highlight w:val="none"/>
        </w:rPr>
        <w:t>乾元桥、飞凤桥建设项目</w:t>
      </w:r>
      <w:r>
        <w:rPr>
          <w:rFonts w:hint="eastAsia" w:ascii="仿宋_GB2312" w:hAnsi="仿宋_GB2312" w:eastAsia="仿宋_GB2312" w:cs="仿宋_GB2312"/>
          <w:b/>
          <w:color w:val="000000"/>
          <w:sz w:val="28"/>
          <w:szCs w:val="28"/>
          <w:highlight w:val="none"/>
        </w:rPr>
        <w:t xml:space="preserve"> 】</w:t>
      </w:r>
    </w:p>
    <w:p w14:paraId="51CD3EFD">
      <w:pPr>
        <w:spacing w:line="360" w:lineRule="auto"/>
        <w:ind w:firstLine="562" w:firstLineChars="200"/>
        <w:jc w:val="both"/>
        <w:rPr>
          <w:rFonts w:hint="eastAsia" w:ascii="仿宋_GB2312" w:hAnsi="仿宋_GB2312" w:eastAsia="仿宋_GB2312" w:cs="仿宋_GB2312"/>
          <w:b/>
          <w:color w:val="000000"/>
          <w:sz w:val="28"/>
          <w:szCs w:val="28"/>
          <w:highlight w:val="none"/>
        </w:rPr>
      </w:pPr>
      <w:r>
        <w:rPr>
          <w:rFonts w:hint="eastAsia" w:ascii="仿宋_GB2312" w:hAnsi="仿宋_GB2312" w:eastAsia="仿宋_GB2312" w:cs="仿宋_GB2312"/>
          <w:b/>
          <w:bCs/>
          <w:sz w:val="28"/>
          <w:szCs w:val="28"/>
          <w:highlight w:val="none"/>
        </w:rPr>
        <w:t>甲    方：</w:t>
      </w:r>
      <w:r>
        <w:rPr>
          <w:rFonts w:hint="eastAsia" w:ascii="仿宋_GB2312" w:hAnsi="仿宋_GB2312" w:eastAsia="仿宋_GB2312" w:cs="仿宋_GB2312"/>
          <w:b/>
          <w:color w:val="000000"/>
          <w:sz w:val="28"/>
          <w:szCs w:val="28"/>
          <w:highlight w:val="none"/>
        </w:rPr>
        <w:t xml:space="preserve">【  </w:t>
      </w:r>
      <w:r>
        <w:rPr>
          <w:rFonts w:hint="eastAsia" w:ascii="仿宋_GB2312" w:hAnsi="仿宋_GB2312" w:eastAsia="仿宋_GB2312" w:cs="仿宋_GB2312"/>
          <w:b/>
          <w:color w:val="000000"/>
          <w:sz w:val="28"/>
          <w:szCs w:val="28"/>
          <w:highlight w:val="none"/>
          <w:lang w:val="en-US" w:eastAsia="zh-CN"/>
        </w:rPr>
        <w:t xml:space="preserve">    </w:t>
      </w:r>
      <w:r>
        <w:rPr>
          <w:rFonts w:hint="eastAsia" w:ascii="仿宋_GB2312" w:hAnsi="仿宋_GB2312" w:eastAsia="仿宋_GB2312" w:cs="仿宋_GB2312"/>
          <w:b/>
          <w:bCs/>
          <w:sz w:val="28"/>
          <w:szCs w:val="28"/>
          <w:highlight w:val="none"/>
        </w:rPr>
        <w:t xml:space="preserve">中建路桥集团有限公司 </w:t>
      </w:r>
      <w:r>
        <w:rPr>
          <w:rFonts w:hint="eastAsia" w:ascii="仿宋_GB2312" w:hAnsi="仿宋_GB2312" w:eastAsia="仿宋_GB2312" w:cs="仿宋_GB2312"/>
          <w:b/>
          <w:color w:val="000000"/>
          <w:sz w:val="28"/>
          <w:szCs w:val="28"/>
          <w:highlight w:val="none"/>
          <w:u w:val="none"/>
        </w:rPr>
        <w:t xml:space="preserve"> </w:t>
      </w:r>
      <w:r>
        <w:rPr>
          <w:rFonts w:hint="eastAsia" w:ascii="仿宋_GB2312" w:hAnsi="仿宋_GB2312" w:eastAsia="仿宋_GB2312" w:cs="仿宋_GB2312"/>
          <w:b/>
          <w:color w:val="000000"/>
          <w:sz w:val="28"/>
          <w:szCs w:val="28"/>
          <w:highlight w:val="none"/>
        </w:rPr>
        <w:t xml:space="preserve"> </w:t>
      </w:r>
      <w:r>
        <w:rPr>
          <w:rFonts w:hint="eastAsia" w:ascii="仿宋_GB2312" w:hAnsi="仿宋_GB2312" w:eastAsia="仿宋_GB2312" w:cs="仿宋_GB2312"/>
          <w:b/>
          <w:color w:val="000000"/>
          <w:sz w:val="28"/>
          <w:szCs w:val="28"/>
          <w:highlight w:val="none"/>
          <w:lang w:val="en-US" w:eastAsia="zh-CN"/>
        </w:rPr>
        <w:t xml:space="preserve"> </w:t>
      </w:r>
      <w:r>
        <w:rPr>
          <w:rFonts w:hint="eastAsia" w:ascii="仿宋_GB2312" w:hAnsi="仿宋_GB2312" w:eastAsia="仿宋_GB2312" w:cs="仿宋_GB2312"/>
          <w:b/>
          <w:color w:val="000000"/>
          <w:sz w:val="28"/>
          <w:szCs w:val="28"/>
          <w:highlight w:val="none"/>
        </w:rPr>
        <w:t xml:space="preserve">    】</w:t>
      </w:r>
    </w:p>
    <w:p w14:paraId="48C17FCF">
      <w:pPr>
        <w:spacing w:line="360" w:lineRule="auto"/>
        <w:ind w:firstLine="562" w:firstLineChars="200"/>
        <w:rPr>
          <w:rFonts w:hint="eastAsia" w:ascii="仿宋_GB2312" w:hAnsi="仿宋_GB2312" w:eastAsia="仿宋_GB2312" w:cs="仿宋_GB2312"/>
          <w:b/>
          <w:color w:val="000000"/>
          <w:sz w:val="28"/>
          <w:szCs w:val="28"/>
          <w:highlight w:val="none"/>
        </w:rPr>
      </w:pPr>
      <w:r>
        <w:rPr>
          <w:rFonts w:hint="eastAsia" w:ascii="仿宋_GB2312" w:hAnsi="仿宋_GB2312" w:eastAsia="仿宋_GB2312" w:cs="仿宋_GB2312"/>
          <w:b/>
          <w:bCs/>
          <w:sz w:val="28"/>
          <w:szCs w:val="28"/>
          <w:highlight w:val="none"/>
        </w:rPr>
        <w:t>乙    方：</w:t>
      </w:r>
      <w:r>
        <w:rPr>
          <w:rFonts w:hint="eastAsia" w:ascii="仿宋_GB2312" w:hAnsi="仿宋_GB2312" w:eastAsia="仿宋_GB2312" w:cs="仿宋_GB2312"/>
          <w:b/>
          <w:color w:val="000000"/>
          <w:sz w:val="28"/>
          <w:szCs w:val="28"/>
          <w:highlight w:val="none"/>
        </w:rPr>
        <w:t>【                                  】</w:t>
      </w:r>
    </w:p>
    <w:p w14:paraId="0380B14E">
      <w:pPr>
        <w:spacing w:line="360" w:lineRule="auto"/>
        <w:ind w:firstLine="562"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b/>
          <w:bCs/>
          <w:sz w:val="28"/>
          <w:szCs w:val="28"/>
          <w:highlight w:val="none"/>
        </w:rPr>
        <w:t>签订时间：</w:t>
      </w:r>
      <w:r>
        <w:rPr>
          <w:rFonts w:hint="eastAsia" w:ascii="仿宋_GB2312" w:hAnsi="仿宋_GB2312" w:eastAsia="仿宋_GB2312" w:cs="仿宋_GB2312"/>
          <w:b/>
          <w:color w:val="000000"/>
          <w:sz w:val="28"/>
          <w:szCs w:val="28"/>
          <w:highlight w:val="none"/>
        </w:rPr>
        <w:t xml:space="preserve">【            </w:t>
      </w:r>
      <w:r>
        <w:rPr>
          <w:rFonts w:hint="eastAsia" w:ascii="仿宋_GB2312" w:hAnsi="仿宋_GB2312" w:eastAsia="仿宋_GB2312" w:cs="仿宋_GB2312"/>
          <w:b/>
          <w:bCs/>
          <w:sz w:val="28"/>
          <w:szCs w:val="28"/>
          <w:highlight w:val="none"/>
        </w:rPr>
        <w:t xml:space="preserve"> </w:t>
      </w:r>
      <w:r>
        <w:rPr>
          <w:rFonts w:hint="eastAsia" w:ascii="仿宋_GB2312" w:hAnsi="仿宋_GB2312" w:eastAsia="仿宋_GB2312" w:cs="仿宋_GB2312"/>
          <w:b/>
          <w:color w:val="000000"/>
          <w:sz w:val="28"/>
          <w:szCs w:val="28"/>
          <w:highlight w:val="none"/>
        </w:rPr>
        <w:t xml:space="preserve"> </w:t>
      </w:r>
      <w:r>
        <w:rPr>
          <w:rFonts w:hint="eastAsia" w:ascii="仿宋_GB2312" w:hAnsi="仿宋_GB2312" w:eastAsia="仿宋_GB2312" w:cs="仿宋_GB2312"/>
          <w:b/>
          <w:color w:val="000000"/>
          <w:sz w:val="28"/>
          <w:szCs w:val="28"/>
          <w:highlight w:val="none"/>
          <w:lang w:val="en-US" w:eastAsia="zh-CN"/>
        </w:rPr>
        <w:t xml:space="preserve">              </w:t>
      </w:r>
      <w:r>
        <w:rPr>
          <w:rFonts w:hint="eastAsia" w:ascii="仿宋_GB2312" w:hAnsi="仿宋_GB2312" w:eastAsia="仿宋_GB2312" w:cs="仿宋_GB2312"/>
          <w:b/>
          <w:color w:val="000000"/>
          <w:sz w:val="28"/>
          <w:szCs w:val="28"/>
          <w:highlight w:val="none"/>
        </w:rPr>
        <w:t xml:space="preserve">      】</w:t>
      </w:r>
    </w:p>
    <w:p w14:paraId="531D1A2E">
      <w:pPr>
        <w:spacing w:line="360" w:lineRule="auto"/>
        <w:ind w:firstLine="562" w:firstLineChars="200"/>
        <w:rPr>
          <w:rFonts w:hint="eastAsia" w:ascii="仿宋_GB2312" w:hAnsi="仿宋_GB2312" w:eastAsia="仿宋_GB2312" w:cs="仿宋_GB2312"/>
          <w:b/>
          <w:color w:val="000000"/>
          <w:sz w:val="28"/>
          <w:szCs w:val="28"/>
          <w:highlight w:val="none"/>
        </w:rPr>
      </w:pPr>
      <w:r>
        <w:rPr>
          <w:rFonts w:hint="eastAsia" w:ascii="仿宋_GB2312" w:hAnsi="仿宋_GB2312" w:eastAsia="仿宋_GB2312" w:cs="仿宋_GB2312"/>
          <w:b/>
          <w:bCs/>
          <w:sz w:val="28"/>
          <w:szCs w:val="28"/>
          <w:highlight w:val="none"/>
        </w:rPr>
        <w:t>签订地点：</w:t>
      </w:r>
      <w:r>
        <w:rPr>
          <w:rFonts w:hint="eastAsia" w:ascii="仿宋_GB2312" w:hAnsi="仿宋_GB2312" w:eastAsia="仿宋_GB2312" w:cs="仿宋_GB2312"/>
          <w:b/>
          <w:color w:val="000000"/>
          <w:sz w:val="28"/>
          <w:szCs w:val="28"/>
          <w:highlight w:val="none"/>
        </w:rPr>
        <w:t xml:space="preserve">【         </w:t>
      </w:r>
      <w:r>
        <w:rPr>
          <w:rFonts w:hint="eastAsia" w:ascii="仿宋_GB2312" w:hAnsi="仿宋_GB2312" w:eastAsia="仿宋_GB2312" w:cs="仿宋_GB2312"/>
          <w:b/>
          <w:bCs/>
          <w:sz w:val="28"/>
          <w:szCs w:val="28"/>
          <w:highlight w:val="none"/>
        </w:rPr>
        <w:t>石家庄市</w:t>
      </w:r>
      <w:r>
        <w:rPr>
          <w:rFonts w:hint="eastAsia" w:ascii="仿宋_GB2312" w:hAnsi="仿宋_GB2312" w:eastAsia="仿宋_GB2312" w:cs="仿宋_GB2312"/>
          <w:b/>
          <w:bCs/>
          <w:sz w:val="28"/>
          <w:szCs w:val="28"/>
          <w:highlight w:val="none"/>
          <w:lang w:val="en-US" w:eastAsia="zh-CN"/>
        </w:rPr>
        <w:t>桥西区</w:t>
      </w:r>
      <w:r>
        <w:rPr>
          <w:rFonts w:hint="eastAsia" w:ascii="仿宋_GB2312" w:hAnsi="仿宋_GB2312" w:eastAsia="仿宋_GB2312" w:cs="仿宋_GB2312"/>
          <w:b/>
          <w:color w:val="000000"/>
          <w:sz w:val="28"/>
          <w:szCs w:val="28"/>
          <w:highlight w:val="none"/>
        </w:rPr>
        <w:t xml:space="preserve">           】</w:t>
      </w:r>
      <w:permEnd w:id="2"/>
    </w:p>
    <w:p w14:paraId="152F1F94">
      <w:pPr>
        <w:wordWrap w:val="0"/>
        <w:spacing w:line="640" w:lineRule="exact"/>
        <w:ind w:right="1280" w:firstLine="1100" w:firstLineChars="393"/>
        <w:rPr>
          <w:rFonts w:ascii="仿宋_GB2312" w:hAnsi="仿宋" w:eastAsia="仿宋_GB2312" w:cs="仿宋"/>
          <w:bCs/>
          <w:color w:val="000000" w:themeColor="text1"/>
          <w:sz w:val="32"/>
          <w:szCs w:val="24"/>
          <w:highlight w:val="none"/>
          <w:u w:val="single"/>
          <w14:textFill>
            <w14:solidFill>
              <w14:schemeClr w14:val="tx1"/>
            </w14:solidFill>
          </w14:textFill>
        </w:rPr>
        <w:sectPr>
          <w:headerReference r:id="rId4" w:type="first"/>
          <w:footerReference r:id="rId5" w:type="first"/>
          <w:headerReference r:id="rId3" w:type="default"/>
          <w:pgSz w:w="11906" w:h="16838"/>
          <w:pgMar w:top="1440" w:right="1800" w:bottom="1440" w:left="1800" w:header="851" w:footer="992" w:gutter="0"/>
          <w:cols w:space="425" w:num="1"/>
          <w:docGrid w:type="lines" w:linePitch="312" w:charSpace="0"/>
        </w:sectPr>
      </w:pPr>
      <w:permStart w:id="3" w:edGrp="everyone"/>
      <w:r>
        <w:rPr>
          <w:rFonts w:hint="eastAsia" w:ascii="仿宋_GB2312" w:hAnsi="仿宋_GB2312" w:eastAsia="仿宋_GB2312" w:cs="仿宋_GB2312"/>
          <w:color w:val="C00000"/>
          <w:sz w:val="28"/>
          <w:szCs w:val="28"/>
          <w:highlight w:val="none"/>
        </w:rPr>
        <w:t>（条款说明：上述内容可根据实际情况进行增减）</w:t>
      </w:r>
      <w:bookmarkEnd w:id="0"/>
    </w:p>
    <w:permEnd w:id="3"/>
    <w:sdt>
      <w:sdtPr>
        <w:rPr>
          <w:rFonts w:hint="eastAsia" w:ascii="宋体" w:hAnsi="宋体" w:eastAsia="宋体" w:cs="宋体"/>
          <w:color w:val="000000"/>
          <w:kern w:val="0"/>
          <w:sz w:val="24"/>
          <w:szCs w:val="24"/>
          <w:highlight w:val="none"/>
        </w:rPr>
        <w:id w:val="147481835"/>
        <w15:color w:val="DBDBDB"/>
        <w:docPartObj>
          <w:docPartGallery w:val="Table of Contents"/>
          <w:docPartUnique/>
        </w:docPartObj>
      </w:sdtPr>
      <w:sdtEndPr>
        <w:rPr>
          <w:rFonts w:hint="eastAsia" w:ascii="仿宋" w:hAnsi="仿宋" w:eastAsia="仿宋" w:cs="仿宋"/>
          <w:b/>
          <w:bCs/>
          <w:color w:val="000000" w:themeColor="text1"/>
          <w:kern w:val="0"/>
          <w:sz w:val="24"/>
          <w:szCs w:val="24"/>
          <w:highlight w:val="none"/>
          <w14:textFill>
            <w14:solidFill>
              <w14:schemeClr w14:val="tx1"/>
            </w14:solidFill>
          </w14:textFill>
        </w:rPr>
      </w:sdtEndPr>
      <w:sdtContent>
        <w:p w14:paraId="2A4E75C2">
          <w:pPr>
            <w:pStyle w:val="10"/>
            <w:rPr>
              <w:highlight w:val="none"/>
            </w:rPr>
          </w:pPr>
        </w:p>
        <w:p w14:paraId="14256D9C">
          <w:pPr>
            <w:pStyle w:val="10"/>
            <w:spacing w:line="400" w:lineRule="exact"/>
            <w:jc w:val="center"/>
            <w:rPr>
              <w:rFonts w:hAnsi="黑体" w:cs="黑体"/>
              <w:b/>
              <w:bCs/>
              <w:color w:val="000000" w:themeColor="text1"/>
              <w:sz w:val="36"/>
              <w:szCs w:val="36"/>
              <w:highlight w:val="none"/>
              <w14:textFill>
                <w14:solidFill>
                  <w14:schemeClr w14:val="tx1"/>
                </w14:solidFill>
              </w14:textFill>
            </w:rPr>
          </w:pPr>
          <w:permStart w:id="4" w:edGrp="everyone"/>
          <w:r>
            <w:rPr>
              <w:rFonts w:hint="eastAsia" w:hAnsi="黑体" w:cs="黑体"/>
              <w:b/>
              <w:bCs/>
              <w:color w:val="000000" w:themeColor="text1"/>
              <w:sz w:val="36"/>
              <w:szCs w:val="36"/>
              <w:highlight w:val="none"/>
              <w14:textFill>
                <w14:solidFill>
                  <w14:schemeClr w14:val="tx1"/>
                </w14:solidFill>
              </w14:textFill>
            </w:rPr>
            <w:t>目  录</w:t>
          </w:r>
        </w:p>
        <w:p w14:paraId="7ECBBE64">
          <w:pPr>
            <w:pStyle w:val="10"/>
            <w:rPr>
              <w:highlight w:val="none"/>
            </w:rPr>
          </w:pPr>
        </w:p>
        <w:p w14:paraId="167BB7BD">
          <w:pPr>
            <w:pStyle w:val="14"/>
            <w:tabs>
              <w:tab w:val="right" w:leader="dot" w:pos="8306"/>
            </w:tabs>
            <w:spacing w:line="312" w:lineRule="auto"/>
            <w:rPr>
              <w:highlight w:val="none"/>
            </w:rPr>
          </w:pPr>
          <w:r>
            <w:rPr>
              <w:rFonts w:hint="eastAsia" w:ascii="仿宋" w:hAnsi="仿宋" w:eastAsia="仿宋" w:cs="仿宋"/>
              <w:color w:val="000000" w:themeColor="text1"/>
              <w:highlight w:val="none"/>
              <w14:textFill>
                <w14:solidFill>
                  <w14:schemeClr w14:val="tx1"/>
                </w14:solidFill>
              </w14:textFill>
            </w:rPr>
            <w:fldChar w:fldCharType="begin"/>
          </w:r>
          <w:r>
            <w:rPr>
              <w:rFonts w:hint="eastAsia" w:ascii="仿宋" w:hAnsi="仿宋" w:eastAsia="仿宋" w:cs="仿宋"/>
              <w:color w:val="000000" w:themeColor="text1"/>
              <w:highlight w:val="none"/>
              <w14:textFill>
                <w14:solidFill>
                  <w14:schemeClr w14:val="tx1"/>
                </w14:solidFill>
              </w14:textFill>
            </w:rPr>
            <w:instrText xml:space="preserve">TOC \o "1-1" \h \u </w:instrText>
          </w:r>
          <w:r>
            <w:rPr>
              <w:rFonts w:hint="eastAsia" w:ascii="仿宋" w:hAnsi="仿宋" w:eastAsia="仿宋" w:cs="仿宋"/>
              <w:color w:val="000000" w:themeColor="text1"/>
              <w:highlight w:val="none"/>
              <w14:textFill>
                <w14:solidFill>
                  <w14:schemeClr w14:val="tx1"/>
                </w14:solidFill>
              </w14:textFill>
            </w:rPr>
            <w:fldChar w:fldCharType="separate"/>
          </w:r>
          <w:r>
            <w:rPr>
              <w:highlight w:val="none"/>
            </w:rPr>
            <w:fldChar w:fldCharType="begin"/>
          </w:r>
          <w:r>
            <w:rPr>
              <w:highlight w:val="none"/>
            </w:rPr>
            <w:instrText xml:space="preserve"> HYPERLINK \l "_Toc4600" </w:instrText>
          </w:r>
          <w:r>
            <w:rPr>
              <w:highlight w:val="none"/>
            </w:rPr>
            <w:fldChar w:fldCharType="separate"/>
          </w:r>
          <w:r>
            <w:rPr>
              <w:rFonts w:hint="eastAsia" w:ascii="黑体" w:hAnsi="黑体" w:eastAsia="黑体" w:cs="黑体"/>
              <w:bCs/>
              <w:sz w:val="30"/>
              <w:szCs w:val="30"/>
              <w:highlight w:val="none"/>
            </w:rPr>
            <w:t>第一部分 专用条款</w:t>
          </w:r>
          <w:r>
            <w:rPr>
              <w:highlight w:val="none"/>
            </w:rPr>
            <w:tab/>
          </w:r>
          <w:r>
            <w:rPr>
              <w:highlight w:val="none"/>
            </w:rPr>
            <w:fldChar w:fldCharType="begin"/>
          </w:r>
          <w:r>
            <w:rPr>
              <w:highlight w:val="none"/>
            </w:rPr>
            <w:instrText xml:space="preserve"> PAGEREF _Toc4600 \h </w:instrText>
          </w:r>
          <w:r>
            <w:rPr>
              <w:highlight w:val="none"/>
            </w:rPr>
            <w:fldChar w:fldCharType="separate"/>
          </w:r>
          <w:r>
            <w:rPr>
              <w:highlight w:val="none"/>
            </w:rPr>
            <w:t>1</w:t>
          </w:r>
          <w:r>
            <w:rPr>
              <w:highlight w:val="none"/>
            </w:rPr>
            <w:fldChar w:fldCharType="end"/>
          </w:r>
          <w:r>
            <w:rPr>
              <w:highlight w:val="none"/>
            </w:rPr>
            <w:fldChar w:fldCharType="end"/>
          </w:r>
        </w:p>
        <w:p w14:paraId="24908AE7">
          <w:pPr>
            <w:pStyle w:val="14"/>
            <w:tabs>
              <w:tab w:val="right" w:leader="dot" w:pos="8306"/>
            </w:tabs>
            <w:spacing w:line="312" w:lineRule="auto"/>
            <w:rPr>
              <w:highlight w:val="none"/>
            </w:rPr>
          </w:pPr>
          <w:r>
            <w:rPr>
              <w:highlight w:val="none"/>
            </w:rPr>
            <w:fldChar w:fldCharType="begin"/>
          </w:r>
          <w:r>
            <w:rPr>
              <w:highlight w:val="none"/>
            </w:rPr>
            <w:instrText xml:space="preserve"> HYPERLINK \l "_Toc22768" </w:instrText>
          </w:r>
          <w:r>
            <w:rPr>
              <w:highlight w:val="none"/>
            </w:rPr>
            <w:fldChar w:fldCharType="separate"/>
          </w:r>
          <w:r>
            <w:rPr>
              <w:rFonts w:hint="eastAsia" w:ascii="仿宋_GB2312" w:hAnsi="仿宋_GB2312" w:eastAsia="仿宋_GB2312" w:cs="仿宋_GB2312"/>
              <w:bCs/>
              <w:sz w:val="28"/>
              <w:szCs w:val="28"/>
              <w:highlight w:val="none"/>
            </w:rPr>
            <w:t>一、工程概况</w:t>
          </w:r>
          <w:r>
            <w:rPr>
              <w:highlight w:val="none"/>
            </w:rPr>
            <w:tab/>
          </w:r>
          <w:r>
            <w:rPr>
              <w:highlight w:val="none"/>
            </w:rPr>
            <w:fldChar w:fldCharType="begin"/>
          </w:r>
          <w:r>
            <w:rPr>
              <w:highlight w:val="none"/>
            </w:rPr>
            <w:instrText xml:space="preserve"> PAGEREF _Toc22768 \h </w:instrText>
          </w:r>
          <w:r>
            <w:rPr>
              <w:highlight w:val="none"/>
            </w:rPr>
            <w:fldChar w:fldCharType="separate"/>
          </w:r>
          <w:r>
            <w:rPr>
              <w:highlight w:val="none"/>
            </w:rPr>
            <w:t>1</w:t>
          </w:r>
          <w:r>
            <w:rPr>
              <w:highlight w:val="none"/>
            </w:rPr>
            <w:fldChar w:fldCharType="end"/>
          </w:r>
          <w:r>
            <w:rPr>
              <w:highlight w:val="none"/>
            </w:rPr>
            <w:fldChar w:fldCharType="end"/>
          </w:r>
        </w:p>
        <w:p w14:paraId="287D6D5F">
          <w:pPr>
            <w:pStyle w:val="14"/>
            <w:tabs>
              <w:tab w:val="right" w:leader="dot" w:pos="8306"/>
            </w:tabs>
            <w:spacing w:line="312" w:lineRule="auto"/>
            <w:rPr>
              <w:highlight w:val="none"/>
            </w:rPr>
          </w:pPr>
          <w:r>
            <w:rPr>
              <w:highlight w:val="none"/>
            </w:rPr>
            <w:fldChar w:fldCharType="begin"/>
          </w:r>
          <w:r>
            <w:rPr>
              <w:highlight w:val="none"/>
            </w:rPr>
            <w:instrText xml:space="preserve"> HYPERLINK \l "_Toc13582" </w:instrText>
          </w:r>
          <w:r>
            <w:rPr>
              <w:highlight w:val="none"/>
            </w:rPr>
            <w:fldChar w:fldCharType="separate"/>
          </w:r>
          <w:r>
            <w:rPr>
              <w:rFonts w:hint="eastAsia" w:ascii="仿宋_GB2312" w:hAnsi="仿宋_GB2312" w:eastAsia="仿宋_GB2312" w:cs="仿宋_GB2312"/>
              <w:bCs/>
              <w:sz w:val="28"/>
              <w:szCs w:val="28"/>
              <w:highlight w:val="none"/>
            </w:rPr>
            <w:t>二、货物清单</w:t>
          </w:r>
          <w:r>
            <w:rPr>
              <w:highlight w:val="none"/>
            </w:rPr>
            <w:tab/>
          </w:r>
          <w:r>
            <w:rPr>
              <w:highlight w:val="none"/>
            </w:rPr>
            <w:fldChar w:fldCharType="begin"/>
          </w:r>
          <w:r>
            <w:rPr>
              <w:highlight w:val="none"/>
            </w:rPr>
            <w:instrText xml:space="preserve"> PAGEREF _Toc13582 \h </w:instrText>
          </w:r>
          <w:r>
            <w:rPr>
              <w:highlight w:val="none"/>
            </w:rPr>
            <w:fldChar w:fldCharType="separate"/>
          </w:r>
          <w:r>
            <w:rPr>
              <w:highlight w:val="none"/>
            </w:rPr>
            <w:t>1</w:t>
          </w:r>
          <w:r>
            <w:rPr>
              <w:highlight w:val="none"/>
            </w:rPr>
            <w:fldChar w:fldCharType="end"/>
          </w:r>
          <w:r>
            <w:rPr>
              <w:highlight w:val="none"/>
            </w:rPr>
            <w:fldChar w:fldCharType="end"/>
          </w:r>
        </w:p>
        <w:p w14:paraId="5DD692D5">
          <w:pPr>
            <w:pStyle w:val="14"/>
            <w:tabs>
              <w:tab w:val="right" w:leader="dot" w:pos="8306"/>
            </w:tabs>
            <w:spacing w:line="312" w:lineRule="auto"/>
            <w:rPr>
              <w:highlight w:val="none"/>
            </w:rPr>
          </w:pPr>
          <w:r>
            <w:rPr>
              <w:highlight w:val="none"/>
            </w:rPr>
            <w:fldChar w:fldCharType="begin"/>
          </w:r>
          <w:r>
            <w:rPr>
              <w:highlight w:val="none"/>
            </w:rPr>
            <w:instrText xml:space="preserve"> HYPERLINK \l "_Toc16980" </w:instrText>
          </w:r>
          <w:r>
            <w:rPr>
              <w:highlight w:val="none"/>
            </w:rPr>
            <w:fldChar w:fldCharType="separate"/>
          </w:r>
          <w:r>
            <w:rPr>
              <w:rFonts w:hint="eastAsia" w:ascii="仿宋_GB2312" w:hAnsi="仿宋_GB2312" w:eastAsia="仿宋_GB2312" w:cs="仿宋_GB2312"/>
              <w:bCs/>
              <w:sz w:val="28"/>
              <w:szCs w:val="28"/>
              <w:highlight w:val="none"/>
            </w:rPr>
            <w:t>三、货物供应</w:t>
          </w:r>
          <w:r>
            <w:rPr>
              <w:highlight w:val="none"/>
            </w:rPr>
            <w:tab/>
          </w:r>
          <w:r>
            <w:rPr>
              <w:highlight w:val="none"/>
            </w:rPr>
            <w:fldChar w:fldCharType="begin"/>
          </w:r>
          <w:r>
            <w:rPr>
              <w:highlight w:val="none"/>
            </w:rPr>
            <w:instrText xml:space="preserve"> PAGEREF _Toc16980 \h </w:instrText>
          </w:r>
          <w:r>
            <w:rPr>
              <w:highlight w:val="none"/>
            </w:rPr>
            <w:fldChar w:fldCharType="separate"/>
          </w:r>
          <w:r>
            <w:rPr>
              <w:highlight w:val="none"/>
            </w:rPr>
            <w:t>3</w:t>
          </w:r>
          <w:r>
            <w:rPr>
              <w:highlight w:val="none"/>
            </w:rPr>
            <w:fldChar w:fldCharType="end"/>
          </w:r>
          <w:r>
            <w:rPr>
              <w:highlight w:val="none"/>
            </w:rPr>
            <w:fldChar w:fldCharType="end"/>
          </w:r>
        </w:p>
        <w:p w14:paraId="72A2E5A8">
          <w:pPr>
            <w:pStyle w:val="14"/>
            <w:tabs>
              <w:tab w:val="right" w:leader="dot" w:pos="8306"/>
            </w:tabs>
            <w:spacing w:line="312" w:lineRule="auto"/>
            <w:rPr>
              <w:highlight w:val="none"/>
            </w:rPr>
          </w:pPr>
          <w:r>
            <w:rPr>
              <w:highlight w:val="none"/>
            </w:rPr>
            <w:fldChar w:fldCharType="begin"/>
          </w:r>
          <w:r>
            <w:rPr>
              <w:highlight w:val="none"/>
            </w:rPr>
            <w:instrText xml:space="preserve"> HYPERLINK \l "_Toc22420" </w:instrText>
          </w:r>
          <w:r>
            <w:rPr>
              <w:highlight w:val="none"/>
            </w:rPr>
            <w:fldChar w:fldCharType="separate"/>
          </w:r>
          <w:r>
            <w:rPr>
              <w:rFonts w:hint="eastAsia" w:ascii="仿宋_GB2312" w:hAnsi="仿宋_GB2312" w:eastAsia="仿宋_GB2312" w:cs="仿宋_GB2312"/>
              <w:bCs/>
              <w:sz w:val="28"/>
              <w:szCs w:val="28"/>
              <w:highlight w:val="none"/>
            </w:rPr>
            <w:t>四、货物质量</w:t>
          </w:r>
          <w:r>
            <w:rPr>
              <w:highlight w:val="none"/>
            </w:rPr>
            <w:tab/>
          </w:r>
          <w:r>
            <w:rPr>
              <w:highlight w:val="none"/>
            </w:rPr>
            <w:fldChar w:fldCharType="begin"/>
          </w:r>
          <w:r>
            <w:rPr>
              <w:highlight w:val="none"/>
            </w:rPr>
            <w:instrText xml:space="preserve"> PAGEREF _Toc22420 \h </w:instrText>
          </w:r>
          <w:r>
            <w:rPr>
              <w:highlight w:val="none"/>
            </w:rPr>
            <w:fldChar w:fldCharType="separate"/>
          </w:r>
          <w:r>
            <w:rPr>
              <w:highlight w:val="none"/>
            </w:rPr>
            <w:t>6</w:t>
          </w:r>
          <w:r>
            <w:rPr>
              <w:highlight w:val="none"/>
            </w:rPr>
            <w:fldChar w:fldCharType="end"/>
          </w:r>
          <w:r>
            <w:rPr>
              <w:highlight w:val="none"/>
            </w:rPr>
            <w:fldChar w:fldCharType="end"/>
          </w:r>
        </w:p>
        <w:p w14:paraId="0351BA64">
          <w:pPr>
            <w:pStyle w:val="14"/>
            <w:tabs>
              <w:tab w:val="right" w:leader="dot" w:pos="8306"/>
            </w:tabs>
            <w:spacing w:line="312" w:lineRule="auto"/>
            <w:rPr>
              <w:highlight w:val="none"/>
            </w:rPr>
          </w:pPr>
          <w:r>
            <w:rPr>
              <w:highlight w:val="none"/>
            </w:rPr>
            <w:fldChar w:fldCharType="begin"/>
          </w:r>
          <w:r>
            <w:rPr>
              <w:highlight w:val="none"/>
            </w:rPr>
            <w:instrText xml:space="preserve"> HYPERLINK \l "_Toc15057" </w:instrText>
          </w:r>
          <w:r>
            <w:rPr>
              <w:highlight w:val="none"/>
            </w:rPr>
            <w:fldChar w:fldCharType="separate"/>
          </w:r>
          <w:r>
            <w:rPr>
              <w:rFonts w:hint="eastAsia" w:ascii="仿宋_GB2312" w:hAnsi="仿宋_GB2312" w:eastAsia="仿宋_GB2312" w:cs="仿宋_GB2312"/>
              <w:bCs/>
              <w:sz w:val="28"/>
              <w:szCs w:val="28"/>
              <w:highlight w:val="none"/>
            </w:rPr>
            <w:t>五、货物验收</w:t>
          </w:r>
          <w:r>
            <w:rPr>
              <w:highlight w:val="none"/>
            </w:rPr>
            <w:tab/>
          </w:r>
          <w:r>
            <w:rPr>
              <w:highlight w:val="none"/>
            </w:rPr>
            <w:fldChar w:fldCharType="begin"/>
          </w:r>
          <w:r>
            <w:rPr>
              <w:highlight w:val="none"/>
            </w:rPr>
            <w:instrText xml:space="preserve"> PAGEREF _Toc15057 \h </w:instrText>
          </w:r>
          <w:r>
            <w:rPr>
              <w:highlight w:val="none"/>
            </w:rPr>
            <w:fldChar w:fldCharType="separate"/>
          </w:r>
          <w:r>
            <w:rPr>
              <w:highlight w:val="none"/>
            </w:rPr>
            <w:t>11</w:t>
          </w:r>
          <w:r>
            <w:rPr>
              <w:highlight w:val="none"/>
            </w:rPr>
            <w:fldChar w:fldCharType="end"/>
          </w:r>
          <w:r>
            <w:rPr>
              <w:highlight w:val="none"/>
            </w:rPr>
            <w:fldChar w:fldCharType="end"/>
          </w:r>
        </w:p>
        <w:p w14:paraId="73663888">
          <w:pPr>
            <w:pStyle w:val="14"/>
            <w:tabs>
              <w:tab w:val="right" w:leader="dot" w:pos="8306"/>
            </w:tabs>
            <w:spacing w:line="312" w:lineRule="auto"/>
            <w:rPr>
              <w:highlight w:val="none"/>
            </w:rPr>
          </w:pPr>
          <w:r>
            <w:rPr>
              <w:highlight w:val="none"/>
            </w:rPr>
            <w:fldChar w:fldCharType="begin"/>
          </w:r>
          <w:r>
            <w:rPr>
              <w:highlight w:val="none"/>
            </w:rPr>
            <w:instrText xml:space="preserve"> HYPERLINK \l "_Toc22928" </w:instrText>
          </w:r>
          <w:r>
            <w:rPr>
              <w:highlight w:val="none"/>
            </w:rPr>
            <w:fldChar w:fldCharType="separate"/>
          </w:r>
          <w:r>
            <w:rPr>
              <w:rFonts w:hint="eastAsia" w:ascii="仿宋_GB2312" w:hAnsi="仿宋_GB2312" w:eastAsia="仿宋_GB2312" w:cs="仿宋_GB2312"/>
              <w:bCs/>
              <w:sz w:val="28"/>
              <w:szCs w:val="28"/>
              <w:highlight w:val="none"/>
            </w:rPr>
            <w:t>六、货物结算</w:t>
          </w:r>
          <w:r>
            <w:rPr>
              <w:highlight w:val="none"/>
            </w:rPr>
            <w:tab/>
          </w:r>
          <w:r>
            <w:rPr>
              <w:highlight w:val="none"/>
            </w:rPr>
            <w:fldChar w:fldCharType="begin"/>
          </w:r>
          <w:r>
            <w:rPr>
              <w:highlight w:val="none"/>
            </w:rPr>
            <w:instrText xml:space="preserve"> PAGEREF _Toc22928 \h </w:instrText>
          </w:r>
          <w:r>
            <w:rPr>
              <w:highlight w:val="none"/>
            </w:rPr>
            <w:fldChar w:fldCharType="separate"/>
          </w:r>
          <w:r>
            <w:rPr>
              <w:highlight w:val="none"/>
            </w:rPr>
            <w:t>16</w:t>
          </w:r>
          <w:r>
            <w:rPr>
              <w:highlight w:val="none"/>
            </w:rPr>
            <w:fldChar w:fldCharType="end"/>
          </w:r>
          <w:r>
            <w:rPr>
              <w:highlight w:val="none"/>
            </w:rPr>
            <w:fldChar w:fldCharType="end"/>
          </w:r>
        </w:p>
        <w:p w14:paraId="10063C58">
          <w:pPr>
            <w:pStyle w:val="14"/>
            <w:tabs>
              <w:tab w:val="right" w:leader="dot" w:pos="8306"/>
            </w:tabs>
            <w:spacing w:line="312" w:lineRule="auto"/>
            <w:rPr>
              <w:highlight w:val="none"/>
            </w:rPr>
          </w:pPr>
          <w:r>
            <w:rPr>
              <w:highlight w:val="none"/>
            </w:rPr>
            <w:fldChar w:fldCharType="begin"/>
          </w:r>
          <w:r>
            <w:rPr>
              <w:highlight w:val="none"/>
            </w:rPr>
            <w:instrText xml:space="preserve"> HYPERLINK \l "_Toc20382" </w:instrText>
          </w:r>
          <w:r>
            <w:rPr>
              <w:highlight w:val="none"/>
            </w:rPr>
            <w:fldChar w:fldCharType="separate"/>
          </w:r>
          <w:r>
            <w:rPr>
              <w:rFonts w:hint="eastAsia" w:ascii="仿宋_GB2312" w:hAnsi="仿宋_GB2312" w:eastAsia="仿宋_GB2312" w:cs="仿宋_GB2312"/>
              <w:bCs/>
              <w:sz w:val="28"/>
              <w:szCs w:val="28"/>
              <w:highlight w:val="none"/>
            </w:rPr>
            <w:t>七、货物付款</w:t>
          </w:r>
          <w:r>
            <w:rPr>
              <w:highlight w:val="none"/>
            </w:rPr>
            <w:tab/>
          </w:r>
          <w:r>
            <w:rPr>
              <w:highlight w:val="none"/>
            </w:rPr>
            <w:fldChar w:fldCharType="begin"/>
          </w:r>
          <w:r>
            <w:rPr>
              <w:highlight w:val="none"/>
            </w:rPr>
            <w:instrText xml:space="preserve"> PAGEREF _Toc20382 \h </w:instrText>
          </w:r>
          <w:r>
            <w:rPr>
              <w:highlight w:val="none"/>
            </w:rPr>
            <w:fldChar w:fldCharType="separate"/>
          </w:r>
          <w:r>
            <w:rPr>
              <w:highlight w:val="none"/>
            </w:rPr>
            <w:t>18</w:t>
          </w:r>
          <w:r>
            <w:rPr>
              <w:highlight w:val="none"/>
            </w:rPr>
            <w:fldChar w:fldCharType="end"/>
          </w:r>
          <w:r>
            <w:rPr>
              <w:highlight w:val="none"/>
            </w:rPr>
            <w:fldChar w:fldCharType="end"/>
          </w:r>
        </w:p>
        <w:p w14:paraId="3D0443A6">
          <w:pPr>
            <w:pStyle w:val="14"/>
            <w:tabs>
              <w:tab w:val="right" w:leader="dot" w:pos="8306"/>
            </w:tabs>
            <w:spacing w:line="312" w:lineRule="auto"/>
            <w:rPr>
              <w:highlight w:val="none"/>
            </w:rPr>
          </w:pPr>
          <w:r>
            <w:rPr>
              <w:highlight w:val="none"/>
            </w:rPr>
            <w:fldChar w:fldCharType="begin"/>
          </w:r>
          <w:r>
            <w:rPr>
              <w:highlight w:val="none"/>
            </w:rPr>
            <w:instrText xml:space="preserve"> HYPERLINK \l "_Toc13188" </w:instrText>
          </w:r>
          <w:r>
            <w:rPr>
              <w:highlight w:val="none"/>
            </w:rPr>
            <w:fldChar w:fldCharType="separate"/>
          </w:r>
          <w:r>
            <w:rPr>
              <w:rFonts w:hint="eastAsia" w:ascii="仿宋_GB2312" w:hAnsi="仿宋_GB2312" w:eastAsia="仿宋_GB2312" w:cs="仿宋_GB2312"/>
              <w:bCs/>
              <w:sz w:val="28"/>
              <w:szCs w:val="28"/>
              <w:highlight w:val="none"/>
            </w:rPr>
            <w:t>八、通知与送达</w:t>
          </w:r>
          <w:r>
            <w:rPr>
              <w:highlight w:val="none"/>
            </w:rPr>
            <w:tab/>
          </w:r>
          <w:r>
            <w:rPr>
              <w:highlight w:val="none"/>
            </w:rPr>
            <w:fldChar w:fldCharType="begin"/>
          </w:r>
          <w:r>
            <w:rPr>
              <w:highlight w:val="none"/>
            </w:rPr>
            <w:instrText xml:space="preserve"> PAGEREF _Toc13188 \h </w:instrText>
          </w:r>
          <w:r>
            <w:rPr>
              <w:highlight w:val="none"/>
            </w:rPr>
            <w:fldChar w:fldCharType="separate"/>
          </w:r>
          <w:r>
            <w:rPr>
              <w:highlight w:val="none"/>
            </w:rPr>
            <w:t>18</w:t>
          </w:r>
          <w:r>
            <w:rPr>
              <w:highlight w:val="none"/>
            </w:rPr>
            <w:fldChar w:fldCharType="end"/>
          </w:r>
          <w:r>
            <w:rPr>
              <w:highlight w:val="none"/>
            </w:rPr>
            <w:fldChar w:fldCharType="end"/>
          </w:r>
        </w:p>
        <w:p w14:paraId="76843363">
          <w:pPr>
            <w:pStyle w:val="14"/>
            <w:tabs>
              <w:tab w:val="right" w:leader="dot" w:pos="8306"/>
            </w:tabs>
            <w:spacing w:line="312" w:lineRule="auto"/>
            <w:rPr>
              <w:highlight w:val="none"/>
            </w:rPr>
          </w:pPr>
          <w:r>
            <w:rPr>
              <w:highlight w:val="none"/>
            </w:rPr>
            <w:fldChar w:fldCharType="begin"/>
          </w:r>
          <w:r>
            <w:rPr>
              <w:highlight w:val="none"/>
            </w:rPr>
            <w:instrText xml:space="preserve"> HYPERLINK \l "_Toc16081" </w:instrText>
          </w:r>
          <w:r>
            <w:rPr>
              <w:highlight w:val="none"/>
            </w:rPr>
            <w:fldChar w:fldCharType="separate"/>
          </w:r>
          <w:r>
            <w:rPr>
              <w:rFonts w:hint="eastAsia" w:ascii="仿宋_GB2312" w:hAnsi="仿宋_GB2312" w:eastAsia="仿宋_GB2312" w:cs="仿宋_GB2312"/>
              <w:bCs/>
              <w:sz w:val="28"/>
              <w:szCs w:val="28"/>
              <w:highlight w:val="none"/>
            </w:rPr>
            <w:t>九、合同生效</w:t>
          </w:r>
          <w:r>
            <w:rPr>
              <w:highlight w:val="none"/>
            </w:rPr>
            <w:tab/>
          </w:r>
          <w:r>
            <w:rPr>
              <w:highlight w:val="none"/>
            </w:rPr>
            <w:fldChar w:fldCharType="begin"/>
          </w:r>
          <w:r>
            <w:rPr>
              <w:highlight w:val="none"/>
            </w:rPr>
            <w:instrText xml:space="preserve"> PAGEREF _Toc16081 \h </w:instrText>
          </w:r>
          <w:r>
            <w:rPr>
              <w:highlight w:val="none"/>
            </w:rPr>
            <w:fldChar w:fldCharType="separate"/>
          </w:r>
          <w:r>
            <w:rPr>
              <w:highlight w:val="none"/>
            </w:rPr>
            <w:t>20</w:t>
          </w:r>
          <w:r>
            <w:rPr>
              <w:highlight w:val="none"/>
            </w:rPr>
            <w:fldChar w:fldCharType="end"/>
          </w:r>
          <w:r>
            <w:rPr>
              <w:highlight w:val="none"/>
            </w:rPr>
            <w:fldChar w:fldCharType="end"/>
          </w:r>
        </w:p>
        <w:p w14:paraId="319D02C3">
          <w:pPr>
            <w:pStyle w:val="14"/>
            <w:tabs>
              <w:tab w:val="right" w:leader="dot" w:pos="8306"/>
            </w:tabs>
            <w:spacing w:line="312" w:lineRule="auto"/>
            <w:rPr>
              <w:highlight w:val="none"/>
            </w:rPr>
          </w:pPr>
          <w:r>
            <w:rPr>
              <w:highlight w:val="none"/>
            </w:rPr>
            <w:fldChar w:fldCharType="begin"/>
          </w:r>
          <w:r>
            <w:rPr>
              <w:highlight w:val="none"/>
            </w:rPr>
            <w:instrText xml:space="preserve"> HYPERLINK \l "_Toc13743" </w:instrText>
          </w:r>
          <w:r>
            <w:rPr>
              <w:highlight w:val="none"/>
            </w:rPr>
            <w:fldChar w:fldCharType="separate"/>
          </w:r>
          <w:r>
            <w:rPr>
              <w:rFonts w:hint="eastAsia" w:ascii="仿宋_GB2312" w:hAnsi="仿宋_GB2312" w:eastAsia="仿宋_GB2312" w:cs="仿宋_GB2312"/>
              <w:bCs/>
              <w:sz w:val="28"/>
              <w:szCs w:val="28"/>
              <w:highlight w:val="none"/>
            </w:rPr>
            <w:t>附件一 授权委托书</w:t>
          </w:r>
          <w:r>
            <w:rPr>
              <w:highlight w:val="none"/>
            </w:rPr>
            <w:tab/>
          </w:r>
          <w:r>
            <w:rPr>
              <w:highlight w:val="none"/>
            </w:rPr>
            <w:fldChar w:fldCharType="begin"/>
          </w:r>
          <w:r>
            <w:rPr>
              <w:highlight w:val="none"/>
            </w:rPr>
            <w:instrText xml:space="preserve"> PAGEREF _Toc13743 \h </w:instrText>
          </w:r>
          <w:r>
            <w:rPr>
              <w:highlight w:val="none"/>
            </w:rPr>
            <w:fldChar w:fldCharType="separate"/>
          </w:r>
          <w:r>
            <w:rPr>
              <w:highlight w:val="none"/>
            </w:rPr>
            <w:t>22</w:t>
          </w:r>
          <w:r>
            <w:rPr>
              <w:highlight w:val="none"/>
            </w:rPr>
            <w:fldChar w:fldCharType="end"/>
          </w:r>
          <w:r>
            <w:rPr>
              <w:highlight w:val="none"/>
            </w:rPr>
            <w:fldChar w:fldCharType="end"/>
          </w:r>
        </w:p>
        <w:p w14:paraId="24C2E2FE">
          <w:pPr>
            <w:pStyle w:val="14"/>
            <w:tabs>
              <w:tab w:val="right" w:leader="dot" w:pos="8306"/>
            </w:tabs>
            <w:spacing w:line="312" w:lineRule="auto"/>
            <w:rPr>
              <w:highlight w:val="none"/>
            </w:rPr>
          </w:pPr>
          <w:r>
            <w:rPr>
              <w:highlight w:val="none"/>
            </w:rPr>
            <w:fldChar w:fldCharType="begin"/>
          </w:r>
          <w:r>
            <w:rPr>
              <w:highlight w:val="none"/>
            </w:rPr>
            <w:instrText xml:space="preserve"> HYPERLINK \l "_Toc4231" </w:instrText>
          </w:r>
          <w:r>
            <w:rPr>
              <w:highlight w:val="none"/>
            </w:rPr>
            <w:fldChar w:fldCharType="separate"/>
          </w:r>
          <w:r>
            <w:rPr>
              <w:rFonts w:hint="eastAsia" w:ascii="仿宋_GB2312" w:hAnsi="仿宋_GB2312" w:eastAsia="仿宋_GB2312" w:cs="仿宋_GB2312"/>
              <w:bCs/>
              <w:sz w:val="28"/>
              <w:szCs w:val="28"/>
              <w:highlight w:val="none"/>
            </w:rPr>
            <w:t>附件二 项目部合规权限告知书</w:t>
          </w:r>
          <w:r>
            <w:rPr>
              <w:highlight w:val="none"/>
            </w:rPr>
            <w:tab/>
          </w:r>
          <w:r>
            <w:rPr>
              <w:highlight w:val="none"/>
            </w:rPr>
            <w:fldChar w:fldCharType="begin"/>
          </w:r>
          <w:r>
            <w:rPr>
              <w:highlight w:val="none"/>
            </w:rPr>
            <w:instrText xml:space="preserve"> PAGEREF _Toc4231 \h </w:instrText>
          </w:r>
          <w:r>
            <w:rPr>
              <w:highlight w:val="none"/>
            </w:rPr>
            <w:fldChar w:fldCharType="separate"/>
          </w:r>
          <w:r>
            <w:rPr>
              <w:highlight w:val="none"/>
            </w:rPr>
            <w:t>23</w:t>
          </w:r>
          <w:r>
            <w:rPr>
              <w:highlight w:val="none"/>
            </w:rPr>
            <w:fldChar w:fldCharType="end"/>
          </w:r>
          <w:r>
            <w:rPr>
              <w:highlight w:val="none"/>
            </w:rPr>
            <w:fldChar w:fldCharType="end"/>
          </w:r>
        </w:p>
        <w:p w14:paraId="62291368">
          <w:pPr>
            <w:pStyle w:val="14"/>
            <w:tabs>
              <w:tab w:val="right" w:leader="dot" w:pos="8306"/>
            </w:tabs>
            <w:spacing w:line="312" w:lineRule="auto"/>
            <w:rPr>
              <w:highlight w:val="none"/>
            </w:rPr>
          </w:pPr>
          <w:r>
            <w:rPr>
              <w:highlight w:val="none"/>
            </w:rPr>
            <w:fldChar w:fldCharType="begin"/>
          </w:r>
          <w:r>
            <w:rPr>
              <w:highlight w:val="none"/>
            </w:rPr>
            <w:instrText xml:space="preserve"> HYPERLINK \l "_Toc26388" </w:instrText>
          </w:r>
          <w:r>
            <w:rPr>
              <w:highlight w:val="none"/>
            </w:rPr>
            <w:fldChar w:fldCharType="separate"/>
          </w:r>
          <w:r>
            <w:rPr>
              <w:rFonts w:hint="eastAsia" w:ascii="仿宋_GB2312" w:hAnsi="仿宋_GB2312" w:eastAsia="仿宋_GB2312" w:cs="仿宋_GB2312"/>
              <w:bCs/>
              <w:sz w:val="28"/>
              <w:szCs w:val="28"/>
              <w:highlight w:val="none"/>
            </w:rPr>
            <w:t>附件三 安全管理协议书</w:t>
          </w:r>
          <w:r>
            <w:rPr>
              <w:highlight w:val="none"/>
            </w:rPr>
            <w:tab/>
          </w:r>
          <w:r>
            <w:rPr>
              <w:highlight w:val="none"/>
            </w:rPr>
            <w:fldChar w:fldCharType="begin"/>
          </w:r>
          <w:r>
            <w:rPr>
              <w:highlight w:val="none"/>
            </w:rPr>
            <w:instrText xml:space="preserve"> PAGEREF _Toc26388 \h </w:instrText>
          </w:r>
          <w:r>
            <w:rPr>
              <w:highlight w:val="none"/>
            </w:rPr>
            <w:fldChar w:fldCharType="separate"/>
          </w:r>
          <w:r>
            <w:rPr>
              <w:highlight w:val="none"/>
            </w:rPr>
            <w:t>28</w:t>
          </w:r>
          <w:r>
            <w:rPr>
              <w:highlight w:val="none"/>
            </w:rPr>
            <w:fldChar w:fldCharType="end"/>
          </w:r>
          <w:r>
            <w:rPr>
              <w:highlight w:val="none"/>
            </w:rPr>
            <w:fldChar w:fldCharType="end"/>
          </w:r>
        </w:p>
        <w:p w14:paraId="5BD57A43">
          <w:pPr>
            <w:pStyle w:val="14"/>
            <w:tabs>
              <w:tab w:val="right" w:leader="dot" w:pos="8306"/>
            </w:tabs>
            <w:spacing w:line="312" w:lineRule="auto"/>
            <w:rPr>
              <w:highlight w:val="none"/>
            </w:rPr>
          </w:pPr>
          <w:r>
            <w:rPr>
              <w:highlight w:val="none"/>
            </w:rPr>
            <w:fldChar w:fldCharType="begin"/>
          </w:r>
          <w:r>
            <w:rPr>
              <w:highlight w:val="none"/>
            </w:rPr>
            <w:instrText xml:space="preserve"> HYPERLINK \l "_Toc24289" </w:instrText>
          </w:r>
          <w:r>
            <w:rPr>
              <w:highlight w:val="none"/>
            </w:rPr>
            <w:fldChar w:fldCharType="separate"/>
          </w:r>
          <w:r>
            <w:rPr>
              <w:rFonts w:hint="eastAsia" w:ascii="仿宋_GB2312" w:hAnsi="仿宋_GB2312" w:eastAsia="仿宋_GB2312" w:cs="仿宋_GB2312"/>
              <w:bCs/>
              <w:sz w:val="28"/>
              <w:szCs w:val="28"/>
              <w:highlight w:val="none"/>
            </w:rPr>
            <w:t>附件四 商品混凝土需方验收人员一览表</w:t>
          </w:r>
          <w:r>
            <w:rPr>
              <w:highlight w:val="none"/>
            </w:rPr>
            <w:tab/>
          </w:r>
          <w:r>
            <w:rPr>
              <w:highlight w:val="none"/>
            </w:rPr>
            <w:fldChar w:fldCharType="begin"/>
          </w:r>
          <w:r>
            <w:rPr>
              <w:highlight w:val="none"/>
            </w:rPr>
            <w:instrText xml:space="preserve"> PAGEREF _Toc24289 \h </w:instrText>
          </w:r>
          <w:r>
            <w:rPr>
              <w:highlight w:val="none"/>
            </w:rPr>
            <w:fldChar w:fldCharType="separate"/>
          </w:r>
          <w:r>
            <w:rPr>
              <w:highlight w:val="none"/>
            </w:rPr>
            <w:t>32</w:t>
          </w:r>
          <w:r>
            <w:rPr>
              <w:highlight w:val="none"/>
            </w:rPr>
            <w:fldChar w:fldCharType="end"/>
          </w:r>
          <w:r>
            <w:rPr>
              <w:highlight w:val="none"/>
            </w:rPr>
            <w:fldChar w:fldCharType="end"/>
          </w:r>
        </w:p>
        <w:p w14:paraId="76DFA31B">
          <w:pPr>
            <w:pStyle w:val="14"/>
            <w:tabs>
              <w:tab w:val="right" w:leader="dot" w:pos="8306"/>
            </w:tabs>
            <w:spacing w:line="312" w:lineRule="auto"/>
            <w:rPr>
              <w:highlight w:val="none"/>
            </w:rPr>
          </w:pPr>
          <w:r>
            <w:rPr>
              <w:highlight w:val="none"/>
            </w:rPr>
            <w:fldChar w:fldCharType="begin"/>
          </w:r>
          <w:r>
            <w:rPr>
              <w:highlight w:val="none"/>
            </w:rPr>
            <w:instrText xml:space="preserve"> HYPERLINK \l "_Toc13072" </w:instrText>
          </w:r>
          <w:r>
            <w:rPr>
              <w:highlight w:val="none"/>
            </w:rPr>
            <w:fldChar w:fldCharType="separate"/>
          </w:r>
          <w:r>
            <w:rPr>
              <w:rFonts w:hint="eastAsia" w:ascii="仿宋_GB2312" w:hAnsi="仿宋_GB2312" w:eastAsia="仿宋_GB2312" w:cs="仿宋_GB2312"/>
              <w:bCs/>
              <w:sz w:val="28"/>
              <w:szCs w:val="28"/>
              <w:highlight w:val="none"/>
            </w:rPr>
            <w:t>附件五 廉洁从业共建协议</w:t>
          </w:r>
          <w:r>
            <w:rPr>
              <w:highlight w:val="none"/>
            </w:rPr>
            <w:tab/>
          </w:r>
          <w:r>
            <w:rPr>
              <w:highlight w:val="none"/>
            </w:rPr>
            <w:fldChar w:fldCharType="begin"/>
          </w:r>
          <w:r>
            <w:rPr>
              <w:highlight w:val="none"/>
            </w:rPr>
            <w:instrText xml:space="preserve"> PAGEREF _Toc13072 \h </w:instrText>
          </w:r>
          <w:r>
            <w:rPr>
              <w:highlight w:val="none"/>
            </w:rPr>
            <w:fldChar w:fldCharType="separate"/>
          </w:r>
          <w:r>
            <w:rPr>
              <w:highlight w:val="none"/>
            </w:rPr>
            <w:t>33</w:t>
          </w:r>
          <w:r>
            <w:rPr>
              <w:highlight w:val="none"/>
            </w:rPr>
            <w:fldChar w:fldCharType="end"/>
          </w:r>
          <w:r>
            <w:rPr>
              <w:highlight w:val="none"/>
            </w:rPr>
            <w:fldChar w:fldCharType="end"/>
          </w:r>
        </w:p>
        <w:p w14:paraId="237202AC">
          <w:pPr>
            <w:pStyle w:val="14"/>
            <w:tabs>
              <w:tab w:val="right" w:leader="dot" w:pos="8306"/>
            </w:tabs>
            <w:spacing w:line="312" w:lineRule="auto"/>
            <w:rPr>
              <w:highlight w:val="none"/>
            </w:rPr>
          </w:pPr>
          <w:r>
            <w:rPr>
              <w:highlight w:val="none"/>
            </w:rPr>
            <w:fldChar w:fldCharType="begin"/>
          </w:r>
          <w:r>
            <w:rPr>
              <w:highlight w:val="none"/>
            </w:rPr>
            <w:instrText xml:space="preserve"> HYPERLINK \l "_Toc14827" </w:instrText>
          </w:r>
          <w:r>
            <w:rPr>
              <w:highlight w:val="none"/>
            </w:rPr>
            <w:fldChar w:fldCharType="separate"/>
          </w:r>
          <w:r>
            <w:rPr>
              <w:rFonts w:hint="eastAsia" w:ascii="仿宋_GB2312" w:hAnsi="仿宋_GB2312" w:eastAsia="仿宋_GB2312" w:cs="仿宋_GB2312"/>
              <w:bCs/>
              <w:sz w:val="28"/>
              <w:szCs w:val="28"/>
              <w:highlight w:val="none"/>
            </w:rPr>
            <w:t>附件六 商品混凝土进场验收验证记录表</w:t>
          </w:r>
          <w:r>
            <w:rPr>
              <w:highlight w:val="none"/>
            </w:rPr>
            <w:tab/>
          </w:r>
          <w:r>
            <w:rPr>
              <w:highlight w:val="none"/>
            </w:rPr>
            <w:fldChar w:fldCharType="begin"/>
          </w:r>
          <w:r>
            <w:rPr>
              <w:highlight w:val="none"/>
            </w:rPr>
            <w:instrText xml:space="preserve"> PAGEREF _Toc14827 \h </w:instrText>
          </w:r>
          <w:r>
            <w:rPr>
              <w:highlight w:val="none"/>
            </w:rPr>
            <w:fldChar w:fldCharType="separate"/>
          </w:r>
          <w:r>
            <w:rPr>
              <w:highlight w:val="none"/>
            </w:rPr>
            <w:t>36</w:t>
          </w:r>
          <w:r>
            <w:rPr>
              <w:highlight w:val="none"/>
            </w:rPr>
            <w:fldChar w:fldCharType="end"/>
          </w:r>
          <w:r>
            <w:rPr>
              <w:highlight w:val="none"/>
            </w:rPr>
            <w:fldChar w:fldCharType="end"/>
          </w:r>
        </w:p>
        <w:p w14:paraId="6C39C5B5">
          <w:pPr>
            <w:pStyle w:val="14"/>
            <w:tabs>
              <w:tab w:val="right" w:leader="dot" w:pos="8306"/>
            </w:tabs>
            <w:spacing w:line="312" w:lineRule="auto"/>
            <w:rPr>
              <w:highlight w:val="none"/>
            </w:rPr>
          </w:pPr>
          <w:r>
            <w:rPr>
              <w:highlight w:val="none"/>
            </w:rPr>
            <w:fldChar w:fldCharType="begin"/>
          </w:r>
          <w:r>
            <w:rPr>
              <w:highlight w:val="none"/>
            </w:rPr>
            <w:instrText xml:space="preserve"> HYPERLINK \l "_Toc14480" </w:instrText>
          </w:r>
          <w:r>
            <w:rPr>
              <w:highlight w:val="none"/>
            </w:rPr>
            <w:fldChar w:fldCharType="separate"/>
          </w:r>
          <w:r>
            <w:rPr>
              <w:rFonts w:hint="eastAsia" w:ascii="黑体" w:hAnsi="黑体" w:eastAsia="黑体" w:cs="黑体"/>
              <w:bCs/>
              <w:sz w:val="30"/>
              <w:szCs w:val="30"/>
              <w:highlight w:val="none"/>
            </w:rPr>
            <w:t>第二部分 通用条款</w:t>
          </w:r>
          <w:r>
            <w:rPr>
              <w:highlight w:val="none"/>
            </w:rPr>
            <w:tab/>
          </w:r>
          <w:r>
            <w:rPr>
              <w:highlight w:val="none"/>
            </w:rPr>
            <w:fldChar w:fldCharType="begin"/>
          </w:r>
          <w:r>
            <w:rPr>
              <w:highlight w:val="none"/>
            </w:rPr>
            <w:instrText xml:space="preserve"> PAGEREF _Toc14480 \h </w:instrText>
          </w:r>
          <w:r>
            <w:rPr>
              <w:highlight w:val="none"/>
            </w:rPr>
            <w:fldChar w:fldCharType="separate"/>
          </w:r>
          <w:r>
            <w:rPr>
              <w:highlight w:val="none"/>
            </w:rPr>
            <w:t>37</w:t>
          </w:r>
          <w:r>
            <w:rPr>
              <w:highlight w:val="none"/>
            </w:rPr>
            <w:fldChar w:fldCharType="end"/>
          </w:r>
          <w:r>
            <w:rPr>
              <w:highlight w:val="none"/>
            </w:rPr>
            <w:fldChar w:fldCharType="end"/>
          </w:r>
        </w:p>
        <w:p w14:paraId="7B2580A9">
          <w:pPr>
            <w:pStyle w:val="14"/>
            <w:tabs>
              <w:tab w:val="right" w:leader="dot" w:pos="8306"/>
            </w:tabs>
            <w:spacing w:line="312" w:lineRule="auto"/>
            <w:rPr>
              <w:highlight w:val="none"/>
            </w:rPr>
          </w:pPr>
          <w:r>
            <w:rPr>
              <w:highlight w:val="none"/>
            </w:rPr>
            <w:fldChar w:fldCharType="begin"/>
          </w:r>
          <w:r>
            <w:rPr>
              <w:highlight w:val="none"/>
            </w:rPr>
            <w:instrText xml:space="preserve"> HYPERLINK \l "_Toc27311" </w:instrText>
          </w:r>
          <w:r>
            <w:rPr>
              <w:highlight w:val="none"/>
            </w:rPr>
            <w:fldChar w:fldCharType="separate"/>
          </w:r>
          <w:r>
            <w:rPr>
              <w:rFonts w:hint="eastAsia" w:ascii="仿宋_GB2312" w:hAnsi="仿宋_GB2312" w:eastAsia="仿宋_GB2312" w:cs="仿宋_GB2312"/>
              <w:bCs/>
              <w:sz w:val="28"/>
              <w:szCs w:val="28"/>
              <w:highlight w:val="none"/>
            </w:rPr>
            <w:t>一、货物合同附随义务</w:t>
          </w:r>
          <w:r>
            <w:rPr>
              <w:highlight w:val="none"/>
            </w:rPr>
            <w:tab/>
          </w:r>
          <w:r>
            <w:rPr>
              <w:highlight w:val="none"/>
            </w:rPr>
            <w:fldChar w:fldCharType="begin"/>
          </w:r>
          <w:r>
            <w:rPr>
              <w:highlight w:val="none"/>
            </w:rPr>
            <w:instrText xml:space="preserve"> PAGEREF _Toc27311 \h </w:instrText>
          </w:r>
          <w:r>
            <w:rPr>
              <w:highlight w:val="none"/>
            </w:rPr>
            <w:fldChar w:fldCharType="separate"/>
          </w:r>
          <w:r>
            <w:rPr>
              <w:highlight w:val="none"/>
            </w:rPr>
            <w:t>37</w:t>
          </w:r>
          <w:r>
            <w:rPr>
              <w:highlight w:val="none"/>
            </w:rPr>
            <w:fldChar w:fldCharType="end"/>
          </w:r>
          <w:r>
            <w:rPr>
              <w:highlight w:val="none"/>
            </w:rPr>
            <w:fldChar w:fldCharType="end"/>
          </w:r>
        </w:p>
        <w:p w14:paraId="7E59AC55">
          <w:pPr>
            <w:pStyle w:val="14"/>
            <w:tabs>
              <w:tab w:val="right" w:leader="dot" w:pos="8306"/>
            </w:tabs>
            <w:spacing w:line="312" w:lineRule="auto"/>
            <w:rPr>
              <w:highlight w:val="none"/>
            </w:rPr>
          </w:pPr>
          <w:r>
            <w:rPr>
              <w:highlight w:val="none"/>
            </w:rPr>
            <w:fldChar w:fldCharType="begin"/>
          </w:r>
          <w:r>
            <w:rPr>
              <w:highlight w:val="none"/>
            </w:rPr>
            <w:instrText xml:space="preserve"> HYPERLINK \l "_Toc21274" </w:instrText>
          </w:r>
          <w:r>
            <w:rPr>
              <w:highlight w:val="none"/>
            </w:rPr>
            <w:fldChar w:fldCharType="separate"/>
          </w:r>
          <w:r>
            <w:rPr>
              <w:rFonts w:hint="eastAsia" w:ascii="仿宋_GB2312" w:hAnsi="仿宋_GB2312" w:eastAsia="仿宋_GB2312" w:cs="仿宋_GB2312"/>
              <w:bCs/>
              <w:sz w:val="28"/>
              <w:szCs w:val="28"/>
              <w:highlight w:val="none"/>
            </w:rPr>
            <w:t>二、货物违约责任</w:t>
          </w:r>
          <w:r>
            <w:rPr>
              <w:highlight w:val="none"/>
            </w:rPr>
            <w:tab/>
          </w:r>
          <w:r>
            <w:rPr>
              <w:highlight w:val="none"/>
            </w:rPr>
            <w:fldChar w:fldCharType="begin"/>
          </w:r>
          <w:r>
            <w:rPr>
              <w:highlight w:val="none"/>
            </w:rPr>
            <w:instrText xml:space="preserve"> PAGEREF _Toc21274 \h </w:instrText>
          </w:r>
          <w:r>
            <w:rPr>
              <w:highlight w:val="none"/>
            </w:rPr>
            <w:fldChar w:fldCharType="separate"/>
          </w:r>
          <w:r>
            <w:rPr>
              <w:highlight w:val="none"/>
            </w:rPr>
            <w:t>38</w:t>
          </w:r>
          <w:r>
            <w:rPr>
              <w:highlight w:val="none"/>
            </w:rPr>
            <w:fldChar w:fldCharType="end"/>
          </w:r>
          <w:r>
            <w:rPr>
              <w:highlight w:val="none"/>
            </w:rPr>
            <w:fldChar w:fldCharType="end"/>
          </w:r>
        </w:p>
        <w:p w14:paraId="46FDB8DB">
          <w:pPr>
            <w:pStyle w:val="14"/>
            <w:tabs>
              <w:tab w:val="right" w:leader="dot" w:pos="8306"/>
            </w:tabs>
            <w:spacing w:line="312" w:lineRule="auto"/>
            <w:rPr>
              <w:highlight w:val="none"/>
            </w:rPr>
          </w:pPr>
          <w:r>
            <w:rPr>
              <w:highlight w:val="none"/>
            </w:rPr>
            <w:fldChar w:fldCharType="begin"/>
          </w:r>
          <w:r>
            <w:rPr>
              <w:highlight w:val="none"/>
            </w:rPr>
            <w:instrText xml:space="preserve"> HYPERLINK \l "_Toc17076" </w:instrText>
          </w:r>
          <w:r>
            <w:rPr>
              <w:highlight w:val="none"/>
            </w:rPr>
            <w:fldChar w:fldCharType="separate"/>
          </w:r>
          <w:r>
            <w:rPr>
              <w:rFonts w:hint="eastAsia" w:ascii="仿宋_GB2312" w:hAnsi="仿宋_GB2312" w:eastAsia="仿宋_GB2312" w:cs="仿宋_GB2312"/>
              <w:bCs/>
              <w:sz w:val="28"/>
              <w:szCs w:val="28"/>
              <w:highlight w:val="none"/>
            </w:rPr>
            <w:t>三、货物缺陷索赔</w:t>
          </w:r>
          <w:r>
            <w:rPr>
              <w:highlight w:val="none"/>
            </w:rPr>
            <w:tab/>
          </w:r>
          <w:r>
            <w:rPr>
              <w:highlight w:val="none"/>
            </w:rPr>
            <w:fldChar w:fldCharType="begin"/>
          </w:r>
          <w:r>
            <w:rPr>
              <w:highlight w:val="none"/>
            </w:rPr>
            <w:instrText xml:space="preserve"> PAGEREF _Toc17076 \h </w:instrText>
          </w:r>
          <w:r>
            <w:rPr>
              <w:highlight w:val="none"/>
            </w:rPr>
            <w:fldChar w:fldCharType="separate"/>
          </w:r>
          <w:r>
            <w:rPr>
              <w:highlight w:val="none"/>
            </w:rPr>
            <w:t>40</w:t>
          </w:r>
          <w:r>
            <w:rPr>
              <w:highlight w:val="none"/>
            </w:rPr>
            <w:fldChar w:fldCharType="end"/>
          </w:r>
          <w:r>
            <w:rPr>
              <w:highlight w:val="none"/>
            </w:rPr>
            <w:fldChar w:fldCharType="end"/>
          </w:r>
        </w:p>
        <w:p w14:paraId="7BFBE579">
          <w:pPr>
            <w:pStyle w:val="14"/>
            <w:tabs>
              <w:tab w:val="right" w:leader="dot" w:pos="8306"/>
            </w:tabs>
            <w:spacing w:line="312" w:lineRule="auto"/>
            <w:rPr>
              <w:highlight w:val="none"/>
            </w:rPr>
          </w:pPr>
          <w:r>
            <w:rPr>
              <w:highlight w:val="none"/>
            </w:rPr>
            <w:fldChar w:fldCharType="begin"/>
          </w:r>
          <w:r>
            <w:rPr>
              <w:highlight w:val="none"/>
            </w:rPr>
            <w:instrText xml:space="preserve"> HYPERLINK \l "_Toc18889" </w:instrText>
          </w:r>
          <w:r>
            <w:rPr>
              <w:highlight w:val="none"/>
            </w:rPr>
            <w:fldChar w:fldCharType="separate"/>
          </w:r>
          <w:r>
            <w:rPr>
              <w:rFonts w:hint="eastAsia" w:ascii="仿宋_GB2312" w:hAnsi="仿宋_GB2312" w:eastAsia="仿宋_GB2312" w:cs="仿宋_GB2312"/>
              <w:bCs/>
              <w:sz w:val="28"/>
              <w:szCs w:val="28"/>
              <w:highlight w:val="none"/>
            </w:rPr>
            <w:t>四、合同变更</w:t>
          </w:r>
          <w:r>
            <w:rPr>
              <w:highlight w:val="none"/>
            </w:rPr>
            <w:tab/>
          </w:r>
          <w:r>
            <w:rPr>
              <w:highlight w:val="none"/>
            </w:rPr>
            <w:fldChar w:fldCharType="begin"/>
          </w:r>
          <w:r>
            <w:rPr>
              <w:highlight w:val="none"/>
            </w:rPr>
            <w:instrText xml:space="preserve"> PAGEREF _Toc18889 \h </w:instrText>
          </w:r>
          <w:r>
            <w:rPr>
              <w:highlight w:val="none"/>
            </w:rPr>
            <w:fldChar w:fldCharType="separate"/>
          </w:r>
          <w:r>
            <w:rPr>
              <w:highlight w:val="none"/>
            </w:rPr>
            <w:t>41</w:t>
          </w:r>
          <w:r>
            <w:rPr>
              <w:highlight w:val="none"/>
            </w:rPr>
            <w:fldChar w:fldCharType="end"/>
          </w:r>
          <w:r>
            <w:rPr>
              <w:highlight w:val="none"/>
            </w:rPr>
            <w:fldChar w:fldCharType="end"/>
          </w:r>
        </w:p>
        <w:p w14:paraId="22537130">
          <w:pPr>
            <w:pStyle w:val="14"/>
            <w:tabs>
              <w:tab w:val="right" w:leader="dot" w:pos="8306"/>
            </w:tabs>
            <w:spacing w:line="312" w:lineRule="auto"/>
            <w:rPr>
              <w:highlight w:val="none"/>
            </w:rPr>
          </w:pPr>
          <w:r>
            <w:rPr>
              <w:highlight w:val="none"/>
            </w:rPr>
            <w:fldChar w:fldCharType="begin"/>
          </w:r>
          <w:r>
            <w:rPr>
              <w:highlight w:val="none"/>
            </w:rPr>
            <w:instrText xml:space="preserve"> HYPERLINK \l "_Toc399" </w:instrText>
          </w:r>
          <w:r>
            <w:rPr>
              <w:highlight w:val="none"/>
            </w:rPr>
            <w:fldChar w:fldCharType="separate"/>
          </w:r>
          <w:r>
            <w:rPr>
              <w:rFonts w:hint="eastAsia" w:ascii="仿宋_GB2312" w:hAnsi="仿宋_GB2312" w:eastAsia="仿宋_GB2312" w:cs="仿宋_GB2312"/>
              <w:bCs/>
              <w:sz w:val="28"/>
              <w:szCs w:val="28"/>
              <w:highlight w:val="none"/>
            </w:rPr>
            <w:t>五、合同解除</w:t>
          </w:r>
          <w:r>
            <w:rPr>
              <w:highlight w:val="none"/>
            </w:rPr>
            <w:tab/>
          </w:r>
          <w:r>
            <w:rPr>
              <w:highlight w:val="none"/>
            </w:rPr>
            <w:fldChar w:fldCharType="begin"/>
          </w:r>
          <w:r>
            <w:rPr>
              <w:highlight w:val="none"/>
            </w:rPr>
            <w:instrText xml:space="preserve"> PAGEREF _Toc399 \h </w:instrText>
          </w:r>
          <w:r>
            <w:rPr>
              <w:highlight w:val="none"/>
            </w:rPr>
            <w:fldChar w:fldCharType="separate"/>
          </w:r>
          <w:r>
            <w:rPr>
              <w:highlight w:val="none"/>
            </w:rPr>
            <w:t>41</w:t>
          </w:r>
          <w:r>
            <w:rPr>
              <w:highlight w:val="none"/>
            </w:rPr>
            <w:fldChar w:fldCharType="end"/>
          </w:r>
          <w:r>
            <w:rPr>
              <w:highlight w:val="none"/>
            </w:rPr>
            <w:fldChar w:fldCharType="end"/>
          </w:r>
        </w:p>
        <w:p w14:paraId="1C63AD42">
          <w:pPr>
            <w:pStyle w:val="14"/>
            <w:tabs>
              <w:tab w:val="right" w:leader="dot" w:pos="8306"/>
            </w:tabs>
            <w:spacing w:line="312" w:lineRule="auto"/>
            <w:rPr>
              <w:highlight w:val="none"/>
            </w:rPr>
          </w:pPr>
          <w:r>
            <w:rPr>
              <w:highlight w:val="none"/>
            </w:rPr>
            <w:fldChar w:fldCharType="begin"/>
          </w:r>
          <w:r>
            <w:rPr>
              <w:highlight w:val="none"/>
            </w:rPr>
            <w:instrText xml:space="preserve"> HYPERLINK \l "_Toc18207" </w:instrText>
          </w:r>
          <w:r>
            <w:rPr>
              <w:highlight w:val="none"/>
            </w:rPr>
            <w:fldChar w:fldCharType="separate"/>
          </w:r>
          <w:r>
            <w:rPr>
              <w:rFonts w:hint="eastAsia" w:ascii="仿宋_GB2312" w:hAnsi="仿宋_GB2312" w:eastAsia="仿宋_GB2312" w:cs="仿宋_GB2312"/>
              <w:bCs/>
              <w:sz w:val="28"/>
              <w:szCs w:val="28"/>
              <w:highlight w:val="none"/>
            </w:rPr>
            <w:t>六、不可抗力</w:t>
          </w:r>
          <w:r>
            <w:rPr>
              <w:highlight w:val="none"/>
            </w:rPr>
            <w:tab/>
          </w:r>
          <w:r>
            <w:rPr>
              <w:highlight w:val="none"/>
            </w:rPr>
            <w:fldChar w:fldCharType="begin"/>
          </w:r>
          <w:r>
            <w:rPr>
              <w:highlight w:val="none"/>
            </w:rPr>
            <w:instrText xml:space="preserve"> PAGEREF _Toc18207 \h </w:instrText>
          </w:r>
          <w:r>
            <w:rPr>
              <w:highlight w:val="none"/>
            </w:rPr>
            <w:fldChar w:fldCharType="separate"/>
          </w:r>
          <w:r>
            <w:rPr>
              <w:highlight w:val="none"/>
            </w:rPr>
            <w:t>42</w:t>
          </w:r>
          <w:r>
            <w:rPr>
              <w:highlight w:val="none"/>
            </w:rPr>
            <w:fldChar w:fldCharType="end"/>
          </w:r>
          <w:r>
            <w:rPr>
              <w:highlight w:val="none"/>
            </w:rPr>
            <w:fldChar w:fldCharType="end"/>
          </w:r>
        </w:p>
        <w:p w14:paraId="1732D52B">
          <w:pPr>
            <w:pStyle w:val="14"/>
            <w:tabs>
              <w:tab w:val="right" w:leader="dot" w:pos="8306"/>
            </w:tabs>
            <w:spacing w:line="312" w:lineRule="auto"/>
            <w:rPr>
              <w:highlight w:val="none"/>
            </w:rPr>
          </w:pPr>
          <w:r>
            <w:rPr>
              <w:highlight w:val="none"/>
            </w:rPr>
            <w:fldChar w:fldCharType="begin"/>
          </w:r>
          <w:r>
            <w:rPr>
              <w:highlight w:val="none"/>
            </w:rPr>
            <w:instrText xml:space="preserve"> HYPERLINK \l "_Toc29685" </w:instrText>
          </w:r>
          <w:r>
            <w:rPr>
              <w:highlight w:val="none"/>
            </w:rPr>
            <w:fldChar w:fldCharType="separate"/>
          </w:r>
          <w:r>
            <w:rPr>
              <w:rFonts w:hint="eastAsia" w:ascii="仿宋_GB2312" w:hAnsi="仿宋_GB2312" w:eastAsia="仿宋_GB2312" w:cs="仿宋_GB2312"/>
              <w:bCs/>
              <w:sz w:val="28"/>
              <w:szCs w:val="28"/>
              <w:highlight w:val="none"/>
            </w:rPr>
            <w:t>七、争议解决</w:t>
          </w:r>
          <w:r>
            <w:rPr>
              <w:highlight w:val="none"/>
            </w:rPr>
            <w:tab/>
          </w:r>
          <w:r>
            <w:rPr>
              <w:highlight w:val="none"/>
            </w:rPr>
            <w:fldChar w:fldCharType="begin"/>
          </w:r>
          <w:r>
            <w:rPr>
              <w:highlight w:val="none"/>
            </w:rPr>
            <w:instrText xml:space="preserve"> PAGEREF _Toc29685 \h </w:instrText>
          </w:r>
          <w:r>
            <w:rPr>
              <w:highlight w:val="none"/>
            </w:rPr>
            <w:fldChar w:fldCharType="separate"/>
          </w:r>
          <w:r>
            <w:rPr>
              <w:highlight w:val="none"/>
            </w:rPr>
            <w:t>43</w:t>
          </w:r>
          <w:r>
            <w:rPr>
              <w:highlight w:val="none"/>
            </w:rPr>
            <w:fldChar w:fldCharType="end"/>
          </w:r>
          <w:r>
            <w:rPr>
              <w:highlight w:val="none"/>
            </w:rPr>
            <w:fldChar w:fldCharType="end"/>
          </w:r>
        </w:p>
        <w:p w14:paraId="22493023">
          <w:pPr>
            <w:pStyle w:val="14"/>
            <w:tabs>
              <w:tab w:val="right" w:leader="dot" w:pos="8306"/>
            </w:tabs>
            <w:spacing w:line="312" w:lineRule="auto"/>
            <w:rPr>
              <w:highlight w:val="none"/>
            </w:rPr>
          </w:pPr>
          <w:r>
            <w:rPr>
              <w:highlight w:val="none"/>
            </w:rPr>
            <w:fldChar w:fldCharType="begin"/>
          </w:r>
          <w:r>
            <w:rPr>
              <w:highlight w:val="none"/>
            </w:rPr>
            <w:instrText xml:space="preserve"> HYPERLINK \l "_Toc26705" </w:instrText>
          </w:r>
          <w:r>
            <w:rPr>
              <w:highlight w:val="none"/>
            </w:rPr>
            <w:fldChar w:fldCharType="separate"/>
          </w:r>
          <w:r>
            <w:rPr>
              <w:rFonts w:hint="eastAsia" w:ascii="仿宋_GB2312" w:hAnsi="仿宋_GB2312" w:eastAsia="仿宋_GB2312" w:cs="仿宋_GB2312"/>
              <w:bCs/>
              <w:sz w:val="28"/>
              <w:szCs w:val="28"/>
              <w:highlight w:val="none"/>
            </w:rPr>
            <w:t>八、保密义务</w:t>
          </w:r>
          <w:r>
            <w:rPr>
              <w:highlight w:val="none"/>
            </w:rPr>
            <w:tab/>
          </w:r>
          <w:r>
            <w:rPr>
              <w:highlight w:val="none"/>
            </w:rPr>
            <w:fldChar w:fldCharType="begin"/>
          </w:r>
          <w:r>
            <w:rPr>
              <w:highlight w:val="none"/>
            </w:rPr>
            <w:instrText xml:space="preserve"> PAGEREF _Toc26705 \h </w:instrText>
          </w:r>
          <w:r>
            <w:rPr>
              <w:highlight w:val="none"/>
            </w:rPr>
            <w:fldChar w:fldCharType="separate"/>
          </w:r>
          <w:r>
            <w:rPr>
              <w:highlight w:val="none"/>
            </w:rPr>
            <w:t>43</w:t>
          </w:r>
          <w:r>
            <w:rPr>
              <w:highlight w:val="none"/>
            </w:rPr>
            <w:fldChar w:fldCharType="end"/>
          </w:r>
          <w:r>
            <w:rPr>
              <w:highlight w:val="none"/>
            </w:rPr>
            <w:fldChar w:fldCharType="end"/>
          </w:r>
        </w:p>
        <w:p w14:paraId="6F0726D3">
          <w:pPr>
            <w:pStyle w:val="14"/>
            <w:tabs>
              <w:tab w:val="right" w:leader="dot" w:pos="8306"/>
            </w:tabs>
            <w:spacing w:line="312" w:lineRule="auto"/>
            <w:rPr>
              <w:highlight w:val="none"/>
            </w:rPr>
          </w:pPr>
          <w:r>
            <w:rPr>
              <w:highlight w:val="none"/>
            </w:rPr>
            <w:fldChar w:fldCharType="begin"/>
          </w:r>
          <w:r>
            <w:rPr>
              <w:highlight w:val="none"/>
            </w:rPr>
            <w:instrText xml:space="preserve"> HYPERLINK \l "_Toc84" </w:instrText>
          </w:r>
          <w:r>
            <w:rPr>
              <w:highlight w:val="none"/>
            </w:rPr>
            <w:fldChar w:fldCharType="separate"/>
          </w:r>
          <w:r>
            <w:rPr>
              <w:rFonts w:hint="eastAsia" w:ascii="仿宋_GB2312" w:hAnsi="仿宋_GB2312" w:eastAsia="仿宋_GB2312" w:cs="仿宋_GB2312"/>
              <w:bCs/>
              <w:sz w:val="28"/>
              <w:szCs w:val="28"/>
              <w:highlight w:val="none"/>
            </w:rPr>
            <w:t>九、其他条款</w:t>
          </w:r>
          <w:r>
            <w:rPr>
              <w:highlight w:val="none"/>
            </w:rPr>
            <w:tab/>
          </w:r>
          <w:r>
            <w:rPr>
              <w:highlight w:val="none"/>
            </w:rPr>
            <w:fldChar w:fldCharType="begin"/>
          </w:r>
          <w:r>
            <w:rPr>
              <w:highlight w:val="none"/>
            </w:rPr>
            <w:instrText xml:space="preserve"> PAGEREF _Toc84 \h </w:instrText>
          </w:r>
          <w:r>
            <w:rPr>
              <w:highlight w:val="none"/>
            </w:rPr>
            <w:fldChar w:fldCharType="separate"/>
          </w:r>
          <w:r>
            <w:rPr>
              <w:highlight w:val="none"/>
            </w:rPr>
            <w:t>44</w:t>
          </w:r>
          <w:r>
            <w:rPr>
              <w:highlight w:val="none"/>
            </w:rPr>
            <w:fldChar w:fldCharType="end"/>
          </w:r>
          <w:r>
            <w:rPr>
              <w:highlight w:val="none"/>
            </w:rPr>
            <w:fldChar w:fldCharType="end"/>
          </w:r>
        </w:p>
        <w:p w14:paraId="451C8DFD">
          <w:pPr>
            <w:pStyle w:val="19"/>
            <w:rPr>
              <w:rFonts w:ascii="仿宋" w:hAnsi="仿宋" w:eastAsia="仿宋" w:cs="仿宋"/>
              <w:color w:val="000000" w:themeColor="text1"/>
              <w:highlight w:val="none"/>
              <w14:textFill>
                <w14:solidFill>
                  <w14:schemeClr w14:val="tx1"/>
                </w14:solidFill>
              </w14:textFill>
            </w:rPr>
            <w:sectPr>
              <w:headerReference r:id="rId6" w:type="first"/>
              <w:footerReference r:id="rId8" w:type="first"/>
              <w:footerReference r:id="rId7" w:type="default"/>
              <w:pgSz w:w="11906" w:h="16838"/>
              <w:pgMar w:top="1440" w:right="1800" w:bottom="1440" w:left="1800" w:header="850" w:footer="975" w:gutter="0"/>
              <w:pgNumType w:start="1"/>
              <w:cols w:space="0" w:num="1"/>
              <w:titlePg/>
              <w:docGrid w:linePitch="312" w:charSpace="0"/>
            </w:sectPr>
          </w:pPr>
          <w:r>
            <w:rPr>
              <w:rFonts w:hint="eastAsia" w:ascii="仿宋" w:hAnsi="仿宋" w:eastAsia="仿宋" w:cs="仿宋"/>
              <w:color w:val="000000" w:themeColor="text1"/>
              <w:highlight w:val="none"/>
              <w14:textFill>
                <w14:solidFill>
                  <w14:schemeClr w14:val="tx1"/>
                </w14:solidFill>
              </w14:textFill>
            </w:rPr>
            <w:fldChar w:fldCharType="end"/>
          </w:r>
          <w:permEnd w:id="4"/>
        </w:p>
      </w:sdtContent>
    </w:sdt>
    <w:p w14:paraId="11956929">
      <w:pPr>
        <w:pStyle w:val="19"/>
        <w:jc w:val="center"/>
        <w:outlineLvl w:val="0"/>
        <w:rPr>
          <w:rFonts w:ascii="仿宋" w:hAnsi="仿宋" w:eastAsia="仿宋" w:cs="仿宋"/>
          <w:b/>
          <w:bCs/>
          <w:color w:val="000000" w:themeColor="text1"/>
          <w:sz w:val="32"/>
          <w:szCs w:val="32"/>
          <w:highlight w:val="none"/>
          <w14:textFill>
            <w14:solidFill>
              <w14:schemeClr w14:val="tx1"/>
            </w14:solidFill>
          </w14:textFill>
        </w:rPr>
      </w:pPr>
      <w:bookmarkStart w:id="1" w:name="_Toc22574"/>
      <w:bookmarkStart w:id="2" w:name="_Toc4600"/>
      <w:r>
        <w:rPr>
          <w:rFonts w:hint="eastAsia" w:ascii="黑体" w:hAnsi="黑体" w:eastAsia="黑体" w:cs="黑体"/>
          <w:b/>
          <w:bCs/>
          <w:color w:val="000000" w:themeColor="text1"/>
          <w:sz w:val="32"/>
          <w:szCs w:val="32"/>
          <w:highlight w:val="none"/>
          <w14:textFill>
            <w14:solidFill>
              <w14:schemeClr w14:val="tx1"/>
            </w14:solidFill>
          </w14:textFill>
        </w:rPr>
        <w:t>第一部分</w:t>
      </w:r>
      <w:bookmarkEnd w:id="1"/>
      <w:r>
        <w:rPr>
          <w:rFonts w:hint="eastAsia" w:ascii="黑体" w:hAnsi="黑体" w:eastAsia="黑体" w:cs="黑体"/>
          <w:b/>
          <w:bCs/>
          <w:color w:val="000000" w:themeColor="text1"/>
          <w:sz w:val="32"/>
          <w:szCs w:val="32"/>
          <w:highlight w:val="none"/>
          <w14:textFill>
            <w14:solidFill>
              <w14:schemeClr w14:val="tx1"/>
            </w14:solidFill>
          </w14:textFill>
        </w:rPr>
        <w:t xml:space="preserve"> 专用条款</w:t>
      </w:r>
      <w:bookmarkEnd w:id="2"/>
    </w:p>
    <w:p w14:paraId="116A28BC">
      <w:pPr>
        <w:pStyle w:val="19"/>
        <w:spacing w:before="240" w:beforeLines="100" w:line="400" w:lineRule="atLeast"/>
        <w:rPr>
          <w:rFonts w:hint="default" w:ascii="仿宋_GB2312" w:hAnsi="仿宋_GB2312" w:eastAsia="仿宋_GB2312" w:cs="仿宋_GB2312"/>
          <w:color w:val="000000" w:themeColor="text1"/>
          <w:highlight w:val="none"/>
          <w:lang w:val="en-US" w:eastAsia="zh-CN"/>
          <w14:textFill>
            <w14:solidFill>
              <w14:schemeClr w14:val="tx1"/>
            </w14:solidFill>
          </w14:textFill>
        </w:rPr>
      </w:pPr>
      <w:bookmarkStart w:id="3" w:name="_Hlk127188610"/>
      <w:r>
        <w:rPr>
          <w:rFonts w:hint="eastAsia" w:ascii="仿宋_GB2312" w:hAnsi="仿宋_GB2312" w:eastAsia="仿宋_GB2312" w:cs="仿宋_GB2312"/>
          <w:color w:val="000000" w:themeColor="text1"/>
          <w:highlight w:val="none"/>
          <w14:textFill>
            <w14:solidFill>
              <w14:schemeClr w14:val="tx1"/>
            </w14:solidFill>
          </w14:textFill>
        </w:rPr>
        <w:t xml:space="preserve">甲方（买方）： </w:t>
      </w:r>
      <w:permStart w:id="5" w:edGrp="everyone"/>
      <w:r>
        <w:rPr>
          <w:rFonts w:hint="eastAsia" w:ascii="仿宋_GB2312" w:hAnsi="仿宋_GB2312" w:eastAsia="仿宋_GB2312" w:cs="仿宋_GB2312"/>
          <w:color w:val="000000" w:themeColor="text1"/>
          <w:highlight w:val="none"/>
          <w:u w:val="single"/>
          <w14:textFill>
            <w14:solidFill>
              <w14:schemeClr w14:val="tx1"/>
            </w14:solidFill>
          </w14:textFill>
        </w:rPr>
        <w:t>中建</w:t>
      </w:r>
      <w:r>
        <w:rPr>
          <w:rFonts w:hint="eastAsia" w:ascii="仿宋_GB2312" w:hAnsi="仿宋_GB2312" w:eastAsia="仿宋_GB2312" w:cs="仿宋_GB2312"/>
          <w:color w:val="000000" w:themeColor="text1"/>
          <w:highlight w:val="none"/>
          <w:u w:val="single"/>
          <w:lang w:val="en-US" w:eastAsia="zh-CN"/>
          <w14:textFill>
            <w14:solidFill>
              <w14:schemeClr w14:val="tx1"/>
            </w14:solidFill>
          </w14:textFill>
        </w:rPr>
        <w:t>路桥</w:t>
      </w:r>
      <w:r>
        <w:rPr>
          <w:rFonts w:hint="eastAsia" w:ascii="仿宋_GB2312" w:hAnsi="仿宋_GB2312" w:eastAsia="仿宋_GB2312" w:cs="仿宋_GB2312"/>
          <w:color w:val="000000" w:themeColor="text1"/>
          <w:highlight w:val="none"/>
          <w:u w:val="single"/>
          <w14:textFill>
            <w14:solidFill>
              <w14:schemeClr w14:val="tx1"/>
            </w14:solidFill>
          </w14:textFill>
        </w:rPr>
        <w:t>集团有限公司</w:t>
      </w:r>
      <w:r>
        <w:rPr>
          <w:rFonts w:hint="eastAsia" w:ascii="仿宋_GB2312" w:hAnsi="仿宋_GB2312" w:eastAsia="仿宋_GB2312" w:cs="仿宋_GB2312"/>
          <w:color w:val="000000" w:themeColor="text1"/>
          <w:highlight w:val="none"/>
          <w:u w:val="single"/>
          <w:lang w:val="en-US" w:eastAsia="zh-CN"/>
          <w14:textFill>
            <w14:solidFill>
              <w14:schemeClr w14:val="tx1"/>
            </w14:solidFill>
          </w14:textFill>
        </w:rPr>
        <w:t>桂林分公司</w:t>
      </w:r>
      <w:r>
        <w:rPr>
          <w:rFonts w:hint="eastAsia" w:ascii="仿宋_GB2312" w:hAnsi="仿宋_GB2312" w:eastAsia="仿宋_GB2312" w:cs="仿宋_GB2312"/>
          <w:color w:val="000000" w:themeColor="text1"/>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highlight w:val="none"/>
          <w:u w:val="single"/>
          <w:lang w:val="en-US" w:eastAsia="zh-CN"/>
          <w14:textFill>
            <w14:solidFill>
              <w14:schemeClr w14:val="tx1"/>
            </w14:solidFill>
          </w14:textFill>
        </w:rPr>
        <w:t xml:space="preserve">   </w:t>
      </w:r>
      <w:permEnd w:id="5"/>
      <w:r>
        <w:rPr>
          <w:rFonts w:hint="eastAsia" w:ascii="仿宋_GB2312" w:hAnsi="仿宋_GB2312" w:eastAsia="仿宋_GB2312" w:cs="仿宋_GB2312"/>
          <w:color w:val="000000" w:themeColor="text1"/>
          <w:highlight w:val="none"/>
          <w:u w:val="single"/>
          <w:lang w:val="en-US" w:eastAsia="zh-CN"/>
          <w14:textFill>
            <w14:solidFill>
              <w14:schemeClr w14:val="tx1"/>
            </w14:solidFill>
          </w14:textFill>
        </w:rPr>
        <w:t xml:space="preserve"> </w:t>
      </w:r>
    </w:p>
    <w:p w14:paraId="5587CCFA">
      <w:pPr>
        <w:pStyle w:val="19"/>
        <w:spacing w:line="400" w:lineRule="atLeast"/>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 xml:space="preserve">乙方（卖方）： </w:t>
      </w:r>
      <w:permStart w:id="6" w:edGrp="everyone"/>
      <w:r>
        <w:rPr>
          <w:rFonts w:ascii="仿宋_GB2312" w:hAnsi="仿宋_GB2312" w:eastAsia="仿宋_GB2312" w:cs="仿宋_GB2312"/>
          <w:color w:val="000000" w:themeColor="text1"/>
          <w:highlight w:val="none"/>
          <w:u w:val="single"/>
          <w14:textFill>
            <w14:solidFill>
              <w14:schemeClr w14:val="tx1"/>
            </w14:solidFill>
          </w14:textFill>
        </w:rPr>
        <w:t xml:space="preserve">                           </w:t>
      </w:r>
      <w:permEnd w:id="6"/>
      <w:r>
        <w:rPr>
          <w:rFonts w:ascii="仿宋_GB2312" w:hAnsi="仿宋_GB2312" w:eastAsia="仿宋_GB2312" w:cs="仿宋_GB2312"/>
          <w:color w:val="000000" w:themeColor="text1"/>
          <w:highlight w:val="none"/>
          <w:u w:val="single"/>
          <w14:textFill>
            <w14:solidFill>
              <w14:schemeClr w14:val="tx1"/>
            </w14:solidFill>
          </w14:textFill>
        </w:rPr>
        <w:t xml:space="preserve"> </w:t>
      </w:r>
    </w:p>
    <w:bookmarkEnd w:id="3"/>
    <w:p w14:paraId="21F8C88B">
      <w:pPr>
        <w:pStyle w:val="19"/>
        <w:spacing w:line="400" w:lineRule="atLeast"/>
        <w:ind w:firstLine="482"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根据</w:t>
      </w:r>
      <w:r>
        <w:rPr>
          <w:rFonts w:hint="eastAsia" w:ascii="仿宋_GB2312" w:hAnsi="仿宋_GB2312" w:eastAsia="仿宋_GB2312" w:cs="仿宋_GB2312"/>
          <w:color w:val="000000" w:themeColor="text1"/>
          <w:highlight w:val="none"/>
          <w14:textFill>
            <w14:solidFill>
              <w14:schemeClr w14:val="tx1"/>
            </w14:solidFill>
          </w14:textFill>
        </w:rPr>
        <w:t xml:space="preserve">《中华人民共和国民法典》及有关法律规定，遵循平等、自愿、公平和诚实信用的原则，在对本合同进行充分理解的基础上，双方经友好协商一致，订立本合同并共同遵守。      </w:t>
      </w:r>
    </w:p>
    <w:p w14:paraId="09E06CDE">
      <w:pPr>
        <w:pStyle w:val="19"/>
        <w:numPr>
          <w:ilvl w:val="0"/>
          <w:numId w:val="1"/>
        </w:numPr>
        <w:spacing w:before="120" w:beforeLines="50" w:after="120" w:afterLines="50" w:line="400" w:lineRule="atLeast"/>
        <w:ind w:firstLine="482" w:firstLineChars="200"/>
        <w:outlineLvl w:val="0"/>
        <w:rPr>
          <w:rFonts w:ascii="仿宋_GB2312" w:hAnsi="仿宋_GB2312" w:eastAsia="仿宋_GB2312" w:cs="仿宋_GB2312"/>
          <w:b/>
          <w:bCs/>
          <w:color w:val="000000" w:themeColor="text1"/>
          <w:highlight w:val="none"/>
          <w14:textFill>
            <w14:solidFill>
              <w14:schemeClr w14:val="tx1"/>
            </w14:solidFill>
          </w14:textFill>
        </w:rPr>
      </w:pPr>
      <w:bookmarkStart w:id="4" w:name="_Toc22768"/>
      <w:r>
        <w:rPr>
          <w:rFonts w:hint="eastAsia" w:ascii="仿宋_GB2312" w:hAnsi="仿宋_GB2312" w:eastAsia="仿宋_GB2312" w:cs="仿宋_GB2312"/>
          <w:b/>
          <w:bCs/>
          <w:color w:val="000000" w:themeColor="text1"/>
          <w:highlight w:val="none"/>
          <w14:textFill>
            <w14:solidFill>
              <w14:schemeClr w14:val="tx1"/>
            </w14:solidFill>
          </w14:textFill>
        </w:rPr>
        <w:t>工程概况</w:t>
      </w:r>
      <w:bookmarkEnd w:id="4"/>
    </w:p>
    <w:p w14:paraId="420AC723">
      <w:pPr>
        <w:spacing w:line="500" w:lineRule="exact"/>
        <w:ind w:firstLine="422" w:firstLineChars="200"/>
        <w:jc w:val="left"/>
        <w:rPr>
          <w:rFonts w:ascii="仿宋_GB2312" w:hAnsi="仿宋" w:eastAsia="仿宋_GB2312"/>
          <w:bCs/>
          <w:color w:val="000000" w:themeColor="text1"/>
          <w:sz w:val="21"/>
          <w:szCs w:val="21"/>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1、工程名称：</w:t>
      </w:r>
      <w:permStart w:id="7" w:edGrp="everyone"/>
      <w:r>
        <w:rPr>
          <w:rFonts w:hint="eastAsia" w:ascii="仿宋_GB2312" w:hAnsi="仿宋" w:eastAsia="仿宋_GB2312"/>
          <w:bCs/>
          <w:sz w:val="21"/>
          <w:szCs w:val="21"/>
          <w:u w:val="single"/>
        </w:rPr>
        <w:t>阳朔县兴阳路至兴坪漓江景区道路含乾元桥、飞凤桥建设项目</w:t>
      </w:r>
    </w:p>
    <w:permEnd w:id="7"/>
    <w:p w14:paraId="6E8B2A42">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w:t>
      </w:r>
    </w:p>
    <w:p w14:paraId="47559249">
      <w:pPr>
        <w:pStyle w:val="19"/>
        <w:spacing w:line="400" w:lineRule="atLeast"/>
        <w:ind w:firstLine="482"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2、工程地点：</w:t>
      </w:r>
      <w:permStart w:id="8" w:edGrp="everyone"/>
      <w:r>
        <w:rPr>
          <w:rFonts w:hint="eastAsia" w:ascii="仿宋_GB2312" w:hAnsi="仿宋" w:eastAsia="仿宋_GB2312"/>
          <w:bCs/>
          <w:color w:val="000000" w:themeColor="text1"/>
          <w:sz w:val="21"/>
          <w:szCs w:val="21"/>
          <w:u w:val="single"/>
          <w14:textFill>
            <w14:solidFill>
              <w14:schemeClr w14:val="tx1"/>
            </w14:solidFill>
          </w14:textFill>
        </w:rPr>
        <w:t>阳朔县兴坪镇</w:t>
      </w:r>
      <w:permEnd w:id="8"/>
      <w:r>
        <w:rPr>
          <w:rFonts w:hint="eastAsia" w:ascii="仿宋_GB2312" w:hAnsi="仿宋_GB2312" w:eastAsia="仿宋_GB2312" w:cs="仿宋_GB2312"/>
          <w:color w:val="000000" w:themeColor="text1"/>
          <w:highlight w:val="none"/>
          <w14:textFill>
            <w14:solidFill>
              <w14:schemeClr w14:val="tx1"/>
            </w14:solidFill>
          </w14:textFill>
        </w:rPr>
        <w:t>；</w:t>
      </w:r>
    </w:p>
    <w:p w14:paraId="4D1AB90B">
      <w:pPr>
        <w:pStyle w:val="19"/>
        <w:numPr>
          <w:ilvl w:val="0"/>
          <w:numId w:val="1"/>
        </w:numPr>
        <w:spacing w:before="120" w:beforeLines="50" w:after="120" w:afterLines="50" w:line="400" w:lineRule="atLeast"/>
        <w:ind w:firstLine="482" w:firstLineChars="200"/>
        <w:outlineLvl w:val="0"/>
        <w:rPr>
          <w:rFonts w:ascii="仿宋_GB2312" w:hAnsi="仿宋_GB2312" w:eastAsia="仿宋_GB2312" w:cs="仿宋_GB2312"/>
          <w:b/>
          <w:bCs/>
          <w:color w:val="000000" w:themeColor="text1"/>
          <w:highlight w:val="yellow"/>
          <w14:textFill>
            <w14:solidFill>
              <w14:schemeClr w14:val="tx1"/>
            </w14:solidFill>
          </w14:textFill>
        </w:rPr>
      </w:pPr>
      <w:bookmarkStart w:id="5" w:name="_Toc13582"/>
      <w:r>
        <w:rPr>
          <w:rFonts w:hint="eastAsia" w:ascii="仿宋_GB2312" w:hAnsi="仿宋_GB2312" w:eastAsia="仿宋_GB2312" w:cs="仿宋_GB2312"/>
          <w:b/>
          <w:bCs/>
          <w:color w:val="000000" w:themeColor="text1"/>
          <w:highlight w:val="yellow"/>
          <w14:textFill>
            <w14:solidFill>
              <w14:schemeClr w14:val="tx1"/>
            </w14:solidFill>
          </w14:textFill>
        </w:rPr>
        <w:t>货物清单</w:t>
      </w:r>
      <w:bookmarkEnd w:id="5"/>
    </w:p>
    <w:tbl>
      <w:tblPr>
        <w:tblStyle w:val="15"/>
        <w:tblW w:w="115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361"/>
        <w:gridCol w:w="994"/>
        <w:gridCol w:w="828"/>
        <w:gridCol w:w="1056"/>
        <w:gridCol w:w="756"/>
        <w:gridCol w:w="1188"/>
        <w:gridCol w:w="1248"/>
        <w:gridCol w:w="576"/>
        <w:gridCol w:w="1104"/>
        <w:gridCol w:w="1168"/>
        <w:gridCol w:w="709"/>
      </w:tblGrid>
      <w:tr w14:paraId="05BA2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62" w:hRule="atLeast"/>
          <w:jc w:val="center"/>
        </w:trPr>
        <w:tc>
          <w:tcPr>
            <w:tcW w:w="567" w:type="dxa"/>
            <w:shd w:val="clear" w:color="auto" w:fill="auto"/>
            <w:vAlign w:val="center"/>
          </w:tcPr>
          <w:p w14:paraId="129BCCCE">
            <w:pPr>
              <w:widowControl/>
              <w:jc w:val="center"/>
              <w:textAlignment w:val="center"/>
              <w:rPr>
                <w:rFonts w:ascii="仿宋_GB2312" w:hAnsi="仿宋_GB2312" w:eastAsia="仿宋_GB2312" w:cs="仿宋_GB2312"/>
                <w:color w:val="000000" w:themeColor="text1"/>
                <w:kern w:val="0"/>
                <w:sz w:val="18"/>
                <w:szCs w:val="18"/>
                <w:highlight w:val="none"/>
                <w:lang w:bidi="ar"/>
                <w14:textFill>
                  <w14:solidFill>
                    <w14:schemeClr w14:val="tx1"/>
                  </w14:solidFill>
                </w14:textFill>
              </w:rPr>
            </w:pPr>
            <w:permStart w:id="9" w:edGrp="everyone"/>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序号</w:t>
            </w:r>
          </w:p>
        </w:tc>
        <w:tc>
          <w:tcPr>
            <w:tcW w:w="1361" w:type="dxa"/>
            <w:shd w:val="clear" w:color="auto" w:fill="auto"/>
            <w:vAlign w:val="center"/>
          </w:tcPr>
          <w:p w14:paraId="61FAB718">
            <w:pPr>
              <w:widowControl/>
              <w:jc w:val="center"/>
              <w:textAlignment w:val="center"/>
              <w:rPr>
                <w:rFonts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货物名称</w:t>
            </w:r>
          </w:p>
        </w:tc>
        <w:tc>
          <w:tcPr>
            <w:tcW w:w="994" w:type="dxa"/>
            <w:shd w:val="clear" w:color="auto" w:fill="auto"/>
            <w:vAlign w:val="center"/>
          </w:tcPr>
          <w:p w14:paraId="2A858C9B">
            <w:pPr>
              <w:widowControl/>
              <w:jc w:val="center"/>
              <w:textAlignment w:val="center"/>
              <w:rPr>
                <w:rFonts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货物</w:t>
            </w:r>
          </w:p>
          <w:p w14:paraId="3116BC1B">
            <w:pPr>
              <w:widowControl/>
              <w:jc w:val="center"/>
              <w:textAlignment w:val="center"/>
              <w:rPr>
                <w:rFonts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规格参数</w:t>
            </w:r>
          </w:p>
        </w:tc>
        <w:tc>
          <w:tcPr>
            <w:tcW w:w="828" w:type="dxa"/>
            <w:shd w:val="clear" w:color="auto" w:fill="auto"/>
            <w:vAlign w:val="center"/>
          </w:tcPr>
          <w:p w14:paraId="6FE7F8C4">
            <w:pPr>
              <w:widowControl/>
              <w:jc w:val="center"/>
              <w:textAlignment w:val="center"/>
              <w:rPr>
                <w:rFonts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计量</w:t>
            </w:r>
          </w:p>
          <w:p w14:paraId="3E6D5F42">
            <w:pPr>
              <w:widowControl/>
              <w:jc w:val="center"/>
              <w:textAlignment w:val="center"/>
              <w:rPr>
                <w:rFonts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单位</w:t>
            </w:r>
          </w:p>
        </w:tc>
        <w:tc>
          <w:tcPr>
            <w:tcW w:w="1056" w:type="dxa"/>
            <w:shd w:val="clear" w:color="auto" w:fill="auto"/>
            <w:vAlign w:val="center"/>
          </w:tcPr>
          <w:p w14:paraId="24EA48C0">
            <w:pPr>
              <w:widowControl/>
              <w:jc w:val="center"/>
              <w:textAlignment w:val="center"/>
              <w:rPr>
                <w:rFonts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计量规则</w:t>
            </w:r>
          </w:p>
        </w:tc>
        <w:tc>
          <w:tcPr>
            <w:tcW w:w="756" w:type="dxa"/>
            <w:shd w:val="clear" w:color="auto" w:fill="auto"/>
            <w:vAlign w:val="center"/>
          </w:tcPr>
          <w:p w14:paraId="46E0942B">
            <w:pPr>
              <w:widowControl/>
              <w:jc w:val="center"/>
              <w:textAlignment w:val="center"/>
              <w:rPr>
                <w:rFonts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暂定</w:t>
            </w:r>
          </w:p>
          <w:p w14:paraId="173E8BA8">
            <w:pPr>
              <w:widowControl/>
              <w:jc w:val="center"/>
              <w:textAlignment w:val="center"/>
              <w:rPr>
                <w:rFonts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数量</w:t>
            </w:r>
          </w:p>
        </w:tc>
        <w:tc>
          <w:tcPr>
            <w:tcW w:w="1188" w:type="dxa"/>
            <w:shd w:val="clear" w:color="auto" w:fill="auto"/>
            <w:vAlign w:val="center"/>
          </w:tcPr>
          <w:p w14:paraId="7C8FC0C9">
            <w:pPr>
              <w:widowControl/>
              <w:jc w:val="center"/>
              <w:textAlignment w:val="center"/>
              <w:rPr>
                <w:rFonts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不含增值税</w:t>
            </w:r>
          </w:p>
          <w:p w14:paraId="705DAA7A">
            <w:pPr>
              <w:widowControl/>
              <w:jc w:val="center"/>
              <w:textAlignment w:val="center"/>
              <w:rPr>
                <w:rFonts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综合单价</w:t>
            </w:r>
          </w:p>
          <w:p w14:paraId="047CA62F">
            <w:pPr>
              <w:widowControl/>
              <w:jc w:val="center"/>
              <w:textAlignment w:val="center"/>
              <w:rPr>
                <w:rFonts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（元）</w:t>
            </w:r>
          </w:p>
        </w:tc>
        <w:tc>
          <w:tcPr>
            <w:tcW w:w="1248" w:type="dxa"/>
            <w:shd w:val="clear" w:color="auto" w:fill="auto"/>
            <w:vAlign w:val="center"/>
          </w:tcPr>
          <w:p w14:paraId="12898759">
            <w:pPr>
              <w:widowControl/>
              <w:jc w:val="center"/>
              <w:textAlignment w:val="center"/>
              <w:rPr>
                <w:rFonts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不含增值税</w:t>
            </w:r>
          </w:p>
          <w:p w14:paraId="5D0AC7CD">
            <w:pPr>
              <w:widowControl/>
              <w:jc w:val="center"/>
              <w:textAlignment w:val="center"/>
              <w:rPr>
                <w:rFonts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合价</w:t>
            </w:r>
          </w:p>
          <w:p w14:paraId="1E3239C1">
            <w:pPr>
              <w:widowControl/>
              <w:jc w:val="center"/>
              <w:textAlignment w:val="center"/>
              <w:rPr>
                <w:rFonts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（元）</w:t>
            </w:r>
          </w:p>
        </w:tc>
        <w:tc>
          <w:tcPr>
            <w:tcW w:w="576" w:type="dxa"/>
            <w:shd w:val="clear" w:color="auto" w:fill="auto"/>
            <w:vAlign w:val="center"/>
          </w:tcPr>
          <w:p w14:paraId="6FB3159C">
            <w:pPr>
              <w:widowControl/>
              <w:jc w:val="center"/>
              <w:textAlignment w:val="center"/>
              <w:rPr>
                <w:rFonts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增值</w:t>
            </w:r>
          </w:p>
          <w:p w14:paraId="296AF013">
            <w:pPr>
              <w:widowControl/>
              <w:jc w:val="center"/>
              <w:textAlignment w:val="center"/>
              <w:rPr>
                <w:rFonts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税率</w:t>
            </w:r>
          </w:p>
        </w:tc>
        <w:tc>
          <w:tcPr>
            <w:tcW w:w="1104" w:type="dxa"/>
            <w:shd w:val="clear" w:color="auto" w:fill="auto"/>
            <w:vAlign w:val="center"/>
          </w:tcPr>
          <w:p w14:paraId="2C7AEF33">
            <w:pPr>
              <w:widowControl/>
              <w:jc w:val="center"/>
              <w:textAlignment w:val="center"/>
              <w:rPr>
                <w:rFonts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含增值税</w:t>
            </w:r>
          </w:p>
          <w:p w14:paraId="203BAA5E">
            <w:pPr>
              <w:widowControl/>
              <w:jc w:val="center"/>
              <w:textAlignment w:val="center"/>
              <w:rPr>
                <w:rFonts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综合单价</w:t>
            </w:r>
          </w:p>
          <w:p w14:paraId="54A1C533">
            <w:pPr>
              <w:widowControl/>
              <w:jc w:val="center"/>
              <w:textAlignment w:val="center"/>
              <w:rPr>
                <w:rFonts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 xml:space="preserve">（元）  </w:t>
            </w:r>
          </w:p>
        </w:tc>
        <w:tc>
          <w:tcPr>
            <w:tcW w:w="1168" w:type="dxa"/>
            <w:shd w:val="clear" w:color="auto" w:fill="auto"/>
            <w:vAlign w:val="center"/>
          </w:tcPr>
          <w:p w14:paraId="178E8220">
            <w:pPr>
              <w:widowControl/>
              <w:jc w:val="center"/>
              <w:textAlignment w:val="center"/>
              <w:rPr>
                <w:rFonts w:hint="default" w:ascii="仿宋_GB2312" w:hAnsi="仿宋_GB2312" w:eastAsia="仿宋_GB2312" w:cs="仿宋_GB2312"/>
                <w:color w:val="000000" w:themeColor="text1"/>
                <w:kern w:val="0"/>
                <w:sz w:val="18"/>
                <w:szCs w:val="18"/>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val="en-US" w:eastAsia="zh-CN" w:bidi="ar"/>
                <w14:textFill>
                  <w14:solidFill>
                    <w14:schemeClr w14:val="tx1"/>
                  </w14:solidFill>
                </w14:textFill>
              </w:rPr>
              <w:t>含增值税合价（元）</w:t>
            </w:r>
          </w:p>
        </w:tc>
        <w:tc>
          <w:tcPr>
            <w:tcW w:w="709" w:type="dxa"/>
            <w:shd w:val="clear" w:color="auto" w:fill="auto"/>
            <w:vAlign w:val="center"/>
          </w:tcPr>
          <w:p w14:paraId="2C908DAD">
            <w:pPr>
              <w:widowControl/>
              <w:jc w:val="center"/>
              <w:textAlignment w:val="center"/>
              <w:rPr>
                <w:rFonts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备注</w:t>
            </w:r>
          </w:p>
        </w:tc>
      </w:tr>
      <w:tr w14:paraId="2A2E3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567" w:type="dxa"/>
            <w:shd w:val="clear" w:color="auto" w:fill="auto"/>
            <w:vAlign w:val="center"/>
          </w:tcPr>
          <w:p w14:paraId="37D0CE9D">
            <w:pPr>
              <w:widowControl/>
              <w:spacing w:line="400" w:lineRule="atLeast"/>
              <w:jc w:val="center"/>
              <w:textAlignment w:val="center"/>
              <w:rPr>
                <w:rFonts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color w:val="000000" w:themeColor="text1"/>
                <w:sz w:val="18"/>
                <w:szCs w:val="18"/>
                <w:highlight w:val="none"/>
                <w14:textFill>
                  <w14:solidFill>
                    <w14:schemeClr w14:val="tx1"/>
                  </w14:solidFill>
                </w14:textFill>
              </w:rPr>
              <w:t>1</w:t>
            </w:r>
          </w:p>
        </w:tc>
        <w:tc>
          <w:tcPr>
            <w:tcW w:w="1361" w:type="dxa"/>
            <w:shd w:val="clear" w:color="auto" w:fill="auto"/>
            <w:vAlign w:val="center"/>
          </w:tcPr>
          <w:p w14:paraId="04C64727">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color w:val="000000" w:themeColor="text1"/>
                <w:sz w:val="18"/>
                <w:szCs w:val="18"/>
                <w:highlight w:val="none"/>
                <w14:textFill>
                  <w14:solidFill>
                    <w14:schemeClr w14:val="tx1"/>
                  </w14:solidFill>
                </w14:textFill>
              </w:rPr>
              <w:t>商品混凝土</w:t>
            </w:r>
          </w:p>
        </w:tc>
        <w:tc>
          <w:tcPr>
            <w:tcW w:w="994" w:type="dxa"/>
            <w:shd w:val="clear" w:color="auto" w:fill="auto"/>
            <w:vAlign w:val="center"/>
          </w:tcPr>
          <w:p w14:paraId="6740C6A3">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color w:val="000000" w:themeColor="text1"/>
                <w:sz w:val="18"/>
                <w:szCs w:val="18"/>
                <w:highlight w:val="none"/>
                <w14:textFill>
                  <w14:solidFill>
                    <w14:schemeClr w14:val="tx1"/>
                  </w14:solidFill>
                </w14:textFill>
              </w:rPr>
              <w:t>C15</w:t>
            </w:r>
          </w:p>
        </w:tc>
        <w:tc>
          <w:tcPr>
            <w:tcW w:w="828" w:type="dxa"/>
            <w:shd w:val="clear" w:color="auto" w:fill="auto"/>
            <w:vAlign w:val="center"/>
          </w:tcPr>
          <w:p w14:paraId="4C70CD48">
            <w:pPr>
              <w:widowControl/>
              <w:jc w:val="center"/>
              <w:textAlignment w:val="center"/>
              <w:rPr>
                <w:rFonts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m</w:t>
            </w:r>
            <w:r>
              <w:rPr>
                <w:rStyle w:val="20"/>
                <w:rFonts w:hint="default" w:ascii="仿宋_GB2312" w:hAnsi="仿宋_GB2312" w:eastAsia="仿宋_GB2312" w:cs="仿宋_GB2312"/>
                <w:color w:val="000000" w:themeColor="text1"/>
                <w:sz w:val="18"/>
                <w:szCs w:val="18"/>
                <w:highlight w:val="none"/>
                <w:lang w:bidi="ar"/>
                <w14:textFill>
                  <w14:solidFill>
                    <w14:schemeClr w14:val="tx1"/>
                  </w14:solidFill>
                </w14:textFill>
              </w:rPr>
              <w:t>3</w:t>
            </w:r>
          </w:p>
        </w:tc>
        <w:tc>
          <w:tcPr>
            <w:tcW w:w="1056" w:type="dxa"/>
            <w:shd w:val="clear" w:color="auto" w:fill="auto"/>
            <w:vAlign w:val="center"/>
          </w:tcPr>
          <w:p w14:paraId="3E222CD2">
            <w:pPr>
              <w:widowControl/>
              <w:spacing w:line="400" w:lineRule="atLeast"/>
              <w:jc w:val="center"/>
              <w:textAlignment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756" w:type="dxa"/>
            <w:shd w:val="clear" w:color="auto" w:fill="auto"/>
            <w:noWrap/>
            <w:vAlign w:val="center"/>
          </w:tcPr>
          <w:p w14:paraId="7BC51C94">
            <w:pPr>
              <w:keepNext w:val="0"/>
              <w:keepLines w:val="0"/>
              <w:widowControl/>
              <w:suppressLineNumbers w:val="0"/>
              <w:jc w:val="center"/>
              <w:textAlignment w:val="center"/>
              <w:rPr>
                <w:rFonts w:ascii="仿宋_GB2312" w:eastAsia="仿宋_GB2312" w:hAnsiTheme="minorHAnsi" w:cstheme="minorBidi"/>
                <w:kern w:val="2"/>
                <w:sz w:val="21"/>
                <w:szCs w:val="21"/>
                <w:highlight w:val="none"/>
                <w:lang w:val="en-US" w:eastAsia="zh-CN" w:bidi="ar-SA"/>
              </w:rPr>
            </w:pPr>
            <w:r>
              <w:rPr>
                <w:rFonts w:hint="eastAsia" w:ascii="宋体" w:hAnsi="宋体" w:eastAsia="宋体" w:cs="宋体"/>
                <w:i w:val="0"/>
                <w:iCs w:val="0"/>
                <w:color w:val="000000"/>
                <w:kern w:val="0"/>
                <w:sz w:val="16"/>
                <w:szCs w:val="16"/>
                <w:u w:val="none"/>
                <w:lang w:val="en-US" w:eastAsia="zh-CN" w:bidi="ar"/>
              </w:rPr>
              <w:t>2875</w:t>
            </w:r>
          </w:p>
        </w:tc>
        <w:tc>
          <w:tcPr>
            <w:tcW w:w="1188" w:type="dxa"/>
            <w:shd w:val="clear" w:color="auto" w:fill="auto"/>
            <w:noWrap/>
            <w:vAlign w:val="center"/>
          </w:tcPr>
          <w:p w14:paraId="469931FB">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1248" w:type="dxa"/>
            <w:shd w:val="clear" w:color="auto" w:fill="auto"/>
            <w:noWrap/>
            <w:vAlign w:val="center"/>
          </w:tcPr>
          <w:p w14:paraId="10B25926">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576" w:type="dxa"/>
            <w:shd w:val="clear" w:color="auto" w:fill="auto"/>
            <w:noWrap/>
            <w:vAlign w:val="center"/>
          </w:tcPr>
          <w:p w14:paraId="78CAB2BE">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1104" w:type="dxa"/>
            <w:shd w:val="clear" w:color="auto" w:fill="auto"/>
            <w:noWrap/>
            <w:vAlign w:val="center"/>
          </w:tcPr>
          <w:p w14:paraId="41EF859F">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color w:val="000000" w:themeColor="text1"/>
                <w:sz w:val="18"/>
                <w:szCs w:val="18"/>
                <w:highlight w:val="none"/>
                <w14:textFill>
                  <w14:solidFill>
                    <w14:schemeClr w14:val="tx1"/>
                  </w14:solidFill>
                </w14:textFill>
              </w:rPr>
              <w:t xml:space="preserve">     </w:t>
            </w:r>
          </w:p>
        </w:tc>
        <w:tc>
          <w:tcPr>
            <w:tcW w:w="1168" w:type="dxa"/>
            <w:shd w:val="clear" w:color="auto" w:fill="auto"/>
            <w:vAlign w:val="center"/>
          </w:tcPr>
          <w:p w14:paraId="382122A1">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709" w:type="dxa"/>
            <w:shd w:val="clear" w:color="auto" w:fill="auto"/>
            <w:vAlign w:val="center"/>
          </w:tcPr>
          <w:p w14:paraId="58A4C3F1">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r>
      <w:tr w14:paraId="3E051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567" w:type="dxa"/>
            <w:shd w:val="clear" w:color="auto" w:fill="auto"/>
            <w:vAlign w:val="center"/>
          </w:tcPr>
          <w:p w14:paraId="0FE04402">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color w:val="000000" w:themeColor="text1"/>
                <w:sz w:val="18"/>
                <w:szCs w:val="18"/>
                <w:highlight w:val="none"/>
                <w14:textFill>
                  <w14:solidFill>
                    <w14:schemeClr w14:val="tx1"/>
                  </w14:solidFill>
                </w14:textFill>
              </w:rPr>
              <w:t>2</w:t>
            </w:r>
          </w:p>
        </w:tc>
        <w:tc>
          <w:tcPr>
            <w:tcW w:w="1361" w:type="dxa"/>
            <w:shd w:val="clear" w:color="auto" w:fill="auto"/>
            <w:vAlign w:val="center"/>
          </w:tcPr>
          <w:p w14:paraId="7638003E">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color w:val="000000" w:themeColor="text1"/>
                <w:sz w:val="18"/>
                <w:szCs w:val="18"/>
                <w:highlight w:val="none"/>
                <w14:textFill>
                  <w14:solidFill>
                    <w14:schemeClr w14:val="tx1"/>
                  </w14:solidFill>
                </w14:textFill>
              </w:rPr>
              <w:t>商品混凝土</w:t>
            </w:r>
          </w:p>
        </w:tc>
        <w:tc>
          <w:tcPr>
            <w:tcW w:w="994" w:type="dxa"/>
            <w:shd w:val="clear" w:color="auto" w:fill="auto"/>
            <w:vAlign w:val="center"/>
          </w:tcPr>
          <w:p w14:paraId="44FF8B4C">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color w:val="000000" w:themeColor="text1"/>
                <w:sz w:val="18"/>
                <w:szCs w:val="18"/>
                <w:highlight w:val="none"/>
                <w14:textFill>
                  <w14:solidFill>
                    <w14:schemeClr w14:val="tx1"/>
                  </w14:solidFill>
                </w14:textFill>
              </w:rPr>
              <w:t>C20</w:t>
            </w:r>
          </w:p>
        </w:tc>
        <w:tc>
          <w:tcPr>
            <w:tcW w:w="828" w:type="dxa"/>
            <w:shd w:val="clear" w:color="auto" w:fill="auto"/>
            <w:noWrap/>
            <w:vAlign w:val="center"/>
          </w:tcPr>
          <w:p w14:paraId="01B34DAA">
            <w:pPr>
              <w:widowControl/>
              <w:jc w:val="center"/>
              <w:textAlignment w:val="center"/>
              <w:rPr>
                <w:rFonts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m</w:t>
            </w:r>
            <w:r>
              <w:rPr>
                <w:rStyle w:val="20"/>
                <w:rFonts w:hint="default" w:ascii="仿宋_GB2312" w:hAnsi="仿宋_GB2312" w:eastAsia="仿宋_GB2312" w:cs="仿宋_GB2312"/>
                <w:color w:val="000000" w:themeColor="text1"/>
                <w:sz w:val="18"/>
                <w:szCs w:val="18"/>
                <w:highlight w:val="none"/>
                <w:lang w:bidi="ar"/>
                <w14:textFill>
                  <w14:solidFill>
                    <w14:schemeClr w14:val="tx1"/>
                  </w14:solidFill>
                </w14:textFill>
              </w:rPr>
              <w:t>3</w:t>
            </w:r>
          </w:p>
        </w:tc>
        <w:tc>
          <w:tcPr>
            <w:tcW w:w="1056" w:type="dxa"/>
            <w:shd w:val="clear" w:color="auto" w:fill="auto"/>
            <w:vAlign w:val="center"/>
          </w:tcPr>
          <w:p w14:paraId="7682882D">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756" w:type="dxa"/>
            <w:shd w:val="clear" w:color="auto" w:fill="auto"/>
            <w:noWrap/>
            <w:vAlign w:val="center"/>
          </w:tcPr>
          <w:p w14:paraId="1266C0E7">
            <w:pPr>
              <w:keepNext w:val="0"/>
              <w:keepLines w:val="0"/>
              <w:widowControl/>
              <w:suppressLineNumbers w:val="0"/>
              <w:jc w:val="center"/>
              <w:textAlignment w:val="center"/>
              <w:rPr>
                <w:rFonts w:ascii="仿宋_GB2312" w:eastAsia="仿宋_GB2312" w:hAnsiTheme="minorHAnsi" w:cstheme="minorBidi"/>
                <w:kern w:val="2"/>
                <w:sz w:val="21"/>
                <w:szCs w:val="21"/>
                <w:highlight w:val="none"/>
                <w:lang w:val="en-US" w:eastAsia="zh-CN" w:bidi="ar-SA"/>
              </w:rPr>
            </w:pPr>
            <w:r>
              <w:rPr>
                <w:rFonts w:hint="eastAsia" w:ascii="宋体" w:hAnsi="宋体" w:eastAsia="宋体" w:cs="宋体"/>
                <w:i w:val="0"/>
                <w:iCs w:val="0"/>
                <w:color w:val="000000"/>
                <w:kern w:val="0"/>
                <w:sz w:val="16"/>
                <w:szCs w:val="16"/>
                <w:u w:val="none"/>
                <w:lang w:val="en-US" w:eastAsia="zh-CN" w:bidi="ar"/>
              </w:rPr>
              <w:t>4815</w:t>
            </w:r>
          </w:p>
        </w:tc>
        <w:tc>
          <w:tcPr>
            <w:tcW w:w="1188" w:type="dxa"/>
            <w:shd w:val="clear" w:color="auto" w:fill="auto"/>
            <w:noWrap/>
            <w:vAlign w:val="center"/>
          </w:tcPr>
          <w:p w14:paraId="67091B84">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1248" w:type="dxa"/>
            <w:shd w:val="clear" w:color="auto" w:fill="auto"/>
            <w:noWrap/>
            <w:vAlign w:val="center"/>
          </w:tcPr>
          <w:p w14:paraId="5F8A0838">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576" w:type="dxa"/>
            <w:shd w:val="clear" w:color="auto" w:fill="auto"/>
            <w:noWrap/>
            <w:vAlign w:val="center"/>
          </w:tcPr>
          <w:p w14:paraId="508AD060">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1104" w:type="dxa"/>
            <w:shd w:val="clear" w:color="auto" w:fill="auto"/>
            <w:noWrap/>
            <w:vAlign w:val="center"/>
          </w:tcPr>
          <w:p w14:paraId="37D62A27">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1168" w:type="dxa"/>
            <w:shd w:val="clear" w:color="auto" w:fill="auto"/>
            <w:noWrap/>
            <w:vAlign w:val="center"/>
          </w:tcPr>
          <w:p w14:paraId="17C3F30A">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709" w:type="dxa"/>
            <w:shd w:val="clear" w:color="auto" w:fill="auto"/>
            <w:noWrap/>
            <w:vAlign w:val="center"/>
          </w:tcPr>
          <w:p w14:paraId="54096E82">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r>
      <w:tr w14:paraId="54D21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567" w:type="dxa"/>
            <w:shd w:val="clear" w:color="auto" w:fill="auto"/>
            <w:vAlign w:val="center"/>
          </w:tcPr>
          <w:p w14:paraId="4FBA7632">
            <w:pPr>
              <w:widowControl/>
              <w:spacing w:line="400" w:lineRule="atLeast"/>
              <w:jc w:val="center"/>
              <w:textAlignment w:val="center"/>
              <w:rPr>
                <w:rFonts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3</w:t>
            </w:r>
          </w:p>
        </w:tc>
        <w:tc>
          <w:tcPr>
            <w:tcW w:w="1361" w:type="dxa"/>
            <w:shd w:val="clear" w:color="auto" w:fill="auto"/>
            <w:vAlign w:val="center"/>
          </w:tcPr>
          <w:p w14:paraId="230497CF">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color w:val="000000" w:themeColor="text1"/>
                <w:sz w:val="18"/>
                <w:szCs w:val="18"/>
                <w:highlight w:val="none"/>
                <w14:textFill>
                  <w14:solidFill>
                    <w14:schemeClr w14:val="tx1"/>
                  </w14:solidFill>
                </w14:textFill>
              </w:rPr>
              <w:t>商品混凝土</w:t>
            </w:r>
          </w:p>
        </w:tc>
        <w:tc>
          <w:tcPr>
            <w:tcW w:w="994" w:type="dxa"/>
            <w:shd w:val="clear" w:color="auto" w:fill="auto"/>
            <w:vAlign w:val="center"/>
          </w:tcPr>
          <w:p w14:paraId="10B65B0C">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color w:val="000000" w:themeColor="text1"/>
                <w:sz w:val="18"/>
                <w:szCs w:val="18"/>
                <w:highlight w:val="none"/>
                <w14:textFill>
                  <w14:solidFill>
                    <w14:schemeClr w14:val="tx1"/>
                  </w14:solidFill>
                </w14:textFill>
              </w:rPr>
              <w:t>C25</w:t>
            </w:r>
          </w:p>
        </w:tc>
        <w:tc>
          <w:tcPr>
            <w:tcW w:w="828" w:type="dxa"/>
            <w:shd w:val="clear" w:color="auto" w:fill="auto"/>
            <w:noWrap/>
            <w:vAlign w:val="center"/>
          </w:tcPr>
          <w:p w14:paraId="2DE29F98">
            <w:pPr>
              <w:widowControl/>
              <w:jc w:val="center"/>
              <w:textAlignment w:val="center"/>
              <w:rPr>
                <w:rFonts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m</w:t>
            </w:r>
            <w:r>
              <w:rPr>
                <w:rStyle w:val="20"/>
                <w:rFonts w:hint="default" w:ascii="仿宋_GB2312" w:hAnsi="仿宋_GB2312" w:eastAsia="仿宋_GB2312" w:cs="仿宋_GB2312"/>
                <w:color w:val="000000" w:themeColor="text1"/>
                <w:sz w:val="18"/>
                <w:szCs w:val="18"/>
                <w:highlight w:val="none"/>
                <w:lang w:bidi="ar"/>
                <w14:textFill>
                  <w14:solidFill>
                    <w14:schemeClr w14:val="tx1"/>
                  </w14:solidFill>
                </w14:textFill>
              </w:rPr>
              <w:t>3</w:t>
            </w:r>
          </w:p>
        </w:tc>
        <w:tc>
          <w:tcPr>
            <w:tcW w:w="1056" w:type="dxa"/>
            <w:shd w:val="clear" w:color="auto" w:fill="auto"/>
            <w:vAlign w:val="center"/>
          </w:tcPr>
          <w:p w14:paraId="13E1DF82">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756" w:type="dxa"/>
            <w:shd w:val="clear" w:color="auto" w:fill="auto"/>
            <w:noWrap/>
            <w:vAlign w:val="center"/>
          </w:tcPr>
          <w:p w14:paraId="72360FF8">
            <w:pPr>
              <w:keepNext w:val="0"/>
              <w:keepLines w:val="0"/>
              <w:widowControl/>
              <w:suppressLineNumbers w:val="0"/>
              <w:jc w:val="center"/>
              <w:textAlignment w:val="center"/>
              <w:rPr>
                <w:rFonts w:ascii="仿宋_GB2312" w:eastAsia="仿宋_GB2312" w:hAnsiTheme="minorHAnsi" w:cstheme="minorBidi"/>
                <w:kern w:val="2"/>
                <w:sz w:val="21"/>
                <w:szCs w:val="21"/>
                <w:highlight w:val="none"/>
                <w:lang w:val="en-US" w:eastAsia="zh-CN" w:bidi="ar-SA"/>
              </w:rPr>
            </w:pPr>
            <w:r>
              <w:rPr>
                <w:rFonts w:hint="eastAsia" w:ascii="宋体" w:hAnsi="宋体" w:eastAsia="宋体" w:cs="宋体"/>
                <w:i w:val="0"/>
                <w:iCs w:val="0"/>
                <w:color w:val="000000"/>
                <w:kern w:val="0"/>
                <w:sz w:val="16"/>
                <w:szCs w:val="16"/>
                <w:u w:val="none"/>
                <w:lang w:val="en-US" w:eastAsia="zh-CN" w:bidi="ar"/>
              </w:rPr>
              <w:t>3682</w:t>
            </w:r>
          </w:p>
        </w:tc>
        <w:tc>
          <w:tcPr>
            <w:tcW w:w="1188" w:type="dxa"/>
            <w:shd w:val="clear" w:color="auto" w:fill="auto"/>
            <w:noWrap/>
            <w:vAlign w:val="center"/>
          </w:tcPr>
          <w:p w14:paraId="3B3817CD">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1248" w:type="dxa"/>
            <w:shd w:val="clear" w:color="auto" w:fill="auto"/>
            <w:noWrap/>
            <w:vAlign w:val="center"/>
          </w:tcPr>
          <w:p w14:paraId="6900D460">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576" w:type="dxa"/>
            <w:shd w:val="clear" w:color="auto" w:fill="auto"/>
            <w:noWrap/>
            <w:vAlign w:val="center"/>
          </w:tcPr>
          <w:p w14:paraId="291565AF">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1104" w:type="dxa"/>
            <w:shd w:val="clear" w:color="auto" w:fill="auto"/>
            <w:noWrap/>
            <w:vAlign w:val="center"/>
          </w:tcPr>
          <w:p w14:paraId="59F5A1A5">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1168" w:type="dxa"/>
            <w:shd w:val="clear" w:color="auto" w:fill="auto"/>
            <w:noWrap/>
            <w:vAlign w:val="center"/>
          </w:tcPr>
          <w:p w14:paraId="4BA7F661">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709" w:type="dxa"/>
            <w:shd w:val="clear" w:color="auto" w:fill="auto"/>
            <w:noWrap/>
            <w:vAlign w:val="center"/>
          </w:tcPr>
          <w:p w14:paraId="188F3B86">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r>
      <w:tr w14:paraId="6A84A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567" w:type="dxa"/>
            <w:shd w:val="clear" w:color="auto" w:fill="auto"/>
            <w:vAlign w:val="center"/>
          </w:tcPr>
          <w:p w14:paraId="10139871">
            <w:pPr>
              <w:widowControl/>
              <w:spacing w:line="400" w:lineRule="atLeast"/>
              <w:jc w:val="center"/>
              <w:textAlignment w:val="center"/>
              <w:rPr>
                <w:rFonts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4</w:t>
            </w:r>
          </w:p>
        </w:tc>
        <w:tc>
          <w:tcPr>
            <w:tcW w:w="1361" w:type="dxa"/>
            <w:shd w:val="clear" w:color="auto" w:fill="auto"/>
            <w:vAlign w:val="center"/>
          </w:tcPr>
          <w:p w14:paraId="56493F27">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color w:val="000000" w:themeColor="text1"/>
                <w:sz w:val="18"/>
                <w:szCs w:val="18"/>
                <w:highlight w:val="none"/>
                <w14:textFill>
                  <w14:solidFill>
                    <w14:schemeClr w14:val="tx1"/>
                  </w14:solidFill>
                </w14:textFill>
              </w:rPr>
              <w:t>商品混凝土</w:t>
            </w:r>
          </w:p>
        </w:tc>
        <w:tc>
          <w:tcPr>
            <w:tcW w:w="994" w:type="dxa"/>
            <w:shd w:val="clear" w:color="auto" w:fill="auto"/>
            <w:vAlign w:val="center"/>
          </w:tcPr>
          <w:p w14:paraId="479B665F">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color w:val="000000" w:themeColor="text1"/>
                <w:sz w:val="18"/>
                <w:szCs w:val="18"/>
                <w:highlight w:val="none"/>
                <w14:textFill>
                  <w14:solidFill>
                    <w14:schemeClr w14:val="tx1"/>
                  </w14:solidFill>
                </w14:textFill>
              </w:rPr>
              <w:t>C30</w:t>
            </w:r>
          </w:p>
        </w:tc>
        <w:tc>
          <w:tcPr>
            <w:tcW w:w="828" w:type="dxa"/>
            <w:shd w:val="clear" w:color="auto" w:fill="auto"/>
            <w:noWrap/>
            <w:vAlign w:val="center"/>
          </w:tcPr>
          <w:p w14:paraId="6118255C">
            <w:pPr>
              <w:widowControl/>
              <w:jc w:val="center"/>
              <w:textAlignment w:val="center"/>
              <w:rPr>
                <w:rFonts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m</w:t>
            </w:r>
            <w:r>
              <w:rPr>
                <w:rStyle w:val="20"/>
                <w:rFonts w:hint="default" w:ascii="仿宋_GB2312" w:hAnsi="仿宋_GB2312" w:eastAsia="仿宋_GB2312" w:cs="仿宋_GB2312"/>
                <w:color w:val="000000" w:themeColor="text1"/>
                <w:sz w:val="18"/>
                <w:szCs w:val="18"/>
                <w:highlight w:val="none"/>
                <w:lang w:bidi="ar"/>
                <w14:textFill>
                  <w14:solidFill>
                    <w14:schemeClr w14:val="tx1"/>
                  </w14:solidFill>
                </w14:textFill>
              </w:rPr>
              <w:t>3</w:t>
            </w:r>
          </w:p>
        </w:tc>
        <w:tc>
          <w:tcPr>
            <w:tcW w:w="1056" w:type="dxa"/>
            <w:shd w:val="clear" w:color="auto" w:fill="auto"/>
            <w:vAlign w:val="center"/>
          </w:tcPr>
          <w:p w14:paraId="0D9E364D">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756" w:type="dxa"/>
            <w:shd w:val="clear" w:color="auto" w:fill="auto"/>
            <w:noWrap/>
            <w:vAlign w:val="center"/>
          </w:tcPr>
          <w:p w14:paraId="7CD19B70">
            <w:pPr>
              <w:keepNext w:val="0"/>
              <w:keepLines w:val="0"/>
              <w:widowControl/>
              <w:suppressLineNumbers w:val="0"/>
              <w:jc w:val="center"/>
              <w:textAlignment w:val="center"/>
              <w:rPr>
                <w:rFonts w:ascii="仿宋_GB2312" w:eastAsia="仿宋_GB2312" w:hAnsiTheme="minorHAnsi" w:cstheme="minorBidi"/>
                <w:kern w:val="2"/>
                <w:sz w:val="21"/>
                <w:szCs w:val="21"/>
                <w:highlight w:val="none"/>
                <w:lang w:val="en-US" w:eastAsia="zh-CN" w:bidi="ar-SA"/>
              </w:rPr>
            </w:pPr>
            <w:r>
              <w:rPr>
                <w:rFonts w:hint="eastAsia" w:ascii="宋体" w:hAnsi="宋体" w:eastAsia="宋体" w:cs="宋体"/>
                <w:i w:val="0"/>
                <w:iCs w:val="0"/>
                <w:color w:val="000000"/>
                <w:kern w:val="0"/>
                <w:sz w:val="16"/>
                <w:szCs w:val="16"/>
                <w:u w:val="none"/>
                <w:lang w:val="en-US" w:eastAsia="zh-CN" w:bidi="ar"/>
              </w:rPr>
              <w:t>8018</w:t>
            </w:r>
          </w:p>
        </w:tc>
        <w:tc>
          <w:tcPr>
            <w:tcW w:w="1188" w:type="dxa"/>
            <w:shd w:val="clear" w:color="auto" w:fill="auto"/>
            <w:noWrap/>
            <w:vAlign w:val="center"/>
          </w:tcPr>
          <w:p w14:paraId="433D6993">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1248" w:type="dxa"/>
            <w:shd w:val="clear" w:color="auto" w:fill="auto"/>
            <w:noWrap/>
            <w:vAlign w:val="center"/>
          </w:tcPr>
          <w:p w14:paraId="5FB8A103">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576" w:type="dxa"/>
            <w:shd w:val="clear" w:color="auto" w:fill="auto"/>
            <w:noWrap/>
            <w:vAlign w:val="center"/>
          </w:tcPr>
          <w:p w14:paraId="502E7DE9">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1104" w:type="dxa"/>
            <w:shd w:val="clear" w:color="auto" w:fill="auto"/>
            <w:noWrap/>
            <w:vAlign w:val="center"/>
          </w:tcPr>
          <w:p w14:paraId="46353DE6">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1168" w:type="dxa"/>
            <w:shd w:val="clear" w:color="auto" w:fill="auto"/>
            <w:noWrap/>
            <w:vAlign w:val="center"/>
          </w:tcPr>
          <w:p w14:paraId="0EDDFBB3">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709" w:type="dxa"/>
            <w:shd w:val="clear" w:color="auto" w:fill="auto"/>
            <w:noWrap/>
            <w:vAlign w:val="center"/>
          </w:tcPr>
          <w:p w14:paraId="504AE965">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r>
      <w:tr w14:paraId="4DC60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567" w:type="dxa"/>
            <w:shd w:val="clear" w:color="auto" w:fill="auto"/>
            <w:vAlign w:val="center"/>
          </w:tcPr>
          <w:p w14:paraId="509358FD">
            <w:pPr>
              <w:widowControl/>
              <w:spacing w:line="400" w:lineRule="atLeast"/>
              <w:jc w:val="center"/>
              <w:textAlignment w:val="center"/>
              <w:rPr>
                <w:rFonts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5</w:t>
            </w:r>
          </w:p>
        </w:tc>
        <w:tc>
          <w:tcPr>
            <w:tcW w:w="1361" w:type="dxa"/>
            <w:shd w:val="clear" w:color="auto" w:fill="auto"/>
            <w:vAlign w:val="center"/>
          </w:tcPr>
          <w:p w14:paraId="52483D8A">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color w:val="000000" w:themeColor="text1"/>
                <w:sz w:val="18"/>
                <w:szCs w:val="18"/>
                <w:highlight w:val="none"/>
                <w14:textFill>
                  <w14:solidFill>
                    <w14:schemeClr w14:val="tx1"/>
                  </w14:solidFill>
                </w14:textFill>
              </w:rPr>
              <w:t>商品混凝土</w:t>
            </w:r>
          </w:p>
        </w:tc>
        <w:tc>
          <w:tcPr>
            <w:tcW w:w="994" w:type="dxa"/>
            <w:shd w:val="clear" w:color="auto" w:fill="auto"/>
            <w:vAlign w:val="center"/>
          </w:tcPr>
          <w:p w14:paraId="1B1666EB">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color w:val="000000" w:themeColor="text1"/>
                <w:sz w:val="18"/>
                <w:szCs w:val="18"/>
                <w:highlight w:val="none"/>
                <w14:textFill>
                  <w14:solidFill>
                    <w14:schemeClr w14:val="tx1"/>
                  </w14:solidFill>
                </w14:textFill>
              </w:rPr>
              <w:t>C35</w:t>
            </w:r>
          </w:p>
        </w:tc>
        <w:tc>
          <w:tcPr>
            <w:tcW w:w="828" w:type="dxa"/>
            <w:shd w:val="clear" w:color="auto" w:fill="auto"/>
            <w:noWrap/>
            <w:vAlign w:val="center"/>
          </w:tcPr>
          <w:p w14:paraId="4C571A98">
            <w:pPr>
              <w:widowControl/>
              <w:jc w:val="center"/>
              <w:textAlignment w:val="center"/>
              <w:rPr>
                <w:rFonts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m</w:t>
            </w:r>
            <w:r>
              <w:rPr>
                <w:rStyle w:val="20"/>
                <w:rFonts w:hint="default" w:ascii="仿宋_GB2312" w:hAnsi="仿宋_GB2312" w:eastAsia="仿宋_GB2312" w:cs="仿宋_GB2312"/>
                <w:color w:val="000000" w:themeColor="text1"/>
                <w:sz w:val="18"/>
                <w:szCs w:val="18"/>
                <w:highlight w:val="none"/>
                <w:lang w:bidi="ar"/>
                <w14:textFill>
                  <w14:solidFill>
                    <w14:schemeClr w14:val="tx1"/>
                  </w14:solidFill>
                </w14:textFill>
              </w:rPr>
              <w:t>3</w:t>
            </w:r>
          </w:p>
        </w:tc>
        <w:tc>
          <w:tcPr>
            <w:tcW w:w="1056" w:type="dxa"/>
            <w:shd w:val="clear" w:color="auto" w:fill="auto"/>
            <w:vAlign w:val="center"/>
          </w:tcPr>
          <w:p w14:paraId="30418E0B">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756" w:type="dxa"/>
            <w:shd w:val="clear" w:color="auto" w:fill="auto"/>
            <w:noWrap/>
            <w:vAlign w:val="center"/>
          </w:tcPr>
          <w:p w14:paraId="1BD41502">
            <w:pPr>
              <w:keepNext w:val="0"/>
              <w:keepLines w:val="0"/>
              <w:widowControl/>
              <w:suppressLineNumbers w:val="0"/>
              <w:jc w:val="center"/>
              <w:textAlignment w:val="center"/>
              <w:rPr>
                <w:rFonts w:ascii="仿宋_GB2312" w:eastAsia="仿宋_GB2312" w:hAnsiTheme="minorHAnsi" w:cstheme="minorBidi"/>
                <w:kern w:val="2"/>
                <w:sz w:val="21"/>
                <w:szCs w:val="21"/>
                <w:highlight w:val="none"/>
                <w:lang w:val="en-US" w:eastAsia="zh-CN" w:bidi="ar-SA"/>
              </w:rPr>
            </w:pPr>
            <w:r>
              <w:rPr>
                <w:rFonts w:hint="eastAsia" w:ascii="宋体" w:hAnsi="宋体" w:eastAsia="宋体" w:cs="宋体"/>
                <w:i w:val="0"/>
                <w:iCs w:val="0"/>
                <w:color w:val="000000"/>
                <w:kern w:val="0"/>
                <w:sz w:val="16"/>
                <w:szCs w:val="16"/>
                <w:u w:val="none"/>
                <w:lang w:val="en-US" w:eastAsia="zh-CN" w:bidi="ar"/>
              </w:rPr>
              <w:t>1411</w:t>
            </w:r>
          </w:p>
        </w:tc>
        <w:tc>
          <w:tcPr>
            <w:tcW w:w="1188" w:type="dxa"/>
            <w:shd w:val="clear" w:color="auto" w:fill="auto"/>
            <w:noWrap/>
            <w:vAlign w:val="center"/>
          </w:tcPr>
          <w:p w14:paraId="2262FDB4">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1248" w:type="dxa"/>
            <w:shd w:val="clear" w:color="auto" w:fill="auto"/>
            <w:noWrap/>
            <w:vAlign w:val="center"/>
          </w:tcPr>
          <w:p w14:paraId="583F39FA">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576" w:type="dxa"/>
            <w:shd w:val="clear" w:color="auto" w:fill="auto"/>
            <w:noWrap/>
            <w:vAlign w:val="center"/>
          </w:tcPr>
          <w:p w14:paraId="6FAC4168">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1104" w:type="dxa"/>
            <w:shd w:val="clear" w:color="auto" w:fill="auto"/>
            <w:noWrap/>
            <w:vAlign w:val="center"/>
          </w:tcPr>
          <w:p w14:paraId="27CDBC68">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1168" w:type="dxa"/>
            <w:shd w:val="clear" w:color="auto" w:fill="auto"/>
            <w:noWrap/>
            <w:vAlign w:val="center"/>
          </w:tcPr>
          <w:p w14:paraId="5AD634ED">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709" w:type="dxa"/>
            <w:shd w:val="clear" w:color="auto" w:fill="auto"/>
            <w:noWrap/>
            <w:vAlign w:val="center"/>
          </w:tcPr>
          <w:p w14:paraId="0FC83CE8">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r>
      <w:tr w14:paraId="0801C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567" w:type="dxa"/>
            <w:shd w:val="clear" w:color="auto" w:fill="auto"/>
            <w:vAlign w:val="center"/>
          </w:tcPr>
          <w:p w14:paraId="7D7E40F3">
            <w:pPr>
              <w:widowControl/>
              <w:spacing w:line="400" w:lineRule="atLeast"/>
              <w:jc w:val="center"/>
              <w:textAlignment w:val="center"/>
              <w:rPr>
                <w:rFonts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6</w:t>
            </w:r>
          </w:p>
        </w:tc>
        <w:tc>
          <w:tcPr>
            <w:tcW w:w="1361" w:type="dxa"/>
            <w:shd w:val="clear" w:color="auto" w:fill="auto"/>
            <w:vAlign w:val="center"/>
          </w:tcPr>
          <w:p w14:paraId="5F0141DF">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color w:val="000000" w:themeColor="text1"/>
                <w:sz w:val="18"/>
                <w:szCs w:val="18"/>
                <w:highlight w:val="none"/>
                <w14:textFill>
                  <w14:solidFill>
                    <w14:schemeClr w14:val="tx1"/>
                  </w14:solidFill>
                </w14:textFill>
              </w:rPr>
              <w:t>商品混凝土</w:t>
            </w:r>
          </w:p>
        </w:tc>
        <w:tc>
          <w:tcPr>
            <w:tcW w:w="994" w:type="dxa"/>
            <w:shd w:val="clear" w:color="auto" w:fill="auto"/>
            <w:vAlign w:val="center"/>
          </w:tcPr>
          <w:p w14:paraId="3CD95A1D">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color w:val="000000" w:themeColor="text1"/>
                <w:sz w:val="18"/>
                <w:szCs w:val="18"/>
                <w:highlight w:val="none"/>
                <w14:textFill>
                  <w14:solidFill>
                    <w14:schemeClr w14:val="tx1"/>
                  </w14:solidFill>
                </w14:textFill>
              </w:rPr>
              <w:t>C40</w:t>
            </w:r>
          </w:p>
        </w:tc>
        <w:tc>
          <w:tcPr>
            <w:tcW w:w="828" w:type="dxa"/>
            <w:shd w:val="clear" w:color="auto" w:fill="auto"/>
            <w:noWrap/>
            <w:vAlign w:val="center"/>
          </w:tcPr>
          <w:p w14:paraId="03906EC7">
            <w:pPr>
              <w:widowControl/>
              <w:jc w:val="center"/>
              <w:textAlignment w:val="center"/>
              <w:rPr>
                <w:rFonts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m</w:t>
            </w:r>
            <w:r>
              <w:rPr>
                <w:rStyle w:val="20"/>
                <w:rFonts w:hint="default" w:ascii="仿宋_GB2312" w:hAnsi="仿宋_GB2312" w:eastAsia="仿宋_GB2312" w:cs="仿宋_GB2312"/>
                <w:color w:val="000000" w:themeColor="text1"/>
                <w:sz w:val="18"/>
                <w:szCs w:val="18"/>
                <w:highlight w:val="none"/>
                <w:lang w:bidi="ar"/>
                <w14:textFill>
                  <w14:solidFill>
                    <w14:schemeClr w14:val="tx1"/>
                  </w14:solidFill>
                </w14:textFill>
              </w:rPr>
              <w:t>3</w:t>
            </w:r>
          </w:p>
        </w:tc>
        <w:tc>
          <w:tcPr>
            <w:tcW w:w="1056" w:type="dxa"/>
            <w:shd w:val="clear" w:color="auto" w:fill="auto"/>
            <w:vAlign w:val="center"/>
          </w:tcPr>
          <w:p w14:paraId="1A00CA21">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756" w:type="dxa"/>
            <w:shd w:val="clear" w:color="auto" w:fill="auto"/>
            <w:noWrap/>
            <w:vAlign w:val="center"/>
          </w:tcPr>
          <w:p w14:paraId="0D2FAABE">
            <w:pPr>
              <w:keepNext w:val="0"/>
              <w:keepLines w:val="0"/>
              <w:widowControl/>
              <w:suppressLineNumbers w:val="0"/>
              <w:jc w:val="center"/>
              <w:textAlignment w:val="center"/>
              <w:rPr>
                <w:rFonts w:ascii="仿宋_GB2312" w:eastAsia="仿宋_GB2312" w:hAnsiTheme="minorHAnsi" w:cstheme="minorBidi"/>
                <w:kern w:val="2"/>
                <w:sz w:val="21"/>
                <w:szCs w:val="21"/>
                <w:highlight w:val="none"/>
                <w:lang w:val="en-US" w:eastAsia="zh-CN" w:bidi="ar-SA"/>
              </w:rPr>
            </w:pPr>
            <w:r>
              <w:rPr>
                <w:rFonts w:hint="eastAsia" w:ascii="宋体" w:hAnsi="宋体" w:eastAsia="宋体" w:cs="宋体"/>
                <w:i w:val="0"/>
                <w:iCs w:val="0"/>
                <w:color w:val="000000"/>
                <w:kern w:val="0"/>
                <w:sz w:val="16"/>
                <w:szCs w:val="16"/>
                <w:u w:val="none"/>
                <w:lang w:val="en-US" w:eastAsia="zh-CN" w:bidi="ar"/>
              </w:rPr>
              <w:t>3431</w:t>
            </w:r>
          </w:p>
        </w:tc>
        <w:tc>
          <w:tcPr>
            <w:tcW w:w="1188" w:type="dxa"/>
            <w:shd w:val="clear" w:color="auto" w:fill="auto"/>
            <w:noWrap/>
            <w:vAlign w:val="center"/>
          </w:tcPr>
          <w:p w14:paraId="63C20743">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1248" w:type="dxa"/>
            <w:shd w:val="clear" w:color="auto" w:fill="auto"/>
            <w:noWrap/>
            <w:vAlign w:val="center"/>
          </w:tcPr>
          <w:p w14:paraId="65546EE4">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576" w:type="dxa"/>
            <w:shd w:val="clear" w:color="auto" w:fill="auto"/>
            <w:noWrap/>
            <w:vAlign w:val="center"/>
          </w:tcPr>
          <w:p w14:paraId="69B05066">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1104" w:type="dxa"/>
            <w:shd w:val="clear" w:color="auto" w:fill="auto"/>
            <w:noWrap/>
            <w:vAlign w:val="center"/>
          </w:tcPr>
          <w:p w14:paraId="29E31E30">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1168" w:type="dxa"/>
            <w:shd w:val="clear" w:color="auto" w:fill="auto"/>
            <w:noWrap/>
            <w:vAlign w:val="center"/>
          </w:tcPr>
          <w:p w14:paraId="1BCBC7C5">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709" w:type="dxa"/>
            <w:shd w:val="clear" w:color="auto" w:fill="auto"/>
            <w:noWrap/>
            <w:vAlign w:val="center"/>
          </w:tcPr>
          <w:p w14:paraId="6D59DEE3">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r>
      <w:tr w14:paraId="72D9E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567" w:type="dxa"/>
            <w:shd w:val="clear" w:color="auto" w:fill="auto"/>
            <w:vAlign w:val="center"/>
          </w:tcPr>
          <w:p w14:paraId="2CC443CC">
            <w:pPr>
              <w:widowControl/>
              <w:spacing w:line="400" w:lineRule="atLeast"/>
              <w:jc w:val="center"/>
              <w:textAlignment w:val="center"/>
              <w:rPr>
                <w:rFonts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11</w:t>
            </w:r>
          </w:p>
        </w:tc>
        <w:tc>
          <w:tcPr>
            <w:tcW w:w="1361" w:type="dxa"/>
            <w:shd w:val="clear" w:color="auto" w:fill="auto"/>
            <w:vAlign w:val="center"/>
          </w:tcPr>
          <w:p w14:paraId="1B427A64">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color w:val="000000" w:themeColor="text1"/>
                <w:sz w:val="18"/>
                <w:szCs w:val="18"/>
                <w:highlight w:val="none"/>
                <w14:textFill>
                  <w14:solidFill>
                    <w14:schemeClr w14:val="tx1"/>
                  </w14:solidFill>
                </w14:textFill>
              </w:rPr>
              <w:t>早强</w:t>
            </w:r>
          </w:p>
        </w:tc>
        <w:tc>
          <w:tcPr>
            <w:tcW w:w="994" w:type="dxa"/>
            <w:shd w:val="clear" w:color="auto" w:fill="auto"/>
            <w:vAlign w:val="center"/>
          </w:tcPr>
          <w:p w14:paraId="2F43DEA1">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color w:val="000000" w:themeColor="text1"/>
                <w:sz w:val="18"/>
                <w:szCs w:val="18"/>
                <w:highlight w:val="none"/>
                <w14:textFill>
                  <w14:solidFill>
                    <w14:schemeClr w14:val="tx1"/>
                  </w14:solidFill>
                </w14:textFill>
              </w:rPr>
              <w:t>/</w:t>
            </w:r>
          </w:p>
        </w:tc>
        <w:tc>
          <w:tcPr>
            <w:tcW w:w="828" w:type="dxa"/>
            <w:shd w:val="clear" w:color="auto" w:fill="auto"/>
            <w:noWrap/>
            <w:vAlign w:val="center"/>
          </w:tcPr>
          <w:p w14:paraId="29B83CC5">
            <w:pPr>
              <w:widowControl/>
              <w:jc w:val="center"/>
              <w:textAlignment w:val="center"/>
              <w:rPr>
                <w:rFonts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m</w:t>
            </w:r>
            <w:r>
              <w:rPr>
                <w:rStyle w:val="20"/>
                <w:rFonts w:hint="default" w:ascii="仿宋_GB2312" w:hAnsi="仿宋_GB2312" w:eastAsia="仿宋_GB2312" w:cs="仿宋_GB2312"/>
                <w:color w:val="000000" w:themeColor="text1"/>
                <w:sz w:val="18"/>
                <w:szCs w:val="18"/>
                <w:highlight w:val="none"/>
                <w:lang w:bidi="ar"/>
                <w14:textFill>
                  <w14:solidFill>
                    <w14:schemeClr w14:val="tx1"/>
                  </w14:solidFill>
                </w14:textFill>
              </w:rPr>
              <w:t>3</w:t>
            </w:r>
          </w:p>
        </w:tc>
        <w:tc>
          <w:tcPr>
            <w:tcW w:w="1056" w:type="dxa"/>
            <w:shd w:val="clear" w:color="auto" w:fill="auto"/>
            <w:vAlign w:val="center"/>
          </w:tcPr>
          <w:p w14:paraId="561EB886">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756" w:type="dxa"/>
            <w:shd w:val="clear" w:color="auto" w:fill="auto"/>
            <w:noWrap/>
            <w:vAlign w:val="center"/>
          </w:tcPr>
          <w:p w14:paraId="4DA9E876">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1188" w:type="dxa"/>
            <w:shd w:val="clear" w:color="auto" w:fill="auto"/>
            <w:noWrap/>
            <w:vAlign w:val="center"/>
          </w:tcPr>
          <w:p w14:paraId="41CD4296">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1248" w:type="dxa"/>
            <w:shd w:val="clear" w:color="auto" w:fill="auto"/>
            <w:noWrap/>
            <w:vAlign w:val="center"/>
          </w:tcPr>
          <w:p w14:paraId="53EE3967">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576" w:type="dxa"/>
            <w:shd w:val="clear" w:color="auto" w:fill="auto"/>
            <w:noWrap/>
            <w:vAlign w:val="center"/>
          </w:tcPr>
          <w:p w14:paraId="17827972">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1104" w:type="dxa"/>
            <w:shd w:val="clear" w:color="auto" w:fill="auto"/>
            <w:noWrap/>
            <w:vAlign w:val="center"/>
          </w:tcPr>
          <w:p w14:paraId="5E8C1D1C">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1168" w:type="dxa"/>
            <w:shd w:val="clear" w:color="auto" w:fill="auto"/>
            <w:noWrap/>
            <w:vAlign w:val="center"/>
          </w:tcPr>
          <w:p w14:paraId="7292E6ED">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709" w:type="dxa"/>
            <w:shd w:val="clear" w:color="auto" w:fill="auto"/>
            <w:noWrap/>
            <w:vAlign w:val="center"/>
          </w:tcPr>
          <w:p w14:paraId="4AE071AE">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r>
      <w:tr w14:paraId="168E8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567" w:type="dxa"/>
            <w:shd w:val="clear" w:color="auto" w:fill="auto"/>
            <w:vAlign w:val="center"/>
          </w:tcPr>
          <w:p w14:paraId="3431FC38">
            <w:pPr>
              <w:widowControl/>
              <w:spacing w:line="400" w:lineRule="atLeast"/>
              <w:jc w:val="center"/>
              <w:textAlignment w:val="center"/>
              <w:rPr>
                <w:rFonts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12</w:t>
            </w:r>
          </w:p>
        </w:tc>
        <w:tc>
          <w:tcPr>
            <w:tcW w:w="1361" w:type="dxa"/>
            <w:shd w:val="clear" w:color="auto" w:fill="auto"/>
            <w:vAlign w:val="center"/>
          </w:tcPr>
          <w:p w14:paraId="72CC46C0">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color w:val="000000" w:themeColor="text1"/>
                <w:sz w:val="18"/>
                <w:szCs w:val="18"/>
                <w:highlight w:val="none"/>
                <w14:textFill>
                  <w14:solidFill>
                    <w14:schemeClr w14:val="tx1"/>
                  </w14:solidFill>
                </w14:textFill>
              </w:rPr>
              <w:t>细石</w:t>
            </w:r>
          </w:p>
        </w:tc>
        <w:tc>
          <w:tcPr>
            <w:tcW w:w="994" w:type="dxa"/>
            <w:shd w:val="clear" w:color="auto" w:fill="auto"/>
            <w:vAlign w:val="center"/>
          </w:tcPr>
          <w:p w14:paraId="675E7809">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color w:val="000000" w:themeColor="text1"/>
                <w:sz w:val="18"/>
                <w:szCs w:val="18"/>
                <w:highlight w:val="none"/>
                <w14:textFill>
                  <w14:solidFill>
                    <w14:schemeClr w14:val="tx1"/>
                  </w14:solidFill>
                </w14:textFill>
              </w:rPr>
              <w:t>/</w:t>
            </w:r>
          </w:p>
        </w:tc>
        <w:tc>
          <w:tcPr>
            <w:tcW w:w="828" w:type="dxa"/>
            <w:shd w:val="clear" w:color="auto" w:fill="auto"/>
            <w:noWrap/>
            <w:vAlign w:val="center"/>
          </w:tcPr>
          <w:p w14:paraId="12847BD0">
            <w:pPr>
              <w:widowControl/>
              <w:jc w:val="center"/>
              <w:textAlignment w:val="center"/>
              <w:rPr>
                <w:rFonts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m</w:t>
            </w:r>
            <w:r>
              <w:rPr>
                <w:rStyle w:val="20"/>
                <w:rFonts w:hint="default" w:ascii="仿宋_GB2312" w:hAnsi="仿宋_GB2312" w:eastAsia="仿宋_GB2312" w:cs="仿宋_GB2312"/>
                <w:color w:val="000000" w:themeColor="text1"/>
                <w:sz w:val="18"/>
                <w:szCs w:val="18"/>
                <w:highlight w:val="none"/>
                <w:lang w:bidi="ar"/>
                <w14:textFill>
                  <w14:solidFill>
                    <w14:schemeClr w14:val="tx1"/>
                  </w14:solidFill>
                </w14:textFill>
              </w:rPr>
              <w:t>3</w:t>
            </w:r>
          </w:p>
        </w:tc>
        <w:tc>
          <w:tcPr>
            <w:tcW w:w="1056" w:type="dxa"/>
            <w:shd w:val="clear" w:color="auto" w:fill="auto"/>
            <w:vAlign w:val="center"/>
          </w:tcPr>
          <w:p w14:paraId="4DC0A9E2">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756" w:type="dxa"/>
            <w:shd w:val="clear" w:color="auto" w:fill="auto"/>
            <w:noWrap/>
            <w:vAlign w:val="center"/>
          </w:tcPr>
          <w:p w14:paraId="3586BD7E">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1188" w:type="dxa"/>
            <w:shd w:val="clear" w:color="auto" w:fill="auto"/>
            <w:noWrap/>
            <w:vAlign w:val="center"/>
          </w:tcPr>
          <w:p w14:paraId="4D230FE8">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1248" w:type="dxa"/>
            <w:shd w:val="clear" w:color="auto" w:fill="auto"/>
            <w:noWrap/>
            <w:vAlign w:val="center"/>
          </w:tcPr>
          <w:p w14:paraId="54AA04F9">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576" w:type="dxa"/>
            <w:shd w:val="clear" w:color="auto" w:fill="auto"/>
            <w:noWrap/>
            <w:vAlign w:val="center"/>
          </w:tcPr>
          <w:p w14:paraId="65B11C53">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1104" w:type="dxa"/>
            <w:shd w:val="clear" w:color="auto" w:fill="auto"/>
            <w:noWrap/>
            <w:vAlign w:val="center"/>
          </w:tcPr>
          <w:p w14:paraId="536C5907">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1168" w:type="dxa"/>
            <w:shd w:val="clear" w:color="auto" w:fill="auto"/>
            <w:noWrap/>
            <w:vAlign w:val="center"/>
          </w:tcPr>
          <w:p w14:paraId="4F5DE4C5">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709" w:type="dxa"/>
            <w:shd w:val="clear" w:color="auto" w:fill="auto"/>
            <w:noWrap/>
            <w:vAlign w:val="center"/>
          </w:tcPr>
          <w:p w14:paraId="5CE1E2C0">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r>
      <w:tr w14:paraId="6D5BB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67" w:type="dxa"/>
            <w:shd w:val="clear" w:color="auto" w:fill="auto"/>
            <w:vAlign w:val="center"/>
          </w:tcPr>
          <w:p w14:paraId="53D1F5DA">
            <w:pPr>
              <w:widowControl/>
              <w:spacing w:line="400" w:lineRule="atLeast"/>
              <w:jc w:val="center"/>
              <w:textAlignment w:val="center"/>
              <w:rPr>
                <w:rFonts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13</w:t>
            </w:r>
          </w:p>
        </w:tc>
        <w:tc>
          <w:tcPr>
            <w:tcW w:w="1361" w:type="dxa"/>
            <w:shd w:val="clear" w:color="auto" w:fill="auto"/>
            <w:vAlign w:val="center"/>
          </w:tcPr>
          <w:p w14:paraId="55A66303">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color w:val="000000" w:themeColor="text1"/>
                <w:sz w:val="18"/>
                <w:szCs w:val="18"/>
                <w:highlight w:val="none"/>
                <w14:textFill>
                  <w14:solidFill>
                    <w14:schemeClr w14:val="tx1"/>
                  </w14:solidFill>
                </w14:textFill>
              </w:rPr>
              <w:t>冬施费</w:t>
            </w:r>
          </w:p>
        </w:tc>
        <w:tc>
          <w:tcPr>
            <w:tcW w:w="994" w:type="dxa"/>
            <w:shd w:val="clear" w:color="auto" w:fill="auto"/>
            <w:vAlign w:val="center"/>
          </w:tcPr>
          <w:p w14:paraId="2D4BEDCE">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color w:val="000000" w:themeColor="text1"/>
                <w:sz w:val="18"/>
                <w:szCs w:val="18"/>
                <w:highlight w:val="none"/>
                <w14:textFill>
                  <w14:solidFill>
                    <w14:schemeClr w14:val="tx1"/>
                  </w14:solidFill>
                </w14:textFill>
              </w:rPr>
              <w:t>/</w:t>
            </w:r>
          </w:p>
        </w:tc>
        <w:tc>
          <w:tcPr>
            <w:tcW w:w="828" w:type="dxa"/>
            <w:shd w:val="clear" w:color="auto" w:fill="auto"/>
            <w:noWrap/>
            <w:vAlign w:val="center"/>
          </w:tcPr>
          <w:p w14:paraId="7C637237">
            <w:pPr>
              <w:widowControl/>
              <w:jc w:val="center"/>
              <w:textAlignment w:val="center"/>
              <w:rPr>
                <w:rFonts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m</w:t>
            </w:r>
            <w:r>
              <w:rPr>
                <w:rStyle w:val="20"/>
                <w:rFonts w:hint="default" w:ascii="仿宋_GB2312" w:hAnsi="仿宋_GB2312" w:eastAsia="仿宋_GB2312" w:cs="仿宋_GB2312"/>
                <w:color w:val="000000" w:themeColor="text1"/>
                <w:sz w:val="18"/>
                <w:szCs w:val="18"/>
                <w:highlight w:val="none"/>
                <w:lang w:bidi="ar"/>
                <w14:textFill>
                  <w14:solidFill>
                    <w14:schemeClr w14:val="tx1"/>
                  </w14:solidFill>
                </w14:textFill>
              </w:rPr>
              <w:t>3</w:t>
            </w:r>
          </w:p>
        </w:tc>
        <w:tc>
          <w:tcPr>
            <w:tcW w:w="1056" w:type="dxa"/>
            <w:shd w:val="clear" w:color="auto" w:fill="auto"/>
            <w:vAlign w:val="center"/>
          </w:tcPr>
          <w:p w14:paraId="1B699437">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756" w:type="dxa"/>
            <w:shd w:val="clear" w:color="auto" w:fill="auto"/>
            <w:noWrap/>
            <w:vAlign w:val="center"/>
          </w:tcPr>
          <w:p w14:paraId="735DF591">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1188" w:type="dxa"/>
            <w:shd w:val="clear" w:color="auto" w:fill="auto"/>
            <w:noWrap/>
            <w:vAlign w:val="center"/>
          </w:tcPr>
          <w:p w14:paraId="40A88C5B">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1248" w:type="dxa"/>
            <w:shd w:val="clear" w:color="auto" w:fill="auto"/>
            <w:noWrap/>
            <w:vAlign w:val="center"/>
          </w:tcPr>
          <w:p w14:paraId="6DAE6F5D">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576" w:type="dxa"/>
            <w:shd w:val="clear" w:color="auto" w:fill="auto"/>
            <w:noWrap/>
            <w:vAlign w:val="center"/>
          </w:tcPr>
          <w:p w14:paraId="30A3285D">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1104" w:type="dxa"/>
            <w:shd w:val="clear" w:color="auto" w:fill="auto"/>
            <w:noWrap/>
            <w:vAlign w:val="center"/>
          </w:tcPr>
          <w:p w14:paraId="0279BC0A">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1168" w:type="dxa"/>
            <w:shd w:val="clear" w:color="auto" w:fill="auto"/>
            <w:noWrap/>
            <w:vAlign w:val="center"/>
          </w:tcPr>
          <w:p w14:paraId="43922A1B">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709" w:type="dxa"/>
            <w:shd w:val="clear" w:color="auto" w:fill="auto"/>
            <w:noWrap/>
            <w:vAlign w:val="center"/>
          </w:tcPr>
          <w:p w14:paraId="44CAF090">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r>
      <w:tr w14:paraId="56628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567" w:type="dxa"/>
            <w:shd w:val="clear" w:color="auto" w:fill="auto"/>
            <w:vAlign w:val="center"/>
          </w:tcPr>
          <w:p w14:paraId="50A178DB">
            <w:pPr>
              <w:widowControl/>
              <w:spacing w:line="400" w:lineRule="atLeast"/>
              <w:jc w:val="center"/>
              <w:textAlignment w:val="center"/>
              <w:rPr>
                <w:rFonts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14</w:t>
            </w:r>
          </w:p>
        </w:tc>
        <w:tc>
          <w:tcPr>
            <w:tcW w:w="1361" w:type="dxa"/>
            <w:shd w:val="clear" w:color="auto" w:fill="auto"/>
            <w:vAlign w:val="center"/>
          </w:tcPr>
          <w:p w14:paraId="7EA5A8AB">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color w:val="000000" w:themeColor="text1"/>
                <w:sz w:val="18"/>
                <w:szCs w:val="18"/>
                <w:highlight w:val="none"/>
                <w14:textFill>
                  <w14:solidFill>
                    <w14:schemeClr w14:val="tx1"/>
                  </w14:solidFill>
                </w14:textFill>
              </w:rPr>
              <w:t>抗渗</w:t>
            </w:r>
          </w:p>
        </w:tc>
        <w:tc>
          <w:tcPr>
            <w:tcW w:w="994" w:type="dxa"/>
            <w:shd w:val="clear" w:color="auto" w:fill="auto"/>
            <w:vAlign w:val="center"/>
          </w:tcPr>
          <w:p w14:paraId="7BF42F47">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color w:val="000000" w:themeColor="text1"/>
                <w:sz w:val="18"/>
                <w:szCs w:val="18"/>
                <w:highlight w:val="none"/>
                <w14:textFill>
                  <w14:solidFill>
                    <w14:schemeClr w14:val="tx1"/>
                  </w14:solidFill>
                </w14:textFill>
              </w:rPr>
              <w:t>/</w:t>
            </w:r>
          </w:p>
        </w:tc>
        <w:tc>
          <w:tcPr>
            <w:tcW w:w="828" w:type="dxa"/>
            <w:shd w:val="clear" w:color="auto" w:fill="auto"/>
            <w:noWrap/>
            <w:vAlign w:val="center"/>
          </w:tcPr>
          <w:p w14:paraId="72FE9435">
            <w:pPr>
              <w:widowControl/>
              <w:jc w:val="center"/>
              <w:textAlignment w:val="center"/>
              <w:rPr>
                <w:rFonts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m</w:t>
            </w:r>
            <w:r>
              <w:rPr>
                <w:rStyle w:val="20"/>
                <w:rFonts w:hint="default" w:ascii="仿宋_GB2312" w:hAnsi="仿宋_GB2312" w:eastAsia="仿宋_GB2312" w:cs="仿宋_GB2312"/>
                <w:color w:val="000000" w:themeColor="text1"/>
                <w:sz w:val="18"/>
                <w:szCs w:val="18"/>
                <w:highlight w:val="none"/>
                <w:lang w:bidi="ar"/>
                <w14:textFill>
                  <w14:solidFill>
                    <w14:schemeClr w14:val="tx1"/>
                  </w14:solidFill>
                </w14:textFill>
              </w:rPr>
              <w:t>3</w:t>
            </w:r>
          </w:p>
        </w:tc>
        <w:tc>
          <w:tcPr>
            <w:tcW w:w="1056" w:type="dxa"/>
            <w:shd w:val="clear" w:color="auto" w:fill="auto"/>
            <w:vAlign w:val="center"/>
          </w:tcPr>
          <w:p w14:paraId="67613668">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756" w:type="dxa"/>
            <w:shd w:val="clear" w:color="auto" w:fill="auto"/>
            <w:noWrap/>
            <w:vAlign w:val="center"/>
          </w:tcPr>
          <w:p w14:paraId="386FE209">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1188" w:type="dxa"/>
            <w:shd w:val="clear" w:color="auto" w:fill="auto"/>
            <w:noWrap/>
            <w:vAlign w:val="center"/>
          </w:tcPr>
          <w:p w14:paraId="23E84DD5">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1248" w:type="dxa"/>
            <w:shd w:val="clear" w:color="auto" w:fill="auto"/>
            <w:noWrap/>
            <w:vAlign w:val="center"/>
          </w:tcPr>
          <w:p w14:paraId="080B279E">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576" w:type="dxa"/>
            <w:shd w:val="clear" w:color="auto" w:fill="auto"/>
            <w:noWrap/>
            <w:vAlign w:val="center"/>
          </w:tcPr>
          <w:p w14:paraId="3CF604E5">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1104" w:type="dxa"/>
            <w:shd w:val="clear" w:color="auto" w:fill="auto"/>
            <w:noWrap/>
            <w:vAlign w:val="center"/>
          </w:tcPr>
          <w:p w14:paraId="561EDC89">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1168" w:type="dxa"/>
            <w:shd w:val="clear" w:color="auto" w:fill="auto"/>
            <w:noWrap/>
            <w:vAlign w:val="center"/>
          </w:tcPr>
          <w:p w14:paraId="77B21A1C">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709" w:type="dxa"/>
            <w:shd w:val="clear" w:color="auto" w:fill="auto"/>
            <w:noWrap/>
            <w:vAlign w:val="center"/>
          </w:tcPr>
          <w:p w14:paraId="678F4BA5">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r>
      <w:tr w14:paraId="0DD8F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67" w:type="dxa"/>
            <w:shd w:val="clear" w:color="auto" w:fill="auto"/>
            <w:vAlign w:val="center"/>
          </w:tcPr>
          <w:p w14:paraId="5352EFF0">
            <w:pPr>
              <w:widowControl/>
              <w:spacing w:line="400" w:lineRule="atLeast"/>
              <w:jc w:val="center"/>
              <w:textAlignment w:val="center"/>
              <w:rPr>
                <w:rFonts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15</w:t>
            </w:r>
          </w:p>
        </w:tc>
        <w:tc>
          <w:tcPr>
            <w:tcW w:w="1361" w:type="dxa"/>
            <w:shd w:val="clear" w:color="auto" w:fill="auto"/>
            <w:vAlign w:val="center"/>
          </w:tcPr>
          <w:p w14:paraId="3A751FF7">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color w:val="000000" w:themeColor="text1"/>
                <w:sz w:val="18"/>
                <w:szCs w:val="18"/>
                <w:highlight w:val="none"/>
                <w14:textFill>
                  <w14:solidFill>
                    <w14:schemeClr w14:val="tx1"/>
                  </w14:solidFill>
                </w14:textFill>
              </w:rPr>
              <w:t>微膨胀</w:t>
            </w:r>
          </w:p>
        </w:tc>
        <w:tc>
          <w:tcPr>
            <w:tcW w:w="994" w:type="dxa"/>
            <w:shd w:val="clear" w:color="auto" w:fill="auto"/>
            <w:vAlign w:val="center"/>
          </w:tcPr>
          <w:p w14:paraId="4B407495">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color w:val="000000" w:themeColor="text1"/>
                <w:sz w:val="18"/>
                <w:szCs w:val="18"/>
                <w:highlight w:val="none"/>
                <w14:textFill>
                  <w14:solidFill>
                    <w14:schemeClr w14:val="tx1"/>
                  </w14:solidFill>
                </w14:textFill>
              </w:rPr>
              <w:t>/</w:t>
            </w:r>
          </w:p>
        </w:tc>
        <w:tc>
          <w:tcPr>
            <w:tcW w:w="828" w:type="dxa"/>
            <w:shd w:val="clear" w:color="auto" w:fill="auto"/>
            <w:noWrap/>
            <w:vAlign w:val="center"/>
          </w:tcPr>
          <w:p w14:paraId="3573A9D3">
            <w:pPr>
              <w:widowControl/>
              <w:jc w:val="center"/>
              <w:textAlignment w:val="center"/>
              <w:rPr>
                <w:rFonts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m</w:t>
            </w:r>
            <w:r>
              <w:rPr>
                <w:rStyle w:val="20"/>
                <w:rFonts w:hint="default" w:ascii="仿宋_GB2312" w:hAnsi="仿宋_GB2312" w:eastAsia="仿宋_GB2312" w:cs="仿宋_GB2312"/>
                <w:color w:val="000000" w:themeColor="text1"/>
                <w:sz w:val="18"/>
                <w:szCs w:val="18"/>
                <w:highlight w:val="none"/>
                <w:lang w:bidi="ar"/>
                <w14:textFill>
                  <w14:solidFill>
                    <w14:schemeClr w14:val="tx1"/>
                  </w14:solidFill>
                </w14:textFill>
              </w:rPr>
              <w:t>3</w:t>
            </w:r>
          </w:p>
        </w:tc>
        <w:tc>
          <w:tcPr>
            <w:tcW w:w="1056" w:type="dxa"/>
            <w:shd w:val="clear" w:color="auto" w:fill="auto"/>
            <w:vAlign w:val="center"/>
          </w:tcPr>
          <w:p w14:paraId="2F5510D5">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756" w:type="dxa"/>
            <w:shd w:val="clear" w:color="auto" w:fill="auto"/>
            <w:noWrap/>
            <w:vAlign w:val="center"/>
          </w:tcPr>
          <w:p w14:paraId="509C80FA">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1188" w:type="dxa"/>
            <w:shd w:val="clear" w:color="auto" w:fill="auto"/>
            <w:noWrap/>
            <w:vAlign w:val="center"/>
          </w:tcPr>
          <w:p w14:paraId="47634A26">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1248" w:type="dxa"/>
            <w:shd w:val="clear" w:color="auto" w:fill="auto"/>
            <w:noWrap/>
            <w:vAlign w:val="center"/>
          </w:tcPr>
          <w:p w14:paraId="68E94FA1">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576" w:type="dxa"/>
            <w:shd w:val="clear" w:color="auto" w:fill="auto"/>
            <w:noWrap/>
            <w:vAlign w:val="center"/>
          </w:tcPr>
          <w:p w14:paraId="39AB25D5">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1104" w:type="dxa"/>
            <w:shd w:val="clear" w:color="auto" w:fill="auto"/>
            <w:noWrap/>
            <w:vAlign w:val="center"/>
          </w:tcPr>
          <w:p w14:paraId="5B7EC202">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1168" w:type="dxa"/>
            <w:shd w:val="clear" w:color="auto" w:fill="auto"/>
            <w:noWrap/>
            <w:vAlign w:val="center"/>
          </w:tcPr>
          <w:p w14:paraId="270F6C60">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709" w:type="dxa"/>
            <w:shd w:val="clear" w:color="auto" w:fill="auto"/>
            <w:noWrap/>
            <w:vAlign w:val="center"/>
          </w:tcPr>
          <w:p w14:paraId="2B2BDB61">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r>
      <w:tr w14:paraId="79BC0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67" w:type="dxa"/>
            <w:shd w:val="clear" w:color="auto" w:fill="auto"/>
            <w:vAlign w:val="center"/>
          </w:tcPr>
          <w:p w14:paraId="5509B11D">
            <w:pPr>
              <w:widowControl/>
              <w:spacing w:line="400" w:lineRule="atLeast"/>
              <w:jc w:val="center"/>
              <w:textAlignment w:val="center"/>
              <w:rPr>
                <w:rFonts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16</w:t>
            </w:r>
          </w:p>
        </w:tc>
        <w:tc>
          <w:tcPr>
            <w:tcW w:w="1361" w:type="dxa"/>
            <w:shd w:val="clear" w:color="auto" w:fill="auto"/>
            <w:vAlign w:val="center"/>
          </w:tcPr>
          <w:p w14:paraId="2ED936CC">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color w:val="000000" w:themeColor="text1"/>
                <w:sz w:val="18"/>
                <w:szCs w:val="18"/>
                <w:highlight w:val="none"/>
                <w14:textFill>
                  <w14:solidFill>
                    <w14:schemeClr w14:val="tx1"/>
                  </w14:solidFill>
                </w14:textFill>
              </w:rPr>
              <w:t>防腐阻锈</w:t>
            </w:r>
          </w:p>
        </w:tc>
        <w:tc>
          <w:tcPr>
            <w:tcW w:w="994" w:type="dxa"/>
            <w:shd w:val="clear" w:color="auto" w:fill="auto"/>
            <w:vAlign w:val="center"/>
          </w:tcPr>
          <w:p w14:paraId="7D671C6E">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color w:val="000000" w:themeColor="text1"/>
                <w:sz w:val="18"/>
                <w:szCs w:val="18"/>
                <w:highlight w:val="none"/>
                <w14:textFill>
                  <w14:solidFill>
                    <w14:schemeClr w14:val="tx1"/>
                  </w14:solidFill>
                </w14:textFill>
              </w:rPr>
              <w:t>/</w:t>
            </w:r>
          </w:p>
        </w:tc>
        <w:tc>
          <w:tcPr>
            <w:tcW w:w="828" w:type="dxa"/>
            <w:shd w:val="clear" w:color="auto" w:fill="auto"/>
            <w:noWrap/>
            <w:vAlign w:val="center"/>
          </w:tcPr>
          <w:p w14:paraId="608826CD">
            <w:pPr>
              <w:widowControl/>
              <w:jc w:val="center"/>
              <w:textAlignment w:val="center"/>
              <w:rPr>
                <w:rFonts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m</w:t>
            </w:r>
            <w:r>
              <w:rPr>
                <w:rStyle w:val="20"/>
                <w:rFonts w:hint="default" w:ascii="仿宋_GB2312" w:hAnsi="仿宋_GB2312" w:eastAsia="仿宋_GB2312" w:cs="仿宋_GB2312"/>
                <w:color w:val="000000" w:themeColor="text1"/>
                <w:sz w:val="18"/>
                <w:szCs w:val="18"/>
                <w:highlight w:val="none"/>
                <w:lang w:bidi="ar"/>
                <w14:textFill>
                  <w14:solidFill>
                    <w14:schemeClr w14:val="tx1"/>
                  </w14:solidFill>
                </w14:textFill>
              </w:rPr>
              <w:t>3</w:t>
            </w:r>
          </w:p>
        </w:tc>
        <w:tc>
          <w:tcPr>
            <w:tcW w:w="1056" w:type="dxa"/>
            <w:shd w:val="clear" w:color="auto" w:fill="auto"/>
            <w:vAlign w:val="center"/>
          </w:tcPr>
          <w:p w14:paraId="18E49EEA">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756" w:type="dxa"/>
            <w:shd w:val="clear" w:color="auto" w:fill="auto"/>
            <w:noWrap/>
            <w:vAlign w:val="center"/>
          </w:tcPr>
          <w:p w14:paraId="32673507">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1188" w:type="dxa"/>
            <w:shd w:val="clear" w:color="auto" w:fill="auto"/>
            <w:noWrap/>
            <w:vAlign w:val="center"/>
          </w:tcPr>
          <w:p w14:paraId="469EF9DF">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1248" w:type="dxa"/>
            <w:shd w:val="clear" w:color="auto" w:fill="auto"/>
            <w:noWrap/>
            <w:vAlign w:val="center"/>
          </w:tcPr>
          <w:p w14:paraId="3FAB77F8">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576" w:type="dxa"/>
            <w:shd w:val="clear" w:color="auto" w:fill="auto"/>
            <w:noWrap/>
            <w:vAlign w:val="center"/>
          </w:tcPr>
          <w:p w14:paraId="37E25CFD">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1104" w:type="dxa"/>
            <w:shd w:val="clear" w:color="auto" w:fill="auto"/>
            <w:noWrap/>
            <w:vAlign w:val="center"/>
          </w:tcPr>
          <w:p w14:paraId="3AD5E504">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1168" w:type="dxa"/>
            <w:shd w:val="clear" w:color="auto" w:fill="auto"/>
            <w:noWrap/>
            <w:vAlign w:val="center"/>
          </w:tcPr>
          <w:p w14:paraId="3C2B69E9">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709" w:type="dxa"/>
            <w:shd w:val="clear" w:color="auto" w:fill="auto"/>
            <w:noWrap/>
            <w:vAlign w:val="center"/>
          </w:tcPr>
          <w:p w14:paraId="635E338D">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r>
      <w:tr w14:paraId="32395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567" w:type="dxa"/>
            <w:shd w:val="clear" w:color="auto" w:fill="auto"/>
            <w:vAlign w:val="center"/>
          </w:tcPr>
          <w:p w14:paraId="10F1D9D7">
            <w:pPr>
              <w:widowControl/>
              <w:spacing w:line="400" w:lineRule="atLeast"/>
              <w:jc w:val="center"/>
              <w:textAlignment w:val="center"/>
              <w:rPr>
                <w:rFonts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17</w:t>
            </w:r>
          </w:p>
        </w:tc>
        <w:tc>
          <w:tcPr>
            <w:tcW w:w="1361" w:type="dxa"/>
            <w:shd w:val="clear" w:color="auto" w:fill="auto"/>
            <w:vAlign w:val="center"/>
          </w:tcPr>
          <w:p w14:paraId="3873CC04">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color w:val="000000" w:themeColor="text1"/>
                <w:sz w:val="18"/>
                <w:szCs w:val="18"/>
                <w:highlight w:val="none"/>
                <w14:textFill>
                  <w14:solidFill>
                    <w14:schemeClr w14:val="tx1"/>
                  </w14:solidFill>
                </w14:textFill>
              </w:rPr>
              <w:t>泵送费</w:t>
            </w:r>
          </w:p>
        </w:tc>
        <w:tc>
          <w:tcPr>
            <w:tcW w:w="994" w:type="dxa"/>
            <w:shd w:val="clear" w:color="auto" w:fill="auto"/>
            <w:vAlign w:val="center"/>
          </w:tcPr>
          <w:p w14:paraId="04754437">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color w:val="000000" w:themeColor="text1"/>
                <w:sz w:val="18"/>
                <w:szCs w:val="18"/>
                <w:highlight w:val="none"/>
                <w14:textFill>
                  <w14:solidFill>
                    <w14:schemeClr w14:val="tx1"/>
                  </w14:solidFill>
                </w14:textFill>
              </w:rPr>
              <w:t>/</w:t>
            </w:r>
          </w:p>
        </w:tc>
        <w:tc>
          <w:tcPr>
            <w:tcW w:w="828" w:type="dxa"/>
            <w:shd w:val="clear" w:color="auto" w:fill="auto"/>
            <w:noWrap/>
            <w:vAlign w:val="center"/>
          </w:tcPr>
          <w:p w14:paraId="6E518A97">
            <w:pPr>
              <w:widowControl/>
              <w:jc w:val="center"/>
              <w:textAlignment w:val="center"/>
              <w:rPr>
                <w:rFonts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m</w:t>
            </w:r>
            <w:r>
              <w:rPr>
                <w:rStyle w:val="20"/>
                <w:rFonts w:hint="default" w:ascii="仿宋_GB2312" w:hAnsi="仿宋_GB2312" w:eastAsia="仿宋_GB2312" w:cs="仿宋_GB2312"/>
                <w:color w:val="000000" w:themeColor="text1"/>
                <w:sz w:val="18"/>
                <w:szCs w:val="18"/>
                <w:highlight w:val="none"/>
                <w:lang w:bidi="ar"/>
                <w14:textFill>
                  <w14:solidFill>
                    <w14:schemeClr w14:val="tx1"/>
                  </w14:solidFill>
                </w14:textFill>
              </w:rPr>
              <w:t>3</w:t>
            </w:r>
          </w:p>
        </w:tc>
        <w:tc>
          <w:tcPr>
            <w:tcW w:w="1056" w:type="dxa"/>
            <w:shd w:val="clear" w:color="auto" w:fill="auto"/>
            <w:vAlign w:val="center"/>
          </w:tcPr>
          <w:p w14:paraId="4ECCD4BA">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756" w:type="dxa"/>
            <w:shd w:val="clear" w:color="auto" w:fill="auto"/>
            <w:noWrap/>
            <w:vAlign w:val="center"/>
          </w:tcPr>
          <w:p w14:paraId="41C4E2E9">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1188" w:type="dxa"/>
            <w:shd w:val="clear" w:color="auto" w:fill="auto"/>
            <w:noWrap/>
            <w:vAlign w:val="center"/>
          </w:tcPr>
          <w:p w14:paraId="10B9A8ED">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1248" w:type="dxa"/>
            <w:shd w:val="clear" w:color="auto" w:fill="auto"/>
            <w:noWrap/>
            <w:vAlign w:val="center"/>
          </w:tcPr>
          <w:p w14:paraId="76AF0D5A">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576" w:type="dxa"/>
            <w:shd w:val="clear" w:color="auto" w:fill="auto"/>
            <w:noWrap/>
            <w:vAlign w:val="center"/>
          </w:tcPr>
          <w:p w14:paraId="149463ED">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1104" w:type="dxa"/>
            <w:shd w:val="clear" w:color="auto" w:fill="auto"/>
            <w:noWrap/>
            <w:vAlign w:val="center"/>
          </w:tcPr>
          <w:p w14:paraId="1FDE2DA5">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1168" w:type="dxa"/>
            <w:shd w:val="clear" w:color="auto" w:fill="auto"/>
            <w:noWrap/>
            <w:vAlign w:val="center"/>
          </w:tcPr>
          <w:p w14:paraId="30B196F1">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709" w:type="dxa"/>
            <w:shd w:val="clear" w:color="auto" w:fill="auto"/>
            <w:noWrap/>
            <w:vAlign w:val="center"/>
          </w:tcPr>
          <w:p w14:paraId="4BFC3098">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r>
      <w:tr w14:paraId="02686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567" w:type="dxa"/>
            <w:shd w:val="clear" w:color="auto" w:fill="auto"/>
            <w:vAlign w:val="center"/>
          </w:tcPr>
          <w:p w14:paraId="452063FB">
            <w:pPr>
              <w:widowControl/>
              <w:spacing w:line="400" w:lineRule="atLeast"/>
              <w:jc w:val="center"/>
              <w:textAlignment w:val="center"/>
              <w:rPr>
                <w:rFonts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18</w:t>
            </w:r>
          </w:p>
        </w:tc>
        <w:tc>
          <w:tcPr>
            <w:tcW w:w="1361" w:type="dxa"/>
            <w:shd w:val="clear" w:color="auto" w:fill="auto"/>
            <w:vAlign w:val="center"/>
          </w:tcPr>
          <w:p w14:paraId="4A6560F7">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color w:val="000000" w:themeColor="text1"/>
                <w:sz w:val="18"/>
                <w:szCs w:val="18"/>
                <w:highlight w:val="none"/>
                <w14:textFill>
                  <w14:solidFill>
                    <w14:schemeClr w14:val="tx1"/>
                  </w14:solidFill>
                </w14:textFill>
              </w:rPr>
              <w:t>润泵砂浆</w:t>
            </w:r>
          </w:p>
        </w:tc>
        <w:tc>
          <w:tcPr>
            <w:tcW w:w="994" w:type="dxa"/>
            <w:shd w:val="clear" w:color="auto" w:fill="auto"/>
            <w:vAlign w:val="center"/>
          </w:tcPr>
          <w:p w14:paraId="39CEDED3">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color w:val="000000" w:themeColor="text1"/>
                <w:sz w:val="18"/>
                <w:szCs w:val="18"/>
                <w:highlight w:val="none"/>
                <w14:textFill>
                  <w14:solidFill>
                    <w14:schemeClr w14:val="tx1"/>
                  </w14:solidFill>
                </w14:textFill>
              </w:rPr>
              <w:t>/</w:t>
            </w:r>
          </w:p>
        </w:tc>
        <w:tc>
          <w:tcPr>
            <w:tcW w:w="828" w:type="dxa"/>
            <w:shd w:val="clear" w:color="auto" w:fill="auto"/>
            <w:noWrap/>
            <w:vAlign w:val="center"/>
          </w:tcPr>
          <w:p w14:paraId="5B765A71">
            <w:pPr>
              <w:widowControl/>
              <w:jc w:val="center"/>
              <w:textAlignment w:val="center"/>
              <w:rPr>
                <w:rFonts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m</w:t>
            </w:r>
            <w:r>
              <w:rPr>
                <w:rFonts w:hint="eastAsia" w:ascii="仿宋_GB2312" w:hAnsi="仿宋_GB2312" w:eastAsia="仿宋_GB2312" w:cs="仿宋_GB2312"/>
                <w:color w:val="000000" w:themeColor="text1"/>
                <w:kern w:val="0"/>
                <w:sz w:val="18"/>
                <w:szCs w:val="18"/>
                <w:highlight w:val="none"/>
                <w:vertAlign w:val="superscript"/>
                <w:lang w:bidi="ar"/>
                <w14:textFill>
                  <w14:solidFill>
                    <w14:schemeClr w14:val="tx1"/>
                  </w14:solidFill>
                </w14:textFill>
              </w:rPr>
              <w:t>3</w:t>
            </w:r>
          </w:p>
        </w:tc>
        <w:tc>
          <w:tcPr>
            <w:tcW w:w="1056" w:type="dxa"/>
            <w:shd w:val="clear" w:color="auto" w:fill="auto"/>
            <w:vAlign w:val="center"/>
          </w:tcPr>
          <w:p w14:paraId="58972E05">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756" w:type="dxa"/>
            <w:shd w:val="clear" w:color="auto" w:fill="auto"/>
            <w:noWrap/>
            <w:vAlign w:val="center"/>
          </w:tcPr>
          <w:p w14:paraId="7F91A074">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1188" w:type="dxa"/>
            <w:shd w:val="clear" w:color="auto" w:fill="auto"/>
            <w:noWrap/>
            <w:vAlign w:val="center"/>
          </w:tcPr>
          <w:p w14:paraId="65B4A9EE">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1248" w:type="dxa"/>
            <w:shd w:val="clear" w:color="auto" w:fill="auto"/>
            <w:noWrap/>
            <w:vAlign w:val="center"/>
          </w:tcPr>
          <w:p w14:paraId="4417E2E6">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576" w:type="dxa"/>
            <w:shd w:val="clear" w:color="auto" w:fill="auto"/>
            <w:noWrap/>
            <w:vAlign w:val="center"/>
          </w:tcPr>
          <w:p w14:paraId="36E5096E">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1104" w:type="dxa"/>
            <w:shd w:val="clear" w:color="auto" w:fill="auto"/>
            <w:noWrap/>
            <w:vAlign w:val="center"/>
          </w:tcPr>
          <w:p w14:paraId="6557EFAF">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1168" w:type="dxa"/>
            <w:shd w:val="clear" w:color="auto" w:fill="auto"/>
            <w:noWrap/>
            <w:vAlign w:val="center"/>
          </w:tcPr>
          <w:p w14:paraId="4B3E64E2">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c>
          <w:tcPr>
            <w:tcW w:w="709" w:type="dxa"/>
            <w:shd w:val="clear" w:color="auto" w:fill="auto"/>
            <w:noWrap/>
            <w:vAlign w:val="center"/>
          </w:tcPr>
          <w:p w14:paraId="7BE4C1EF">
            <w:pPr>
              <w:widowControl/>
              <w:spacing w:line="400" w:lineRule="atLeast"/>
              <w:jc w:val="center"/>
              <w:rPr>
                <w:rFonts w:ascii="仿宋_GB2312" w:hAnsi="仿宋_GB2312" w:eastAsia="仿宋_GB2312" w:cs="仿宋_GB2312"/>
                <w:color w:val="000000" w:themeColor="text1"/>
                <w:sz w:val="18"/>
                <w:szCs w:val="18"/>
                <w:highlight w:val="none"/>
                <w14:textFill>
                  <w14:solidFill>
                    <w14:schemeClr w14:val="tx1"/>
                  </w14:solidFill>
                </w14:textFill>
              </w:rPr>
            </w:pPr>
          </w:p>
        </w:tc>
      </w:tr>
      <w:tr w14:paraId="04828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2" w:hRule="atLeast"/>
          <w:jc w:val="center"/>
        </w:trPr>
        <w:tc>
          <w:tcPr>
            <w:tcW w:w="567" w:type="dxa"/>
            <w:shd w:val="clear" w:color="auto" w:fill="auto"/>
            <w:vAlign w:val="center"/>
          </w:tcPr>
          <w:p w14:paraId="408B3DDE">
            <w:pPr>
              <w:widowControl/>
              <w:jc w:val="left"/>
              <w:rPr>
                <w:rFonts w:hint="eastAsia" w:ascii="仿宋_GB2312" w:hAnsi="仿宋_GB2312" w:eastAsia="仿宋_GB2312" w:cs="仿宋_GB2312"/>
                <w:b/>
                <w:bCs/>
                <w:color w:val="000000" w:themeColor="text1"/>
                <w:sz w:val="18"/>
                <w:szCs w:val="18"/>
                <w:highlight w:val="none"/>
                <w14:textFill>
                  <w14:solidFill>
                    <w14:schemeClr w14:val="tx1"/>
                  </w14:solidFill>
                </w14:textFill>
              </w:rPr>
            </w:pPr>
          </w:p>
        </w:tc>
        <w:tc>
          <w:tcPr>
            <w:tcW w:w="10988" w:type="dxa"/>
            <w:gridSpan w:val="11"/>
            <w:shd w:val="clear" w:color="auto" w:fill="auto"/>
            <w:vAlign w:val="center"/>
          </w:tcPr>
          <w:p w14:paraId="3C054870">
            <w:pPr>
              <w:widowControl/>
              <w:jc w:val="left"/>
              <w:rPr>
                <w:rFonts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b/>
                <w:bCs/>
                <w:color w:val="000000" w:themeColor="text1"/>
                <w:sz w:val="18"/>
                <w:szCs w:val="18"/>
                <w:highlight w:val="none"/>
                <w14:textFill>
                  <w14:solidFill>
                    <w14:schemeClr w14:val="tx1"/>
                  </w14:solidFill>
                </w14:textFill>
              </w:rPr>
              <w:t>不含增值税总价（暂定）</w:t>
            </w:r>
            <w:r>
              <w:rPr>
                <w:rFonts w:hint="eastAsia" w:ascii="仿宋_GB2312" w:hAnsi="仿宋_GB2312" w:eastAsia="仿宋_GB2312" w:cs="仿宋_GB2312"/>
                <w:color w:val="000000" w:themeColor="text1"/>
                <w:sz w:val="18"/>
                <w:szCs w:val="18"/>
                <w:highlight w:val="none"/>
                <w14:textFill>
                  <w14:solidFill>
                    <w14:schemeClr w14:val="tx1"/>
                  </w14:solidFill>
                </w14:textFill>
              </w:rPr>
              <w:t>：人民币</w:t>
            </w:r>
            <w:r>
              <w:rPr>
                <w:rFonts w:hint="eastAsia" w:ascii="仿宋_GB2312" w:hAnsi="仿宋_GB2312" w:eastAsia="仿宋_GB2312" w:cs="仿宋_GB2312"/>
                <w:color w:val="000000" w:themeColor="text1"/>
                <w:sz w:val="18"/>
                <w:szCs w:val="18"/>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18"/>
                <w:szCs w:val="18"/>
                <w:highlight w:val="none"/>
                <w14:textFill>
                  <w14:solidFill>
                    <w14:schemeClr w14:val="tx1"/>
                  </w14:solidFill>
                </w14:textFill>
              </w:rPr>
              <w:t>元（大写：</w:t>
            </w:r>
            <w:r>
              <w:rPr>
                <w:rFonts w:hint="eastAsia" w:ascii="仿宋_GB2312" w:hAnsi="仿宋_GB2312" w:eastAsia="仿宋_GB2312" w:cs="仿宋_GB2312"/>
                <w:color w:val="000000" w:themeColor="text1"/>
                <w:sz w:val="18"/>
                <w:szCs w:val="18"/>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18"/>
                <w:szCs w:val="18"/>
                <w:highlight w:val="none"/>
                <w14:textFill>
                  <w14:solidFill>
                    <w14:schemeClr w14:val="tx1"/>
                  </w14:solidFill>
                </w14:textFill>
              </w:rPr>
              <w:t>元 ）；</w:t>
            </w:r>
          </w:p>
        </w:tc>
      </w:tr>
      <w:tr w14:paraId="37B83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567" w:type="dxa"/>
            <w:shd w:val="clear" w:color="auto" w:fill="auto"/>
            <w:vAlign w:val="center"/>
          </w:tcPr>
          <w:p w14:paraId="4C188F29">
            <w:pPr>
              <w:widowControl/>
              <w:jc w:val="left"/>
              <w:rPr>
                <w:rFonts w:hint="eastAsia" w:ascii="仿宋_GB2312" w:hAnsi="仿宋_GB2312" w:eastAsia="仿宋_GB2312" w:cs="仿宋_GB2312"/>
                <w:b/>
                <w:bCs/>
                <w:color w:val="000000" w:themeColor="text1"/>
                <w:sz w:val="18"/>
                <w:szCs w:val="18"/>
                <w:highlight w:val="none"/>
                <w14:textFill>
                  <w14:solidFill>
                    <w14:schemeClr w14:val="tx1"/>
                  </w14:solidFill>
                </w14:textFill>
              </w:rPr>
            </w:pPr>
          </w:p>
        </w:tc>
        <w:tc>
          <w:tcPr>
            <w:tcW w:w="10988" w:type="dxa"/>
            <w:gridSpan w:val="11"/>
            <w:shd w:val="clear" w:color="auto" w:fill="auto"/>
            <w:vAlign w:val="center"/>
          </w:tcPr>
          <w:p w14:paraId="66CA5973">
            <w:pPr>
              <w:widowControl/>
              <w:jc w:val="left"/>
              <w:rPr>
                <w:rFonts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b/>
                <w:bCs/>
                <w:color w:val="000000" w:themeColor="text1"/>
                <w:sz w:val="18"/>
                <w:szCs w:val="18"/>
                <w:highlight w:val="none"/>
                <w14:textFill>
                  <w14:solidFill>
                    <w14:schemeClr w14:val="tx1"/>
                  </w14:solidFill>
                </w14:textFill>
              </w:rPr>
              <w:t>含增值税总价（暂定）</w:t>
            </w:r>
            <w:r>
              <w:rPr>
                <w:rFonts w:hint="eastAsia" w:ascii="仿宋_GB2312" w:hAnsi="仿宋_GB2312" w:eastAsia="仿宋_GB2312" w:cs="仿宋_GB2312"/>
                <w:color w:val="000000" w:themeColor="text1"/>
                <w:sz w:val="18"/>
                <w:szCs w:val="18"/>
                <w:highlight w:val="none"/>
                <w14:textFill>
                  <w14:solidFill>
                    <w14:schemeClr w14:val="tx1"/>
                  </w14:solidFill>
                </w14:textFill>
              </w:rPr>
              <w:t>：不含增值税暂定总价*（1+增值税税率）=</w:t>
            </w:r>
            <w:r>
              <w:rPr>
                <w:rFonts w:hint="eastAsia" w:ascii="仿宋_GB2312" w:hAnsi="仿宋_GB2312" w:eastAsia="仿宋_GB2312" w:cs="仿宋_GB2312"/>
                <w:color w:val="000000" w:themeColor="text1"/>
                <w:sz w:val="18"/>
                <w:szCs w:val="18"/>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18"/>
                <w:szCs w:val="18"/>
                <w:highlight w:val="none"/>
                <w14:textFill>
                  <w14:solidFill>
                    <w14:schemeClr w14:val="tx1"/>
                  </w14:solidFill>
                </w14:textFill>
              </w:rPr>
              <w:t>元（大写：</w:t>
            </w:r>
            <w:r>
              <w:rPr>
                <w:rFonts w:hint="eastAsia" w:ascii="仿宋_GB2312" w:hAnsi="仿宋_GB2312" w:eastAsia="仿宋_GB2312" w:cs="仿宋_GB2312"/>
                <w:color w:val="000000" w:themeColor="text1"/>
                <w:sz w:val="18"/>
                <w:szCs w:val="18"/>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18"/>
                <w:szCs w:val="18"/>
                <w:highlight w:val="none"/>
                <w14:textFill>
                  <w14:solidFill>
                    <w14:schemeClr w14:val="tx1"/>
                  </w14:solidFill>
                </w14:textFill>
              </w:rPr>
              <w:t>元）</w:t>
            </w:r>
          </w:p>
        </w:tc>
      </w:tr>
      <w:tr w14:paraId="5226F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567" w:type="dxa"/>
            <w:shd w:val="clear" w:color="auto" w:fill="auto"/>
            <w:vAlign w:val="center"/>
          </w:tcPr>
          <w:p w14:paraId="196A8871">
            <w:pPr>
              <w:widowControl/>
              <w:jc w:val="left"/>
              <w:rPr>
                <w:rFonts w:hint="eastAsia" w:ascii="仿宋_GB2312" w:hAnsi="仿宋_GB2312" w:eastAsia="仿宋_GB2312" w:cs="仿宋_GB2312"/>
                <w:b/>
                <w:bCs/>
                <w:color w:val="000000" w:themeColor="text1"/>
                <w:sz w:val="18"/>
                <w:szCs w:val="18"/>
                <w:highlight w:val="none"/>
                <w14:textFill>
                  <w14:solidFill>
                    <w14:schemeClr w14:val="tx1"/>
                  </w14:solidFill>
                </w14:textFill>
              </w:rPr>
            </w:pPr>
          </w:p>
        </w:tc>
        <w:tc>
          <w:tcPr>
            <w:tcW w:w="10988" w:type="dxa"/>
            <w:gridSpan w:val="11"/>
            <w:shd w:val="clear" w:color="auto" w:fill="auto"/>
            <w:vAlign w:val="center"/>
          </w:tcPr>
          <w:p w14:paraId="50B8D3DA">
            <w:pPr>
              <w:widowControl/>
              <w:jc w:val="left"/>
              <w:rPr>
                <w:rFonts w:hint="default" w:ascii="仿宋_GB2312" w:hAnsi="仿宋_GB2312" w:eastAsia="仿宋_GB2312" w:cs="仿宋_GB2312"/>
                <w:color w:val="FF0000"/>
                <w:highlight w:val="none"/>
                <w:lang w:val="en-US" w:eastAsia="zh-CN"/>
              </w:rPr>
            </w:pPr>
            <w:r>
              <w:rPr>
                <w:rFonts w:hint="eastAsia" w:ascii="仿宋_GB2312" w:hAnsi="仿宋_GB2312" w:eastAsia="仿宋_GB2312" w:cs="仿宋_GB2312"/>
                <w:color w:val="FF0000"/>
                <w:highlight w:val="none"/>
                <w:lang w:val="en-US" w:eastAsia="zh-CN"/>
              </w:rPr>
              <w:t>清单内商品混凝土单价为参考2026年第4期(7-8月份)商品混凝土基准信息价《桂林市建筑工程信息价》下浮</w:t>
            </w:r>
            <w:r>
              <w:rPr>
                <w:rFonts w:hint="eastAsia" w:ascii="仿宋_GB2312" w:hAnsi="仿宋_GB2312" w:eastAsia="仿宋_GB2312" w:cs="仿宋_GB2312"/>
                <w:color w:val="FF0000"/>
                <w:highlight w:val="none"/>
                <w:u w:val="single"/>
                <w:lang w:val="en-US" w:eastAsia="zh-CN"/>
              </w:rPr>
              <w:t xml:space="preserve">  </w:t>
            </w:r>
            <w:r>
              <w:rPr>
                <w:rFonts w:hint="eastAsia" w:ascii="仿宋_GB2312" w:hAnsi="仿宋_GB2312" w:eastAsia="仿宋_GB2312" w:cs="仿宋_GB2312"/>
                <w:color w:val="FF0000"/>
                <w:highlight w:val="none"/>
                <w:lang w:val="en-US" w:eastAsia="zh-CN"/>
              </w:rPr>
              <w:t>%加固定单价</w:t>
            </w:r>
            <w:r>
              <w:rPr>
                <w:rFonts w:hint="eastAsia" w:ascii="仿宋_GB2312" w:hAnsi="仿宋_GB2312" w:eastAsia="仿宋_GB2312" w:cs="仿宋_GB2312"/>
                <w:color w:val="FF0000"/>
                <w:highlight w:val="none"/>
                <w:u w:val="single"/>
                <w:lang w:val="en-US" w:eastAsia="zh-CN"/>
              </w:rPr>
              <w:t xml:space="preserve">   元</w:t>
            </w:r>
            <w:r>
              <w:rPr>
                <w:rFonts w:hint="eastAsia" w:ascii="仿宋_GB2312" w:hAnsi="仿宋_GB2312" w:eastAsia="仿宋_GB2312" w:cs="仿宋_GB2312"/>
                <w:color w:val="FF0000"/>
                <w:highlight w:val="none"/>
                <w:lang w:val="en-US" w:eastAsia="zh-CN"/>
              </w:rPr>
              <w:t>，只为暂估本合同总价，具体执行见合同单价第1.3条浮动单价条款；</w:t>
            </w:r>
          </w:p>
          <w:p w14:paraId="5C47F1C9">
            <w:pPr>
              <w:pStyle w:val="8"/>
              <w:rPr>
                <w:rFonts w:hint="default"/>
                <w:color w:val="FF0000"/>
                <w:highlight w:val="yellow"/>
                <w:lang w:val="en-US"/>
              </w:rPr>
            </w:pPr>
            <w:r>
              <w:rPr>
                <w:rFonts w:hint="eastAsia" w:ascii="仿宋_GB2312" w:hAnsi="仿宋_GB2312" w:eastAsia="仿宋_GB2312" w:cs="仿宋_GB2312"/>
                <w:color w:val="FF0000"/>
                <w:highlight w:val="none"/>
                <w:lang w:val="en-US" w:eastAsia="zh-CN"/>
              </w:rPr>
              <w:t>清单内细石混凝土添加剂、防渗混凝土添加剂、泵送费为固定单价。</w:t>
            </w:r>
          </w:p>
          <w:p w14:paraId="5F0A1ED3">
            <w:pPr>
              <w:widowControl/>
              <w:jc w:val="left"/>
              <w:rPr>
                <w:rFonts w:hint="eastAsia" w:ascii="仿宋_GB2312" w:hAnsi="仿宋_GB2312" w:eastAsia="仿宋_GB2312" w:cs="仿宋_GB2312"/>
                <w:b/>
                <w:bCs/>
                <w:color w:val="000000" w:themeColor="text1"/>
                <w:sz w:val="18"/>
                <w:szCs w:val="18"/>
                <w:highlight w:val="none"/>
                <w14:textFill>
                  <w14:solidFill>
                    <w14:schemeClr w14:val="tx1"/>
                  </w14:solidFill>
                </w14:textFill>
              </w:rPr>
            </w:pPr>
          </w:p>
        </w:tc>
      </w:tr>
      <w:permEnd w:id="9"/>
    </w:tbl>
    <w:p w14:paraId="58A6EE9E">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说明：乙方主要原材生产厂家、产地、品牌如下</w:t>
      </w:r>
    </w:p>
    <w:tbl>
      <w:tblPr>
        <w:tblStyle w:val="1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704"/>
        <w:gridCol w:w="1704"/>
        <w:gridCol w:w="1704"/>
        <w:gridCol w:w="1705"/>
        <w:gridCol w:w="1705"/>
      </w:tblGrid>
      <w:tr w14:paraId="081981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12" w:type="dxa"/>
            <w:vAlign w:val="center"/>
          </w:tcPr>
          <w:p w14:paraId="1B638BE8">
            <w:pPr>
              <w:jc w:val="center"/>
              <w:rPr>
                <w:rFonts w:ascii="仿宋" w:hAnsi="仿宋" w:eastAsia="仿宋"/>
                <w:b/>
                <w:bCs/>
                <w:sz w:val="24"/>
                <w:szCs w:val="24"/>
                <w:highlight w:val="none"/>
              </w:rPr>
            </w:pPr>
            <w:permStart w:id="10" w:edGrp="everyone"/>
            <w:r>
              <w:rPr>
                <w:rFonts w:hint="eastAsia" w:ascii="仿宋" w:hAnsi="仿宋" w:eastAsia="仿宋"/>
                <w:b/>
                <w:bCs/>
                <w:sz w:val="24"/>
                <w:szCs w:val="24"/>
                <w:highlight w:val="none"/>
              </w:rPr>
              <w:t>原材料名称</w:t>
            </w:r>
          </w:p>
        </w:tc>
        <w:tc>
          <w:tcPr>
            <w:tcW w:w="1812" w:type="dxa"/>
            <w:vAlign w:val="center"/>
          </w:tcPr>
          <w:p w14:paraId="599A49EF">
            <w:pPr>
              <w:jc w:val="center"/>
              <w:rPr>
                <w:rFonts w:ascii="仿宋" w:hAnsi="仿宋" w:eastAsia="仿宋"/>
                <w:b/>
                <w:bCs/>
                <w:sz w:val="24"/>
                <w:szCs w:val="24"/>
                <w:highlight w:val="none"/>
              </w:rPr>
            </w:pPr>
            <w:r>
              <w:rPr>
                <w:rFonts w:hint="eastAsia" w:ascii="仿宋" w:hAnsi="仿宋" w:eastAsia="仿宋"/>
                <w:b/>
                <w:bCs/>
                <w:sz w:val="24"/>
                <w:szCs w:val="24"/>
                <w:highlight w:val="none"/>
              </w:rPr>
              <w:t>生产厂家</w:t>
            </w:r>
          </w:p>
        </w:tc>
        <w:tc>
          <w:tcPr>
            <w:tcW w:w="1812" w:type="dxa"/>
            <w:vAlign w:val="center"/>
          </w:tcPr>
          <w:p w14:paraId="268C6BEC">
            <w:pPr>
              <w:jc w:val="center"/>
              <w:rPr>
                <w:rFonts w:ascii="仿宋" w:hAnsi="仿宋" w:eastAsia="仿宋"/>
                <w:b/>
                <w:bCs/>
                <w:sz w:val="24"/>
                <w:szCs w:val="24"/>
                <w:highlight w:val="none"/>
              </w:rPr>
            </w:pPr>
            <w:r>
              <w:rPr>
                <w:rFonts w:hint="eastAsia" w:ascii="仿宋" w:hAnsi="仿宋" w:eastAsia="仿宋"/>
                <w:b/>
                <w:bCs/>
                <w:sz w:val="24"/>
                <w:szCs w:val="24"/>
                <w:highlight w:val="none"/>
              </w:rPr>
              <w:t>产地</w:t>
            </w:r>
          </w:p>
        </w:tc>
        <w:tc>
          <w:tcPr>
            <w:tcW w:w="1812" w:type="dxa"/>
            <w:vAlign w:val="center"/>
          </w:tcPr>
          <w:p w14:paraId="4FEE8CCC">
            <w:pPr>
              <w:jc w:val="center"/>
              <w:rPr>
                <w:rFonts w:ascii="仿宋" w:hAnsi="仿宋" w:eastAsia="仿宋"/>
                <w:b/>
                <w:bCs/>
                <w:sz w:val="24"/>
                <w:szCs w:val="24"/>
                <w:highlight w:val="none"/>
              </w:rPr>
            </w:pPr>
            <w:r>
              <w:rPr>
                <w:rFonts w:hint="eastAsia" w:ascii="仿宋" w:hAnsi="仿宋" w:eastAsia="仿宋"/>
                <w:b/>
                <w:bCs/>
                <w:sz w:val="24"/>
                <w:szCs w:val="24"/>
                <w:highlight w:val="none"/>
              </w:rPr>
              <w:t>品牌</w:t>
            </w:r>
          </w:p>
        </w:tc>
        <w:tc>
          <w:tcPr>
            <w:tcW w:w="1812" w:type="dxa"/>
            <w:vAlign w:val="center"/>
          </w:tcPr>
          <w:p w14:paraId="58517EFB">
            <w:pPr>
              <w:jc w:val="center"/>
              <w:rPr>
                <w:rFonts w:ascii="仿宋" w:hAnsi="仿宋" w:eastAsia="仿宋"/>
                <w:b/>
                <w:bCs/>
                <w:sz w:val="24"/>
                <w:szCs w:val="24"/>
                <w:highlight w:val="none"/>
              </w:rPr>
            </w:pPr>
            <w:r>
              <w:rPr>
                <w:rFonts w:hint="eastAsia" w:ascii="仿宋" w:hAnsi="仿宋" w:eastAsia="仿宋"/>
                <w:b/>
                <w:bCs/>
                <w:sz w:val="24"/>
                <w:szCs w:val="24"/>
                <w:highlight w:val="none"/>
              </w:rPr>
              <w:t>备注</w:t>
            </w:r>
          </w:p>
        </w:tc>
      </w:tr>
      <w:tr w14:paraId="2022D3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12" w:type="dxa"/>
            <w:vAlign w:val="center"/>
          </w:tcPr>
          <w:p w14:paraId="1177FCD5">
            <w:pPr>
              <w:jc w:val="center"/>
              <w:rPr>
                <w:rFonts w:ascii="仿宋" w:hAnsi="仿宋" w:eastAsia="仿宋"/>
                <w:sz w:val="24"/>
                <w:szCs w:val="24"/>
                <w:highlight w:val="none"/>
              </w:rPr>
            </w:pPr>
            <w:r>
              <w:rPr>
                <w:rFonts w:hint="eastAsia" w:ascii="仿宋" w:hAnsi="仿宋" w:eastAsia="仿宋"/>
                <w:sz w:val="24"/>
                <w:szCs w:val="24"/>
                <w:highlight w:val="none"/>
              </w:rPr>
              <w:t>水泥</w:t>
            </w:r>
          </w:p>
        </w:tc>
        <w:tc>
          <w:tcPr>
            <w:tcW w:w="1812" w:type="dxa"/>
            <w:vAlign w:val="center"/>
          </w:tcPr>
          <w:p w14:paraId="35377987">
            <w:pPr>
              <w:jc w:val="center"/>
              <w:rPr>
                <w:rFonts w:ascii="仿宋" w:hAnsi="仿宋" w:eastAsia="仿宋"/>
                <w:sz w:val="24"/>
                <w:szCs w:val="24"/>
                <w:highlight w:val="none"/>
              </w:rPr>
            </w:pPr>
          </w:p>
        </w:tc>
        <w:tc>
          <w:tcPr>
            <w:tcW w:w="1812" w:type="dxa"/>
            <w:vAlign w:val="center"/>
          </w:tcPr>
          <w:p w14:paraId="5CA74C4E">
            <w:pPr>
              <w:jc w:val="center"/>
              <w:rPr>
                <w:rFonts w:ascii="仿宋" w:hAnsi="仿宋" w:eastAsia="仿宋"/>
                <w:sz w:val="24"/>
                <w:szCs w:val="24"/>
                <w:highlight w:val="none"/>
              </w:rPr>
            </w:pPr>
          </w:p>
        </w:tc>
        <w:tc>
          <w:tcPr>
            <w:tcW w:w="1812" w:type="dxa"/>
            <w:vAlign w:val="center"/>
          </w:tcPr>
          <w:p w14:paraId="3A6D50FA">
            <w:pPr>
              <w:jc w:val="center"/>
              <w:rPr>
                <w:rFonts w:ascii="仿宋" w:hAnsi="仿宋" w:eastAsia="仿宋"/>
                <w:sz w:val="24"/>
                <w:szCs w:val="24"/>
                <w:highlight w:val="none"/>
              </w:rPr>
            </w:pPr>
          </w:p>
        </w:tc>
        <w:tc>
          <w:tcPr>
            <w:tcW w:w="1812" w:type="dxa"/>
            <w:vAlign w:val="center"/>
          </w:tcPr>
          <w:p w14:paraId="260DE854">
            <w:pPr>
              <w:jc w:val="center"/>
              <w:rPr>
                <w:rFonts w:ascii="仿宋" w:hAnsi="仿宋" w:eastAsia="仿宋"/>
                <w:sz w:val="24"/>
                <w:szCs w:val="24"/>
                <w:highlight w:val="none"/>
              </w:rPr>
            </w:pPr>
          </w:p>
        </w:tc>
      </w:tr>
      <w:tr w14:paraId="551DA0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12" w:type="dxa"/>
            <w:vAlign w:val="center"/>
          </w:tcPr>
          <w:p w14:paraId="5422DCBE">
            <w:pPr>
              <w:jc w:val="center"/>
              <w:rPr>
                <w:rFonts w:ascii="仿宋" w:hAnsi="仿宋" w:eastAsia="仿宋"/>
                <w:sz w:val="24"/>
                <w:szCs w:val="24"/>
                <w:highlight w:val="none"/>
              </w:rPr>
            </w:pPr>
            <w:r>
              <w:rPr>
                <w:rFonts w:hint="eastAsia" w:ascii="仿宋" w:hAnsi="仿宋" w:eastAsia="仿宋"/>
                <w:sz w:val="24"/>
                <w:szCs w:val="24"/>
                <w:highlight w:val="none"/>
              </w:rPr>
              <w:t>外加剂</w:t>
            </w:r>
          </w:p>
        </w:tc>
        <w:tc>
          <w:tcPr>
            <w:tcW w:w="1812" w:type="dxa"/>
            <w:vAlign w:val="center"/>
          </w:tcPr>
          <w:p w14:paraId="3269780F">
            <w:pPr>
              <w:jc w:val="center"/>
              <w:rPr>
                <w:rFonts w:ascii="仿宋" w:hAnsi="仿宋" w:eastAsia="仿宋"/>
                <w:sz w:val="24"/>
                <w:szCs w:val="24"/>
                <w:highlight w:val="none"/>
              </w:rPr>
            </w:pPr>
          </w:p>
        </w:tc>
        <w:tc>
          <w:tcPr>
            <w:tcW w:w="1812" w:type="dxa"/>
            <w:vAlign w:val="center"/>
          </w:tcPr>
          <w:p w14:paraId="7C765900">
            <w:pPr>
              <w:jc w:val="center"/>
              <w:rPr>
                <w:rFonts w:ascii="仿宋" w:hAnsi="仿宋" w:eastAsia="仿宋"/>
                <w:sz w:val="24"/>
                <w:szCs w:val="24"/>
                <w:highlight w:val="none"/>
              </w:rPr>
            </w:pPr>
          </w:p>
        </w:tc>
        <w:tc>
          <w:tcPr>
            <w:tcW w:w="1812" w:type="dxa"/>
            <w:vAlign w:val="center"/>
          </w:tcPr>
          <w:p w14:paraId="37BF4091">
            <w:pPr>
              <w:jc w:val="center"/>
              <w:rPr>
                <w:rFonts w:ascii="仿宋" w:hAnsi="仿宋" w:eastAsia="仿宋"/>
                <w:sz w:val="24"/>
                <w:szCs w:val="24"/>
                <w:highlight w:val="none"/>
              </w:rPr>
            </w:pPr>
          </w:p>
        </w:tc>
        <w:tc>
          <w:tcPr>
            <w:tcW w:w="1812" w:type="dxa"/>
            <w:vAlign w:val="center"/>
          </w:tcPr>
          <w:p w14:paraId="6BC4860D">
            <w:pPr>
              <w:jc w:val="center"/>
              <w:rPr>
                <w:rFonts w:ascii="仿宋" w:hAnsi="仿宋" w:eastAsia="仿宋"/>
                <w:sz w:val="24"/>
                <w:szCs w:val="24"/>
                <w:highlight w:val="none"/>
              </w:rPr>
            </w:pPr>
          </w:p>
        </w:tc>
      </w:tr>
      <w:tr w14:paraId="4DEE36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12" w:type="dxa"/>
            <w:vAlign w:val="center"/>
          </w:tcPr>
          <w:p w14:paraId="446F8DF0">
            <w:pPr>
              <w:jc w:val="center"/>
              <w:rPr>
                <w:rFonts w:ascii="仿宋" w:hAnsi="仿宋" w:eastAsia="仿宋"/>
                <w:sz w:val="24"/>
                <w:szCs w:val="24"/>
                <w:highlight w:val="none"/>
              </w:rPr>
            </w:pPr>
            <w:r>
              <w:rPr>
                <w:rFonts w:hint="eastAsia" w:ascii="仿宋" w:hAnsi="仿宋" w:eastAsia="仿宋"/>
                <w:sz w:val="24"/>
                <w:szCs w:val="24"/>
                <w:highlight w:val="none"/>
              </w:rPr>
              <w:t>中砂</w:t>
            </w:r>
          </w:p>
        </w:tc>
        <w:tc>
          <w:tcPr>
            <w:tcW w:w="1812" w:type="dxa"/>
            <w:vAlign w:val="center"/>
          </w:tcPr>
          <w:p w14:paraId="4A80498A">
            <w:pPr>
              <w:jc w:val="center"/>
              <w:rPr>
                <w:rFonts w:ascii="仿宋" w:hAnsi="仿宋" w:eastAsia="仿宋"/>
                <w:sz w:val="24"/>
                <w:szCs w:val="24"/>
                <w:highlight w:val="none"/>
              </w:rPr>
            </w:pPr>
          </w:p>
        </w:tc>
        <w:tc>
          <w:tcPr>
            <w:tcW w:w="1812" w:type="dxa"/>
            <w:vAlign w:val="center"/>
          </w:tcPr>
          <w:p w14:paraId="0DA73581">
            <w:pPr>
              <w:jc w:val="center"/>
              <w:rPr>
                <w:rFonts w:ascii="仿宋" w:hAnsi="仿宋" w:eastAsia="仿宋"/>
                <w:sz w:val="24"/>
                <w:szCs w:val="24"/>
                <w:highlight w:val="none"/>
              </w:rPr>
            </w:pPr>
          </w:p>
        </w:tc>
        <w:tc>
          <w:tcPr>
            <w:tcW w:w="1812" w:type="dxa"/>
            <w:vAlign w:val="center"/>
          </w:tcPr>
          <w:p w14:paraId="7CCEE039">
            <w:pPr>
              <w:jc w:val="center"/>
              <w:rPr>
                <w:rFonts w:ascii="仿宋" w:hAnsi="仿宋" w:eastAsia="仿宋"/>
                <w:sz w:val="24"/>
                <w:szCs w:val="24"/>
                <w:highlight w:val="none"/>
              </w:rPr>
            </w:pPr>
          </w:p>
        </w:tc>
        <w:tc>
          <w:tcPr>
            <w:tcW w:w="1812" w:type="dxa"/>
            <w:vAlign w:val="center"/>
          </w:tcPr>
          <w:p w14:paraId="7F0344BB">
            <w:pPr>
              <w:jc w:val="center"/>
              <w:rPr>
                <w:rFonts w:ascii="仿宋" w:hAnsi="仿宋" w:eastAsia="仿宋"/>
                <w:sz w:val="24"/>
                <w:szCs w:val="24"/>
                <w:highlight w:val="none"/>
              </w:rPr>
            </w:pPr>
          </w:p>
        </w:tc>
      </w:tr>
      <w:tr w14:paraId="3FFEB9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12" w:type="dxa"/>
            <w:vAlign w:val="center"/>
          </w:tcPr>
          <w:p w14:paraId="7C57534F">
            <w:pPr>
              <w:jc w:val="center"/>
              <w:rPr>
                <w:rFonts w:ascii="仿宋" w:hAnsi="仿宋" w:eastAsia="仿宋"/>
                <w:sz w:val="24"/>
                <w:szCs w:val="24"/>
                <w:highlight w:val="none"/>
              </w:rPr>
            </w:pPr>
            <w:r>
              <w:rPr>
                <w:rFonts w:hint="eastAsia" w:ascii="仿宋" w:hAnsi="仿宋" w:eastAsia="仿宋"/>
                <w:sz w:val="24"/>
                <w:szCs w:val="24"/>
                <w:highlight w:val="none"/>
              </w:rPr>
              <w:t>碎石</w:t>
            </w:r>
          </w:p>
        </w:tc>
        <w:tc>
          <w:tcPr>
            <w:tcW w:w="1812" w:type="dxa"/>
            <w:vAlign w:val="center"/>
          </w:tcPr>
          <w:p w14:paraId="1C870775">
            <w:pPr>
              <w:jc w:val="center"/>
              <w:rPr>
                <w:rFonts w:ascii="仿宋" w:hAnsi="仿宋" w:eastAsia="仿宋"/>
                <w:sz w:val="24"/>
                <w:szCs w:val="24"/>
                <w:highlight w:val="none"/>
              </w:rPr>
            </w:pPr>
          </w:p>
        </w:tc>
        <w:tc>
          <w:tcPr>
            <w:tcW w:w="1812" w:type="dxa"/>
            <w:vAlign w:val="center"/>
          </w:tcPr>
          <w:p w14:paraId="689D5F5F">
            <w:pPr>
              <w:jc w:val="center"/>
              <w:rPr>
                <w:rFonts w:ascii="仿宋" w:hAnsi="仿宋" w:eastAsia="仿宋"/>
                <w:sz w:val="24"/>
                <w:szCs w:val="24"/>
                <w:highlight w:val="none"/>
              </w:rPr>
            </w:pPr>
          </w:p>
        </w:tc>
        <w:tc>
          <w:tcPr>
            <w:tcW w:w="1812" w:type="dxa"/>
            <w:vAlign w:val="center"/>
          </w:tcPr>
          <w:p w14:paraId="2FE058F8">
            <w:pPr>
              <w:jc w:val="center"/>
              <w:rPr>
                <w:rFonts w:ascii="仿宋" w:hAnsi="仿宋" w:eastAsia="仿宋"/>
                <w:sz w:val="24"/>
                <w:szCs w:val="24"/>
                <w:highlight w:val="none"/>
              </w:rPr>
            </w:pPr>
          </w:p>
        </w:tc>
        <w:tc>
          <w:tcPr>
            <w:tcW w:w="1812" w:type="dxa"/>
            <w:vAlign w:val="center"/>
          </w:tcPr>
          <w:p w14:paraId="4C544823">
            <w:pPr>
              <w:jc w:val="center"/>
              <w:rPr>
                <w:rFonts w:ascii="仿宋" w:hAnsi="仿宋" w:eastAsia="仿宋"/>
                <w:sz w:val="24"/>
                <w:szCs w:val="24"/>
                <w:highlight w:val="none"/>
              </w:rPr>
            </w:pPr>
          </w:p>
        </w:tc>
      </w:tr>
      <w:tr w14:paraId="26FA33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12" w:type="dxa"/>
            <w:vAlign w:val="center"/>
          </w:tcPr>
          <w:p w14:paraId="4BC71F60">
            <w:pPr>
              <w:jc w:val="center"/>
              <w:rPr>
                <w:rFonts w:ascii="仿宋" w:hAnsi="仿宋" w:eastAsia="仿宋"/>
                <w:sz w:val="24"/>
                <w:szCs w:val="24"/>
                <w:highlight w:val="none"/>
              </w:rPr>
            </w:pPr>
            <w:r>
              <w:rPr>
                <w:rFonts w:ascii="仿宋" w:hAnsi="仿宋" w:eastAsia="仿宋"/>
                <w:sz w:val="24"/>
                <w:szCs w:val="24"/>
                <w:highlight w:val="none"/>
              </w:rPr>
              <w:t>…</w:t>
            </w:r>
          </w:p>
        </w:tc>
        <w:tc>
          <w:tcPr>
            <w:tcW w:w="1812" w:type="dxa"/>
            <w:vAlign w:val="center"/>
          </w:tcPr>
          <w:p w14:paraId="78B2AA27">
            <w:pPr>
              <w:jc w:val="center"/>
              <w:rPr>
                <w:rFonts w:ascii="仿宋" w:hAnsi="仿宋" w:eastAsia="仿宋"/>
                <w:sz w:val="24"/>
                <w:szCs w:val="24"/>
                <w:highlight w:val="none"/>
              </w:rPr>
            </w:pPr>
          </w:p>
        </w:tc>
        <w:tc>
          <w:tcPr>
            <w:tcW w:w="1812" w:type="dxa"/>
            <w:vAlign w:val="center"/>
          </w:tcPr>
          <w:p w14:paraId="58E9ACE1">
            <w:pPr>
              <w:jc w:val="center"/>
              <w:rPr>
                <w:rFonts w:ascii="仿宋" w:hAnsi="仿宋" w:eastAsia="仿宋"/>
                <w:sz w:val="24"/>
                <w:szCs w:val="24"/>
                <w:highlight w:val="none"/>
              </w:rPr>
            </w:pPr>
          </w:p>
        </w:tc>
        <w:tc>
          <w:tcPr>
            <w:tcW w:w="1812" w:type="dxa"/>
            <w:vAlign w:val="center"/>
          </w:tcPr>
          <w:p w14:paraId="62690B63">
            <w:pPr>
              <w:jc w:val="center"/>
              <w:rPr>
                <w:rFonts w:ascii="仿宋" w:hAnsi="仿宋" w:eastAsia="仿宋"/>
                <w:sz w:val="24"/>
                <w:szCs w:val="24"/>
                <w:highlight w:val="none"/>
              </w:rPr>
            </w:pPr>
          </w:p>
        </w:tc>
        <w:tc>
          <w:tcPr>
            <w:tcW w:w="1812" w:type="dxa"/>
            <w:vAlign w:val="center"/>
          </w:tcPr>
          <w:p w14:paraId="3586ECFF">
            <w:pPr>
              <w:jc w:val="center"/>
              <w:rPr>
                <w:rFonts w:ascii="仿宋" w:hAnsi="仿宋" w:eastAsia="仿宋"/>
                <w:sz w:val="24"/>
                <w:szCs w:val="24"/>
                <w:highlight w:val="none"/>
              </w:rPr>
            </w:pPr>
          </w:p>
        </w:tc>
      </w:tr>
      <w:permEnd w:id="10"/>
    </w:tbl>
    <w:p w14:paraId="5A440E67">
      <w:pPr>
        <w:pStyle w:val="19"/>
        <w:numPr>
          <w:ilvl w:val="0"/>
          <w:numId w:val="2"/>
        </w:numPr>
        <w:spacing w:line="400" w:lineRule="atLeast"/>
        <w:ind w:firstLine="482" w:firstLineChars="200"/>
        <w:rPr>
          <w:rFonts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合同单价：</w:t>
      </w:r>
      <w:r>
        <w:rPr>
          <w:rFonts w:hint="eastAsia" w:ascii="仿宋_GB2312" w:hAnsi="仿宋_GB2312" w:eastAsia="仿宋_GB2312" w:cs="仿宋_GB2312"/>
          <w:color w:val="000000" w:themeColor="text1"/>
          <w:highlight w:val="none"/>
          <w14:textFill>
            <w14:solidFill>
              <w14:schemeClr w14:val="tx1"/>
            </w14:solidFill>
          </w14:textFill>
        </w:rPr>
        <w:t>本合同综合单价适用第</w:t>
      </w:r>
      <w:r>
        <w:rPr>
          <w:rFonts w:hint="eastAsia" w:ascii="仿宋_GB2312" w:hAnsi="仿宋_GB2312" w:eastAsia="仿宋_GB2312" w:cs="仿宋_GB2312"/>
          <w:color w:val="000000" w:themeColor="text1"/>
          <w:highlight w:val="none"/>
          <w:u w:val="single"/>
          <w14:textFill>
            <w14:solidFill>
              <w14:schemeClr w14:val="tx1"/>
            </w14:solidFill>
          </w14:textFill>
        </w:rPr>
        <w:t xml:space="preserve"> </w:t>
      </w:r>
      <w:permStart w:id="11" w:edGrp="everyone"/>
      <w:r>
        <w:rPr>
          <w:rFonts w:hint="eastAsia" w:ascii="仿宋_GB2312" w:hAnsi="仿宋_GB2312" w:eastAsia="仿宋_GB2312" w:cs="仿宋_GB2312"/>
          <w:color w:val="000000" w:themeColor="text1"/>
          <w:highlight w:val="none"/>
          <w:u w:val="single"/>
          <w14:textFill>
            <w14:solidFill>
              <w14:schemeClr w14:val="tx1"/>
            </w14:solidFill>
          </w14:textFill>
        </w:rPr>
        <w:t xml:space="preserve">  1.1 </w:t>
      </w:r>
      <w:permEnd w:id="11"/>
      <w:r>
        <w:rPr>
          <w:rFonts w:hint="eastAsia" w:ascii="仿宋_GB2312" w:hAnsi="仿宋_GB2312" w:eastAsia="仿宋_GB2312" w:cs="仿宋_GB2312"/>
          <w:color w:val="000000" w:themeColor="text1"/>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highlight w:val="none"/>
          <w14:textFill>
            <w14:solidFill>
              <w14:schemeClr w14:val="tx1"/>
            </w14:solidFill>
          </w14:textFill>
        </w:rPr>
        <w:t>条</w:t>
      </w:r>
    </w:p>
    <w:p w14:paraId="5E14DDDB">
      <w:pPr>
        <w:pStyle w:val="19"/>
        <w:numPr>
          <w:ilvl w:val="255"/>
          <w:numId w:val="0"/>
        </w:numPr>
        <w:spacing w:line="400" w:lineRule="atLeast"/>
        <w:ind w:firstLine="482" w:firstLineChars="200"/>
        <w:rPr>
          <w:rFonts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1.1本合同为固定单价合同；</w:t>
      </w:r>
      <w:r>
        <w:rPr>
          <w:rFonts w:hint="eastAsia" w:ascii="仿宋_GB2312" w:hAnsi="仿宋_GB2312" w:eastAsia="仿宋_GB2312" w:cs="仿宋_GB2312"/>
          <w:b/>
          <w:bCs/>
          <w:color w:val="000000" w:themeColor="text1"/>
          <w:highlight w:val="none"/>
          <w:u w:val="single"/>
          <w14:textFill>
            <w14:solidFill>
              <w14:schemeClr w14:val="tx1"/>
            </w14:solidFill>
          </w14:textFill>
        </w:rPr>
        <w:t>不含增值税综合单价为物资运至工地的单价包括</w:t>
      </w:r>
      <w:r>
        <w:rPr>
          <w:rFonts w:hint="eastAsia" w:ascii="仿宋_GB2312" w:hAnsi="仿宋_GB2312" w:eastAsia="仿宋_GB2312" w:cs="仿宋_GB2312"/>
          <w:b/>
          <w:bCs/>
          <w:color w:val="000000" w:themeColor="text1"/>
          <w:highlight w:val="none"/>
          <w:u w:val="single"/>
          <w:lang w:val="en-US" w:eastAsia="zh-CN"/>
          <w14:textFill>
            <w14:solidFill>
              <w14:schemeClr w14:val="tx1"/>
            </w14:solidFill>
          </w14:textFill>
        </w:rPr>
        <w:t>但不限于</w:t>
      </w:r>
      <w:r>
        <w:rPr>
          <w:rFonts w:hint="eastAsia" w:ascii="仿宋_GB2312" w:hAnsi="仿宋_GB2312" w:eastAsia="仿宋_GB2312" w:cs="仿宋_GB2312"/>
          <w:b/>
          <w:bCs/>
          <w:color w:val="000000" w:themeColor="text1"/>
          <w:highlight w:val="none"/>
          <w:u w:val="single"/>
          <w14:textFill>
            <w14:solidFill>
              <w14:schemeClr w14:val="tx1"/>
            </w14:solidFill>
          </w14:textFill>
        </w:rPr>
        <w:t>材料费</w:t>
      </w:r>
      <w:r>
        <w:rPr>
          <w:rFonts w:hint="eastAsia" w:ascii="仿宋_GB2312" w:hAnsi="仿宋_GB2312" w:eastAsia="仿宋_GB2312" w:cs="仿宋_GB2312"/>
          <w:b/>
          <w:bCs/>
          <w:color w:val="000000" w:themeColor="text1"/>
          <w:highlight w:val="none"/>
          <w:u w:val="single"/>
          <w:lang w:eastAsia="zh-CN"/>
          <w14:textFill>
            <w14:solidFill>
              <w14:schemeClr w14:val="tx1"/>
            </w14:solidFill>
          </w14:textFill>
        </w:rPr>
        <w:t>、</w:t>
      </w:r>
      <w:r>
        <w:rPr>
          <w:rFonts w:hint="eastAsia" w:ascii="仿宋_GB2312" w:hAnsi="仿宋_GB2312" w:eastAsia="仿宋_GB2312" w:cs="仿宋_GB2312"/>
          <w:b/>
          <w:bCs/>
          <w:color w:val="000000" w:themeColor="text1"/>
          <w:highlight w:val="none"/>
          <w:u w:val="single"/>
          <w14:textFill>
            <w14:solidFill>
              <w14:schemeClr w14:val="tx1"/>
            </w14:solidFill>
          </w14:textFill>
        </w:rPr>
        <w:t>通泵洗泵用水（热水）费、卸货前损耗费、用于工程前所需进行的检验试验费、卸货前保管费（如有）、税金、包装费、上车人力及机械资费（由乙方自行协调，甲方只进行指定场地和材料验收工作）、出库费、出厂检测费（包括但不限于到场后的第三方检测费用）</w:t>
      </w:r>
      <w:r>
        <w:rPr>
          <w:rFonts w:hint="eastAsia" w:ascii="仿宋_GB2312" w:hAnsi="仿宋_GB2312" w:eastAsia="仿宋_GB2312" w:cs="仿宋_GB2312"/>
          <w:b/>
          <w:bCs/>
          <w:color w:val="000000" w:themeColor="text1"/>
          <w:highlight w:val="none"/>
          <w:u w:val="single"/>
          <w:lang w:eastAsia="zh-CN"/>
          <w14:textFill>
            <w14:solidFill>
              <w14:schemeClr w14:val="tx1"/>
            </w14:solidFill>
          </w14:textFill>
        </w:rPr>
        <w:t>、码放费、现场倒运费用、保险费、仓储费、驻厂监造费、运输造成的道路污染的清理及维修费用、</w:t>
      </w:r>
      <w:r>
        <w:rPr>
          <w:rFonts w:hint="eastAsia" w:ascii="仿宋_GB2312" w:hAnsi="仿宋_GB2312" w:eastAsia="仿宋_GB2312" w:cs="仿宋_GB2312"/>
          <w:b/>
          <w:bCs/>
          <w:color w:val="000000" w:themeColor="text1"/>
          <w:highlight w:val="none"/>
          <w:u w:val="single"/>
          <w14:textFill>
            <w14:solidFill>
              <w14:schemeClr w14:val="tx1"/>
            </w14:solidFill>
          </w14:textFill>
        </w:rPr>
        <w:t>出库吊装费、运输费、过江过桥费、高速公路费等，含工地卸货费挂钩卸车人工费</w:t>
      </w:r>
      <w:r>
        <w:rPr>
          <w:rFonts w:hint="eastAsia" w:ascii="仿宋_GB2312" w:hAnsi="仿宋_GB2312" w:eastAsia="仿宋_GB2312" w:cs="仿宋_GB2312"/>
          <w:b/>
          <w:bCs/>
          <w:color w:val="000000" w:themeColor="text1"/>
          <w:highlight w:val="none"/>
          <w:u w:val="single"/>
          <w:lang w:eastAsia="zh-CN"/>
          <w14:textFill>
            <w14:solidFill>
              <w14:schemeClr w14:val="tx1"/>
            </w14:solidFill>
          </w14:textFill>
        </w:rPr>
        <w:t>、</w:t>
      </w:r>
      <w:r>
        <w:rPr>
          <w:rFonts w:hint="eastAsia" w:ascii="仿宋_GB2312" w:hAnsi="仿宋_GB2312" w:eastAsia="仿宋_GB2312" w:cs="仿宋_GB2312"/>
          <w:b/>
          <w:bCs/>
          <w:color w:val="000000" w:themeColor="text1"/>
          <w:highlight w:val="none"/>
          <w:u w:val="single"/>
          <w:lang w:val="en-US" w:eastAsia="zh-CN"/>
          <w14:textFill>
            <w14:solidFill>
              <w14:schemeClr w14:val="tx1"/>
            </w14:solidFill>
          </w14:textFill>
        </w:rPr>
        <w:t>资料费、财务费、机械设备费、生产加工费、电费、水费、场地建设费、场地使用费、环境保护费、人工费、维修费、配合比设计及验证费、安全文明施工费、食宿费、措施费、技术指导服务费、</w:t>
      </w:r>
      <w:r>
        <w:rPr>
          <w:rFonts w:hint="eastAsia" w:ascii="仿宋_GB2312" w:hAnsi="仿宋_GB2312" w:eastAsia="仿宋_GB2312" w:cs="仿宋_GB2312"/>
          <w:b/>
          <w:bCs/>
          <w:color w:val="000000" w:themeColor="text1"/>
          <w:highlight w:val="none"/>
          <w:u w:val="single"/>
          <w14:textFill>
            <w14:solidFill>
              <w14:schemeClr w14:val="tx1"/>
            </w14:solidFill>
          </w14:textFill>
        </w:rPr>
        <w:t>乙方合理的利润、管理费、市场价格波动带来的风险、向有关部门缴纳的各项费用以及政策性文件所规定的各项应有费用等乙方履行本合同规定义务的全部价款与费税</w:t>
      </w:r>
      <w:r>
        <w:rPr>
          <w:rFonts w:hint="eastAsia" w:ascii="仿宋_GB2312" w:hAnsi="仿宋_GB2312" w:eastAsia="仿宋_GB2312" w:cs="仿宋_GB2312"/>
          <w:b/>
          <w:bCs/>
          <w:color w:val="000000" w:themeColor="text1"/>
          <w:highlight w:val="none"/>
          <w:u w:val="single"/>
          <w:lang w:val="en-US" w:eastAsia="zh-CN"/>
          <w14:textFill>
            <w14:solidFill>
              <w14:schemeClr w14:val="tx1"/>
            </w14:solidFill>
          </w14:textFill>
        </w:rPr>
        <w:t>等一切费用</w:t>
      </w:r>
      <w:r>
        <w:rPr>
          <w:rFonts w:hint="eastAsia" w:ascii="仿宋_GB2312" w:hAnsi="仿宋_GB2312" w:eastAsia="仿宋_GB2312" w:cs="仿宋_GB2312"/>
          <w:b/>
          <w:bCs/>
          <w:color w:val="000000" w:themeColor="text1"/>
          <w:highlight w:val="none"/>
          <w:u w:val="single"/>
          <w14:textFill>
            <w14:solidFill>
              <w14:schemeClr w14:val="tx1"/>
            </w14:solidFill>
          </w14:textFill>
        </w:rPr>
        <w:t>，除本合同规定的因素外，不得因政府政策变动、市场环境改变、增值税以外其他税费税率调整等而调整。除合同条款另有约定外，乙方在合同签订前和签订时已确定采用的专利、专有技术、技术秘密的使用费已包含在签约合同价中。</w:t>
      </w:r>
      <w:r>
        <w:rPr>
          <w:rFonts w:hint="eastAsia" w:ascii="仿宋_GB2312" w:hAnsi="仿宋_GB2312" w:eastAsia="仿宋_GB2312" w:cs="仿宋_GB2312"/>
          <w:b/>
          <w:bCs/>
          <w:color w:val="000000" w:themeColor="text1"/>
          <w:highlight w:val="none"/>
          <w14:textFill>
            <w14:solidFill>
              <w14:schemeClr w14:val="tx1"/>
            </w14:solidFill>
          </w14:textFill>
        </w:rPr>
        <w:t>“</w:t>
      </w:r>
      <w:r>
        <w:rPr>
          <w:rFonts w:hint="eastAsia" w:ascii="仿宋_GB2312" w:hAnsi="仿宋_GB2312" w:eastAsia="仿宋_GB2312" w:cs="仿宋_GB2312"/>
          <w:b/>
          <w:bCs/>
          <w:color w:val="000000" w:themeColor="text1"/>
          <w:highlight w:val="none"/>
          <w:lang w:val="en-US" w:eastAsia="zh-CN"/>
          <w14:textFill>
            <w14:solidFill>
              <w14:schemeClr w14:val="tx1"/>
            </w14:solidFill>
          </w14:textFill>
        </w:rPr>
        <w:t>不含税</w:t>
      </w:r>
      <w:r>
        <w:rPr>
          <w:rFonts w:hint="eastAsia" w:ascii="仿宋_GB2312" w:hAnsi="仿宋_GB2312" w:eastAsia="仿宋_GB2312" w:cs="仿宋_GB2312"/>
          <w:b/>
          <w:bCs/>
          <w:color w:val="000000" w:themeColor="text1"/>
          <w:highlight w:val="none"/>
          <w14:textFill>
            <w14:solidFill>
              <w14:schemeClr w14:val="tx1"/>
            </w14:solidFill>
          </w14:textFill>
        </w:rPr>
        <w:t>综合单价”为固定单价，即不受市场变化影响，且无论进场数量多少价格亦不发生变化</w:t>
      </w:r>
      <w:r>
        <w:rPr>
          <w:rFonts w:hint="eastAsia" w:ascii="仿宋_GB2312" w:hAnsi="仿宋_GB2312" w:eastAsia="仿宋_GB2312" w:cs="仿宋_GB2312"/>
          <w:b/>
          <w:bCs/>
          <w:color w:val="000000" w:themeColor="text1"/>
          <w:highlight w:val="none"/>
          <w:lang w:eastAsia="zh-CN"/>
          <w14:textFill>
            <w14:solidFill>
              <w14:schemeClr w14:val="tx1"/>
            </w14:solidFill>
          </w14:textFill>
        </w:rPr>
        <w:t>。</w:t>
      </w:r>
    </w:p>
    <w:p w14:paraId="2694CCE4">
      <w:pPr>
        <w:pStyle w:val="19"/>
        <w:numPr>
          <w:ilvl w:val="255"/>
          <w:numId w:val="0"/>
        </w:numPr>
        <w:spacing w:line="400" w:lineRule="atLeast"/>
        <w:ind w:firstLine="482"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1.2本合同为组合单价合同；</w:t>
      </w:r>
      <w:r>
        <w:rPr>
          <w:rFonts w:hint="eastAsia" w:ascii="仿宋_GB2312" w:hAnsi="仿宋_GB2312" w:eastAsia="仿宋_GB2312" w:cs="仿宋_GB2312"/>
          <w:color w:val="000000" w:themeColor="text1"/>
          <w:highlight w:val="none"/>
          <w:u w:val="single"/>
          <w14:textFill>
            <w14:solidFill>
              <w14:schemeClr w14:val="tx1"/>
            </w14:solidFill>
          </w14:textFill>
        </w:rPr>
        <w:t>本合同不适用本条款</w:t>
      </w:r>
      <w:r>
        <w:rPr>
          <w:rFonts w:hint="eastAsia" w:ascii="仿宋_GB2312" w:hAnsi="仿宋_GB2312" w:eastAsia="仿宋_GB2312" w:cs="仿宋_GB2312"/>
          <w:color w:val="000000" w:themeColor="text1"/>
          <w:highlight w:val="none"/>
          <w14:textFill>
            <w14:solidFill>
              <w14:schemeClr w14:val="tx1"/>
            </w14:solidFill>
          </w14:textFill>
        </w:rPr>
        <w:t>。</w:t>
      </w:r>
    </w:p>
    <w:p w14:paraId="1238CC60">
      <w:pPr>
        <w:pStyle w:val="19"/>
        <w:numPr>
          <w:ilvl w:val="255"/>
          <w:numId w:val="0"/>
        </w:numPr>
        <w:spacing w:line="400" w:lineRule="atLeast"/>
        <w:ind w:firstLine="482"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1.3本合同为浮动单价合同；</w:t>
      </w:r>
    </w:p>
    <w:p w14:paraId="63DE2BDA">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1.3.1结算单价：以</w:t>
      </w:r>
      <w:r>
        <w:rPr>
          <w:rFonts w:hint="eastAsia" w:ascii="仿宋_GB2312" w:hAnsi="仿宋_GB2312" w:eastAsia="仿宋_GB2312" w:cs="仿宋_GB2312"/>
          <w:color w:val="000000" w:themeColor="text1"/>
          <w:highlight w:val="none"/>
          <w:u w:val="single"/>
          <w14:textFill>
            <w14:solidFill>
              <w14:schemeClr w14:val="tx1"/>
            </w14:solidFill>
          </w14:textFill>
        </w:rPr>
        <w:t xml:space="preserve"> </w:t>
      </w:r>
      <w:permStart w:id="12" w:edGrp="everyone"/>
      <w:r>
        <w:rPr>
          <w:rFonts w:hint="eastAsia" w:ascii="仿宋_GB2312" w:hAnsi="仿宋_GB2312" w:eastAsia="仿宋_GB2312" w:cs="仿宋_GB2312"/>
          <w:color w:val="000000" w:themeColor="text1"/>
          <w:highlight w:val="none"/>
          <w:u w:val="single"/>
          <w:lang w:val="en-US" w:eastAsia="zh-CN"/>
          <w14:textFill>
            <w14:solidFill>
              <w14:schemeClr w14:val="tx1"/>
            </w14:solidFill>
          </w14:textFill>
        </w:rPr>
        <w:t xml:space="preserve">       </w:t>
      </w:r>
      <w:permEnd w:id="12"/>
      <w:r>
        <w:rPr>
          <w:rFonts w:hint="eastAsia" w:ascii="仿宋_GB2312" w:hAnsi="仿宋_GB2312" w:eastAsia="仿宋_GB2312" w:cs="仿宋_GB2312"/>
          <w:color w:val="000000" w:themeColor="text1"/>
          <w:highlight w:val="none"/>
          <w14:textFill>
            <w14:solidFill>
              <w14:schemeClr w14:val="tx1"/>
            </w14:solidFill>
          </w14:textFill>
        </w:rPr>
        <w:t>中对应标号混凝土</w:t>
      </w:r>
      <w:r>
        <w:rPr>
          <w:rFonts w:hint="eastAsia" w:ascii="仿宋_GB2312" w:hAnsi="仿宋_GB2312" w:eastAsia="仿宋_GB2312" w:cs="仿宋_GB2312"/>
          <w:color w:val="000000" w:themeColor="text1"/>
          <w:highlight w:val="none"/>
          <w:u w:val="single"/>
          <w14:textFill>
            <w14:solidFill>
              <w14:schemeClr w14:val="tx1"/>
            </w14:solidFill>
          </w14:textFill>
        </w:rPr>
        <w:t xml:space="preserve"> </w:t>
      </w:r>
      <w:permStart w:id="13" w:edGrp="everyone"/>
      <w:r>
        <w:rPr>
          <w:rFonts w:hint="eastAsia" w:ascii="仿宋_GB2312" w:hAnsi="仿宋_GB2312" w:eastAsia="仿宋_GB2312" w:cs="仿宋_GB2312"/>
          <w:color w:val="000000" w:themeColor="text1"/>
          <w:highlight w:val="none"/>
          <w:u w:val="single"/>
          <w:lang w:val="en-US" w:eastAsia="zh-CN"/>
          <w14:textFill>
            <w14:solidFill>
              <w14:schemeClr w14:val="tx1"/>
            </w14:solidFill>
          </w14:textFill>
        </w:rPr>
        <w:t xml:space="preserve">      </w:t>
      </w:r>
      <w:permEnd w:id="13"/>
      <w:r>
        <w:rPr>
          <w:rFonts w:hint="eastAsia" w:ascii="仿宋_GB2312" w:hAnsi="仿宋_GB2312" w:eastAsia="仿宋_GB2312" w:cs="仿宋_GB2312"/>
          <w:color w:val="000000" w:themeColor="text1"/>
          <w:highlight w:val="none"/>
          <w14:textFill>
            <w14:solidFill>
              <w14:schemeClr w14:val="tx1"/>
            </w14:solidFill>
          </w14:textFill>
        </w:rPr>
        <w:t>作为结算单价，</w:t>
      </w:r>
      <w:permStart w:id="14" w:edGrp="everyone"/>
      <w:r>
        <w:rPr>
          <w:rFonts w:hint="eastAsia" w:ascii="仿宋_GB2312" w:hAnsi="仿宋_GB2312" w:eastAsia="仿宋_GB2312" w:cs="仿宋_GB2312"/>
          <w:color w:val="000000" w:themeColor="text1"/>
          <w:highlight w:val="none"/>
          <w:lang w:val="en-US" w:eastAsia="zh-CN"/>
          <w14:textFill>
            <w14:solidFill>
              <w14:schemeClr w14:val="tx1"/>
            </w14:solidFill>
          </w14:textFill>
        </w:rPr>
        <w:t xml:space="preserve">        </w:t>
      </w:r>
      <w:permEnd w:id="14"/>
      <w:r>
        <w:rPr>
          <w:rFonts w:hint="eastAsia" w:ascii="仿宋_GB2312" w:hAnsi="仿宋_GB2312" w:eastAsia="仿宋_GB2312" w:cs="仿宋_GB2312"/>
          <w:color w:val="000000" w:themeColor="text1"/>
          <w:highlight w:val="none"/>
          <w14:textFill>
            <w14:solidFill>
              <w14:schemeClr w14:val="tx1"/>
            </w14:solidFill>
          </w14:textFill>
        </w:rPr>
        <w:t>。特殊加价部份是在同标号商品砼基础上加对应的单价。</w:t>
      </w:r>
    </w:p>
    <w:p w14:paraId="44FA224C">
      <w:pPr>
        <w:pStyle w:val="19"/>
        <w:spacing w:line="400" w:lineRule="atLeast"/>
        <w:ind w:firstLine="482" w:firstLineChars="200"/>
        <w:rPr>
          <w:rFonts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1.3.2单价包干内容：</w:t>
      </w:r>
      <w:r>
        <w:rPr>
          <w:rFonts w:hint="eastAsia" w:ascii="仿宋_GB2312" w:hAnsi="仿宋_GB2312" w:eastAsia="仿宋_GB2312" w:cs="仿宋_GB2312"/>
          <w:b/>
          <w:bCs/>
          <w:color w:val="000000" w:themeColor="text1"/>
          <w:highlight w:val="none"/>
          <w:u w:val="single"/>
          <w14:textFill>
            <w14:solidFill>
              <w14:schemeClr w14:val="tx1"/>
            </w14:solidFill>
          </w14:textFill>
        </w:rPr>
        <w:t>不含增值税综合单价为物资运至工地的单价包括</w:t>
      </w:r>
      <w:r>
        <w:rPr>
          <w:rFonts w:hint="eastAsia" w:ascii="仿宋_GB2312" w:hAnsi="仿宋_GB2312" w:eastAsia="仿宋_GB2312" w:cs="仿宋_GB2312"/>
          <w:b/>
          <w:bCs/>
          <w:color w:val="000000" w:themeColor="text1"/>
          <w:highlight w:val="none"/>
          <w:u w:val="single"/>
          <w:lang w:val="en-US" w:eastAsia="zh-CN"/>
          <w14:textFill>
            <w14:solidFill>
              <w14:schemeClr w14:val="tx1"/>
            </w14:solidFill>
          </w14:textFill>
        </w:rPr>
        <w:t>但不限于</w:t>
      </w:r>
      <w:r>
        <w:rPr>
          <w:rFonts w:hint="eastAsia" w:ascii="仿宋_GB2312" w:hAnsi="仿宋_GB2312" w:eastAsia="仿宋_GB2312" w:cs="仿宋_GB2312"/>
          <w:b/>
          <w:bCs/>
          <w:color w:val="000000" w:themeColor="text1"/>
          <w:highlight w:val="none"/>
          <w:u w:val="single"/>
          <w14:textFill>
            <w14:solidFill>
              <w14:schemeClr w14:val="tx1"/>
            </w14:solidFill>
          </w14:textFill>
        </w:rPr>
        <w:t>材料费、泵送费、通泵洗泵用水（热水）费、卸货前损耗费、用于工程前所需进行的检验试验费、卸货前保管费（如有）、、税金、包装费、上车人力及机械资费（由乙方自行协调，甲方只进行指定场地和材料验收工作）、出库费、出厂检测费（包括但不限于到场后的第三方检测费用）</w:t>
      </w:r>
      <w:r>
        <w:rPr>
          <w:rFonts w:hint="eastAsia" w:ascii="仿宋_GB2312" w:hAnsi="仿宋_GB2312" w:eastAsia="仿宋_GB2312" w:cs="仿宋_GB2312"/>
          <w:b/>
          <w:bCs/>
          <w:color w:val="000000" w:themeColor="text1"/>
          <w:highlight w:val="none"/>
          <w:u w:val="single"/>
          <w:lang w:eastAsia="zh-CN"/>
          <w14:textFill>
            <w14:solidFill>
              <w14:schemeClr w14:val="tx1"/>
            </w14:solidFill>
          </w14:textFill>
        </w:rPr>
        <w:t>、码放费、现场倒运费用、保险费、仓储费、驻厂监造费、运输造成的道路污染的清理及维修费用、</w:t>
      </w:r>
      <w:r>
        <w:rPr>
          <w:rFonts w:hint="eastAsia" w:ascii="仿宋_GB2312" w:hAnsi="仿宋_GB2312" w:eastAsia="仿宋_GB2312" w:cs="仿宋_GB2312"/>
          <w:b/>
          <w:bCs/>
          <w:color w:val="000000" w:themeColor="text1"/>
          <w:highlight w:val="none"/>
          <w:u w:val="single"/>
          <w14:textFill>
            <w14:solidFill>
              <w14:schemeClr w14:val="tx1"/>
            </w14:solidFill>
          </w14:textFill>
        </w:rPr>
        <w:t>出库吊装费、运输费、过江过桥费、高速公路费等，含工地卸货费挂钩卸车人工费</w:t>
      </w:r>
      <w:r>
        <w:rPr>
          <w:rFonts w:hint="eastAsia" w:ascii="仿宋_GB2312" w:hAnsi="仿宋_GB2312" w:eastAsia="仿宋_GB2312" w:cs="仿宋_GB2312"/>
          <w:b/>
          <w:bCs/>
          <w:color w:val="000000" w:themeColor="text1"/>
          <w:highlight w:val="none"/>
          <w:u w:val="single"/>
          <w:lang w:eastAsia="zh-CN"/>
          <w14:textFill>
            <w14:solidFill>
              <w14:schemeClr w14:val="tx1"/>
            </w14:solidFill>
          </w14:textFill>
        </w:rPr>
        <w:t>、</w:t>
      </w:r>
      <w:r>
        <w:rPr>
          <w:rFonts w:hint="eastAsia" w:ascii="仿宋_GB2312" w:hAnsi="仿宋_GB2312" w:eastAsia="仿宋_GB2312" w:cs="仿宋_GB2312"/>
          <w:b/>
          <w:bCs/>
          <w:color w:val="000000" w:themeColor="text1"/>
          <w:highlight w:val="none"/>
          <w:u w:val="single"/>
          <w:lang w:val="en-US" w:eastAsia="zh-CN"/>
          <w14:textFill>
            <w14:solidFill>
              <w14:schemeClr w14:val="tx1"/>
            </w14:solidFill>
          </w14:textFill>
        </w:rPr>
        <w:t>资料费、财务费、机械设备费、生产加工费、电费、水费、场地建设费、场地使用费、环境保护费、人工费、维修费、配合比设计及验证费、安全文明施工费、食宿费、措施费、</w:t>
      </w:r>
      <w:r>
        <w:rPr>
          <w:rFonts w:hint="eastAsia" w:ascii="仿宋_GB2312" w:hAnsi="仿宋_GB2312" w:eastAsia="仿宋_GB2312" w:cs="仿宋_GB2312"/>
          <w:b/>
          <w:bCs/>
          <w:color w:val="000000" w:themeColor="text1"/>
          <w:highlight w:val="none"/>
          <w:u w:val="single"/>
          <w14:textFill>
            <w14:solidFill>
              <w14:schemeClr w14:val="tx1"/>
            </w14:solidFill>
          </w14:textFill>
        </w:rPr>
        <w:t>乙方合理的利润、管理费、市场价格波动带来的风险、向有关部门缴纳的各项费用以及政策性文件所规定的各项应有费用等乙方履行本合同规定义务的全部价款与费税</w:t>
      </w:r>
      <w:r>
        <w:rPr>
          <w:rFonts w:hint="eastAsia" w:ascii="仿宋_GB2312" w:hAnsi="仿宋_GB2312" w:eastAsia="仿宋_GB2312" w:cs="仿宋_GB2312"/>
          <w:b/>
          <w:bCs/>
          <w:color w:val="000000" w:themeColor="text1"/>
          <w:highlight w:val="none"/>
          <w:u w:val="single"/>
          <w:lang w:val="en-US" w:eastAsia="zh-CN"/>
          <w14:textFill>
            <w14:solidFill>
              <w14:schemeClr w14:val="tx1"/>
            </w14:solidFill>
          </w14:textFill>
        </w:rPr>
        <w:t>等一切费用</w:t>
      </w:r>
      <w:r>
        <w:rPr>
          <w:rFonts w:hint="eastAsia" w:ascii="仿宋_GB2312" w:hAnsi="仿宋_GB2312" w:eastAsia="仿宋_GB2312" w:cs="仿宋_GB2312"/>
          <w:b/>
          <w:bCs/>
          <w:color w:val="000000" w:themeColor="text1"/>
          <w:highlight w:val="none"/>
          <w:u w:val="single"/>
          <w14:textFill>
            <w14:solidFill>
              <w14:schemeClr w14:val="tx1"/>
            </w14:solidFill>
          </w14:textFill>
        </w:rPr>
        <w:t>，除本合同规定的因素外，不得因政府政策变动、市场环境改变、增值税以外其他税费税率调整等而调整。除合同条款另有约定外，乙方在合同签订前和签订时已确定采用的专利、专有技术、技术秘密的使用费已包含在签约合同价中。</w:t>
      </w:r>
    </w:p>
    <w:p w14:paraId="6BB259C5">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1.4其他：</w:t>
      </w:r>
      <w:permStart w:id="15" w:edGrp="everyone"/>
      <w:r>
        <w:rPr>
          <w:rFonts w:hint="eastAsia" w:ascii="仿宋_GB2312" w:hAnsi="仿宋_GB2312" w:eastAsia="仿宋_GB2312" w:cs="仿宋_GB2312"/>
          <w:b/>
          <w:bCs/>
          <w:color w:val="000000" w:themeColor="text1"/>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highlight w:val="none"/>
          <w:u w:val="single"/>
          <w14:textFill>
            <w14:solidFill>
              <w14:schemeClr w14:val="tx1"/>
            </w14:solidFill>
          </w14:textFill>
        </w:rPr>
        <w:t xml:space="preserve">/                  </w:t>
      </w:r>
      <w:permEnd w:id="15"/>
      <w:r>
        <w:rPr>
          <w:rFonts w:hint="eastAsia" w:ascii="仿宋_GB2312" w:hAnsi="仿宋_GB2312" w:eastAsia="仿宋_GB2312" w:cs="仿宋_GB2312"/>
          <w:color w:val="000000" w:themeColor="text1"/>
          <w:highlight w:val="none"/>
          <w14:textFill>
            <w14:solidFill>
              <w14:schemeClr w14:val="tx1"/>
            </w14:solidFill>
          </w14:textFill>
        </w:rPr>
        <w:t>。</w:t>
      </w:r>
    </w:p>
    <w:p w14:paraId="506FDEF6">
      <w:pPr>
        <w:pStyle w:val="19"/>
        <w:numPr>
          <w:ilvl w:val="0"/>
          <w:numId w:val="2"/>
        </w:numPr>
        <w:spacing w:line="400" w:lineRule="atLeast"/>
        <w:ind w:firstLine="482" w:firstLineChars="200"/>
        <w:rPr>
          <w:rFonts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 xml:space="preserve">合同工程量： </w:t>
      </w:r>
    </w:p>
    <w:p w14:paraId="7E3847D4">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2.1本合同中约定货物工程量为暂定数量；甲乙双方最终结算数量以甲方最终签收的实际数量，并依据合同约定扣除不合格产品、损失等费用后的书面结算数额为准，</w:t>
      </w:r>
      <w:r>
        <w:rPr>
          <w:rFonts w:hint="eastAsia" w:ascii="仿宋_GB2312" w:hAnsi="仿宋_GB2312" w:eastAsia="仿宋_GB2312" w:cs="仿宋_GB2312"/>
          <w:b/>
          <w:bCs/>
          <w:color w:val="000000" w:themeColor="text1"/>
          <w:highlight w:val="none"/>
          <w14:textFill>
            <w14:solidFill>
              <w14:schemeClr w14:val="tx1"/>
            </w14:solidFill>
          </w14:textFill>
        </w:rPr>
        <w:t>乙方不得以合同暂定数量或合同暂定总金额为依据要求甲方支付任何款项，否则按合同所约定的第二部分第二条违约条款承担违约责任</w:t>
      </w:r>
      <w:r>
        <w:rPr>
          <w:rFonts w:hint="eastAsia" w:ascii="仿宋_GB2312" w:hAnsi="仿宋_GB2312" w:eastAsia="仿宋_GB2312" w:cs="仿宋_GB2312"/>
          <w:color w:val="000000" w:themeColor="text1"/>
          <w:highlight w:val="none"/>
          <w14:textFill>
            <w14:solidFill>
              <w14:schemeClr w14:val="tx1"/>
            </w14:solidFill>
          </w14:textFill>
        </w:rPr>
        <w:t>。</w:t>
      </w:r>
    </w:p>
    <w:p w14:paraId="16884A29">
      <w:pPr>
        <w:pStyle w:val="19"/>
        <w:numPr>
          <w:ilvl w:val="0"/>
          <w:numId w:val="1"/>
        </w:numPr>
        <w:spacing w:before="120" w:beforeLines="50" w:after="120" w:afterLines="50" w:line="400" w:lineRule="atLeast"/>
        <w:ind w:firstLine="482" w:firstLineChars="200"/>
        <w:outlineLvl w:val="0"/>
        <w:rPr>
          <w:rFonts w:ascii="仿宋_GB2312" w:hAnsi="仿宋_GB2312" w:eastAsia="仿宋_GB2312" w:cs="仿宋_GB2312"/>
          <w:b/>
          <w:bCs/>
          <w:color w:val="000000" w:themeColor="text1"/>
          <w:highlight w:val="none"/>
          <w14:textFill>
            <w14:solidFill>
              <w14:schemeClr w14:val="tx1"/>
            </w14:solidFill>
          </w14:textFill>
        </w:rPr>
      </w:pPr>
      <w:bookmarkStart w:id="6" w:name="_Toc16980"/>
      <w:r>
        <w:rPr>
          <w:rFonts w:hint="eastAsia" w:ascii="仿宋_GB2312" w:hAnsi="仿宋_GB2312" w:eastAsia="仿宋_GB2312" w:cs="仿宋_GB2312"/>
          <w:b/>
          <w:bCs/>
          <w:color w:val="000000" w:themeColor="text1"/>
          <w:highlight w:val="none"/>
          <w14:textFill>
            <w14:solidFill>
              <w14:schemeClr w14:val="tx1"/>
            </w14:solidFill>
          </w14:textFill>
        </w:rPr>
        <w:t>货物供应</w:t>
      </w:r>
      <w:bookmarkEnd w:id="6"/>
    </w:p>
    <w:p w14:paraId="29E87AF8">
      <w:pPr>
        <w:pStyle w:val="19"/>
        <w:spacing w:line="400" w:lineRule="atLeast"/>
        <w:ind w:firstLine="482"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1、交货方式：</w:t>
      </w:r>
      <w:r>
        <w:rPr>
          <w:rFonts w:hint="eastAsia" w:ascii="仿宋_GB2312" w:hAnsi="仿宋_GB2312" w:eastAsia="仿宋_GB2312" w:cs="仿宋_GB2312"/>
          <w:color w:val="000000" w:themeColor="text1"/>
          <w:highlight w:val="none"/>
          <w14:textFill>
            <w14:solidFill>
              <w14:schemeClr w14:val="tx1"/>
            </w14:solidFill>
          </w14:textFill>
        </w:rPr>
        <w:t>双方协商一致，执行第</w:t>
      </w:r>
      <w:permStart w:id="16" w:edGrp="everyone"/>
      <w:r>
        <w:rPr>
          <w:rFonts w:hint="eastAsia" w:ascii="仿宋_GB2312" w:hAnsi="仿宋_GB2312" w:eastAsia="仿宋_GB2312" w:cs="仿宋_GB2312"/>
          <w:color w:val="000000" w:themeColor="text1"/>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highlight w:val="none"/>
          <w:u w:val="single"/>
          <w:lang w:val="en-US" w:eastAsia="zh-CN"/>
          <w14:textFill>
            <w14:solidFill>
              <w14:schemeClr w14:val="tx1"/>
            </w14:solidFill>
          </w14:textFill>
        </w:rPr>
        <w:t>2</w:t>
      </w:r>
      <w:r>
        <w:rPr>
          <w:rFonts w:hint="eastAsia" w:ascii="仿宋_GB2312" w:hAnsi="仿宋_GB2312" w:eastAsia="仿宋_GB2312" w:cs="仿宋_GB2312"/>
          <w:color w:val="000000" w:themeColor="text1"/>
          <w:highlight w:val="none"/>
          <w:u w:val="single"/>
          <w14:textFill>
            <w14:solidFill>
              <w14:schemeClr w14:val="tx1"/>
            </w14:solidFill>
          </w14:textFill>
        </w:rPr>
        <w:t xml:space="preserve"> </w:t>
      </w:r>
      <w:permEnd w:id="16"/>
      <w:r>
        <w:rPr>
          <w:rFonts w:hint="eastAsia" w:ascii="仿宋_GB2312" w:hAnsi="仿宋_GB2312" w:eastAsia="仿宋_GB2312" w:cs="仿宋_GB2312"/>
          <w:color w:val="000000" w:themeColor="text1"/>
          <w:highlight w:val="none"/>
          <w14:textFill>
            <w14:solidFill>
              <w14:schemeClr w14:val="tx1"/>
            </w14:solidFill>
          </w14:textFill>
        </w:rPr>
        <w:t>种交货方式；</w:t>
      </w:r>
    </w:p>
    <w:p w14:paraId="78F66019">
      <w:pPr>
        <w:pStyle w:val="19"/>
        <w:spacing w:line="400" w:lineRule="atLeast"/>
        <w:ind w:firstLine="482"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1.1送货卸车：</w:t>
      </w:r>
      <w:r>
        <w:rPr>
          <w:rFonts w:hint="eastAsia" w:ascii="仿宋_GB2312" w:hAnsi="仿宋_GB2312" w:eastAsia="仿宋_GB2312" w:cs="仿宋_GB2312"/>
          <w:color w:val="000000" w:themeColor="text1"/>
          <w:highlight w:val="none"/>
          <w14:textFill>
            <w14:solidFill>
              <w14:schemeClr w14:val="tx1"/>
            </w14:solidFill>
          </w14:textFill>
        </w:rPr>
        <w:t>乙方送货至甲方指定地点；合同综合单价已含卸车费用，卸车工作由乙方负责，若由甲方负责卸车，发生的相应费用结算款中扣除。</w:t>
      </w:r>
    </w:p>
    <w:p w14:paraId="530B69B7">
      <w:pPr>
        <w:pStyle w:val="19"/>
        <w:spacing w:line="400" w:lineRule="atLeast"/>
        <w:ind w:firstLine="482" w:firstLineChars="200"/>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1.2送货不卸车：</w:t>
      </w:r>
      <w:r>
        <w:rPr>
          <w:rFonts w:hint="eastAsia" w:ascii="仿宋_GB2312" w:hAnsi="仿宋_GB2312" w:eastAsia="仿宋_GB2312" w:cs="仿宋_GB2312"/>
          <w:color w:val="000000" w:themeColor="text1"/>
          <w:highlight w:val="none"/>
          <w14:textFill>
            <w14:solidFill>
              <w14:schemeClr w14:val="tx1"/>
            </w14:solidFill>
          </w14:textFill>
        </w:rPr>
        <w:t>合同综合单价不含卸车费用，卸车工作由甲方组织。</w:t>
      </w:r>
    </w:p>
    <w:p w14:paraId="744FB378">
      <w:pPr>
        <w:pStyle w:val="19"/>
        <w:spacing w:line="400" w:lineRule="atLeast"/>
        <w:ind w:firstLine="480" w:firstLineChars="200"/>
        <w:rPr>
          <w:rFonts w:hint="default" w:ascii="仿宋_GB2312" w:hAnsi="仿宋_GB2312" w:eastAsia="仿宋_GB2312" w:cs="仿宋_GB2312"/>
          <w:color w:val="000000" w:themeColor="text1"/>
          <w:highlight w:val="none"/>
          <w:u w:val="single"/>
          <w:lang w:val="en-US" w:eastAsia="zh-CN"/>
          <w14:textFill>
            <w14:solidFill>
              <w14:schemeClr w14:val="tx1"/>
            </w14:solidFill>
          </w14:textFill>
        </w:rPr>
      </w:pPr>
      <w:r>
        <w:rPr>
          <w:rFonts w:hint="eastAsia" w:ascii="仿宋_GB2312" w:hAnsi="仿宋_GB2312" w:eastAsia="仿宋_GB2312" w:cs="仿宋_GB2312"/>
          <w:color w:val="000000" w:themeColor="text1"/>
          <w:highlight w:val="none"/>
          <w:lang w:val="en-US" w:eastAsia="zh-CN"/>
          <w14:textFill>
            <w14:solidFill>
              <w14:schemeClr w14:val="tx1"/>
            </w14:solidFill>
          </w14:textFill>
        </w:rPr>
        <w:t>1.3其他：</w:t>
      </w:r>
      <w:permStart w:id="17" w:edGrp="everyone"/>
      <w:r>
        <w:rPr>
          <w:rFonts w:hint="eastAsia" w:ascii="仿宋_GB2312" w:hAnsi="仿宋_GB2312" w:eastAsia="仿宋_GB2312" w:cs="仿宋_GB2312"/>
          <w:color w:val="000000" w:themeColor="text1"/>
          <w:highlight w:val="none"/>
          <w:u w:val="single"/>
          <w:lang w:val="en-US" w:eastAsia="zh-CN"/>
          <w14:textFill>
            <w14:solidFill>
              <w14:schemeClr w14:val="tx1"/>
            </w14:solidFill>
          </w14:textFill>
        </w:rPr>
        <w:t xml:space="preserve">        </w:t>
      </w:r>
    </w:p>
    <w:permEnd w:id="17"/>
    <w:p w14:paraId="50640360">
      <w:pPr>
        <w:pStyle w:val="19"/>
        <w:spacing w:line="400" w:lineRule="atLeast"/>
        <w:ind w:firstLine="482" w:firstLineChars="200"/>
        <w:jc w:val="both"/>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2、交货时间：</w:t>
      </w:r>
      <w:r>
        <w:rPr>
          <w:rFonts w:hint="eastAsia" w:ascii="仿宋_GB2312" w:hAnsi="仿宋_GB2312" w:eastAsia="仿宋_GB2312" w:cs="仿宋_GB2312"/>
          <w:color w:val="000000" w:themeColor="text1"/>
          <w:highlight w:val="none"/>
          <w14:textFill>
            <w14:solidFill>
              <w14:schemeClr w14:val="tx1"/>
            </w14:solidFill>
          </w14:textFill>
        </w:rPr>
        <w:t>甲方施工现场材料负责人提前</w:t>
      </w:r>
      <w:permStart w:id="18" w:edGrp="everyone"/>
      <w:r>
        <w:rPr>
          <w:rFonts w:hint="eastAsia" w:ascii="仿宋_GB2312" w:hAnsi="仿宋_GB2312" w:eastAsia="仿宋_GB2312" w:cs="仿宋_GB2312"/>
          <w:color w:val="000000" w:themeColor="text1"/>
          <w:highlight w:val="none"/>
          <w:u w:val="single"/>
          <w:lang w:val="en-US" w:eastAsia="zh-CN"/>
          <w14:textFill>
            <w14:solidFill>
              <w14:schemeClr w14:val="tx1"/>
            </w14:solidFill>
          </w14:textFill>
        </w:rPr>
        <w:t>1</w:t>
      </w:r>
      <w:permEnd w:id="18"/>
      <w:r>
        <w:rPr>
          <w:rFonts w:hint="eastAsia" w:ascii="仿宋_GB2312" w:hAnsi="仿宋_GB2312" w:eastAsia="仿宋_GB2312" w:cs="仿宋_GB2312"/>
          <w:color w:val="000000" w:themeColor="text1"/>
          <w:highlight w:val="none"/>
          <w14:textFill>
            <w14:solidFill>
              <w14:schemeClr w14:val="tx1"/>
            </w14:solidFill>
          </w14:textFill>
        </w:rPr>
        <w:t>天向乙方提供每批次的需用计划（云筑网订单、计划联系函、电子邮件等），乙方根据甲方所提供的需用计划及时将货物配送至甲方指定堆场。</w:t>
      </w:r>
      <w:r>
        <w:rPr>
          <w:rFonts w:hint="eastAsia" w:ascii="仿宋_GB2312" w:hAnsi="仿宋_GB2312" w:eastAsia="仿宋_GB2312" w:cs="仿宋_GB2312"/>
          <w:b/>
          <w:bCs/>
          <w:color w:val="000000" w:themeColor="text1"/>
          <w:highlight w:val="none"/>
          <w14:textFill>
            <w14:solidFill>
              <w14:schemeClr w14:val="tx1"/>
            </w14:solidFill>
          </w14:textFill>
        </w:rPr>
        <w:t>乙方延期供货次数不超过2次，否则乙方按照第二部分第二条违约条款承担相应违约责任。乙方不得因甲方更改需用计划及要求乙方延期交货而向甲方提出索赔。根据工程项目施工需要，甲方对所采购物资的数量和送货时间如有变更，及时书面通知乙方，乙方按变更后的数量和送货时间供货，新增或减少的物资价格不变。</w:t>
      </w:r>
      <w:r>
        <w:rPr>
          <w:rFonts w:hint="eastAsia" w:ascii="仿宋_GB2312" w:hAnsi="仿宋_GB2312" w:eastAsia="仿宋_GB2312" w:cs="仿宋_GB2312"/>
          <w:color w:val="000000" w:themeColor="text1"/>
          <w:highlight w:val="none"/>
          <w14:textFill>
            <w14:solidFill>
              <w14:schemeClr w14:val="tx1"/>
            </w14:solidFill>
          </w14:textFill>
        </w:rPr>
        <w:t>乙方承诺供应甲方零星混凝土，满足现场生产建设需求。乙方保证混凝土连续浇筑，间隔时间不能超过</w:t>
      </w:r>
      <w:permStart w:id="19" w:edGrp="everyone"/>
      <w:r>
        <w:rPr>
          <w:rFonts w:hint="eastAsia" w:ascii="仿宋_GB2312" w:hAnsi="仿宋_GB2312" w:eastAsia="仿宋_GB2312" w:cs="仿宋_GB2312"/>
          <w:color w:val="000000" w:themeColor="text1"/>
          <w:highlight w:val="none"/>
          <w:u w:val="single"/>
          <w14:textFill>
            <w14:solidFill>
              <w14:schemeClr w14:val="tx1"/>
            </w14:solidFill>
          </w14:textFill>
        </w:rPr>
        <w:t xml:space="preserve">  </w:t>
      </w:r>
      <w:permEnd w:id="19"/>
      <w:r>
        <w:rPr>
          <w:rFonts w:hint="eastAsia" w:ascii="仿宋_GB2312" w:hAnsi="仿宋_GB2312" w:eastAsia="仿宋_GB2312" w:cs="仿宋_GB2312"/>
          <w:color w:val="000000" w:themeColor="text1"/>
          <w:highlight w:val="none"/>
          <w14:textFill>
            <w14:solidFill>
              <w14:schemeClr w14:val="tx1"/>
            </w14:solidFill>
          </w14:textFill>
        </w:rPr>
        <w:t>小时。如因乙方原因造成混凝土冷缝等质量问题，乙方承担由此导致的拆除、返工、修复及业主处罚损失等相关费用。</w:t>
      </w:r>
    </w:p>
    <w:p w14:paraId="16F3C6F7">
      <w:pPr>
        <w:pStyle w:val="19"/>
        <w:spacing w:line="400" w:lineRule="atLeast"/>
        <w:ind w:firstLine="482"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3、乙方实际货物生产地点：</w:t>
      </w:r>
      <w:permStart w:id="20" w:edGrp="everyone"/>
      <w:r>
        <w:rPr>
          <w:rFonts w:hint="eastAsia" w:ascii="仿宋_GB2312" w:hAnsi="仿宋_GB2312" w:eastAsia="仿宋_GB2312" w:cs="仿宋_GB2312"/>
          <w:b/>
          <w:bCs/>
          <w:color w:val="000000" w:themeColor="text1"/>
          <w:highlight w:val="none"/>
          <w:u w:val="single"/>
          <w14:textFill>
            <w14:solidFill>
              <w14:schemeClr w14:val="tx1"/>
            </w14:solidFill>
          </w14:textFill>
        </w:rPr>
        <w:t xml:space="preserve">     </w:t>
      </w:r>
      <w:r>
        <w:rPr>
          <w:rFonts w:ascii="仿宋_GB2312" w:hAnsi="仿宋_GB2312" w:eastAsia="仿宋_GB2312" w:cs="仿宋_GB2312"/>
          <w:b/>
          <w:bCs/>
          <w:color w:val="000000" w:themeColor="text1"/>
          <w:highlight w:val="none"/>
          <w:u w:val="single"/>
          <w14:textFill>
            <w14:solidFill>
              <w14:schemeClr w14:val="tx1"/>
            </w14:solidFill>
          </w14:textFill>
        </w:rPr>
        <w:t xml:space="preserve"> </w:t>
      </w:r>
      <w:r>
        <w:rPr>
          <w:rFonts w:hint="eastAsia" w:ascii="仿宋_GB2312" w:hAnsi="仿宋_GB2312" w:eastAsia="仿宋_GB2312" w:cs="仿宋_GB2312"/>
          <w:b/>
          <w:bCs/>
          <w:color w:val="000000" w:themeColor="text1"/>
          <w:highlight w:val="none"/>
          <w:u w:val="single"/>
          <w14:textFill>
            <w14:solidFill>
              <w14:schemeClr w14:val="tx1"/>
            </w14:solidFill>
          </w14:textFill>
        </w:rPr>
        <w:t xml:space="preserve">      </w:t>
      </w:r>
      <w:permEnd w:id="20"/>
      <w:r>
        <w:rPr>
          <w:rFonts w:hint="eastAsia" w:ascii="仿宋_GB2312" w:hAnsi="仿宋_GB2312" w:eastAsia="仿宋_GB2312" w:cs="仿宋_GB2312"/>
          <w:b/>
          <w:bCs/>
          <w:color w:val="000000" w:themeColor="text1"/>
          <w:highlight w:val="none"/>
          <w14:textFill>
            <w14:solidFill>
              <w14:schemeClr w14:val="tx1"/>
            </w14:solidFill>
          </w14:textFill>
        </w:rPr>
        <w:t>货物送达地点：</w:t>
      </w:r>
      <w:permStart w:id="21" w:edGrp="everyone"/>
      <w:r>
        <w:rPr>
          <w:rFonts w:hint="eastAsia" w:ascii="仿宋_GB2312" w:hAnsi="仿宋_GB2312" w:eastAsia="仿宋_GB2312" w:cs="仿宋_GB2312"/>
          <w:b/>
          <w:bCs/>
          <w:color w:val="000000" w:themeColor="text1"/>
          <w:highlight w:val="none"/>
          <w:u w:val="single"/>
          <w:lang w:val="en-US" w:eastAsia="zh-CN"/>
          <w14:textFill>
            <w14:solidFill>
              <w14:schemeClr w14:val="tx1"/>
            </w14:solidFill>
          </w14:textFill>
        </w:rPr>
        <w:t>兴坪项目部施工现场</w:t>
      </w:r>
      <w:permEnd w:id="21"/>
      <w:r>
        <w:rPr>
          <w:rFonts w:hint="eastAsia" w:ascii="仿宋_GB2312" w:hAnsi="仿宋_GB2312" w:eastAsia="仿宋_GB2312" w:cs="仿宋_GB2312"/>
          <w:b/>
          <w:bCs/>
          <w:color w:val="000000" w:themeColor="text1"/>
          <w:highlight w:val="none"/>
          <w14:textFill>
            <w14:solidFill>
              <w14:schemeClr w14:val="tx1"/>
            </w14:solidFill>
          </w14:textFill>
        </w:rPr>
        <w:t>。</w:t>
      </w:r>
    </w:p>
    <w:p w14:paraId="1AF157AD">
      <w:pPr>
        <w:pStyle w:val="19"/>
        <w:spacing w:line="400" w:lineRule="atLeast"/>
        <w:ind w:firstLine="482" w:firstLineChars="200"/>
        <w:rPr>
          <w:rFonts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4、交货内容：</w:t>
      </w:r>
      <w:r>
        <w:rPr>
          <w:rFonts w:hint="eastAsia" w:ascii="仿宋_GB2312" w:hAnsi="仿宋_GB2312" w:eastAsia="仿宋_GB2312" w:cs="仿宋_GB2312"/>
          <w:color w:val="000000" w:themeColor="text1"/>
          <w:highlight w:val="none"/>
          <w14:textFill>
            <w14:solidFill>
              <w14:schemeClr w14:val="tx1"/>
            </w14:solidFill>
          </w14:textFill>
        </w:rPr>
        <w:t>交货产品、配套产品及配套服务如下；</w:t>
      </w:r>
      <w:permStart w:id="22" w:edGrp="everyone"/>
      <w:r>
        <w:rPr>
          <w:rFonts w:hint="eastAsia" w:ascii="仿宋_GB2312" w:hAnsi="仿宋_GB2312" w:eastAsia="仿宋_GB2312" w:cs="仿宋_GB2312"/>
          <w:color w:val="000000" w:themeColor="text1"/>
          <w:highlight w:val="none"/>
          <w:u w:val="single"/>
          <w14:textFill>
            <w14:solidFill>
              <w14:schemeClr w14:val="tx1"/>
            </w14:solidFill>
          </w14:textFill>
        </w:rPr>
        <w:t xml:space="preserve">            </w:t>
      </w:r>
      <w:permEnd w:id="22"/>
      <w:r>
        <w:rPr>
          <w:rFonts w:hint="eastAsia" w:ascii="仿宋_GB2312" w:hAnsi="仿宋_GB2312" w:eastAsia="仿宋_GB2312" w:cs="仿宋_GB2312"/>
          <w:color w:val="000000" w:themeColor="text1"/>
          <w:highlight w:val="none"/>
          <w14:textFill>
            <w14:solidFill>
              <w14:schemeClr w14:val="tx1"/>
            </w14:solidFill>
          </w14:textFill>
        </w:rPr>
        <w:t>。</w:t>
      </w:r>
    </w:p>
    <w:p w14:paraId="2149E6FC">
      <w:pPr>
        <w:pStyle w:val="19"/>
        <w:spacing w:line="400" w:lineRule="atLeast"/>
        <w:ind w:firstLine="482" w:firstLineChars="200"/>
        <w:rPr>
          <w:rFonts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5、双方代表：</w:t>
      </w:r>
    </w:p>
    <w:p w14:paraId="066212F9">
      <w:pPr>
        <w:spacing w:line="400" w:lineRule="atLeast"/>
        <w:ind w:firstLine="480" w:firstLineChars="200"/>
        <w:rPr>
          <w:rFonts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甲方指定收货联系人：</w:t>
      </w:r>
      <w:permStart w:id="23" w:edGrp="everyone"/>
      <w:r>
        <w:rPr>
          <w:rFonts w:hint="eastAsia" w:ascii="仿宋_GB2312" w:hAnsi="仿宋_GB2312" w:eastAsia="仿宋_GB2312" w:cs="仿宋_GB2312"/>
          <w:color w:val="000000" w:themeColor="text1"/>
          <w:kern w:val="0"/>
          <w:sz w:val="24"/>
          <w:szCs w:val="24"/>
          <w:highlight w:val="none"/>
          <w:u w:val="single"/>
          <w:lang w:val="en-US" w:eastAsia="zh-CN"/>
          <w14:textFill>
            <w14:solidFill>
              <w14:schemeClr w14:val="tx1"/>
            </w14:solidFill>
          </w14:textFill>
        </w:rPr>
        <w:t>刘先生</w:t>
      </w:r>
      <w:permEnd w:id="23"/>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，电话：</w:t>
      </w:r>
      <w:permStart w:id="24" w:edGrp="everyone"/>
      <w:r>
        <w:rPr>
          <w:rFonts w:hint="eastAsia" w:ascii="仿宋_GB2312" w:hAnsi="仿宋_GB2312" w:eastAsia="仿宋_GB2312" w:cs="仿宋_GB2312"/>
          <w:color w:val="000000" w:themeColor="text1"/>
          <w:sz w:val="24"/>
          <w:szCs w:val="24"/>
          <w:highlight w:val="none"/>
          <w:u w:val="single"/>
          <w:lang w:val="en-US" w:eastAsia="zh-CN"/>
          <w14:textFill>
            <w14:solidFill>
              <w14:schemeClr w14:val="tx1"/>
            </w14:solidFill>
          </w14:textFill>
        </w:rPr>
        <w:t>13144551733</w:t>
      </w:r>
      <w:permEnd w:id="24"/>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，电子邮箱：</w:t>
      </w:r>
      <w:permStart w:id="25" w:edGrp="everyone"/>
      <w:r>
        <w:rPr>
          <w:rFonts w:hint="eastAsia" w:ascii="仿宋_GB2312" w:hAnsi="仿宋_GB2312" w:eastAsia="仿宋_GB2312" w:cs="仿宋_GB2312"/>
          <w:color w:val="000000" w:themeColor="text1"/>
          <w:sz w:val="24"/>
          <w:szCs w:val="24"/>
          <w:highlight w:val="none"/>
          <w:u w:val="single"/>
          <w:lang w:val="en-US" w:eastAsia="zh-CN"/>
          <w14:textFill>
            <w14:solidFill>
              <w14:schemeClr w14:val="tx1"/>
            </w14:solidFill>
          </w14:textFill>
        </w:rPr>
        <w:t>103291001@qq.com</w:t>
      </w:r>
      <w:permEnd w:id="25"/>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w:t>
      </w:r>
    </w:p>
    <w:p w14:paraId="6AD5689F">
      <w:pPr>
        <w:spacing w:line="400" w:lineRule="atLeast"/>
        <w:ind w:firstLine="480" w:firstLineChars="200"/>
        <w:rPr>
          <w:rFonts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乙方指定发货联系人：</w:t>
      </w:r>
      <w:permStart w:id="26" w:edGrp="everyone"/>
      <w:r>
        <w:rPr>
          <w:rFonts w:hint="eastAsia" w:ascii="仿宋_GB2312" w:hAnsi="仿宋_GB2312" w:eastAsia="仿宋_GB2312" w:cs="仿宋_GB2312"/>
          <w:color w:val="000000" w:themeColor="text1"/>
          <w:kern w:val="0"/>
          <w:sz w:val="24"/>
          <w:szCs w:val="24"/>
          <w:highlight w:val="none"/>
          <w:u w:val="single"/>
          <w14:textFill>
            <w14:solidFill>
              <w14:schemeClr w14:val="tx1"/>
            </w14:solidFill>
          </w14:textFill>
        </w:rPr>
        <w:t xml:space="preserve">     </w:t>
      </w:r>
      <w:permEnd w:id="26"/>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，电话：</w:t>
      </w:r>
      <w:permStart w:id="27" w:edGrp="everyone"/>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 xml:space="preserve">     </w:t>
      </w:r>
      <w:permEnd w:id="27"/>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，电子邮箱：</w:t>
      </w:r>
      <w:permStart w:id="28" w:edGrp="everyone"/>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 xml:space="preserve">    </w:t>
      </w:r>
      <w:permEnd w:id="28"/>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w:t>
      </w:r>
    </w:p>
    <w:p w14:paraId="1AFE7239">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bookmarkStart w:id="7" w:name="_Hlk126833838"/>
      <w:r>
        <w:rPr>
          <w:rFonts w:hint="eastAsia" w:ascii="仿宋_GB2312" w:hAnsi="仿宋_GB2312" w:eastAsia="仿宋_GB2312" w:cs="仿宋_GB2312"/>
          <w:color w:val="000000" w:themeColor="text1"/>
          <w:highlight w:val="none"/>
          <w14:textFill>
            <w14:solidFill>
              <w14:schemeClr w14:val="tx1"/>
            </w14:solidFill>
          </w14:textFill>
        </w:rPr>
        <w:t>合同双方更换代表时应及时书面通知对方，保证货物交接顺利。</w:t>
      </w:r>
      <w:r>
        <w:rPr>
          <w:rFonts w:hint="eastAsia" w:ascii="仿宋_GB2312" w:hAnsi="仿宋_GB2312" w:eastAsia="仿宋_GB2312" w:cs="仿宋_GB2312"/>
          <w:b/>
          <w:bCs/>
          <w:color w:val="000000" w:themeColor="text1"/>
          <w:highlight w:val="none"/>
          <w14:textFill>
            <w14:solidFill>
              <w14:schemeClr w14:val="tx1"/>
            </w14:solidFill>
          </w14:textFill>
        </w:rPr>
        <w:t>甲方已明确要求与指定发货联系人交接，若乙方实际发货为非指定联系人，视为乙方对实际发货人授权委托，当批次供货完成后7个工作日内乙方应为该实际发货人向甲方补充出具书面授权委托书，并承担本合同项下的义务和责任。</w:t>
      </w:r>
      <w:r>
        <w:rPr>
          <w:rFonts w:hint="eastAsia" w:ascii="仿宋_GB2312" w:hAnsi="仿宋_GB2312" w:eastAsia="仿宋_GB2312" w:cs="仿宋_GB2312"/>
          <w:color w:val="000000" w:themeColor="text1"/>
          <w:highlight w:val="none"/>
          <w14:textFill>
            <w14:solidFill>
              <w14:schemeClr w14:val="tx1"/>
            </w14:solidFill>
          </w14:textFill>
        </w:rPr>
        <w:t>为避免货物供应争议，甲方保留拒绝乙方非指定联系人供货的权利，由此产生的费用由乙方承担。甲乙双方授权内容详见附件一、附件二</w:t>
      </w:r>
      <w:bookmarkEnd w:id="7"/>
      <w:r>
        <w:rPr>
          <w:rFonts w:hint="eastAsia" w:ascii="仿宋_GB2312" w:hAnsi="仿宋_GB2312" w:eastAsia="仿宋_GB2312" w:cs="仿宋_GB2312"/>
          <w:color w:val="000000" w:themeColor="text1"/>
          <w:highlight w:val="none"/>
          <w14:textFill>
            <w14:solidFill>
              <w14:schemeClr w14:val="tx1"/>
            </w14:solidFill>
          </w14:textFill>
        </w:rPr>
        <w:t>。</w:t>
      </w:r>
    </w:p>
    <w:p w14:paraId="586375F0">
      <w:pPr>
        <w:pStyle w:val="19"/>
        <w:spacing w:line="400" w:lineRule="atLeast"/>
        <w:ind w:firstLine="482" w:firstLineChars="200"/>
        <w:rPr>
          <w:rFonts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6、运输要求：</w:t>
      </w:r>
      <w:r>
        <w:rPr>
          <w:rFonts w:hint="eastAsia" w:ascii="仿宋_GB2312" w:hAnsi="仿宋_GB2312" w:eastAsia="仿宋_GB2312" w:cs="仿宋_GB2312"/>
          <w:b/>
          <w:bCs/>
          <w:color w:val="000000" w:themeColor="text1"/>
          <w:highlight w:val="none"/>
          <w:lang w:eastAsia="zh-CN"/>
          <w14:textFill>
            <w14:solidFill>
              <w14:schemeClr w14:val="tx1"/>
            </w14:solidFill>
          </w14:textFill>
        </w:rPr>
        <w:t>（</w:t>
      </w:r>
      <w:r>
        <w:rPr>
          <w:rFonts w:hint="eastAsia" w:ascii="仿宋_GB2312" w:hAnsi="仿宋_GB2312" w:eastAsia="仿宋_GB2312" w:cs="仿宋_GB2312"/>
          <w:b/>
          <w:bCs/>
          <w:color w:val="000000" w:themeColor="text1"/>
          <w:highlight w:val="none"/>
          <w:lang w:val="en-US" w:eastAsia="zh-CN"/>
          <w14:textFill>
            <w14:solidFill>
              <w14:schemeClr w14:val="tx1"/>
            </w14:solidFill>
          </w14:textFill>
        </w:rPr>
        <w:t>本条款适用于乙方负责运输情形）</w:t>
      </w:r>
    </w:p>
    <w:p w14:paraId="772DEBA4">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6.1乙方须组织专用的运输工具将货物运至甲方指定的地点（工程所在地或甲方指定的其他地点），并应当和甲方共同协商，合理安排送货路线、停车地点。</w:t>
      </w:r>
    </w:p>
    <w:p w14:paraId="799EF94C">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6</w:t>
      </w:r>
      <w:r>
        <w:rPr>
          <w:rFonts w:ascii="仿宋_GB2312" w:hAnsi="仿宋_GB2312" w:eastAsia="仿宋_GB2312" w:cs="仿宋_GB2312"/>
          <w:color w:val="000000" w:themeColor="text1"/>
          <w:highlight w:val="none"/>
          <w14:textFill>
            <w14:solidFill>
              <w14:schemeClr w14:val="tx1"/>
            </w14:solidFill>
          </w14:textFill>
        </w:rPr>
        <w:t>.2</w:t>
      </w:r>
      <w:r>
        <w:rPr>
          <w:rFonts w:hint="eastAsia" w:ascii="仿宋_GB2312" w:hAnsi="仿宋_GB2312" w:eastAsia="仿宋_GB2312" w:cs="仿宋_GB2312"/>
          <w:color w:val="000000" w:themeColor="text1"/>
          <w:highlight w:val="none"/>
          <w14:textFill>
            <w14:solidFill>
              <w14:schemeClr w14:val="tx1"/>
            </w14:solidFill>
          </w14:textFill>
        </w:rPr>
        <w:t>运送过程中，运送车辆应保持产品拌和物的均匀性、和易性，不得产生离析、分层、泌水现象，否则将给予退回。</w:t>
      </w:r>
    </w:p>
    <w:p w14:paraId="45927E24">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6</w:t>
      </w:r>
      <w:r>
        <w:rPr>
          <w:rFonts w:ascii="仿宋_GB2312" w:hAnsi="仿宋_GB2312" w:eastAsia="仿宋_GB2312" w:cs="仿宋_GB2312"/>
          <w:color w:val="000000" w:themeColor="text1"/>
          <w:highlight w:val="none"/>
          <w14:textFill>
            <w14:solidFill>
              <w14:schemeClr w14:val="tx1"/>
            </w14:solidFill>
          </w14:textFill>
        </w:rPr>
        <w:t>.3</w:t>
      </w:r>
      <w:r>
        <w:rPr>
          <w:rFonts w:hint="eastAsia" w:ascii="仿宋_GB2312" w:hAnsi="仿宋_GB2312" w:eastAsia="仿宋_GB2312" w:cs="仿宋_GB2312"/>
          <w:color w:val="000000" w:themeColor="text1"/>
          <w:highlight w:val="none"/>
          <w14:textFill>
            <w14:solidFill>
              <w14:schemeClr w14:val="tx1"/>
            </w14:solidFill>
          </w14:textFill>
        </w:rPr>
        <w:t>产品从搅拌站到工地的运输计划要考虑到从产品搅拌开始到运送到工地的时间、工地的输送设备、气候条件等。车辆调度计划应考虑到浇筑场所运输和停留时间。产品从搅拌站卸出后到浇筑完毕的延续时间不得超过</w:t>
      </w:r>
      <w:permStart w:id="29" w:edGrp="everyone"/>
      <w:r>
        <w:rPr>
          <w:rFonts w:hint="eastAsia" w:ascii="仿宋_GB2312" w:hAnsi="仿宋_GB2312" w:eastAsia="仿宋_GB2312" w:cs="仿宋_GB2312"/>
          <w:color w:val="000000" w:themeColor="text1"/>
          <w:highlight w:val="none"/>
          <w:lang w:val="en-US" w:eastAsia="zh-CN"/>
          <w14:textFill>
            <w14:solidFill>
              <w14:schemeClr w14:val="tx1"/>
            </w14:solidFill>
          </w14:textFill>
        </w:rPr>
        <w:t>120</w:t>
      </w:r>
      <w:permEnd w:id="29"/>
      <w:r>
        <w:rPr>
          <w:rFonts w:hint="eastAsia" w:ascii="仿宋_GB2312" w:hAnsi="仿宋_GB2312" w:eastAsia="仿宋_GB2312" w:cs="仿宋_GB2312"/>
          <w:color w:val="000000" w:themeColor="text1"/>
          <w:highlight w:val="none"/>
          <w14:textFill>
            <w14:solidFill>
              <w14:schemeClr w14:val="tx1"/>
            </w14:solidFill>
          </w14:textFill>
        </w:rPr>
        <w:t>分钟，超过</w:t>
      </w:r>
      <w:permStart w:id="30" w:edGrp="everyone"/>
      <w:r>
        <w:rPr>
          <w:rFonts w:hint="eastAsia" w:ascii="仿宋_GB2312" w:hAnsi="仿宋_GB2312" w:eastAsia="仿宋_GB2312" w:cs="仿宋_GB2312"/>
          <w:color w:val="000000" w:themeColor="text1"/>
          <w:highlight w:val="none"/>
          <w14:textFill>
            <w14:solidFill>
              <w14:schemeClr w14:val="tx1"/>
            </w14:solidFill>
          </w14:textFill>
        </w:rPr>
        <w:t>1</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highlight w:val="none"/>
          <w14:textFill>
            <w14:solidFill>
              <w14:schemeClr w14:val="tx1"/>
            </w14:solidFill>
          </w14:textFill>
        </w:rPr>
        <w:t>0</w:t>
      </w:r>
      <w:permEnd w:id="30"/>
      <w:r>
        <w:rPr>
          <w:rFonts w:hint="eastAsia" w:ascii="仿宋_GB2312" w:hAnsi="仿宋_GB2312" w:eastAsia="仿宋_GB2312" w:cs="仿宋_GB2312"/>
          <w:color w:val="000000" w:themeColor="text1"/>
          <w:highlight w:val="none"/>
          <w14:textFill>
            <w14:solidFill>
              <w14:schemeClr w14:val="tx1"/>
            </w14:solidFill>
          </w14:textFill>
        </w:rPr>
        <w:t>分钟后不得使用，因</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乙</w:t>
      </w:r>
      <w:r>
        <w:rPr>
          <w:rFonts w:hint="eastAsia" w:ascii="仿宋_GB2312" w:hAnsi="仿宋_GB2312" w:eastAsia="仿宋_GB2312" w:cs="仿宋_GB2312"/>
          <w:color w:val="000000" w:themeColor="text1"/>
          <w:highlight w:val="none"/>
          <w14:textFill>
            <w14:solidFill>
              <w14:schemeClr w14:val="tx1"/>
            </w14:solidFill>
          </w14:textFill>
        </w:rPr>
        <w:t>方原因所造成损失由</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乙</w:t>
      </w:r>
      <w:r>
        <w:rPr>
          <w:rFonts w:hint="eastAsia" w:ascii="仿宋_GB2312" w:hAnsi="仿宋_GB2312" w:eastAsia="仿宋_GB2312" w:cs="仿宋_GB2312"/>
          <w:color w:val="000000" w:themeColor="text1"/>
          <w:highlight w:val="none"/>
          <w14:textFill>
            <w14:solidFill>
              <w14:schemeClr w14:val="tx1"/>
            </w14:solidFill>
          </w14:textFill>
        </w:rPr>
        <w:t>方承担。</w:t>
      </w:r>
    </w:p>
    <w:p w14:paraId="26C6AD5D">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6</w:t>
      </w:r>
      <w:r>
        <w:rPr>
          <w:rFonts w:ascii="仿宋_GB2312" w:hAnsi="仿宋_GB2312" w:eastAsia="仿宋_GB2312" w:cs="仿宋_GB2312"/>
          <w:color w:val="000000" w:themeColor="text1"/>
          <w:highlight w:val="none"/>
          <w14:textFill>
            <w14:solidFill>
              <w14:schemeClr w14:val="tx1"/>
            </w14:solidFill>
          </w14:textFill>
        </w:rPr>
        <w:t>.4</w:t>
      </w:r>
      <w:r>
        <w:rPr>
          <w:rFonts w:hint="eastAsia" w:ascii="仿宋_GB2312" w:hAnsi="仿宋_GB2312" w:eastAsia="仿宋_GB2312" w:cs="仿宋_GB2312"/>
          <w:color w:val="000000" w:themeColor="text1"/>
          <w:highlight w:val="none"/>
          <w14:textFill>
            <w14:solidFill>
              <w14:schemeClr w14:val="tx1"/>
            </w14:solidFill>
          </w14:textFill>
        </w:rPr>
        <w:t>运输产品的容器和管道在冬季应有保温措施，夏季气温超过35℃时，应有隔热措施。</w:t>
      </w:r>
    </w:p>
    <w:p w14:paraId="07F21EB6">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ascii="仿宋_GB2312" w:hAnsi="仿宋_GB2312" w:eastAsia="仿宋_GB2312" w:cs="仿宋_GB2312"/>
          <w:color w:val="000000" w:themeColor="text1"/>
          <w:highlight w:val="none"/>
          <w14:textFill>
            <w14:solidFill>
              <w14:schemeClr w14:val="tx1"/>
            </w14:solidFill>
          </w14:textFill>
        </w:rPr>
        <w:t>6.5</w:t>
      </w:r>
      <w:r>
        <w:rPr>
          <w:rFonts w:hint="eastAsia" w:ascii="仿宋_GB2312" w:hAnsi="仿宋_GB2312" w:eastAsia="仿宋_GB2312" w:cs="仿宋_GB2312"/>
          <w:color w:val="000000" w:themeColor="text1"/>
          <w:highlight w:val="none"/>
          <w14:textFill>
            <w14:solidFill>
              <w14:schemeClr w14:val="tx1"/>
            </w14:solidFill>
          </w14:textFill>
        </w:rPr>
        <w:t>不论何时何地均严禁加水，即：</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乙</w:t>
      </w:r>
      <w:r>
        <w:rPr>
          <w:rFonts w:hint="eastAsia" w:ascii="仿宋_GB2312" w:hAnsi="仿宋_GB2312" w:eastAsia="仿宋_GB2312" w:cs="仿宋_GB2312"/>
          <w:color w:val="000000" w:themeColor="text1"/>
          <w:highlight w:val="none"/>
          <w14:textFill>
            <w14:solidFill>
              <w14:schemeClr w14:val="tx1"/>
            </w14:solidFill>
          </w14:textFill>
        </w:rPr>
        <w:t>方司机及其他人员在运送产品过程中严禁加水，并且还应拒绝</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甲</w:t>
      </w:r>
      <w:r>
        <w:rPr>
          <w:rFonts w:hint="eastAsia" w:ascii="仿宋_GB2312" w:hAnsi="仿宋_GB2312" w:eastAsia="仿宋_GB2312" w:cs="仿宋_GB2312"/>
          <w:color w:val="000000" w:themeColor="text1"/>
          <w:highlight w:val="none"/>
          <w14:textFill>
            <w14:solidFill>
              <w14:schemeClr w14:val="tx1"/>
            </w14:solidFill>
          </w14:textFill>
        </w:rPr>
        <w:t>方操作人员可能因工作不便而自行加水，并且及时将情况报</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甲</w:t>
      </w:r>
      <w:r>
        <w:rPr>
          <w:rFonts w:hint="eastAsia" w:ascii="仿宋_GB2312" w:hAnsi="仿宋_GB2312" w:eastAsia="仿宋_GB2312" w:cs="仿宋_GB2312"/>
          <w:color w:val="000000" w:themeColor="text1"/>
          <w:highlight w:val="none"/>
          <w14:textFill>
            <w14:solidFill>
              <w14:schemeClr w14:val="tx1"/>
            </w14:solidFill>
          </w14:textFill>
        </w:rPr>
        <w:t>方工地负责人。</w:t>
      </w:r>
    </w:p>
    <w:p w14:paraId="0584F5B6">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ascii="仿宋_GB2312" w:hAnsi="仿宋_GB2312" w:eastAsia="仿宋_GB2312" w:cs="仿宋_GB2312"/>
          <w:color w:val="000000" w:themeColor="text1"/>
          <w:highlight w:val="none"/>
          <w14:textFill>
            <w14:solidFill>
              <w14:schemeClr w14:val="tx1"/>
            </w14:solidFill>
          </w14:textFill>
        </w:rPr>
        <w:t>6.6</w:t>
      </w:r>
      <w:r>
        <w:rPr>
          <w:rFonts w:hint="eastAsia" w:ascii="仿宋_GB2312" w:hAnsi="仿宋_GB2312" w:eastAsia="仿宋_GB2312" w:cs="仿宋_GB2312"/>
          <w:color w:val="000000" w:themeColor="text1"/>
          <w:highlight w:val="none"/>
          <w14:textFill>
            <w14:solidFill>
              <w14:schemeClr w14:val="tx1"/>
            </w14:solidFill>
          </w14:textFill>
        </w:rPr>
        <w:t>搅拌站与现场必须保持密切联系，现场必须派驻一名调度员和一名质量员，随时根据浇注进度及道路情况调整车辆密度，并根据实际情况适时调整运输车辆数量，确保现场混凝土浇注连续进行。因交通禁行时段无法连续浇筑时，</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乙</w:t>
      </w:r>
      <w:r>
        <w:rPr>
          <w:rFonts w:hint="eastAsia" w:ascii="仿宋_GB2312" w:hAnsi="仿宋_GB2312" w:eastAsia="仿宋_GB2312" w:cs="仿宋_GB2312"/>
          <w:color w:val="000000" w:themeColor="text1"/>
          <w:highlight w:val="none"/>
          <w14:textFill>
            <w14:solidFill>
              <w14:schemeClr w14:val="tx1"/>
            </w14:solidFill>
          </w14:textFill>
        </w:rPr>
        <w:t>方应采取技术措施或其它保证措施予以保障。</w:t>
      </w:r>
    </w:p>
    <w:p w14:paraId="1CAA12E6">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6</w:t>
      </w:r>
      <w:r>
        <w:rPr>
          <w:rFonts w:ascii="仿宋_GB2312" w:hAnsi="仿宋_GB2312" w:eastAsia="仿宋_GB2312" w:cs="仿宋_GB2312"/>
          <w:color w:val="000000" w:themeColor="text1"/>
          <w:highlight w:val="none"/>
          <w14:textFill>
            <w14:solidFill>
              <w14:schemeClr w14:val="tx1"/>
            </w14:solidFill>
          </w14:textFill>
        </w:rPr>
        <w:t>.7</w:t>
      </w:r>
      <w:r>
        <w:rPr>
          <w:rFonts w:hint="eastAsia" w:ascii="仿宋_GB2312" w:hAnsi="仿宋_GB2312" w:eastAsia="仿宋_GB2312" w:cs="仿宋_GB2312"/>
          <w:color w:val="000000" w:themeColor="text1"/>
          <w:highlight w:val="none"/>
          <w14:textFill>
            <w14:solidFill>
              <w14:schemeClr w14:val="tx1"/>
            </w14:solidFill>
          </w14:textFill>
        </w:rPr>
        <w:t>供货速度必须满足现场要求，大体积混凝土需连续浇注，混凝土运输罐车到达率必须满足买方提出的要求，满足</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甲</w:t>
      </w:r>
      <w:r>
        <w:rPr>
          <w:rFonts w:hint="eastAsia" w:ascii="仿宋_GB2312" w:hAnsi="仿宋_GB2312" w:eastAsia="仿宋_GB2312" w:cs="仿宋_GB2312"/>
          <w:color w:val="000000" w:themeColor="text1"/>
          <w:highlight w:val="none"/>
          <w14:textFill>
            <w14:solidFill>
              <w14:schemeClr w14:val="tx1"/>
            </w14:solidFill>
          </w14:textFill>
        </w:rPr>
        <w:t>方浇筑混凝土的速度要求。</w:t>
      </w:r>
    </w:p>
    <w:p w14:paraId="220E91FE">
      <w:pPr>
        <w:pStyle w:val="19"/>
        <w:spacing w:line="400" w:lineRule="atLeast"/>
        <w:ind w:firstLine="480" w:firstLineChars="200"/>
        <w:rPr>
          <w:rFonts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6.</w:t>
      </w:r>
      <w:r>
        <w:rPr>
          <w:rFonts w:ascii="仿宋_GB2312" w:hAnsi="仿宋_GB2312" w:eastAsia="仿宋_GB2312" w:cs="仿宋_GB2312"/>
          <w:color w:val="000000" w:themeColor="text1"/>
          <w:highlight w:val="none"/>
          <w14:textFill>
            <w14:solidFill>
              <w14:schemeClr w14:val="tx1"/>
            </w14:solidFill>
          </w14:textFill>
        </w:rPr>
        <w:t>8</w:t>
      </w:r>
      <w:r>
        <w:rPr>
          <w:rFonts w:hint="eastAsia" w:ascii="仿宋_GB2312" w:hAnsi="仿宋_GB2312" w:eastAsia="仿宋_GB2312" w:cs="仿宋_GB2312"/>
          <w:color w:val="000000" w:themeColor="text1"/>
          <w:highlight w:val="none"/>
          <w14:textFill>
            <w14:solidFill>
              <w14:schemeClr w14:val="tx1"/>
            </w14:solidFill>
          </w14:textFill>
        </w:rPr>
        <w:t>其他注意事项</w:t>
      </w:r>
      <w:r>
        <w:rPr>
          <w:rFonts w:hint="eastAsia" w:ascii="仿宋_GB2312" w:hAnsi="仿宋_GB2312" w:eastAsia="仿宋_GB2312" w:cs="仿宋_GB2312"/>
          <w:b/>
          <w:bCs/>
          <w:color w:val="000000" w:themeColor="text1"/>
          <w:highlight w:val="none"/>
          <w14:textFill>
            <w14:solidFill>
              <w14:schemeClr w14:val="tx1"/>
            </w14:solidFill>
          </w14:textFill>
        </w:rPr>
        <w:t>：</w:t>
      </w:r>
      <w:r>
        <w:rPr>
          <w:rFonts w:hint="eastAsia" w:ascii="仿宋_GB2312" w:hAnsi="仿宋_GB2312" w:eastAsia="仿宋_GB2312" w:cs="仿宋_GB2312"/>
          <w:color w:val="000000" w:themeColor="text1"/>
          <w:highlight w:val="none"/>
          <w14:textFill>
            <w14:solidFill>
              <w14:schemeClr w14:val="tx1"/>
            </w14:solidFill>
          </w14:textFill>
        </w:rPr>
        <w:t>乙方应自行勘察现场，熟悉施工现场位置和周围环境，货物运输过程中，要遵守工程所在地政府、建设单位及甲方有关道路交通、环保卫生等方面的规定。乙方负责与政府有关管理部门协调沟通，保障车辆在工程所在区域顺利通行至施工现场，并承担因违反有关规定造成的一切责任和经济损失，乙方保证甲方免予承担由此造成的任何法律责任，若甲方因此遭受到任何责任或损失，乙方需赔偿给甲方。</w:t>
      </w:r>
      <w:r>
        <w:rPr>
          <w:rFonts w:hint="eastAsia" w:ascii="仿宋_GB2312" w:hAnsi="仿宋_GB2312" w:eastAsia="仿宋_GB2312" w:cs="仿宋_GB2312"/>
          <w:b/>
          <w:bCs/>
          <w:color w:val="000000" w:themeColor="text1"/>
          <w:highlight w:val="none"/>
          <w14:textFill>
            <w14:solidFill>
              <w14:schemeClr w14:val="tx1"/>
            </w14:solidFill>
          </w14:textFill>
        </w:rPr>
        <w:t>乙方无法按甲方要求将产品送到指定地点卸货的，甲方有权不予验收，由此给甲方造成的损失由乙方承担。</w:t>
      </w:r>
    </w:p>
    <w:p w14:paraId="199AF1B8">
      <w:pPr>
        <w:pStyle w:val="19"/>
        <w:spacing w:line="400" w:lineRule="atLeast"/>
        <w:ind w:firstLine="480" w:firstLineChars="200"/>
        <w:rPr>
          <w:rFonts w:hint="eastAsia" w:ascii="仿宋_GB2312" w:hAnsi="仿宋_GB2312" w:eastAsia="仿宋_GB2312" w:cs="仿宋_GB2312"/>
          <w:b w:val="0"/>
          <w:bCs w:val="0"/>
          <w:color w:val="000000" w:themeColor="text1"/>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highlight w:val="none"/>
          <w:lang w:val="en-US" w:eastAsia="zh-CN"/>
          <w14:textFill>
            <w14:solidFill>
              <w14:schemeClr w14:val="tx1"/>
            </w14:solidFill>
          </w14:textFill>
        </w:rPr>
        <w:t>6.9货物的装车、运输、车辆返回全过程出现的安全事故或其它任何意外均由乙方承担责任。装车和运输途中的物资品质发生变化或丢失由乙方负责，由此造成的损失由乙方承担。</w:t>
      </w:r>
    </w:p>
    <w:p w14:paraId="1545AE79">
      <w:pPr>
        <w:pStyle w:val="19"/>
        <w:spacing w:line="400" w:lineRule="atLeast"/>
        <w:ind w:firstLine="480" w:firstLineChars="200"/>
        <w:rPr>
          <w:rFonts w:hint="eastAsia" w:ascii="仿宋_GB2312" w:hAnsi="仿宋_GB2312" w:eastAsia="仿宋_GB2312" w:cs="仿宋_GB2312"/>
          <w:b w:val="0"/>
          <w:bCs w:val="0"/>
          <w:color w:val="000000" w:themeColor="text1"/>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highlight w:val="none"/>
          <w:lang w:val="en-US" w:eastAsia="zh-CN"/>
          <w14:textFill>
            <w14:solidFill>
              <w14:schemeClr w14:val="tx1"/>
            </w14:solidFill>
          </w14:textFill>
        </w:rPr>
        <w:t>6.10乙方应对运输人员进行安全管理和安全教育，运输人员遵守交通法规。</w:t>
      </w:r>
    </w:p>
    <w:p w14:paraId="30A81102">
      <w:pPr>
        <w:pStyle w:val="19"/>
        <w:spacing w:line="400" w:lineRule="atLeast"/>
        <w:rPr>
          <w:rFonts w:hint="eastAsia" w:ascii="仿宋_GB2312" w:hAnsi="仿宋_GB2312" w:eastAsia="仿宋_GB2312" w:cs="仿宋_GB2312"/>
          <w:b w:val="0"/>
          <w:bCs w:val="0"/>
          <w:color w:val="000000" w:themeColor="text1"/>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highlight w:val="none"/>
          <w:lang w:val="en-US" w:eastAsia="zh-CN"/>
          <w14:textFill>
            <w14:solidFill>
              <w14:schemeClr w14:val="tx1"/>
            </w14:solidFill>
          </w14:textFill>
        </w:rPr>
        <w:t>应当给负责运送货物的车辆办理交强险及商业保险。如因运载车辆事故、卸货等</w:t>
      </w:r>
    </w:p>
    <w:p w14:paraId="2CF396A1">
      <w:pPr>
        <w:pStyle w:val="19"/>
        <w:spacing w:line="400" w:lineRule="atLeast"/>
        <w:rPr>
          <w:rFonts w:hint="eastAsia" w:ascii="仿宋_GB2312" w:hAnsi="仿宋_GB2312" w:eastAsia="仿宋_GB2312" w:cs="仿宋_GB2312"/>
          <w:b w:val="0"/>
          <w:bCs w:val="0"/>
          <w:color w:val="000000" w:themeColor="text1"/>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highlight w:val="none"/>
          <w:lang w:val="en-US" w:eastAsia="zh-CN"/>
          <w14:textFill>
            <w14:solidFill>
              <w14:schemeClr w14:val="tx1"/>
            </w14:solidFill>
          </w14:textFill>
        </w:rPr>
        <w:t>原因导致的乙方及任何第三方的人身伤害及经济损失均由乙方负责，并补偿甲方</w:t>
      </w:r>
    </w:p>
    <w:p w14:paraId="19E909DC">
      <w:pPr>
        <w:pStyle w:val="19"/>
        <w:spacing w:line="400" w:lineRule="atLeast"/>
        <w:rPr>
          <w:rFonts w:hint="eastAsia" w:ascii="仿宋_GB2312" w:hAnsi="仿宋_GB2312" w:eastAsia="仿宋_GB2312" w:cs="仿宋_GB2312"/>
          <w:b w:val="0"/>
          <w:bCs w:val="0"/>
          <w:color w:val="000000" w:themeColor="text1"/>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highlight w:val="none"/>
          <w:lang w:val="en-US" w:eastAsia="zh-CN"/>
          <w14:textFill>
            <w14:solidFill>
              <w14:schemeClr w14:val="tx1"/>
            </w14:solidFill>
          </w14:textFill>
        </w:rPr>
        <w:t>及其他方因此造成的损失。</w:t>
      </w:r>
    </w:p>
    <w:p w14:paraId="6E6B1709">
      <w:pPr>
        <w:pStyle w:val="19"/>
        <w:spacing w:line="400" w:lineRule="atLeast"/>
        <w:ind w:firstLine="480" w:firstLineChars="200"/>
        <w:rPr>
          <w:rFonts w:hint="eastAsia" w:ascii="仿宋_GB2312" w:hAnsi="仿宋_GB2312" w:eastAsia="仿宋_GB2312" w:cs="仿宋_GB2312"/>
          <w:b w:val="0"/>
          <w:bCs w:val="0"/>
          <w:color w:val="000000" w:themeColor="text1"/>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highlight w:val="none"/>
          <w:lang w:val="en-US" w:eastAsia="zh-CN"/>
          <w14:textFill>
            <w14:solidFill>
              <w14:schemeClr w14:val="tx1"/>
            </w14:solidFill>
          </w14:textFill>
        </w:rPr>
        <w:t>6.11乙方必须保证运输人员不得阻止现场验收人员进行质量检验，不得阻止到达甲方指定地点的运输车辆过磅，卸料时必须服从甲方现场管理人员的安排和指挥。不合格的物资必须在规定时间内无条件运走调换，否则按废弃物处理，损失由乙方承担。</w:t>
      </w:r>
    </w:p>
    <w:p w14:paraId="4C1CB57B">
      <w:pPr>
        <w:pStyle w:val="19"/>
        <w:spacing w:line="400" w:lineRule="atLeast"/>
        <w:ind w:firstLine="480" w:firstLineChars="200"/>
        <w:rPr>
          <w:rFonts w:hint="eastAsia" w:ascii="仿宋_GB2312" w:hAnsi="仿宋_GB2312" w:eastAsia="仿宋_GB2312" w:cs="仿宋_GB2312"/>
          <w:b w:val="0"/>
          <w:bCs w:val="0"/>
          <w:color w:val="000000" w:themeColor="text1"/>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highlight w:val="none"/>
          <w:lang w:val="en-US" w:eastAsia="zh-CN"/>
          <w14:textFill>
            <w14:solidFill>
              <w14:schemeClr w14:val="tx1"/>
            </w14:solidFill>
          </w14:textFill>
        </w:rPr>
        <w:t>6.12乙方不得利用遥控等科技手段控制磅秤增加物资重量，不得进行任何形式的弄虚作假行为。一经发现，甲方将按发现作弊或弄虚作假数量占本批次运输物资百分比扣除发现作弊日前物资进场总数量对应的货款，并交由公安机关处理。</w:t>
      </w:r>
    </w:p>
    <w:p w14:paraId="53DFF5E9">
      <w:pPr>
        <w:pStyle w:val="19"/>
        <w:spacing w:line="400" w:lineRule="atLeast"/>
        <w:ind w:firstLine="480" w:firstLineChars="200"/>
        <w:rPr>
          <w:rFonts w:hint="eastAsia" w:ascii="仿宋_GB2312" w:hAnsi="仿宋_GB2312" w:eastAsia="仿宋_GB2312" w:cs="仿宋_GB2312"/>
          <w:b w:val="0"/>
          <w:bCs w:val="0"/>
          <w:color w:val="000000" w:themeColor="text1"/>
          <w:highlight w:val="none"/>
          <w14:textFill>
            <w14:solidFill>
              <w14:schemeClr w14:val="tx1"/>
            </w14:solidFill>
          </w14:textFill>
        </w:rPr>
      </w:pPr>
      <w:r>
        <w:rPr>
          <w:rFonts w:hint="eastAsia" w:ascii="仿宋_GB2312" w:hAnsi="仿宋_GB2312" w:eastAsia="仿宋_GB2312" w:cs="仿宋_GB2312"/>
          <w:b w:val="0"/>
          <w:bCs w:val="0"/>
          <w:color w:val="000000" w:themeColor="text1"/>
          <w:highlight w:val="none"/>
          <w:lang w:val="en-US" w:eastAsia="zh-CN"/>
          <w14:textFill>
            <w14:solidFill>
              <w14:schemeClr w14:val="tx1"/>
            </w14:solidFill>
          </w14:textFill>
        </w:rPr>
        <w:t>6.13</w:t>
      </w:r>
      <w:r>
        <w:rPr>
          <w:rFonts w:hint="eastAsia" w:ascii="仿宋_GB2312" w:hAnsi="仿宋_GB2312" w:eastAsia="仿宋_GB2312" w:cs="仿宋_GB2312"/>
          <w:b w:val="0"/>
          <w:bCs w:val="0"/>
          <w:color w:val="000000" w:themeColor="text1"/>
          <w:highlight w:val="none"/>
          <w14:textFill>
            <w14:solidFill>
              <w14:schemeClr w14:val="tx1"/>
            </w14:solidFill>
          </w14:textFill>
        </w:rPr>
        <w:t>乙方保证在运输和卸货过程中应采取相应的环保措施，符合国家环保要求。车辆在进入项目现场要保证不沾泥土和脏物，车辆出入项目现场必须在项目大门内现场洗车。乙方在卸货过程中保证噪声白天小于或等于</w:t>
      </w:r>
      <w:r>
        <w:rPr>
          <w:rFonts w:hint="eastAsia" w:ascii="仿宋_GB2312" w:hAnsi="仿宋_GB2312" w:eastAsia="仿宋_GB2312" w:cs="仿宋_GB2312"/>
          <w:color w:val="000000" w:themeColor="text1"/>
          <w:kern w:val="0"/>
          <w:sz w:val="24"/>
          <w:szCs w:val="24"/>
          <w:highlight w:val="none"/>
          <w:u w:val="none"/>
          <w:lang w:val="en-US" w:eastAsia="zh-CN"/>
          <w14:textFill>
            <w14:solidFill>
              <w14:schemeClr w14:val="tx1"/>
            </w14:solidFill>
          </w14:textFill>
        </w:rPr>
        <w:t>85</w:t>
      </w:r>
      <w:r>
        <w:rPr>
          <w:rFonts w:hint="eastAsia" w:ascii="仿宋_GB2312" w:hAnsi="仿宋_GB2312" w:eastAsia="仿宋_GB2312" w:cs="仿宋_GB2312"/>
          <w:b w:val="0"/>
          <w:bCs w:val="0"/>
          <w:color w:val="000000" w:themeColor="text1"/>
          <w:highlight w:val="none"/>
          <w14:textFill>
            <w14:solidFill>
              <w14:schemeClr w14:val="tx1"/>
            </w14:solidFill>
          </w14:textFill>
        </w:rPr>
        <w:t>dB、夜间小于或等于</w:t>
      </w:r>
      <w:r>
        <w:rPr>
          <w:rFonts w:hint="eastAsia" w:ascii="仿宋_GB2312" w:hAnsi="仿宋_GB2312" w:eastAsia="仿宋_GB2312" w:cs="仿宋_GB2312"/>
          <w:color w:val="000000" w:themeColor="text1"/>
          <w:kern w:val="0"/>
          <w:sz w:val="24"/>
          <w:szCs w:val="24"/>
          <w:highlight w:val="none"/>
          <w:u w:val="none"/>
          <w:lang w:val="en-US" w:eastAsia="zh-CN"/>
          <w14:textFill>
            <w14:solidFill>
              <w14:schemeClr w14:val="tx1"/>
            </w14:solidFill>
          </w14:textFill>
        </w:rPr>
        <w:t>55</w:t>
      </w:r>
      <w:r>
        <w:rPr>
          <w:rFonts w:hint="eastAsia" w:ascii="仿宋_GB2312" w:hAnsi="仿宋_GB2312" w:eastAsia="仿宋_GB2312" w:cs="仿宋_GB2312"/>
          <w:b w:val="0"/>
          <w:bCs w:val="0"/>
          <w:color w:val="000000" w:themeColor="text1"/>
          <w:highlight w:val="none"/>
          <w14:textFill>
            <w14:solidFill>
              <w14:schemeClr w14:val="tx1"/>
            </w14:solidFill>
          </w14:textFill>
        </w:rPr>
        <w:t>dB。乙方保证乙方人员以及车辆进入本工地现场，应遵守现场的一切卫生环保、文明施工的规定，因违反环保要求所造成的一切罚款由乙方承担。</w:t>
      </w:r>
    </w:p>
    <w:p w14:paraId="2FD42B0B">
      <w:pPr>
        <w:pStyle w:val="19"/>
        <w:spacing w:line="400" w:lineRule="atLeast"/>
        <w:ind w:firstLine="482" w:firstLineChars="200"/>
        <w:rPr>
          <w:rFonts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7、货物包装：</w:t>
      </w:r>
    </w:p>
    <w:p w14:paraId="0CAC0460">
      <w:pPr>
        <w:spacing w:line="400" w:lineRule="atLeast"/>
        <w:ind w:firstLine="482" w:firstLineChars="200"/>
        <w:jc w:val="left"/>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14:textFill>
            <w14:solidFill>
              <w14:schemeClr w14:val="tx1"/>
            </w14:solidFill>
          </w14:textFill>
        </w:rPr>
        <w:t>7.1包装标准：</w:t>
      </w:r>
      <w:r>
        <w:rPr>
          <w:rFonts w:hint="eastAsia" w:ascii="仿宋_GB2312" w:hAnsi="仿宋_GB2312" w:eastAsia="仿宋_GB2312" w:cs="仿宋_GB2312"/>
          <w:color w:val="000000" w:themeColor="text1"/>
          <w:sz w:val="24"/>
          <w:szCs w:val="24"/>
          <w:highlight w:val="none"/>
          <w14:textFill>
            <w14:solidFill>
              <w14:schemeClr w14:val="tx1"/>
            </w14:solidFill>
          </w14:textFill>
        </w:rPr>
        <w:t>乙方按照国家或业务主管部门的技术规定执行（标准代号、标准编号及标准名称为</w:t>
      </w:r>
      <w:permStart w:id="31" w:edGrp="everyone"/>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 xml:space="preserve">    /  </w:t>
      </w:r>
      <w:permEnd w:id="31"/>
      <w:r>
        <w:rPr>
          <w:rFonts w:hint="eastAsia" w:ascii="仿宋_GB2312" w:hAnsi="仿宋_GB2312" w:eastAsia="仿宋_GB2312" w:cs="仿宋_GB2312"/>
          <w:color w:val="000000" w:themeColor="text1"/>
          <w:sz w:val="24"/>
          <w:szCs w:val="24"/>
          <w:highlight w:val="none"/>
          <w14:textFill>
            <w14:solidFill>
              <w14:schemeClr w14:val="tx1"/>
            </w14:solidFill>
          </w14:textFill>
        </w:rPr>
        <w:t>）；没有上述标准的，或虽有上述标准，但甲方对包装有特殊要求，按如下约定执行：</w:t>
      </w:r>
      <w:permStart w:id="32" w:edGrp="everyone"/>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 xml:space="preserve">    / </w:t>
      </w:r>
      <w:permEnd w:id="32"/>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p w14:paraId="0F52AAC2">
      <w:pPr>
        <w:pStyle w:val="19"/>
        <w:spacing w:line="400" w:lineRule="atLeast"/>
        <w:ind w:firstLine="482"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7.2包装回收：</w:t>
      </w:r>
      <w:r>
        <w:rPr>
          <w:rFonts w:hint="eastAsia" w:ascii="仿宋_GB2312" w:hAnsi="仿宋_GB2312" w:eastAsia="仿宋_GB2312" w:cs="仿宋_GB2312"/>
          <w:color w:val="000000" w:themeColor="text1"/>
          <w:highlight w:val="none"/>
          <w:u w:val="single"/>
          <w14:textFill>
            <w14:solidFill>
              <w14:schemeClr w14:val="tx1"/>
            </w14:solidFill>
          </w14:textFill>
        </w:rPr>
        <w:t>乙方无特别注明视为无包装物回收，有包装物回收时乙方应在收到甲方通知7天内完成包装回收。</w:t>
      </w:r>
    </w:p>
    <w:p w14:paraId="34E4441B">
      <w:pPr>
        <w:pStyle w:val="19"/>
        <w:spacing w:line="400" w:lineRule="atLeast"/>
        <w:ind w:firstLine="482"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8、安装要求：</w:t>
      </w:r>
      <w:r>
        <w:rPr>
          <w:rFonts w:hint="eastAsia" w:ascii="仿宋_GB2312" w:hAnsi="仿宋_GB2312" w:eastAsia="仿宋_GB2312" w:cs="仿宋_GB2312"/>
          <w:color w:val="000000" w:themeColor="text1"/>
          <w:highlight w:val="none"/>
          <w14:textFill>
            <w14:solidFill>
              <w14:schemeClr w14:val="tx1"/>
            </w14:solidFill>
          </w14:textFill>
        </w:rPr>
        <w:t>若货物附带安装工作内容，单价已综合考虑不另计价，具体安装内容及要求如下：</w:t>
      </w:r>
      <w:permStart w:id="33" w:edGrp="everyone"/>
      <w:r>
        <w:rPr>
          <w:rFonts w:hint="eastAsia" w:ascii="仿宋_GB2312" w:hAnsi="仿宋_GB2312" w:eastAsia="仿宋_GB2312" w:cs="仿宋_GB2312"/>
          <w:color w:val="000000" w:themeColor="text1"/>
          <w:highlight w:val="none"/>
          <w:u w:val="single"/>
          <w14:textFill>
            <w14:solidFill>
              <w14:schemeClr w14:val="tx1"/>
            </w14:solidFill>
          </w14:textFill>
        </w:rPr>
        <w:t xml:space="preserve">   /   </w:t>
      </w:r>
      <w:permEnd w:id="33"/>
      <w:r>
        <w:rPr>
          <w:rFonts w:hint="eastAsia" w:ascii="仿宋_GB2312" w:hAnsi="仿宋_GB2312" w:eastAsia="仿宋_GB2312" w:cs="仿宋_GB2312"/>
          <w:color w:val="000000" w:themeColor="text1"/>
          <w:highlight w:val="none"/>
          <w14:textFill>
            <w14:solidFill>
              <w14:schemeClr w14:val="tx1"/>
            </w14:solidFill>
          </w14:textFill>
        </w:rPr>
        <w:t>。</w:t>
      </w:r>
    </w:p>
    <w:p w14:paraId="1D3A5187">
      <w:pPr>
        <w:pStyle w:val="19"/>
        <w:spacing w:line="400" w:lineRule="atLeast"/>
        <w:ind w:firstLine="482"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9、货物意外灭失风险：</w:t>
      </w:r>
      <w:r>
        <w:rPr>
          <w:rFonts w:hint="eastAsia" w:ascii="仿宋_GB2312" w:hAnsi="仿宋_GB2312" w:eastAsia="仿宋_GB2312" w:cs="仿宋_GB2312"/>
          <w:color w:val="000000" w:themeColor="text1"/>
          <w:highlight w:val="none"/>
          <w14:textFill>
            <w14:solidFill>
              <w14:schemeClr w14:val="tx1"/>
            </w14:solidFill>
          </w14:textFill>
        </w:rPr>
        <w:t>乙方须负责货物正式交货前的安全、保卫、防火、防盗工作，包括运输途中、装货中的人身和货物的安全，在正式交货前，包括运输途中、装货中如有人身伤害或货物受损失均由乙方负责。货物直至乙方送交甲方指定的交货地点，完成上述条款事项，经甲方验收合格入库，并办理验收手续后，该货物的毁损、灭失的风险方由乙方转移至甲方。</w:t>
      </w:r>
    </w:p>
    <w:p w14:paraId="28247D0E">
      <w:pPr>
        <w:pStyle w:val="19"/>
        <w:spacing w:line="400" w:lineRule="atLeast"/>
        <w:ind w:firstLine="482"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1</w:t>
      </w:r>
      <w:r>
        <w:rPr>
          <w:rFonts w:ascii="仿宋_GB2312" w:hAnsi="仿宋_GB2312" w:eastAsia="仿宋_GB2312" w:cs="仿宋_GB2312"/>
          <w:b/>
          <w:bCs/>
          <w:color w:val="000000" w:themeColor="text1"/>
          <w:highlight w:val="none"/>
          <w14:textFill>
            <w14:solidFill>
              <w14:schemeClr w14:val="tx1"/>
            </w14:solidFill>
          </w14:textFill>
        </w:rPr>
        <w:t>0</w:t>
      </w:r>
      <w:r>
        <w:rPr>
          <w:rFonts w:hint="eastAsia" w:ascii="仿宋_GB2312" w:hAnsi="仿宋_GB2312" w:eastAsia="仿宋_GB2312" w:cs="仿宋_GB2312"/>
          <w:color w:val="000000" w:themeColor="text1"/>
          <w:highlight w:val="none"/>
          <w14:textFill>
            <w14:solidFill>
              <w14:schemeClr w14:val="tx1"/>
            </w14:solidFill>
          </w14:textFill>
        </w:rPr>
        <w:t>、</w:t>
      </w:r>
      <w:r>
        <w:rPr>
          <w:rFonts w:hint="eastAsia" w:ascii="仿宋_GB2312" w:hAnsi="仿宋_GB2312" w:eastAsia="仿宋_GB2312" w:cs="仿宋_GB2312"/>
          <w:b/>
          <w:bCs/>
          <w:color w:val="000000" w:themeColor="text1"/>
          <w:highlight w:val="none"/>
          <w14:textFill>
            <w14:solidFill>
              <w14:schemeClr w14:val="tx1"/>
            </w14:solidFill>
          </w14:textFill>
        </w:rPr>
        <w:t>技术交底</w:t>
      </w:r>
      <w:r>
        <w:rPr>
          <w:rFonts w:hint="eastAsia" w:ascii="仿宋_GB2312" w:hAnsi="仿宋_GB2312" w:eastAsia="仿宋_GB2312" w:cs="仿宋_GB2312"/>
          <w:color w:val="000000" w:themeColor="text1"/>
          <w:highlight w:val="none"/>
          <w14:textFill>
            <w14:solidFill>
              <w14:schemeClr w14:val="tx1"/>
            </w14:solidFill>
          </w14:textFill>
        </w:rPr>
        <w:t>：在浇注大量或关键部位的混凝土时，</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乙</w:t>
      </w:r>
      <w:r>
        <w:rPr>
          <w:rFonts w:hint="eastAsia" w:ascii="仿宋_GB2312" w:hAnsi="仿宋_GB2312" w:eastAsia="仿宋_GB2312" w:cs="仿宋_GB2312"/>
          <w:color w:val="000000" w:themeColor="text1"/>
          <w:highlight w:val="none"/>
          <w14:textFill>
            <w14:solidFill>
              <w14:schemeClr w14:val="tx1"/>
            </w14:solidFill>
          </w14:textFill>
        </w:rPr>
        <w:t>方须派专人到现场协助解决混凝土的供应。</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乙</w:t>
      </w:r>
      <w:r>
        <w:rPr>
          <w:rFonts w:hint="eastAsia" w:ascii="仿宋_GB2312" w:hAnsi="仿宋_GB2312" w:eastAsia="仿宋_GB2312" w:cs="仿宋_GB2312"/>
          <w:color w:val="000000" w:themeColor="text1"/>
          <w:highlight w:val="none"/>
          <w14:textFill>
            <w14:solidFill>
              <w14:schemeClr w14:val="tx1"/>
            </w14:solidFill>
          </w14:textFill>
        </w:rPr>
        <w:t>方应提供大体积混凝土施工的技术咨询及服务，并针对其配合比和混凝土特性在施工前向</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甲</w:t>
      </w:r>
      <w:r>
        <w:rPr>
          <w:rFonts w:hint="eastAsia" w:ascii="仿宋_GB2312" w:hAnsi="仿宋_GB2312" w:eastAsia="仿宋_GB2312" w:cs="仿宋_GB2312"/>
          <w:color w:val="000000" w:themeColor="text1"/>
          <w:highlight w:val="none"/>
          <w14:textFill>
            <w14:solidFill>
              <w14:schemeClr w14:val="tx1"/>
            </w14:solidFill>
          </w14:textFill>
        </w:rPr>
        <w:t>方作详细的书面技术交底，并对其负责。首次或特殊混凝土浇筑前，</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乙</w:t>
      </w:r>
      <w:r>
        <w:rPr>
          <w:rFonts w:hint="eastAsia" w:ascii="仿宋_GB2312" w:hAnsi="仿宋_GB2312" w:eastAsia="仿宋_GB2312" w:cs="仿宋_GB2312"/>
          <w:color w:val="000000" w:themeColor="text1"/>
          <w:highlight w:val="none"/>
          <w14:textFill>
            <w14:solidFill>
              <w14:schemeClr w14:val="tx1"/>
            </w14:solidFill>
          </w14:textFill>
        </w:rPr>
        <w:t>方对项目部进行专项技术交底，明确使用要求，特殊混凝土浇筑时，</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乙</w:t>
      </w:r>
      <w:r>
        <w:rPr>
          <w:rFonts w:hint="eastAsia" w:ascii="仿宋_GB2312" w:hAnsi="仿宋_GB2312" w:eastAsia="仿宋_GB2312" w:cs="仿宋_GB2312"/>
          <w:color w:val="000000" w:themeColor="text1"/>
          <w:highlight w:val="none"/>
          <w14:textFill>
            <w14:solidFill>
              <w14:schemeClr w14:val="tx1"/>
            </w14:solidFill>
          </w14:textFill>
        </w:rPr>
        <w:t>方应派驻专业人员开展现场指导。</w:t>
      </w:r>
    </w:p>
    <w:p w14:paraId="67DFE213">
      <w:pPr>
        <w:pStyle w:val="19"/>
        <w:numPr>
          <w:ilvl w:val="0"/>
          <w:numId w:val="1"/>
        </w:numPr>
        <w:spacing w:before="120" w:beforeLines="50" w:after="120" w:afterLines="50" w:line="400" w:lineRule="atLeast"/>
        <w:ind w:firstLine="482" w:firstLineChars="200"/>
        <w:outlineLvl w:val="0"/>
        <w:rPr>
          <w:rFonts w:ascii="仿宋_GB2312" w:hAnsi="仿宋_GB2312" w:eastAsia="仿宋_GB2312" w:cs="仿宋_GB2312"/>
          <w:b/>
          <w:bCs/>
          <w:color w:val="000000" w:themeColor="text1"/>
          <w:highlight w:val="none"/>
          <w14:textFill>
            <w14:solidFill>
              <w14:schemeClr w14:val="tx1"/>
            </w14:solidFill>
          </w14:textFill>
        </w:rPr>
      </w:pPr>
      <w:bookmarkStart w:id="8" w:name="_Toc22420"/>
      <w:r>
        <w:rPr>
          <w:rFonts w:hint="eastAsia" w:ascii="仿宋_GB2312" w:hAnsi="仿宋_GB2312" w:eastAsia="仿宋_GB2312" w:cs="仿宋_GB2312"/>
          <w:b/>
          <w:bCs/>
          <w:color w:val="000000" w:themeColor="text1"/>
          <w:highlight w:val="none"/>
          <w14:textFill>
            <w14:solidFill>
              <w14:schemeClr w14:val="tx1"/>
            </w14:solidFill>
          </w14:textFill>
        </w:rPr>
        <w:t>货物质量</w:t>
      </w:r>
      <w:bookmarkEnd w:id="8"/>
    </w:p>
    <w:p w14:paraId="2799CF33">
      <w:pPr>
        <w:pStyle w:val="5"/>
        <w:keepNext w:val="0"/>
        <w:keepLines w:val="0"/>
        <w:spacing w:line="240" w:lineRule="auto"/>
        <w:ind w:firstLine="482"/>
        <w:rPr>
          <w:rFonts w:ascii="仿宋_GB2312" w:hAnsi="仿宋" w:eastAsia="仿宋_GB2312"/>
          <w:b w:val="0"/>
          <w:bCs w:val="0"/>
          <w:sz w:val="24"/>
          <w:szCs w:val="24"/>
          <w:highlight w:val="none"/>
        </w:rPr>
      </w:pPr>
      <w:r>
        <w:rPr>
          <w:rFonts w:ascii="仿宋_GB2312" w:hAnsi="仿宋" w:eastAsia="仿宋_GB2312"/>
          <w:sz w:val="24"/>
          <w:szCs w:val="24"/>
          <w:highlight w:val="none"/>
        </w:rPr>
        <w:t>1</w:t>
      </w:r>
      <w:r>
        <w:rPr>
          <w:rFonts w:hint="eastAsia" w:ascii="仿宋_GB2312" w:hAnsi="仿宋" w:eastAsia="仿宋_GB2312"/>
          <w:sz w:val="24"/>
          <w:szCs w:val="24"/>
          <w:highlight w:val="none"/>
        </w:rPr>
        <w:t>.1产品必须满足以下标准及要求</w:t>
      </w:r>
      <w:r>
        <w:rPr>
          <w:rFonts w:hint="eastAsia" w:ascii="仿宋_GB2312" w:hAnsi="仿宋" w:eastAsia="仿宋_GB2312"/>
          <w:b w:val="0"/>
          <w:bCs w:val="0"/>
          <w:sz w:val="24"/>
          <w:szCs w:val="24"/>
          <w:highlight w:val="none"/>
        </w:rPr>
        <w:t>，且满足中华人民共和国国家、地方及行业最新颁布的相关标准及技术规范，如果规范、标准、要求适用于同一种情况，则以标准高者为准。</w:t>
      </w:r>
    </w:p>
    <w:p w14:paraId="65E4D0E4">
      <w:pPr>
        <w:pStyle w:val="5"/>
        <w:keepNext w:val="0"/>
        <w:keepLines w:val="0"/>
        <w:spacing w:line="240" w:lineRule="auto"/>
        <w:ind w:firstLine="482"/>
        <w:rPr>
          <w:rFonts w:ascii="仿宋_GB2312" w:hAnsi="仿宋" w:eastAsia="仿宋_GB2312"/>
          <w:b w:val="0"/>
          <w:bCs w:val="0"/>
          <w:sz w:val="24"/>
          <w:szCs w:val="24"/>
          <w:highlight w:val="none"/>
        </w:rPr>
      </w:pPr>
      <w:r>
        <w:rPr>
          <w:rFonts w:ascii="仿宋_GB2312" w:hAnsi="仿宋" w:eastAsia="仿宋_GB2312"/>
          <w:sz w:val="24"/>
          <w:szCs w:val="24"/>
          <w:highlight w:val="none"/>
        </w:rPr>
        <w:t>1</w:t>
      </w:r>
      <w:r>
        <w:rPr>
          <w:rFonts w:hint="eastAsia" w:ascii="仿宋_GB2312" w:hAnsi="仿宋" w:eastAsia="仿宋_GB2312"/>
          <w:sz w:val="24"/>
          <w:szCs w:val="24"/>
          <w:highlight w:val="none"/>
        </w:rPr>
        <w:t>.2产品技术标准和技术要求</w:t>
      </w:r>
      <w:r>
        <w:rPr>
          <w:rFonts w:hint="eastAsia" w:ascii="仿宋_GB2312" w:hAnsi="仿宋" w:eastAsia="仿宋_GB2312"/>
          <w:b w:val="0"/>
          <w:bCs w:val="0"/>
          <w:sz w:val="24"/>
          <w:szCs w:val="24"/>
          <w:highlight w:val="none"/>
        </w:rPr>
        <w:t>：</w:t>
      </w:r>
    </w:p>
    <w:p w14:paraId="66635744">
      <w:pPr>
        <w:spacing w:line="400" w:lineRule="exact"/>
        <w:ind w:firstLine="480" w:firstLineChars="200"/>
        <w:jc w:val="left"/>
        <w:outlineLvl w:val="2"/>
        <w:rPr>
          <w:rFonts w:hint="eastAsia" w:ascii="仿宋" w:hAnsi="仿宋" w:eastAsia="仿宋" w:cs="仿宋"/>
          <w:sz w:val="21"/>
          <w:szCs w:val="21"/>
        </w:rPr>
      </w:pPr>
      <w:r>
        <w:rPr>
          <w:rFonts w:ascii="仿宋_GB2312" w:hAnsi="仿宋" w:eastAsia="仿宋_GB2312"/>
          <w:sz w:val="24"/>
          <w:szCs w:val="24"/>
          <w:highlight w:val="none"/>
        </w:rPr>
        <w:t>1</w:t>
      </w:r>
      <w:r>
        <w:rPr>
          <w:rFonts w:hint="eastAsia" w:ascii="仿宋_GB2312" w:hAnsi="仿宋" w:eastAsia="仿宋_GB2312"/>
          <w:sz w:val="24"/>
          <w:szCs w:val="24"/>
          <w:highlight w:val="none"/>
        </w:rPr>
        <w:t>.2.1施工图纸设计要求</w:t>
      </w:r>
      <w:r>
        <w:rPr>
          <w:rFonts w:hint="eastAsia" w:ascii="仿宋_GB2312" w:hAnsi="仿宋" w:eastAsia="仿宋_GB2312"/>
          <w:b w:val="0"/>
          <w:bCs w:val="0"/>
          <w:sz w:val="24"/>
          <w:szCs w:val="24"/>
          <w:highlight w:val="none"/>
        </w:rPr>
        <w:t>：</w:t>
      </w:r>
      <w:permStart w:id="34" w:edGrp="everyone"/>
      <w:r>
        <w:rPr>
          <w:rFonts w:hint="eastAsia" w:ascii="仿宋" w:hAnsi="仿宋" w:eastAsia="仿宋" w:cs="仿宋"/>
          <w:sz w:val="21"/>
          <w:szCs w:val="21"/>
        </w:rPr>
        <w:t>《混凝土外加剂匀质性试验方法》  (GB/T 8077-2012)；</w:t>
      </w:r>
    </w:p>
    <w:p w14:paraId="0749DB2D">
      <w:pPr>
        <w:spacing w:line="400" w:lineRule="exact"/>
        <w:ind w:firstLine="420" w:firstLineChars="200"/>
        <w:jc w:val="left"/>
        <w:outlineLvl w:val="2"/>
        <w:rPr>
          <w:rFonts w:hint="eastAsia" w:ascii="仿宋" w:hAnsi="仿宋" w:eastAsia="仿宋" w:cs="仿宋"/>
          <w:sz w:val="21"/>
          <w:szCs w:val="21"/>
        </w:rPr>
      </w:pPr>
      <w:r>
        <w:rPr>
          <w:rFonts w:hint="eastAsia" w:ascii="仿宋" w:hAnsi="仿宋" w:eastAsia="仿宋" w:cs="仿宋"/>
          <w:sz w:val="21"/>
          <w:szCs w:val="21"/>
        </w:rPr>
        <w:t>《混凝土结构设计规范》（GB50010-2019）；</w:t>
      </w:r>
    </w:p>
    <w:p w14:paraId="17EB1214">
      <w:pPr>
        <w:spacing w:line="400" w:lineRule="exact"/>
        <w:ind w:firstLine="420" w:firstLineChars="200"/>
        <w:jc w:val="left"/>
        <w:outlineLvl w:val="2"/>
        <w:rPr>
          <w:rFonts w:hint="eastAsia" w:ascii="仿宋" w:hAnsi="仿宋" w:eastAsia="仿宋" w:cs="仿宋"/>
          <w:sz w:val="21"/>
          <w:szCs w:val="21"/>
        </w:rPr>
      </w:pPr>
      <w:r>
        <w:rPr>
          <w:rFonts w:hint="eastAsia" w:ascii="仿宋" w:hAnsi="仿宋" w:eastAsia="仿宋" w:cs="仿宋"/>
          <w:sz w:val="21"/>
          <w:szCs w:val="21"/>
        </w:rPr>
        <w:t>《混凝土结构工程施工质量验收规范》（GB50204-2015）；</w:t>
      </w:r>
    </w:p>
    <w:p w14:paraId="04ED9B46">
      <w:pPr>
        <w:spacing w:line="400" w:lineRule="exact"/>
        <w:ind w:firstLine="420" w:firstLineChars="200"/>
        <w:jc w:val="left"/>
        <w:outlineLvl w:val="2"/>
        <w:rPr>
          <w:rFonts w:hint="eastAsia" w:ascii="仿宋" w:hAnsi="仿宋" w:eastAsia="仿宋" w:cs="仿宋"/>
          <w:sz w:val="21"/>
          <w:szCs w:val="21"/>
        </w:rPr>
      </w:pPr>
      <w:r>
        <w:rPr>
          <w:rFonts w:hint="eastAsia" w:ascii="仿宋" w:hAnsi="仿宋" w:eastAsia="仿宋" w:cs="仿宋"/>
          <w:sz w:val="21"/>
          <w:szCs w:val="21"/>
        </w:rPr>
        <w:t>《混凝土强度检验评定标准》(GBJ107-2010)；</w:t>
      </w:r>
    </w:p>
    <w:p w14:paraId="247A3333">
      <w:pPr>
        <w:spacing w:line="400" w:lineRule="exact"/>
        <w:ind w:firstLine="420" w:firstLineChars="200"/>
        <w:jc w:val="left"/>
        <w:outlineLvl w:val="2"/>
        <w:rPr>
          <w:rFonts w:hint="eastAsia" w:ascii="仿宋" w:hAnsi="仿宋" w:eastAsia="仿宋" w:cs="仿宋"/>
          <w:sz w:val="21"/>
          <w:szCs w:val="21"/>
        </w:rPr>
      </w:pPr>
      <w:r>
        <w:rPr>
          <w:rFonts w:hint="eastAsia" w:ascii="仿宋" w:hAnsi="仿宋" w:eastAsia="仿宋" w:cs="仿宋"/>
          <w:sz w:val="21"/>
          <w:szCs w:val="21"/>
        </w:rPr>
        <w:t>《混凝土质量控制标准》(GB50164-2011)；</w:t>
      </w:r>
    </w:p>
    <w:p w14:paraId="1F5ECF66">
      <w:pPr>
        <w:spacing w:line="400" w:lineRule="exact"/>
        <w:ind w:firstLine="420" w:firstLineChars="200"/>
        <w:jc w:val="left"/>
        <w:outlineLvl w:val="2"/>
        <w:rPr>
          <w:rFonts w:hint="eastAsia" w:ascii="仿宋" w:hAnsi="仿宋" w:eastAsia="仿宋" w:cs="仿宋"/>
          <w:sz w:val="21"/>
          <w:szCs w:val="21"/>
        </w:rPr>
      </w:pPr>
      <w:r>
        <w:rPr>
          <w:rFonts w:hint="eastAsia" w:ascii="仿宋" w:hAnsi="仿宋" w:eastAsia="仿宋" w:cs="仿宋"/>
          <w:sz w:val="21"/>
          <w:szCs w:val="21"/>
        </w:rPr>
        <w:t>《普通混凝土配合比设计规程》(JGJ55-2011)；</w:t>
      </w:r>
    </w:p>
    <w:p w14:paraId="3A32B6FC">
      <w:pPr>
        <w:spacing w:line="400" w:lineRule="exact"/>
        <w:ind w:firstLine="420" w:firstLineChars="200"/>
        <w:jc w:val="left"/>
        <w:outlineLvl w:val="2"/>
        <w:rPr>
          <w:rFonts w:hint="eastAsia" w:ascii="仿宋" w:hAnsi="仿宋" w:eastAsia="仿宋" w:cs="仿宋"/>
          <w:sz w:val="21"/>
          <w:szCs w:val="21"/>
        </w:rPr>
      </w:pPr>
      <w:r>
        <w:rPr>
          <w:rFonts w:hint="eastAsia" w:ascii="仿宋" w:hAnsi="仿宋" w:eastAsia="仿宋" w:cs="仿宋"/>
          <w:sz w:val="21"/>
          <w:szCs w:val="21"/>
        </w:rPr>
        <w:t>《混凝土用水标准》(JGJ63-2006)；</w:t>
      </w:r>
    </w:p>
    <w:p w14:paraId="32A2330A">
      <w:pPr>
        <w:spacing w:line="400" w:lineRule="exact"/>
        <w:ind w:firstLine="420" w:firstLineChars="200"/>
        <w:jc w:val="left"/>
        <w:outlineLvl w:val="2"/>
        <w:rPr>
          <w:rFonts w:hint="eastAsia" w:ascii="仿宋" w:hAnsi="仿宋" w:eastAsia="仿宋" w:cs="仿宋"/>
          <w:sz w:val="21"/>
          <w:szCs w:val="21"/>
        </w:rPr>
      </w:pPr>
      <w:r>
        <w:rPr>
          <w:rFonts w:hint="eastAsia" w:ascii="仿宋" w:hAnsi="仿宋" w:eastAsia="仿宋" w:cs="仿宋"/>
          <w:sz w:val="21"/>
          <w:szCs w:val="21"/>
        </w:rPr>
        <w:t>《混凝土外加剂》  （GB8076-2009）；</w:t>
      </w:r>
    </w:p>
    <w:p w14:paraId="7ECE2EE1">
      <w:pPr>
        <w:spacing w:line="400" w:lineRule="exact"/>
        <w:ind w:firstLine="420" w:firstLineChars="200"/>
        <w:jc w:val="left"/>
        <w:outlineLvl w:val="2"/>
        <w:rPr>
          <w:rFonts w:hint="eastAsia" w:ascii="仿宋" w:hAnsi="仿宋" w:eastAsia="仿宋" w:cs="仿宋"/>
          <w:sz w:val="21"/>
          <w:szCs w:val="21"/>
        </w:rPr>
      </w:pPr>
      <w:r>
        <w:rPr>
          <w:rFonts w:hint="eastAsia" w:ascii="仿宋" w:hAnsi="仿宋" w:eastAsia="仿宋" w:cs="仿宋"/>
          <w:sz w:val="21"/>
          <w:szCs w:val="21"/>
        </w:rPr>
        <w:t>《通用硅酸盐水泥》  (GB 175-2007/XG1-2009)；</w:t>
      </w:r>
    </w:p>
    <w:p w14:paraId="249411E3">
      <w:pPr>
        <w:spacing w:line="400" w:lineRule="exact"/>
        <w:ind w:firstLine="420" w:firstLineChars="200"/>
        <w:jc w:val="left"/>
        <w:outlineLvl w:val="2"/>
        <w:rPr>
          <w:rFonts w:hint="eastAsia" w:ascii="仿宋" w:hAnsi="仿宋" w:eastAsia="仿宋" w:cs="仿宋"/>
          <w:sz w:val="21"/>
          <w:szCs w:val="21"/>
        </w:rPr>
      </w:pPr>
      <w:r>
        <w:rPr>
          <w:rFonts w:hint="eastAsia" w:ascii="仿宋" w:hAnsi="仿宋" w:eastAsia="仿宋" w:cs="仿宋"/>
          <w:sz w:val="21"/>
          <w:szCs w:val="21"/>
        </w:rPr>
        <w:t>《普通混凝土用砂、石质量及检验方法》 (JGJ52-2006)；</w:t>
      </w:r>
    </w:p>
    <w:p w14:paraId="372CDBD8">
      <w:pPr>
        <w:spacing w:line="400" w:lineRule="exact"/>
        <w:ind w:firstLine="420" w:firstLineChars="200"/>
        <w:jc w:val="left"/>
        <w:outlineLvl w:val="2"/>
        <w:rPr>
          <w:rFonts w:hint="eastAsia" w:ascii="仿宋" w:hAnsi="仿宋" w:eastAsia="仿宋" w:cs="仿宋"/>
          <w:sz w:val="21"/>
          <w:szCs w:val="21"/>
        </w:rPr>
      </w:pPr>
      <w:r>
        <w:rPr>
          <w:rFonts w:hint="eastAsia" w:ascii="仿宋" w:hAnsi="仿宋" w:eastAsia="仿宋" w:cs="仿宋"/>
          <w:sz w:val="21"/>
          <w:szCs w:val="21"/>
        </w:rPr>
        <w:t>《预拌混凝土》(GB/T 14902-2012) ；</w:t>
      </w:r>
    </w:p>
    <w:p w14:paraId="72DBBAFD">
      <w:pPr>
        <w:spacing w:line="400" w:lineRule="exact"/>
        <w:ind w:firstLine="420" w:firstLineChars="200"/>
        <w:jc w:val="left"/>
        <w:outlineLvl w:val="2"/>
        <w:rPr>
          <w:rFonts w:hint="eastAsia" w:ascii="仿宋" w:hAnsi="仿宋" w:eastAsia="仿宋" w:cs="仿宋"/>
          <w:sz w:val="21"/>
          <w:szCs w:val="21"/>
        </w:rPr>
      </w:pPr>
      <w:r>
        <w:rPr>
          <w:rFonts w:hint="eastAsia" w:ascii="仿宋" w:hAnsi="仿宋" w:eastAsia="仿宋" w:cs="仿宋"/>
          <w:sz w:val="21"/>
          <w:szCs w:val="21"/>
        </w:rPr>
        <w:t>《混凝土泵送施工技术规程》（JGJ/T10-2011）；</w:t>
      </w:r>
    </w:p>
    <w:p w14:paraId="7DEA1A69">
      <w:pPr>
        <w:spacing w:line="400" w:lineRule="exact"/>
        <w:ind w:firstLine="420" w:firstLineChars="200"/>
        <w:jc w:val="left"/>
        <w:outlineLvl w:val="2"/>
        <w:rPr>
          <w:rFonts w:hint="eastAsia" w:ascii="仿宋" w:hAnsi="仿宋" w:eastAsia="仿宋" w:cs="仿宋"/>
          <w:sz w:val="21"/>
          <w:szCs w:val="21"/>
        </w:rPr>
      </w:pPr>
      <w:r>
        <w:rPr>
          <w:rFonts w:hint="eastAsia" w:ascii="仿宋" w:hAnsi="仿宋" w:eastAsia="仿宋" w:cs="仿宋"/>
          <w:sz w:val="21"/>
          <w:szCs w:val="21"/>
        </w:rPr>
        <w:t>《用于水泥和混凝土中的粉煤灰》（GB/T1596-2017） ；</w:t>
      </w:r>
    </w:p>
    <w:p w14:paraId="6BC85F96">
      <w:pPr>
        <w:spacing w:line="400" w:lineRule="exact"/>
        <w:ind w:firstLine="420" w:firstLineChars="200"/>
        <w:jc w:val="left"/>
        <w:outlineLvl w:val="2"/>
        <w:rPr>
          <w:rFonts w:hint="eastAsia" w:ascii="仿宋" w:hAnsi="仿宋" w:eastAsia="仿宋" w:cs="仿宋"/>
          <w:sz w:val="21"/>
          <w:szCs w:val="21"/>
        </w:rPr>
      </w:pPr>
      <w:r>
        <w:rPr>
          <w:rFonts w:hint="eastAsia" w:ascii="仿宋" w:hAnsi="仿宋" w:eastAsia="仿宋" w:cs="仿宋"/>
          <w:sz w:val="21"/>
          <w:szCs w:val="21"/>
        </w:rPr>
        <w:t>《粉煤灰在混凝土和砂浆中的应用技术规程》（JGJ28-86）；</w:t>
      </w:r>
    </w:p>
    <w:p w14:paraId="15E488C0">
      <w:pPr>
        <w:spacing w:line="400" w:lineRule="exact"/>
        <w:ind w:firstLine="420" w:firstLineChars="200"/>
        <w:jc w:val="left"/>
        <w:outlineLvl w:val="2"/>
        <w:rPr>
          <w:rFonts w:hint="eastAsia" w:ascii="仿宋" w:hAnsi="仿宋" w:eastAsia="仿宋" w:cs="仿宋"/>
          <w:sz w:val="21"/>
          <w:szCs w:val="21"/>
        </w:rPr>
      </w:pPr>
      <w:r>
        <w:rPr>
          <w:rFonts w:hint="eastAsia" w:ascii="仿宋" w:hAnsi="仿宋" w:eastAsia="仿宋" w:cs="仿宋"/>
          <w:sz w:val="21"/>
          <w:szCs w:val="21"/>
        </w:rPr>
        <w:t xml:space="preserve">《普通混凝土力学性能试验方法标准》（GB/T50081-2002）； </w:t>
      </w:r>
    </w:p>
    <w:p w14:paraId="2B60969D">
      <w:pPr>
        <w:spacing w:line="400" w:lineRule="exact"/>
        <w:ind w:firstLine="420" w:firstLineChars="200"/>
        <w:jc w:val="left"/>
        <w:outlineLvl w:val="2"/>
        <w:rPr>
          <w:rFonts w:hint="eastAsia" w:ascii="仿宋" w:hAnsi="仿宋" w:eastAsia="仿宋" w:cs="仿宋"/>
          <w:sz w:val="21"/>
          <w:szCs w:val="21"/>
        </w:rPr>
      </w:pPr>
      <w:r>
        <w:rPr>
          <w:rFonts w:hint="eastAsia" w:ascii="仿宋" w:hAnsi="仿宋" w:eastAsia="仿宋" w:cs="仿宋"/>
          <w:sz w:val="21"/>
          <w:szCs w:val="21"/>
        </w:rPr>
        <w:t>《公路工程水泥及水泥混凝土试验规程》JTGE30-2005；</w:t>
      </w:r>
    </w:p>
    <w:p w14:paraId="7B43A1B3">
      <w:pPr>
        <w:spacing w:line="400" w:lineRule="exact"/>
        <w:ind w:firstLine="420" w:firstLineChars="200"/>
        <w:jc w:val="left"/>
        <w:outlineLvl w:val="2"/>
        <w:rPr>
          <w:rFonts w:hint="eastAsia" w:ascii="仿宋" w:hAnsi="仿宋" w:eastAsia="仿宋" w:cs="仿宋"/>
          <w:sz w:val="21"/>
          <w:szCs w:val="21"/>
        </w:rPr>
      </w:pPr>
      <w:r>
        <w:rPr>
          <w:rFonts w:hint="eastAsia" w:ascii="仿宋" w:hAnsi="仿宋" w:eastAsia="仿宋" w:cs="仿宋"/>
          <w:sz w:val="21"/>
          <w:szCs w:val="21"/>
        </w:rPr>
        <w:t>《公路水泥混凝土路面设计规范》(JTG D40-2011)；</w:t>
      </w:r>
    </w:p>
    <w:p w14:paraId="72E72036">
      <w:pPr>
        <w:spacing w:line="400" w:lineRule="exact"/>
        <w:ind w:firstLine="420" w:firstLineChars="200"/>
        <w:jc w:val="left"/>
        <w:outlineLvl w:val="2"/>
        <w:rPr>
          <w:rFonts w:hint="eastAsia" w:ascii="仿宋" w:hAnsi="仿宋" w:eastAsia="仿宋" w:cs="仿宋"/>
          <w:sz w:val="21"/>
          <w:szCs w:val="21"/>
        </w:rPr>
      </w:pPr>
      <w:r>
        <w:rPr>
          <w:rFonts w:hint="eastAsia" w:ascii="仿宋" w:hAnsi="仿宋" w:eastAsia="仿宋" w:cs="仿宋"/>
          <w:sz w:val="21"/>
          <w:szCs w:val="21"/>
        </w:rPr>
        <w:t>《公路工程集料试验规程》(JTG E42-2005)；</w:t>
      </w:r>
    </w:p>
    <w:p w14:paraId="653C3B4B">
      <w:pPr>
        <w:spacing w:line="400" w:lineRule="exact"/>
        <w:ind w:firstLine="420" w:firstLineChars="200"/>
        <w:jc w:val="left"/>
        <w:outlineLvl w:val="2"/>
        <w:rPr>
          <w:rFonts w:hint="eastAsia" w:ascii="仿宋" w:hAnsi="仿宋" w:eastAsia="仿宋" w:cs="仿宋"/>
          <w:sz w:val="21"/>
          <w:szCs w:val="21"/>
        </w:rPr>
      </w:pPr>
      <w:r>
        <w:rPr>
          <w:rFonts w:hint="eastAsia" w:ascii="仿宋" w:hAnsi="仿宋" w:eastAsia="仿宋" w:cs="仿宋"/>
          <w:sz w:val="21"/>
          <w:szCs w:val="21"/>
        </w:rPr>
        <w:t>《公路水泥混凝土路面施工技术细则》JTG/T F30-2014；</w:t>
      </w:r>
    </w:p>
    <w:p w14:paraId="1E4640C2">
      <w:pPr>
        <w:spacing w:line="400" w:lineRule="exact"/>
        <w:ind w:firstLine="420" w:firstLineChars="200"/>
        <w:jc w:val="left"/>
        <w:outlineLvl w:val="2"/>
        <w:rPr>
          <w:rFonts w:hint="eastAsia" w:ascii="仿宋" w:hAnsi="仿宋" w:eastAsia="仿宋" w:cs="仿宋"/>
          <w:sz w:val="21"/>
          <w:szCs w:val="21"/>
        </w:rPr>
      </w:pPr>
      <w:r>
        <w:rPr>
          <w:rFonts w:hint="eastAsia" w:ascii="仿宋" w:hAnsi="仿宋" w:eastAsia="仿宋" w:cs="仿宋"/>
          <w:sz w:val="21"/>
          <w:szCs w:val="21"/>
        </w:rPr>
        <w:t xml:space="preserve">《公路工程质量检验评定标准》(JTG F80/1-2017)； </w:t>
      </w:r>
    </w:p>
    <w:p w14:paraId="50C2DD19">
      <w:pPr>
        <w:spacing w:line="400" w:lineRule="exact"/>
        <w:ind w:firstLine="420" w:firstLineChars="200"/>
        <w:jc w:val="left"/>
        <w:outlineLvl w:val="2"/>
        <w:rPr>
          <w:rFonts w:hint="eastAsia" w:ascii="仿宋" w:hAnsi="仿宋" w:eastAsia="仿宋" w:cs="仿宋"/>
          <w:sz w:val="21"/>
          <w:szCs w:val="21"/>
        </w:rPr>
      </w:pPr>
      <w:r>
        <w:rPr>
          <w:rFonts w:hint="eastAsia" w:ascii="仿宋" w:hAnsi="仿宋" w:eastAsia="仿宋" w:cs="仿宋"/>
          <w:sz w:val="21"/>
          <w:szCs w:val="21"/>
        </w:rPr>
        <w:t xml:space="preserve"> 现行国家关于水泥混凝土强制性标准；</w:t>
      </w:r>
    </w:p>
    <w:p w14:paraId="1A09373E">
      <w:pPr>
        <w:pStyle w:val="6"/>
        <w:keepNext w:val="0"/>
        <w:keepLines w:val="0"/>
        <w:tabs>
          <w:tab w:val="left" w:pos="567"/>
        </w:tabs>
        <w:spacing w:before="0" w:line="240" w:lineRule="auto"/>
        <w:ind w:firstLine="422" w:firstLineChars="200"/>
        <w:rPr>
          <w:rFonts w:ascii="仿宋_GB2312" w:hAnsi="仿宋" w:eastAsia="仿宋_GB2312"/>
          <w:b w:val="0"/>
          <w:bCs w:val="0"/>
          <w:color w:val="FF0000"/>
          <w:sz w:val="24"/>
          <w:szCs w:val="24"/>
          <w:highlight w:val="none"/>
        </w:rPr>
      </w:pPr>
      <w:r>
        <w:rPr>
          <w:rFonts w:hint="eastAsia" w:ascii="仿宋" w:hAnsi="仿宋" w:eastAsia="仿宋" w:cs="仿宋"/>
          <w:sz w:val="21"/>
          <w:szCs w:val="21"/>
        </w:rPr>
        <w:t xml:space="preserve"> 原材料、添加剂符合国家及行业相关标准要求；同时应符合施工工艺有关规定并取得甲方、监理同意；</w:t>
      </w:r>
    </w:p>
    <w:permEnd w:id="34"/>
    <w:p w14:paraId="5999D2E6">
      <w:pPr>
        <w:ind w:firstLine="480" w:firstLineChars="200"/>
        <w:rPr>
          <w:rFonts w:ascii="仿宋_GB2312" w:hAnsi="仿宋" w:eastAsia="仿宋_GB2312"/>
          <w:sz w:val="24"/>
          <w:szCs w:val="24"/>
          <w:highlight w:val="none"/>
        </w:rPr>
      </w:pPr>
      <w:r>
        <w:rPr>
          <w:rFonts w:hint="eastAsia" w:ascii="仿宋_GB2312" w:hAnsi="仿宋" w:eastAsia="仿宋_GB2312"/>
          <w:sz w:val="24"/>
          <w:szCs w:val="24"/>
          <w:highlight w:val="none"/>
        </w:rPr>
        <w:t>按照图纸要求，各项原材料及产品性能指标应满足以下要求，包含但不限于最小水泥用量、水胶比、碱含量与水溶性氯离子含量等：</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1204"/>
        <w:gridCol w:w="1496"/>
        <w:gridCol w:w="889"/>
        <w:gridCol w:w="1050"/>
        <w:gridCol w:w="1050"/>
        <w:gridCol w:w="1121"/>
        <w:gridCol w:w="1032"/>
      </w:tblGrid>
      <w:tr w14:paraId="6AB19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Pr>
          <w:p w14:paraId="4AAC6CF2">
            <w:pPr>
              <w:rPr>
                <w:rFonts w:ascii="仿宋_GB2312" w:hAnsi="仿宋" w:eastAsia="仿宋_GB2312"/>
                <w:sz w:val="24"/>
                <w:szCs w:val="24"/>
                <w:highlight w:val="none"/>
              </w:rPr>
            </w:pPr>
            <w:permStart w:id="35" w:edGrp="everyone"/>
            <w:r>
              <w:rPr>
                <w:rFonts w:hint="eastAsia" w:ascii="仿宋_GB2312" w:hAnsi="仿宋" w:eastAsia="仿宋_GB2312"/>
                <w:sz w:val="24"/>
                <w:szCs w:val="24"/>
                <w:highlight w:val="none"/>
              </w:rPr>
              <w:t>序号</w:t>
            </w:r>
          </w:p>
        </w:tc>
        <w:tc>
          <w:tcPr>
            <w:tcW w:w="1230" w:type="dxa"/>
          </w:tcPr>
          <w:p w14:paraId="41345707">
            <w:pPr>
              <w:rPr>
                <w:rFonts w:ascii="仿宋_GB2312" w:hAnsi="仿宋" w:eastAsia="仿宋_GB2312"/>
                <w:sz w:val="24"/>
                <w:szCs w:val="24"/>
                <w:highlight w:val="none"/>
              </w:rPr>
            </w:pPr>
            <w:r>
              <w:rPr>
                <w:rFonts w:hint="eastAsia" w:ascii="仿宋_GB2312" w:hAnsi="仿宋" w:eastAsia="仿宋_GB2312"/>
                <w:sz w:val="24"/>
                <w:szCs w:val="24"/>
                <w:highlight w:val="none"/>
              </w:rPr>
              <w:t>材料名称</w:t>
            </w:r>
          </w:p>
        </w:tc>
        <w:tc>
          <w:tcPr>
            <w:tcW w:w="1635" w:type="dxa"/>
          </w:tcPr>
          <w:p w14:paraId="3CCF68D9">
            <w:pPr>
              <w:rPr>
                <w:rFonts w:ascii="仿宋_GB2312" w:hAnsi="仿宋" w:eastAsia="仿宋_GB2312"/>
                <w:sz w:val="24"/>
                <w:szCs w:val="24"/>
                <w:highlight w:val="none"/>
              </w:rPr>
            </w:pPr>
            <w:r>
              <w:rPr>
                <w:rFonts w:hint="eastAsia" w:ascii="仿宋_GB2312" w:hAnsi="仿宋" w:eastAsia="仿宋_GB2312"/>
                <w:sz w:val="24"/>
                <w:szCs w:val="24"/>
                <w:highlight w:val="none"/>
              </w:rPr>
              <w:t>最小水泥用量</w:t>
            </w:r>
          </w:p>
        </w:tc>
        <w:tc>
          <w:tcPr>
            <w:tcW w:w="943" w:type="dxa"/>
          </w:tcPr>
          <w:p w14:paraId="11F1E8BF">
            <w:pPr>
              <w:rPr>
                <w:rFonts w:ascii="仿宋_GB2312" w:hAnsi="仿宋" w:eastAsia="仿宋_GB2312"/>
                <w:sz w:val="24"/>
                <w:szCs w:val="24"/>
                <w:highlight w:val="none"/>
              </w:rPr>
            </w:pPr>
            <w:r>
              <w:rPr>
                <w:rFonts w:hint="eastAsia" w:ascii="仿宋_GB2312" w:hAnsi="仿宋" w:eastAsia="仿宋_GB2312"/>
                <w:sz w:val="24"/>
                <w:szCs w:val="24"/>
                <w:highlight w:val="none"/>
              </w:rPr>
              <w:t>水胶比</w:t>
            </w:r>
          </w:p>
        </w:tc>
        <w:tc>
          <w:tcPr>
            <w:tcW w:w="1132" w:type="dxa"/>
          </w:tcPr>
          <w:p w14:paraId="57CE2DB2">
            <w:pPr>
              <w:rPr>
                <w:rFonts w:ascii="仿宋_GB2312" w:hAnsi="仿宋" w:eastAsia="仿宋_GB2312"/>
                <w:sz w:val="24"/>
                <w:szCs w:val="24"/>
                <w:highlight w:val="none"/>
              </w:rPr>
            </w:pPr>
            <w:r>
              <w:rPr>
                <w:rFonts w:hint="eastAsia" w:ascii="仿宋_GB2312" w:hAnsi="仿宋" w:eastAsia="仿宋_GB2312"/>
                <w:sz w:val="24"/>
                <w:szCs w:val="24"/>
                <w:highlight w:val="none"/>
              </w:rPr>
              <w:t>碱含量</w:t>
            </w:r>
          </w:p>
        </w:tc>
        <w:tc>
          <w:tcPr>
            <w:tcW w:w="1132" w:type="dxa"/>
          </w:tcPr>
          <w:p w14:paraId="167B69C8">
            <w:pPr>
              <w:rPr>
                <w:rFonts w:ascii="仿宋_GB2312" w:hAnsi="仿宋" w:eastAsia="仿宋_GB2312"/>
                <w:sz w:val="24"/>
                <w:szCs w:val="24"/>
                <w:highlight w:val="none"/>
              </w:rPr>
            </w:pPr>
            <w:r>
              <w:rPr>
                <w:rFonts w:hint="eastAsia" w:ascii="仿宋_GB2312" w:hAnsi="仿宋" w:eastAsia="仿宋_GB2312"/>
                <w:sz w:val="24"/>
                <w:szCs w:val="24"/>
                <w:highlight w:val="none"/>
              </w:rPr>
              <w:t>水溶性氯离子含量</w:t>
            </w:r>
          </w:p>
        </w:tc>
        <w:tc>
          <w:tcPr>
            <w:tcW w:w="1132" w:type="dxa"/>
          </w:tcPr>
          <w:p w14:paraId="20133B6B">
            <w:pPr>
              <w:rPr>
                <w:rFonts w:ascii="仿宋_GB2312" w:hAnsi="仿宋" w:eastAsia="仿宋_GB2312"/>
                <w:sz w:val="24"/>
                <w:szCs w:val="24"/>
                <w:highlight w:val="none"/>
              </w:rPr>
            </w:pPr>
            <w:r>
              <w:rPr>
                <w:rFonts w:ascii="仿宋_GB2312" w:hAnsi="仿宋" w:eastAsia="仿宋_GB2312"/>
                <w:sz w:val="24"/>
                <w:szCs w:val="24"/>
                <w:highlight w:val="none"/>
              </w:rPr>
              <w:t>…</w:t>
            </w:r>
          </w:p>
        </w:tc>
        <w:tc>
          <w:tcPr>
            <w:tcW w:w="1132" w:type="dxa"/>
          </w:tcPr>
          <w:p w14:paraId="6A9420E0">
            <w:pPr>
              <w:rPr>
                <w:rFonts w:ascii="仿宋_GB2312" w:hAnsi="仿宋" w:eastAsia="仿宋_GB2312"/>
                <w:sz w:val="24"/>
                <w:szCs w:val="24"/>
                <w:highlight w:val="none"/>
              </w:rPr>
            </w:pPr>
            <w:r>
              <w:rPr>
                <w:rFonts w:hint="eastAsia" w:ascii="仿宋_GB2312" w:hAnsi="仿宋" w:eastAsia="仿宋_GB2312"/>
                <w:sz w:val="24"/>
                <w:szCs w:val="24"/>
                <w:highlight w:val="none"/>
              </w:rPr>
              <w:t>备注</w:t>
            </w:r>
          </w:p>
        </w:tc>
      </w:tr>
      <w:tr w14:paraId="69EA7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Pr>
          <w:p w14:paraId="6B33F3AA">
            <w:pPr>
              <w:rPr>
                <w:rFonts w:ascii="仿宋_GB2312" w:hAnsi="仿宋" w:eastAsia="仿宋_GB2312"/>
                <w:sz w:val="24"/>
                <w:szCs w:val="24"/>
                <w:highlight w:val="none"/>
              </w:rPr>
            </w:pPr>
            <w:r>
              <w:rPr>
                <w:rFonts w:hint="eastAsia" w:ascii="仿宋_GB2312" w:hAnsi="仿宋" w:eastAsia="仿宋_GB2312"/>
                <w:sz w:val="24"/>
                <w:szCs w:val="24"/>
                <w:highlight w:val="none"/>
              </w:rPr>
              <w:t>1</w:t>
            </w:r>
          </w:p>
        </w:tc>
        <w:tc>
          <w:tcPr>
            <w:tcW w:w="1230" w:type="dxa"/>
            <w:vAlign w:val="center"/>
          </w:tcPr>
          <w:p w14:paraId="15577B95">
            <w:pPr>
              <w:rPr>
                <w:rFonts w:ascii="仿宋_GB2312" w:hAnsi="仿宋" w:eastAsia="仿宋_GB2312"/>
                <w:sz w:val="24"/>
                <w:szCs w:val="24"/>
                <w:highlight w:val="none"/>
              </w:rPr>
            </w:pPr>
            <w:r>
              <w:rPr>
                <w:rFonts w:hint="eastAsia" w:ascii="仿宋_GB2312" w:hAnsi="仿宋" w:eastAsia="仿宋_GB2312"/>
                <w:sz w:val="24"/>
                <w:szCs w:val="24"/>
                <w:highlight w:val="none"/>
              </w:rPr>
              <w:t>＜C30</w:t>
            </w:r>
          </w:p>
        </w:tc>
        <w:tc>
          <w:tcPr>
            <w:tcW w:w="1635" w:type="dxa"/>
            <w:vAlign w:val="center"/>
          </w:tcPr>
          <w:p w14:paraId="131F1F19">
            <w:pPr>
              <w:rPr>
                <w:rFonts w:ascii="仿宋_GB2312" w:hAnsi="仿宋" w:eastAsia="仿宋_GB2312"/>
                <w:sz w:val="24"/>
                <w:szCs w:val="24"/>
                <w:highlight w:val="none"/>
              </w:rPr>
            </w:pPr>
            <w:r>
              <w:rPr>
                <w:rFonts w:hint="eastAsia" w:ascii="仿宋_GB2312" w:hAnsi="仿宋" w:eastAsia="仿宋_GB2312"/>
                <w:sz w:val="24"/>
                <w:szCs w:val="24"/>
                <w:highlight w:val="none"/>
              </w:rPr>
              <w:t>0.45</w:t>
            </w:r>
          </w:p>
        </w:tc>
        <w:tc>
          <w:tcPr>
            <w:tcW w:w="943" w:type="dxa"/>
            <w:vAlign w:val="center"/>
          </w:tcPr>
          <w:p w14:paraId="0F42A75D">
            <w:pPr>
              <w:rPr>
                <w:rFonts w:ascii="仿宋_GB2312" w:hAnsi="仿宋" w:eastAsia="仿宋_GB2312"/>
                <w:sz w:val="24"/>
                <w:szCs w:val="24"/>
                <w:highlight w:val="none"/>
              </w:rPr>
            </w:pPr>
            <w:r>
              <w:rPr>
                <w:rFonts w:hint="eastAsia" w:ascii="仿宋_GB2312" w:hAnsi="仿宋" w:eastAsia="仿宋_GB2312"/>
                <w:sz w:val="24"/>
                <w:szCs w:val="24"/>
                <w:highlight w:val="none"/>
              </w:rPr>
              <w:t>280</w:t>
            </w:r>
          </w:p>
        </w:tc>
        <w:tc>
          <w:tcPr>
            <w:tcW w:w="1132" w:type="dxa"/>
            <w:vAlign w:val="center"/>
          </w:tcPr>
          <w:p w14:paraId="4EC2D92F">
            <w:pPr>
              <w:rPr>
                <w:rFonts w:ascii="仿宋_GB2312" w:hAnsi="仿宋" w:eastAsia="仿宋_GB2312"/>
                <w:sz w:val="24"/>
                <w:szCs w:val="24"/>
                <w:highlight w:val="none"/>
              </w:rPr>
            </w:pPr>
            <w:r>
              <w:rPr>
                <w:rFonts w:hint="eastAsia" w:ascii="仿宋_GB2312" w:hAnsi="仿宋" w:eastAsia="仿宋_GB2312"/>
                <w:sz w:val="24"/>
                <w:szCs w:val="24"/>
                <w:highlight w:val="none"/>
              </w:rPr>
              <w:t>320</w:t>
            </w:r>
          </w:p>
        </w:tc>
        <w:tc>
          <w:tcPr>
            <w:tcW w:w="1132" w:type="dxa"/>
            <w:vAlign w:val="center"/>
          </w:tcPr>
          <w:p w14:paraId="58F29991">
            <w:pPr>
              <w:rPr>
                <w:rFonts w:ascii="仿宋_GB2312" w:hAnsi="仿宋" w:eastAsia="仿宋_GB2312"/>
                <w:sz w:val="24"/>
                <w:szCs w:val="24"/>
                <w:highlight w:val="none"/>
              </w:rPr>
            </w:pPr>
            <w:r>
              <w:rPr>
                <w:rFonts w:hint="eastAsia" w:ascii="仿宋_GB2312" w:hAnsi="仿宋" w:eastAsia="仿宋_GB2312"/>
                <w:sz w:val="24"/>
                <w:szCs w:val="24"/>
                <w:highlight w:val="none"/>
              </w:rPr>
              <w:t>400</w:t>
            </w:r>
          </w:p>
        </w:tc>
        <w:tc>
          <w:tcPr>
            <w:tcW w:w="1132" w:type="dxa"/>
            <w:vAlign w:val="center"/>
          </w:tcPr>
          <w:p w14:paraId="2301FB9F">
            <w:pPr>
              <w:rPr>
                <w:rFonts w:ascii="仿宋_GB2312" w:hAnsi="仿宋" w:eastAsia="仿宋_GB2312"/>
                <w:sz w:val="24"/>
                <w:szCs w:val="24"/>
                <w:highlight w:val="none"/>
              </w:rPr>
            </w:pPr>
            <w:r>
              <w:rPr>
                <w:rFonts w:hint="eastAsia" w:ascii="仿宋_GB2312" w:hAnsi="仿宋" w:eastAsia="仿宋_GB2312"/>
                <w:sz w:val="24"/>
                <w:szCs w:val="24"/>
                <w:highlight w:val="none"/>
              </w:rPr>
              <w:t>＜C30</w:t>
            </w:r>
          </w:p>
        </w:tc>
        <w:tc>
          <w:tcPr>
            <w:tcW w:w="1132" w:type="dxa"/>
          </w:tcPr>
          <w:p w14:paraId="00D7BD2B">
            <w:pPr>
              <w:rPr>
                <w:rFonts w:ascii="仿宋_GB2312" w:hAnsi="仿宋" w:eastAsia="仿宋_GB2312"/>
                <w:sz w:val="24"/>
                <w:szCs w:val="24"/>
                <w:highlight w:val="none"/>
              </w:rPr>
            </w:pPr>
          </w:p>
        </w:tc>
      </w:tr>
      <w:tr w14:paraId="5B5E7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Pr>
          <w:p w14:paraId="40D3D065">
            <w:pPr>
              <w:rPr>
                <w:rFonts w:ascii="仿宋_GB2312" w:hAnsi="仿宋" w:eastAsia="仿宋_GB2312"/>
                <w:sz w:val="24"/>
                <w:szCs w:val="24"/>
                <w:highlight w:val="none"/>
              </w:rPr>
            </w:pPr>
            <w:r>
              <w:rPr>
                <w:rFonts w:hint="eastAsia" w:ascii="仿宋_GB2312" w:hAnsi="仿宋" w:eastAsia="仿宋_GB2312"/>
                <w:sz w:val="24"/>
                <w:szCs w:val="24"/>
                <w:highlight w:val="none"/>
              </w:rPr>
              <w:t>2</w:t>
            </w:r>
          </w:p>
        </w:tc>
        <w:tc>
          <w:tcPr>
            <w:tcW w:w="1230" w:type="dxa"/>
            <w:vAlign w:val="center"/>
          </w:tcPr>
          <w:p w14:paraId="4842ABE5">
            <w:pPr>
              <w:rPr>
                <w:rFonts w:ascii="仿宋_GB2312" w:hAnsi="仿宋" w:eastAsia="仿宋_GB2312"/>
                <w:sz w:val="24"/>
                <w:szCs w:val="24"/>
                <w:highlight w:val="none"/>
              </w:rPr>
            </w:pPr>
            <w:r>
              <w:rPr>
                <w:rFonts w:hint="eastAsia" w:ascii="仿宋_GB2312" w:hAnsi="仿宋" w:eastAsia="仿宋_GB2312"/>
                <w:sz w:val="24"/>
                <w:szCs w:val="24"/>
                <w:highlight w:val="none"/>
              </w:rPr>
              <w:t>C30~C45</w:t>
            </w:r>
          </w:p>
        </w:tc>
        <w:tc>
          <w:tcPr>
            <w:tcW w:w="1635" w:type="dxa"/>
            <w:vAlign w:val="center"/>
          </w:tcPr>
          <w:p w14:paraId="6CCE8958">
            <w:pPr>
              <w:rPr>
                <w:rFonts w:ascii="仿宋_GB2312" w:hAnsi="仿宋" w:eastAsia="仿宋_GB2312"/>
                <w:sz w:val="24"/>
                <w:szCs w:val="24"/>
                <w:highlight w:val="none"/>
              </w:rPr>
            </w:pPr>
            <w:r>
              <w:rPr>
                <w:rFonts w:hint="eastAsia" w:ascii="仿宋_GB2312" w:hAnsi="仿宋" w:eastAsia="仿宋_GB2312"/>
                <w:sz w:val="24"/>
                <w:szCs w:val="24"/>
                <w:highlight w:val="none"/>
              </w:rPr>
              <w:t>0.43</w:t>
            </w:r>
          </w:p>
        </w:tc>
        <w:tc>
          <w:tcPr>
            <w:tcW w:w="943" w:type="dxa"/>
            <w:vAlign w:val="center"/>
          </w:tcPr>
          <w:p w14:paraId="1293847A">
            <w:pPr>
              <w:rPr>
                <w:rFonts w:ascii="仿宋_GB2312" w:hAnsi="仿宋" w:eastAsia="仿宋_GB2312"/>
                <w:sz w:val="24"/>
                <w:szCs w:val="24"/>
                <w:highlight w:val="none"/>
              </w:rPr>
            </w:pPr>
            <w:r>
              <w:rPr>
                <w:rFonts w:hint="eastAsia" w:ascii="仿宋_GB2312" w:hAnsi="仿宋" w:eastAsia="仿宋_GB2312"/>
                <w:sz w:val="24"/>
                <w:szCs w:val="24"/>
                <w:highlight w:val="none"/>
              </w:rPr>
              <w:t>300</w:t>
            </w:r>
          </w:p>
        </w:tc>
        <w:tc>
          <w:tcPr>
            <w:tcW w:w="1132" w:type="dxa"/>
            <w:vAlign w:val="center"/>
          </w:tcPr>
          <w:p w14:paraId="20C83A71">
            <w:pPr>
              <w:rPr>
                <w:rFonts w:ascii="仿宋_GB2312" w:hAnsi="仿宋" w:eastAsia="仿宋_GB2312"/>
                <w:sz w:val="24"/>
                <w:szCs w:val="24"/>
                <w:highlight w:val="none"/>
              </w:rPr>
            </w:pPr>
            <w:r>
              <w:rPr>
                <w:rFonts w:hint="eastAsia" w:ascii="仿宋_GB2312" w:hAnsi="仿宋" w:eastAsia="仿宋_GB2312"/>
                <w:sz w:val="24"/>
                <w:szCs w:val="24"/>
                <w:highlight w:val="none"/>
              </w:rPr>
              <w:t>350</w:t>
            </w:r>
          </w:p>
        </w:tc>
        <w:tc>
          <w:tcPr>
            <w:tcW w:w="1132" w:type="dxa"/>
            <w:vAlign w:val="center"/>
          </w:tcPr>
          <w:p w14:paraId="06ECCA85">
            <w:pPr>
              <w:rPr>
                <w:rFonts w:ascii="仿宋_GB2312" w:hAnsi="仿宋" w:eastAsia="仿宋_GB2312"/>
                <w:sz w:val="24"/>
                <w:szCs w:val="24"/>
                <w:highlight w:val="none"/>
              </w:rPr>
            </w:pPr>
            <w:r>
              <w:rPr>
                <w:rFonts w:hint="eastAsia" w:ascii="仿宋_GB2312" w:hAnsi="仿宋" w:eastAsia="仿宋_GB2312"/>
                <w:sz w:val="24"/>
                <w:szCs w:val="24"/>
                <w:highlight w:val="none"/>
              </w:rPr>
              <w:t>450</w:t>
            </w:r>
          </w:p>
        </w:tc>
        <w:tc>
          <w:tcPr>
            <w:tcW w:w="1132" w:type="dxa"/>
            <w:vAlign w:val="center"/>
          </w:tcPr>
          <w:p w14:paraId="02F97BD0">
            <w:pPr>
              <w:rPr>
                <w:rFonts w:ascii="仿宋_GB2312" w:hAnsi="仿宋" w:eastAsia="仿宋_GB2312"/>
                <w:sz w:val="24"/>
                <w:szCs w:val="24"/>
                <w:highlight w:val="none"/>
              </w:rPr>
            </w:pPr>
            <w:r>
              <w:rPr>
                <w:rFonts w:hint="eastAsia" w:ascii="仿宋_GB2312" w:hAnsi="仿宋" w:eastAsia="仿宋_GB2312"/>
                <w:sz w:val="24"/>
                <w:szCs w:val="24"/>
                <w:highlight w:val="none"/>
              </w:rPr>
              <w:t>C30~C45</w:t>
            </w:r>
          </w:p>
        </w:tc>
        <w:tc>
          <w:tcPr>
            <w:tcW w:w="1132" w:type="dxa"/>
          </w:tcPr>
          <w:p w14:paraId="728D721A">
            <w:pPr>
              <w:rPr>
                <w:rFonts w:ascii="仿宋_GB2312" w:hAnsi="仿宋" w:eastAsia="仿宋_GB2312"/>
                <w:sz w:val="24"/>
                <w:szCs w:val="24"/>
                <w:highlight w:val="none"/>
              </w:rPr>
            </w:pPr>
          </w:p>
        </w:tc>
      </w:tr>
      <w:tr w14:paraId="617DF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Pr>
          <w:p w14:paraId="5D595B29">
            <w:pPr>
              <w:rPr>
                <w:rFonts w:ascii="仿宋_GB2312" w:hAnsi="仿宋" w:eastAsia="仿宋_GB2312"/>
                <w:sz w:val="24"/>
                <w:szCs w:val="24"/>
                <w:highlight w:val="none"/>
              </w:rPr>
            </w:pPr>
            <w:r>
              <w:rPr>
                <w:rFonts w:hint="eastAsia" w:ascii="仿宋_GB2312" w:hAnsi="仿宋" w:eastAsia="仿宋_GB2312"/>
                <w:sz w:val="24"/>
                <w:szCs w:val="24"/>
                <w:highlight w:val="none"/>
              </w:rPr>
              <w:t>3</w:t>
            </w:r>
          </w:p>
        </w:tc>
        <w:tc>
          <w:tcPr>
            <w:tcW w:w="1230" w:type="dxa"/>
            <w:vAlign w:val="center"/>
          </w:tcPr>
          <w:p w14:paraId="4118D458">
            <w:pPr>
              <w:rPr>
                <w:rFonts w:ascii="仿宋_GB2312" w:hAnsi="仿宋" w:eastAsia="仿宋_GB2312"/>
                <w:sz w:val="24"/>
                <w:szCs w:val="24"/>
                <w:highlight w:val="none"/>
              </w:rPr>
            </w:pPr>
            <w:r>
              <w:rPr>
                <w:rFonts w:hint="eastAsia" w:ascii="仿宋_GB2312" w:hAnsi="仿宋" w:eastAsia="仿宋_GB2312"/>
                <w:sz w:val="24"/>
                <w:szCs w:val="24"/>
                <w:highlight w:val="none"/>
              </w:rPr>
              <w:t>≥C50</w:t>
            </w:r>
          </w:p>
        </w:tc>
        <w:tc>
          <w:tcPr>
            <w:tcW w:w="1635" w:type="dxa"/>
            <w:vAlign w:val="center"/>
          </w:tcPr>
          <w:p w14:paraId="4D0A2801">
            <w:pPr>
              <w:rPr>
                <w:rFonts w:ascii="仿宋_GB2312" w:hAnsi="仿宋" w:eastAsia="仿宋_GB2312"/>
                <w:sz w:val="24"/>
                <w:szCs w:val="24"/>
                <w:highlight w:val="none"/>
              </w:rPr>
            </w:pPr>
            <w:r>
              <w:rPr>
                <w:rFonts w:hint="eastAsia" w:ascii="仿宋_GB2312" w:hAnsi="仿宋" w:eastAsia="仿宋_GB2312"/>
                <w:sz w:val="24"/>
                <w:szCs w:val="24"/>
                <w:highlight w:val="none"/>
              </w:rPr>
              <w:t>0.38</w:t>
            </w:r>
          </w:p>
        </w:tc>
        <w:tc>
          <w:tcPr>
            <w:tcW w:w="943" w:type="dxa"/>
            <w:vAlign w:val="center"/>
          </w:tcPr>
          <w:p w14:paraId="0B04AED0">
            <w:pPr>
              <w:rPr>
                <w:rFonts w:ascii="仿宋_GB2312" w:hAnsi="仿宋" w:eastAsia="仿宋_GB2312"/>
                <w:sz w:val="24"/>
                <w:szCs w:val="24"/>
                <w:highlight w:val="none"/>
              </w:rPr>
            </w:pPr>
            <w:r>
              <w:rPr>
                <w:rFonts w:hint="eastAsia" w:ascii="仿宋_GB2312" w:hAnsi="仿宋" w:eastAsia="仿宋_GB2312"/>
                <w:sz w:val="24"/>
                <w:szCs w:val="24"/>
                <w:highlight w:val="none"/>
              </w:rPr>
              <w:t>320</w:t>
            </w:r>
          </w:p>
        </w:tc>
        <w:tc>
          <w:tcPr>
            <w:tcW w:w="1132" w:type="dxa"/>
            <w:vAlign w:val="center"/>
          </w:tcPr>
          <w:p w14:paraId="7BC47DC1">
            <w:pPr>
              <w:rPr>
                <w:rFonts w:ascii="仿宋_GB2312" w:hAnsi="仿宋" w:eastAsia="仿宋_GB2312"/>
                <w:sz w:val="24"/>
                <w:szCs w:val="24"/>
                <w:highlight w:val="none"/>
              </w:rPr>
            </w:pPr>
            <w:r>
              <w:rPr>
                <w:rFonts w:hint="eastAsia" w:ascii="仿宋_GB2312" w:hAnsi="仿宋" w:eastAsia="仿宋_GB2312"/>
                <w:sz w:val="24"/>
                <w:szCs w:val="24"/>
                <w:highlight w:val="none"/>
              </w:rPr>
              <w:t>400</w:t>
            </w:r>
          </w:p>
        </w:tc>
        <w:tc>
          <w:tcPr>
            <w:tcW w:w="1132" w:type="dxa"/>
            <w:vAlign w:val="center"/>
          </w:tcPr>
          <w:p w14:paraId="104C8D4F">
            <w:pPr>
              <w:rPr>
                <w:rFonts w:ascii="仿宋_GB2312" w:hAnsi="仿宋" w:eastAsia="仿宋_GB2312"/>
                <w:sz w:val="24"/>
                <w:szCs w:val="24"/>
                <w:highlight w:val="none"/>
              </w:rPr>
            </w:pPr>
            <w:r>
              <w:rPr>
                <w:rFonts w:hint="eastAsia" w:ascii="仿宋_GB2312" w:hAnsi="仿宋" w:eastAsia="仿宋_GB2312"/>
                <w:sz w:val="24"/>
                <w:szCs w:val="24"/>
                <w:highlight w:val="none"/>
              </w:rPr>
              <w:t>500</w:t>
            </w:r>
          </w:p>
        </w:tc>
        <w:tc>
          <w:tcPr>
            <w:tcW w:w="1132" w:type="dxa"/>
            <w:vAlign w:val="center"/>
          </w:tcPr>
          <w:p w14:paraId="0D005E5A">
            <w:pPr>
              <w:rPr>
                <w:rFonts w:ascii="仿宋_GB2312" w:hAnsi="仿宋" w:eastAsia="仿宋_GB2312"/>
                <w:sz w:val="24"/>
                <w:szCs w:val="24"/>
                <w:highlight w:val="none"/>
              </w:rPr>
            </w:pPr>
            <w:r>
              <w:rPr>
                <w:rFonts w:hint="eastAsia" w:ascii="仿宋_GB2312" w:hAnsi="仿宋" w:eastAsia="仿宋_GB2312"/>
                <w:sz w:val="24"/>
                <w:szCs w:val="24"/>
                <w:highlight w:val="none"/>
              </w:rPr>
              <w:t>≥C50</w:t>
            </w:r>
          </w:p>
        </w:tc>
        <w:tc>
          <w:tcPr>
            <w:tcW w:w="1132" w:type="dxa"/>
          </w:tcPr>
          <w:p w14:paraId="00A145FD">
            <w:pPr>
              <w:rPr>
                <w:rFonts w:ascii="仿宋_GB2312" w:hAnsi="仿宋" w:eastAsia="仿宋_GB2312"/>
                <w:sz w:val="24"/>
                <w:szCs w:val="24"/>
                <w:highlight w:val="none"/>
              </w:rPr>
            </w:pPr>
          </w:p>
        </w:tc>
      </w:tr>
      <w:permEnd w:id="35"/>
    </w:tbl>
    <w:p w14:paraId="377CF838">
      <w:pPr>
        <w:pStyle w:val="5"/>
        <w:keepNext w:val="0"/>
        <w:keepLines w:val="0"/>
        <w:spacing w:line="240" w:lineRule="auto"/>
        <w:ind w:firstLine="482"/>
        <w:rPr>
          <w:rFonts w:ascii="仿宋_GB2312" w:hAnsi="仿宋" w:eastAsia="仿宋_GB2312"/>
          <w:sz w:val="24"/>
          <w:szCs w:val="24"/>
          <w:highlight w:val="none"/>
        </w:rPr>
      </w:pPr>
      <w:r>
        <w:rPr>
          <w:rFonts w:ascii="仿宋_GB2312" w:hAnsi="仿宋" w:eastAsia="仿宋_GB2312"/>
          <w:sz w:val="24"/>
          <w:szCs w:val="24"/>
          <w:highlight w:val="none"/>
        </w:rPr>
        <w:t>1</w:t>
      </w:r>
      <w:r>
        <w:rPr>
          <w:rFonts w:hint="eastAsia" w:ascii="仿宋_GB2312" w:hAnsi="仿宋" w:eastAsia="仿宋_GB2312"/>
          <w:sz w:val="24"/>
          <w:szCs w:val="24"/>
          <w:highlight w:val="none"/>
        </w:rPr>
        <w:t>.3国家标准/行业标准/企业标准：</w:t>
      </w:r>
    </w:p>
    <w:p w14:paraId="2A81F089">
      <w:pPr>
        <w:ind w:firstLine="480" w:firstLineChars="200"/>
        <w:rPr>
          <w:rFonts w:hint="default" w:ascii="仿宋_GB2312" w:hAnsi="仿宋" w:eastAsia="仿宋_GB2312"/>
          <w:color w:val="auto"/>
          <w:sz w:val="24"/>
          <w:szCs w:val="24"/>
          <w:highlight w:val="none"/>
          <w:lang w:val="en-US" w:eastAsia="zh-CN"/>
        </w:rPr>
      </w:pPr>
      <w:permStart w:id="36" w:edGrp="everyone"/>
      <w:r>
        <w:rPr>
          <w:rFonts w:hint="eastAsia" w:ascii="仿宋_GB2312" w:hAnsi="仿宋" w:eastAsia="仿宋_GB2312"/>
          <w:color w:val="auto"/>
          <w:sz w:val="24"/>
          <w:szCs w:val="24"/>
          <w:highlight w:val="none"/>
        </w:rPr>
        <w:t>《建</w:t>
      </w:r>
      <w:r>
        <w:rPr>
          <w:rFonts w:hint="eastAsia" w:ascii="仿宋_GB2312" w:hAnsi="仿宋" w:eastAsia="仿宋_GB2312"/>
          <w:color w:val="auto"/>
          <w:sz w:val="24"/>
          <w:szCs w:val="24"/>
          <w:highlight w:val="none"/>
          <w:lang w:val="en-US" w:eastAsia="zh-CN"/>
        </w:rPr>
        <w:t>设</w:t>
      </w:r>
      <w:r>
        <w:rPr>
          <w:rFonts w:hint="eastAsia" w:ascii="仿宋_GB2312" w:hAnsi="仿宋" w:eastAsia="仿宋_GB2312"/>
          <w:color w:val="auto"/>
          <w:sz w:val="24"/>
          <w:szCs w:val="24"/>
          <w:highlight w:val="none"/>
        </w:rPr>
        <w:t>用砂》GB/T</w:t>
      </w:r>
      <w:r>
        <w:rPr>
          <w:rFonts w:hint="eastAsia" w:ascii="仿宋_GB2312" w:hAnsi="仿宋" w:eastAsia="仿宋_GB2312"/>
          <w:color w:val="auto"/>
          <w:sz w:val="24"/>
          <w:szCs w:val="24"/>
          <w:highlight w:val="none"/>
          <w:lang w:val="en-US" w:eastAsia="zh-CN"/>
        </w:rPr>
        <w:t xml:space="preserve"> </w:t>
      </w:r>
      <w:r>
        <w:rPr>
          <w:rFonts w:hint="eastAsia" w:ascii="仿宋_GB2312" w:hAnsi="仿宋" w:eastAsia="仿宋_GB2312"/>
          <w:color w:val="auto"/>
          <w:sz w:val="24"/>
          <w:szCs w:val="24"/>
          <w:highlight w:val="none"/>
        </w:rPr>
        <w:t>14684-</w:t>
      </w:r>
      <w:r>
        <w:rPr>
          <w:rFonts w:hint="eastAsia" w:ascii="仿宋_GB2312" w:hAnsi="仿宋" w:eastAsia="仿宋_GB2312"/>
          <w:color w:val="auto"/>
          <w:sz w:val="24"/>
          <w:szCs w:val="24"/>
          <w:highlight w:val="none"/>
          <w:lang w:val="en-US" w:eastAsia="zh-CN"/>
        </w:rPr>
        <w:t>2022</w:t>
      </w:r>
    </w:p>
    <w:p w14:paraId="299F39B6">
      <w:pPr>
        <w:widowControl/>
        <w:ind w:firstLine="480" w:firstLineChars="200"/>
        <w:jc w:val="left"/>
        <w:rPr>
          <w:rFonts w:ascii="仿宋_GB2312" w:hAnsi="仿宋" w:eastAsia="仿宋_GB2312"/>
          <w:color w:val="auto"/>
          <w:sz w:val="24"/>
          <w:szCs w:val="24"/>
          <w:highlight w:val="none"/>
        </w:rPr>
      </w:pPr>
      <w:r>
        <w:rPr>
          <w:rFonts w:hint="eastAsia" w:ascii="仿宋_GB2312" w:hAnsi="仿宋" w:eastAsia="仿宋_GB2312"/>
          <w:color w:val="auto"/>
          <w:sz w:val="24"/>
          <w:szCs w:val="24"/>
          <w:highlight w:val="none"/>
        </w:rPr>
        <w:t>《建设用卵石、碎石》（GB/T 14685-20</w:t>
      </w:r>
      <w:r>
        <w:rPr>
          <w:rFonts w:hint="eastAsia" w:ascii="仿宋_GB2312" w:hAnsi="仿宋" w:eastAsia="仿宋_GB2312"/>
          <w:color w:val="auto"/>
          <w:sz w:val="24"/>
          <w:szCs w:val="24"/>
          <w:highlight w:val="none"/>
          <w:lang w:val="en-US" w:eastAsia="zh-CN"/>
        </w:rPr>
        <w:t>22</w:t>
      </w:r>
      <w:r>
        <w:rPr>
          <w:rFonts w:hint="eastAsia" w:ascii="仿宋_GB2312" w:hAnsi="仿宋" w:eastAsia="仿宋_GB2312"/>
          <w:color w:val="auto"/>
          <w:sz w:val="24"/>
          <w:szCs w:val="24"/>
          <w:highlight w:val="none"/>
        </w:rPr>
        <w:t>）</w:t>
      </w:r>
    </w:p>
    <w:p w14:paraId="6CFF74AA">
      <w:pPr>
        <w:ind w:firstLine="480" w:firstLineChars="200"/>
        <w:rPr>
          <w:rFonts w:ascii="仿宋_GB2312" w:hAnsi="仿宋" w:eastAsia="仿宋_GB2312"/>
          <w:color w:val="auto"/>
          <w:sz w:val="24"/>
          <w:szCs w:val="24"/>
          <w:highlight w:val="none"/>
        </w:rPr>
      </w:pPr>
      <w:r>
        <w:rPr>
          <w:rFonts w:hint="eastAsia" w:ascii="仿宋_GB2312" w:hAnsi="仿宋" w:eastAsia="仿宋_GB2312"/>
          <w:color w:val="auto"/>
          <w:sz w:val="24"/>
          <w:szCs w:val="24"/>
          <w:highlight w:val="none"/>
        </w:rPr>
        <w:t>《混凝土外加剂匀质性试验方法》 (GB/T 8077-</w:t>
      </w:r>
      <w:r>
        <w:rPr>
          <w:rFonts w:hint="eastAsia" w:ascii="仿宋_GB2312" w:hAnsi="仿宋" w:eastAsia="仿宋_GB2312"/>
          <w:color w:val="auto"/>
          <w:sz w:val="24"/>
          <w:szCs w:val="24"/>
          <w:highlight w:val="none"/>
          <w:lang w:val="en-US" w:eastAsia="zh-CN"/>
        </w:rPr>
        <w:t>2023</w:t>
      </w:r>
      <w:r>
        <w:rPr>
          <w:rFonts w:hint="eastAsia" w:ascii="仿宋_GB2312" w:hAnsi="仿宋" w:eastAsia="仿宋_GB2312"/>
          <w:color w:val="auto"/>
          <w:sz w:val="24"/>
          <w:szCs w:val="24"/>
          <w:highlight w:val="none"/>
        </w:rPr>
        <w:t>)</w:t>
      </w:r>
    </w:p>
    <w:p w14:paraId="492FD5CB">
      <w:pPr>
        <w:ind w:firstLine="480" w:firstLineChars="200"/>
        <w:rPr>
          <w:rFonts w:ascii="仿宋_GB2312" w:hAnsi="仿宋" w:eastAsia="仿宋_GB2312"/>
          <w:color w:val="auto"/>
          <w:sz w:val="24"/>
          <w:szCs w:val="24"/>
          <w:highlight w:val="none"/>
        </w:rPr>
      </w:pPr>
      <w:r>
        <w:rPr>
          <w:rFonts w:hint="eastAsia" w:ascii="仿宋_GB2312" w:hAnsi="仿宋" w:eastAsia="仿宋_GB2312"/>
          <w:color w:val="auto"/>
          <w:sz w:val="24"/>
          <w:szCs w:val="24"/>
          <w:highlight w:val="none"/>
        </w:rPr>
        <w:t>《混凝土外加剂应用技术规范》 (GB</w:t>
      </w:r>
      <w:r>
        <w:rPr>
          <w:rFonts w:hint="eastAsia" w:ascii="仿宋_GB2312" w:hAnsi="仿宋" w:eastAsia="仿宋_GB2312"/>
          <w:color w:val="auto"/>
          <w:sz w:val="24"/>
          <w:szCs w:val="24"/>
          <w:highlight w:val="none"/>
          <w:lang w:val="en-US" w:eastAsia="zh-CN"/>
        </w:rPr>
        <w:t xml:space="preserve"> </w:t>
      </w:r>
      <w:r>
        <w:rPr>
          <w:rFonts w:hint="eastAsia" w:ascii="仿宋_GB2312" w:hAnsi="仿宋" w:eastAsia="仿宋_GB2312"/>
          <w:color w:val="auto"/>
          <w:sz w:val="24"/>
          <w:szCs w:val="24"/>
          <w:highlight w:val="none"/>
        </w:rPr>
        <w:t>50119-2013)</w:t>
      </w:r>
    </w:p>
    <w:p w14:paraId="64C1469F">
      <w:pPr>
        <w:ind w:firstLine="480" w:firstLineChars="200"/>
        <w:rPr>
          <w:rFonts w:ascii="仿宋_GB2312" w:hAnsi="仿宋" w:eastAsia="仿宋_GB2312"/>
          <w:color w:val="auto"/>
          <w:sz w:val="24"/>
          <w:szCs w:val="24"/>
          <w:highlight w:val="none"/>
        </w:rPr>
      </w:pPr>
      <w:r>
        <w:rPr>
          <w:rFonts w:hint="eastAsia" w:ascii="仿宋_GB2312" w:hAnsi="仿宋" w:eastAsia="仿宋_GB2312"/>
          <w:color w:val="auto"/>
          <w:sz w:val="24"/>
          <w:szCs w:val="24"/>
          <w:highlight w:val="none"/>
        </w:rPr>
        <w:t>《混凝土结构设计</w:t>
      </w:r>
      <w:r>
        <w:rPr>
          <w:rFonts w:hint="eastAsia" w:ascii="仿宋_GB2312" w:hAnsi="仿宋" w:eastAsia="仿宋_GB2312"/>
          <w:color w:val="auto"/>
          <w:sz w:val="24"/>
          <w:szCs w:val="24"/>
          <w:highlight w:val="none"/>
          <w:lang w:val="en-US" w:eastAsia="zh-CN"/>
        </w:rPr>
        <w:t>标准</w:t>
      </w:r>
      <w:r>
        <w:rPr>
          <w:rFonts w:hint="eastAsia" w:ascii="仿宋_GB2312" w:hAnsi="仿宋" w:eastAsia="仿宋_GB2312"/>
          <w:color w:val="auto"/>
          <w:sz w:val="24"/>
          <w:szCs w:val="24"/>
          <w:highlight w:val="none"/>
        </w:rPr>
        <w:t>》（GB</w:t>
      </w:r>
      <w:r>
        <w:rPr>
          <w:rFonts w:hint="eastAsia" w:ascii="仿宋_GB2312" w:hAnsi="仿宋" w:eastAsia="仿宋_GB2312"/>
          <w:color w:val="auto"/>
          <w:sz w:val="24"/>
          <w:szCs w:val="24"/>
          <w:highlight w:val="none"/>
          <w:lang w:val="en-US" w:eastAsia="zh-CN"/>
        </w:rPr>
        <w:t xml:space="preserve"> </w:t>
      </w:r>
      <w:r>
        <w:rPr>
          <w:rFonts w:hint="eastAsia" w:ascii="仿宋_GB2312" w:hAnsi="仿宋" w:eastAsia="仿宋_GB2312"/>
          <w:color w:val="auto"/>
          <w:sz w:val="24"/>
          <w:szCs w:val="24"/>
          <w:highlight w:val="none"/>
        </w:rPr>
        <w:t>50010-2010）</w:t>
      </w:r>
    </w:p>
    <w:p w14:paraId="69749D82">
      <w:pPr>
        <w:ind w:firstLine="480" w:firstLineChars="200"/>
        <w:rPr>
          <w:rFonts w:ascii="仿宋_GB2312" w:hAnsi="仿宋" w:eastAsia="仿宋_GB2312"/>
          <w:color w:val="auto"/>
          <w:sz w:val="24"/>
          <w:szCs w:val="24"/>
          <w:highlight w:val="none"/>
        </w:rPr>
      </w:pPr>
      <w:r>
        <w:rPr>
          <w:rFonts w:hint="eastAsia" w:ascii="仿宋_GB2312" w:hAnsi="仿宋" w:eastAsia="仿宋_GB2312"/>
          <w:color w:val="auto"/>
          <w:sz w:val="24"/>
          <w:szCs w:val="24"/>
          <w:highlight w:val="none"/>
        </w:rPr>
        <w:t>《混凝土结构工程施工质量验收规范》(GB</w:t>
      </w:r>
      <w:r>
        <w:rPr>
          <w:rFonts w:hint="eastAsia" w:ascii="仿宋_GB2312" w:hAnsi="仿宋" w:eastAsia="仿宋_GB2312"/>
          <w:color w:val="auto"/>
          <w:sz w:val="24"/>
          <w:szCs w:val="24"/>
          <w:highlight w:val="none"/>
          <w:lang w:val="en-US" w:eastAsia="zh-CN"/>
        </w:rPr>
        <w:t xml:space="preserve"> </w:t>
      </w:r>
      <w:r>
        <w:rPr>
          <w:rFonts w:hint="eastAsia" w:ascii="仿宋_GB2312" w:hAnsi="仿宋" w:eastAsia="仿宋_GB2312"/>
          <w:color w:val="auto"/>
          <w:sz w:val="24"/>
          <w:szCs w:val="24"/>
          <w:highlight w:val="none"/>
        </w:rPr>
        <w:t>50204-2015)</w:t>
      </w:r>
    </w:p>
    <w:p w14:paraId="1DD530A7">
      <w:pPr>
        <w:ind w:firstLine="480" w:firstLineChars="200"/>
        <w:rPr>
          <w:rFonts w:ascii="仿宋_GB2312" w:hAnsi="仿宋" w:eastAsia="仿宋_GB2312"/>
          <w:sz w:val="24"/>
          <w:szCs w:val="24"/>
          <w:highlight w:val="none"/>
        </w:rPr>
      </w:pPr>
      <w:r>
        <w:rPr>
          <w:rFonts w:hint="eastAsia" w:ascii="仿宋_GB2312" w:hAnsi="仿宋" w:eastAsia="仿宋_GB2312"/>
          <w:color w:val="auto"/>
          <w:sz w:val="24"/>
          <w:szCs w:val="24"/>
          <w:highlight w:val="none"/>
        </w:rPr>
        <w:t>《混凝土结构耐久性设计</w:t>
      </w:r>
      <w:r>
        <w:rPr>
          <w:rFonts w:hint="eastAsia" w:ascii="仿宋_GB2312" w:hAnsi="仿宋" w:eastAsia="仿宋_GB2312"/>
          <w:color w:val="auto"/>
          <w:sz w:val="24"/>
          <w:szCs w:val="24"/>
          <w:highlight w:val="none"/>
          <w:lang w:val="en-US" w:eastAsia="zh-CN"/>
        </w:rPr>
        <w:t>标准</w:t>
      </w:r>
      <w:r>
        <w:rPr>
          <w:rFonts w:hint="eastAsia" w:ascii="仿宋_GB2312" w:hAnsi="仿宋" w:eastAsia="仿宋_GB2312"/>
          <w:color w:val="auto"/>
          <w:sz w:val="24"/>
          <w:szCs w:val="24"/>
          <w:highlight w:val="none"/>
        </w:rPr>
        <w:t>》(GB/T</w:t>
      </w:r>
      <w:r>
        <w:rPr>
          <w:rFonts w:hint="eastAsia" w:ascii="仿宋_GB2312" w:hAnsi="仿宋" w:eastAsia="仿宋_GB2312"/>
          <w:color w:val="auto"/>
          <w:sz w:val="24"/>
          <w:szCs w:val="24"/>
          <w:highlight w:val="none"/>
          <w:lang w:val="en-US" w:eastAsia="zh-CN"/>
        </w:rPr>
        <w:t xml:space="preserve"> </w:t>
      </w:r>
      <w:r>
        <w:rPr>
          <w:rFonts w:hint="eastAsia" w:ascii="仿宋_GB2312" w:hAnsi="仿宋" w:eastAsia="仿宋_GB2312"/>
          <w:color w:val="auto"/>
          <w:sz w:val="24"/>
          <w:szCs w:val="24"/>
          <w:highlight w:val="none"/>
        </w:rPr>
        <w:t>50476-</w:t>
      </w:r>
      <w:r>
        <w:rPr>
          <w:rFonts w:hint="eastAsia" w:ascii="仿宋_GB2312" w:hAnsi="仿宋" w:eastAsia="仿宋_GB2312"/>
          <w:color w:val="auto"/>
          <w:sz w:val="24"/>
          <w:szCs w:val="24"/>
          <w:highlight w:val="none"/>
          <w:lang w:val="en-US" w:eastAsia="zh-CN"/>
        </w:rPr>
        <w:t>2019</w:t>
      </w:r>
      <w:r>
        <w:rPr>
          <w:rFonts w:hint="eastAsia" w:ascii="仿宋_GB2312" w:hAnsi="仿宋" w:eastAsia="仿宋_GB2312"/>
          <w:color w:val="auto"/>
          <w:sz w:val="24"/>
          <w:szCs w:val="24"/>
          <w:highlight w:val="none"/>
        </w:rPr>
        <w:t>)</w:t>
      </w:r>
    </w:p>
    <w:p w14:paraId="20D6AEAC">
      <w:pPr>
        <w:ind w:firstLine="480" w:firstLineChars="200"/>
        <w:rPr>
          <w:rFonts w:ascii="仿宋_GB2312" w:hAnsi="仿宋" w:eastAsia="仿宋_GB2312"/>
          <w:color w:val="00B0F0"/>
          <w:sz w:val="24"/>
          <w:szCs w:val="24"/>
          <w:highlight w:val="none"/>
          <w:u w:val="single"/>
        </w:rPr>
      </w:pPr>
      <w:r>
        <w:rPr>
          <w:rFonts w:hint="eastAsia" w:ascii="仿宋_GB2312" w:hAnsi="仿宋" w:eastAsia="仿宋_GB2312"/>
          <w:color w:val="00B0F0"/>
          <w:sz w:val="24"/>
          <w:szCs w:val="24"/>
          <w:highlight w:val="none"/>
        </w:rPr>
        <w:t>《预防混凝土结构工程碱集料反应规程》(DBJ01-95-2005)（北京规范）</w:t>
      </w:r>
    </w:p>
    <w:p w14:paraId="09FD182E">
      <w:pPr>
        <w:ind w:firstLine="480" w:firstLineChars="200"/>
        <w:rPr>
          <w:rFonts w:ascii="仿宋_GB2312" w:hAnsi="仿宋" w:eastAsia="仿宋_GB2312"/>
          <w:sz w:val="24"/>
          <w:szCs w:val="24"/>
          <w:highlight w:val="none"/>
        </w:rPr>
      </w:pPr>
      <w:r>
        <w:rPr>
          <w:rFonts w:hint="eastAsia" w:ascii="仿宋_GB2312" w:hAnsi="仿宋" w:eastAsia="仿宋_GB2312"/>
          <w:sz w:val="24"/>
          <w:szCs w:val="24"/>
          <w:highlight w:val="none"/>
        </w:rPr>
        <w:t>《混凝土强度检验评定标准》(GB/T</w:t>
      </w:r>
      <w:r>
        <w:rPr>
          <w:rFonts w:hint="eastAsia" w:ascii="仿宋_GB2312" w:hAnsi="仿宋" w:eastAsia="仿宋_GB2312"/>
          <w:sz w:val="24"/>
          <w:szCs w:val="24"/>
          <w:highlight w:val="none"/>
          <w:lang w:val="en-US" w:eastAsia="zh-CN"/>
        </w:rPr>
        <w:t xml:space="preserve"> </w:t>
      </w:r>
      <w:r>
        <w:rPr>
          <w:rFonts w:hint="eastAsia" w:ascii="仿宋_GB2312" w:hAnsi="仿宋" w:eastAsia="仿宋_GB2312"/>
          <w:sz w:val="24"/>
          <w:szCs w:val="24"/>
          <w:highlight w:val="none"/>
        </w:rPr>
        <w:t>50107-2010)</w:t>
      </w:r>
    </w:p>
    <w:p w14:paraId="182761AB">
      <w:pPr>
        <w:ind w:firstLine="480" w:firstLineChars="200"/>
        <w:rPr>
          <w:rFonts w:ascii="仿宋_GB2312" w:hAnsi="仿宋" w:eastAsia="仿宋_GB2312"/>
          <w:sz w:val="24"/>
          <w:szCs w:val="24"/>
          <w:highlight w:val="none"/>
        </w:rPr>
      </w:pPr>
      <w:r>
        <w:rPr>
          <w:rFonts w:hint="eastAsia" w:ascii="仿宋_GB2312" w:hAnsi="仿宋" w:eastAsia="仿宋_GB2312"/>
          <w:sz w:val="24"/>
          <w:szCs w:val="24"/>
          <w:highlight w:val="none"/>
        </w:rPr>
        <w:t>《混凝土质量控制标准》(GB</w:t>
      </w:r>
      <w:r>
        <w:rPr>
          <w:rFonts w:hint="eastAsia" w:ascii="仿宋_GB2312" w:hAnsi="仿宋" w:eastAsia="仿宋_GB2312"/>
          <w:sz w:val="24"/>
          <w:szCs w:val="24"/>
          <w:highlight w:val="none"/>
          <w:lang w:val="en-US" w:eastAsia="zh-CN"/>
        </w:rPr>
        <w:t xml:space="preserve"> </w:t>
      </w:r>
      <w:r>
        <w:rPr>
          <w:rFonts w:hint="eastAsia" w:ascii="仿宋_GB2312" w:hAnsi="仿宋" w:eastAsia="仿宋_GB2312"/>
          <w:sz w:val="24"/>
          <w:szCs w:val="24"/>
          <w:highlight w:val="none"/>
        </w:rPr>
        <w:t>50164-2011)</w:t>
      </w:r>
    </w:p>
    <w:p w14:paraId="4208D745">
      <w:pPr>
        <w:ind w:firstLine="480" w:firstLineChars="200"/>
        <w:rPr>
          <w:rFonts w:ascii="仿宋_GB2312" w:hAnsi="仿宋" w:eastAsia="仿宋_GB2312"/>
          <w:sz w:val="24"/>
          <w:szCs w:val="24"/>
          <w:highlight w:val="none"/>
        </w:rPr>
      </w:pPr>
      <w:r>
        <w:rPr>
          <w:rFonts w:hint="eastAsia" w:ascii="仿宋_GB2312" w:hAnsi="仿宋" w:eastAsia="仿宋_GB2312"/>
          <w:sz w:val="24"/>
          <w:szCs w:val="24"/>
          <w:highlight w:val="none"/>
        </w:rPr>
        <w:t>《普通混凝土配合比设计规程》(JGJ</w:t>
      </w:r>
      <w:r>
        <w:rPr>
          <w:rFonts w:hint="eastAsia" w:ascii="仿宋_GB2312" w:hAnsi="仿宋" w:eastAsia="仿宋_GB2312"/>
          <w:sz w:val="24"/>
          <w:szCs w:val="24"/>
          <w:highlight w:val="none"/>
          <w:lang w:val="en-US" w:eastAsia="zh-CN"/>
        </w:rPr>
        <w:t xml:space="preserve"> </w:t>
      </w:r>
      <w:r>
        <w:rPr>
          <w:rFonts w:hint="eastAsia" w:ascii="仿宋_GB2312" w:hAnsi="仿宋" w:eastAsia="仿宋_GB2312"/>
          <w:sz w:val="24"/>
          <w:szCs w:val="24"/>
          <w:highlight w:val="none"/>
        </w:rPr>
        <w:t>55-2011)</w:t>
      </w:r>
    </w:p>
    <w:p w14:paraId="05BE7EA2">
      <w:pPr>
        <w:ind w:firstLine="480" w:firstLineChars="200"/>
        <w:rPr>
          <w:rFonts w:ascii="仿宋_GB2312" w:hAnsi="仿宋" w:eastAsia="仿宋_GB2312"/>
          <w:sz w:val="24"/>
          <w:szCs w:val="24"/>
          <w:highlight w:val="none"/>
        </w:rPr>
      </w:pPr>
      <w:r>
        <w:rPr>
          <w:rFonts w:hint="eastAsia" w:ascii="仿宋_GB2312" w:hAnsi="仿宋" w:eastAsia="仿宋_GB2312"/>
          <w:sz w:val="24"/>
          <w:szCs w:val="24"/>
          <w:highlight w:val="none"/>
        </w:rPr>
        <w:t>《混凝土用水标准》(JGJ</w:t>
      </w:r>
      <w:r>
        <w:rPr>
          <w:rFonts w:hint="eastAsia" w:ascii="仿宋_GB2312" w:hAnsi="仿宋" w:eastAsia="仿宋_GB2312"/>
          <w:sz w:val="24"/>
          <w:szCs w:val="24"/>
          <w:highlight w:val="none"/>
          <w:lang w:val="en-US" w:eastAsia="zh-CN"/>
        </w:rPr>
        <w:t xml:space="preserve"> </w:t>
      </w:r>
      <w:r>
        <w:rPr>
          <w:rFonts w:hint="eastAsia" w:ascii="仿宋_GB2312" w:hAnsi="仿宋" w:eastAsia="仿宋_GB2312"/>
          <w:sz w:val="24"/>
          <w:szCs w:val="24"/>
          <w:highlight w:val="none"/>
        </w:rPr>
        <w:t>63-2006)</w:t>
      </w:r>
    </w:p>
    <w:p w14:paraId="7688623A">
      <w:pPr>
        <w:ind w:firstLine="480" w:firstLineChars="200"/>
        <w:rPr>
          <w:rFonts w:ascii="仿宋_GB2312" w:hAnsi="仿宋" w:eastAsia="仿宋_GB2312"/>
          <w:sz w:val="24"/>
          <w:szCs w:val="24"/>
          <w:highlight w:val="none"/>
        </w:rPr>
      </w:pPr>
      <w:r>
        <w:rPr>
          <w:rFonts w:hint="eastAsia" w:ascii="仿宋_GB2312" w:hAnsi="仿宋" w:eastAsia="仿宋_GB2312"/>
          <w:sz w:val="24"/>
          <w:szCs w:val="24"/>
          <w:highlight w:val="none"/>
        </w:rPr>
        <w:t>《混凝土外加剂》 (GB</w:t>
      </w:r>
      <w:r>
        <w:rPr>
          <w:rFonts w:hint="eastAsia" w:ascii="仿宋_GB2312" w:hAnsi="仿宋" w:eastAsia="仿宋_GB2312"/>
          <w:sz w:val="24"/>
          <w:szCs w:val="24"/>
          <w:highlight w:val="none"/>
          <w:lang w:val="en-US" w:eastAsia="zh-CN"/>
        </w:rPr>
        <w:t xml:space="preserve"> </w:t>
      </w:r>
      <w:r>
        <w:rPr>
          <w:rFonts w:hint="eastAsia" w:ascii="仿宋_GB2312" w:hAnsi="仿宋" w:eastAsia="仿宋_GB2312"/>
          <w:sz w:val="24"/>
          <w:szCs w:val="24"/>
          <w:highlight w:val="none"/>
        </w:rPr>
        <w:t>8076-2008)</w:t>
      </w:r>
    </w:p>
    <w:p w14:paraId="75B3C09F">
      <w:pPr>
        <w:ind w:firstLine="480" w:firstLineChars="200"/>
        <w:rPr>
          <w:rFonts w:ascii="仿宋_GB2312" w:hAnsi="仿宋" w:eastAsia="仿宋_GB2312"/>
          <w:color w:val="auto"/>
          <w:sz w:val="24"/>
          <w:szCs w:val="24"/>
          <w:highlight w:val="none"/>
        </w:rPr>
      </w:pPr>
      <w:r>
        <w:rPr>
          <w:rFonts w:hint="eastAsia" w:ascii="仿宋_GB2312" w:hAnsi="仿宋" w:eastAsia="仿宋_GB2312"/>
          <w:color w:val="auto"/>
          <w:sz w:val="24"/>
          <w:szCs w:val="24"/>
          <w:highlight w:val="none"/>
        </w:rPr>
        <w:t>《通用硅酸盐水泥》 (GB 175-</w:t>
      </w:r>
      <w:r>
        <w:rPr>
          <w:rFonts w:hint="eastAsia" w:ascii="仿宋_GB2312" w:hAnsi="仿宋" w:eastAsia="仿宋_GB2312"/>
          <w:color w:val="auto"/>
          <w:sz w:val="24"/>
          <w:szCs w:val="24"/>
          <w:highlight w:val="none"/>
          <w:lang w:val="en-US" w:eastAsia="zh-CN"/>
        </w:rPr>
        <w:t>2023</w:t>
      </w:r>
      <w:r>
        <w:rPr>
          <w:rFonts w:hint="eastAsia" w:ascii="仿宋_GB2312" w:hAnsi="仿宋" w:eastAsia="仿宋_GB2312"/>
          <w:color w:val="auto"/>
          <w:sz w:val="24"/>
          <w:szCs w:val="24"/>
          <w:highlight w:val="none"/>
        </w:rPr>
        <w:t>)</w:t>
      </w:r>
    </w:p>
    <w:p w14:paraId="1C229BDF">
      <w:pPr>
        <w:ind w:firstLine="480" w:firstLineChars="200"/>
        <w:rPr>
          <w:rFonts w:ascii="仿宋_GB2312" w:hAnsi="仿宋" w:eastAsia="仿宋_GB2312"/>
          <w:sz w:val="24"/>
          <w:szCs w:val="24"/>
          <w:highlight w:val="none"/>
        </w:rPr>
      </w:pPr>
      <w:r>
        <w:rPr>
          <w:rFonts w:hint="eastAsia" w:ascii="仿宋_GB2312" w:hAnsi="仿宋" w:eastAsia="仿宋_GB2312"/>
          <w:color w:val="auto"/>
          <w:sz w:val="24"/>
          <w:szCs w:val="24"/>
          <w:highlight w:val="none"/>
        </w:rPr>
        <w:t>《普通混凝土用砂、石质量及检验方</w:t>
      </w:r>
      <w:r>
        <w:rPr>
          <w:rFonts w:hint="eastAsia" w:ascii="仿宋_GB2312" w:hAnsi="仿宋" w:eastAsia="仿宋_GB2312"/>
          <w:sz w:val="24"/>
          <w:szCs w:val="24"/>
          <w:highlight w:val="none"/>
        </w:rPr>
        <w:t>法标准》 (JGJ</w:t>
      </w:r>
      <w:r>
        <w:rPr>
          <w:rFonts w:hint="eastAsia" w:ascii="仿宋_GB2312" w:hAnsi="仿宋" w:eastAsia="仿宋_GB2312"/>
          <w:sz w:val="24"/>
          <w:szCs w:val="24"/>
          <w:highlight w:val="none"/>
          <w:lang w:val="en-US" w:eastAsia="zh-CN"/>
        </w:rPr>
        <w:t xml:space="preserve"> </w:t>
      </w:r>
      <w:r>
        <w:rPr>
          <w:rFonts w:hint="eastAsia" w:ascii="仿宋_GB2312" w:hAnsi="仿宋" w:eastAsia="仿宋_GB2312"/>
          <w:sz w:val="24"/>
          <w:szCs w:val="24"/>
          <w:highlight w:val="none"/>
        </w:rPr>
        <w:t>52-2006)</w:t>
      </w:r>
    </w:p>
    <w:p w14:paraId="4025F03B">
      <w:pPr>
        <w:ind w:firstLine="480" w:firstLineChars="200"/>
        <w:rPr>
          <w:rFonts w:ascii="仿宋_GB2312" w:hAnsi="仿宋" w:eastAsia="仿宋_GB2312"/>
          <w:sz w:val="24"/>
          <w:szCs w:val="24"/>
          <w:highlight w:val="none"/>
        </w:rPr>
      </w:pPr>
      <w:r>
        <w:rPr>
          <w:rFonts w:hint="eastAsia" w:ascii="仿宋_GB2312" w:hAnsi="仿宋" w:eastAsia="仿宋_GB2312"/>
          <w:sz w:val="24"/>
          <w:szCs w:val="24"/>
          <w:highlight w:val="none"/>
        </w:rPr>
        <w:t>《预拌混凝土》(GB/T 14902-2012)</w:t>
      </w:r>
    </w:p>
    <w:p w14:paraId="190FFDB6">
      <w:pPr>
        <w:ind w:firstLine="480" w:firstLineChars="200"/>
        <w:rPr>
          <w:rFonts w:ascii="仿宋_GB2312" w:hAnsi="仿宋" w:eastAsia="仿宋_GB2312"/>
          <w:sz w:val="24"/>
          <w:szCs w:val="24"/>
          <w:highlight w:val="none"/>
        </w:rPr>
      </w:pPr>
      <w:r>
        <w:rPr>
          <w:rFonts w:hint="eastAsia" w:ascii="仿宋_GB2312" w:hAnsi="仿宋" w:eastAsia="仿宋_GB2312"/>
          <w:sz w:val="24"/>
          <w:szCs w:val="24"/>
          <w:highlight w:val="none"/>
        </w:rPr>
        <w:t>《混凝土泵送施工技术规程》（JGJ/T</w:t>
      </w:r>
      <w:r>
        <w:rPr>
          <w:rFonts w:hint="eastAsia" w:ascii="仿宋_GB2312" w:hAnsi="仿宋" w:eastAsia="仿宋_GB2312"/>
          <w:sz w:val="24"/>
          <w:szCs w:val="24"/>
          <w:highlight w:val="none"/>
          <w:lang w:val="en-US" w:eastAsia="zh-CN"/>
        </w:rPr>
        <w:t xml:space="preserve"> </w:t>
      </w:r>
      <w:r>
        <w:rPr>
          <w:rFonts w:hint="eastAsia" w:ascii="仿宋_GB2312" w:hAnsi="仿宋" w:eastAsia="仿宋_GB2312"/>
          <w:sz w:val="24"/>
          <w:szCs w:val="24"/>
          <w:highlight w:val="none"/>
        </w:rPr>
        <w:t>10-2011）</w:t>
      </w:r>
    </w:p>
    <w:p w14:paraId="252E09C9">
      <w:pPr>
        <w:ind w:firstLine="480" w:firstLineChars="200"/>
        <w:rPr>
          <w:rFonts w:ascii="仿宋_GB2312" w:hAnsi="仿宋" w:eastAsia="仿宋_GB2312"/>
          <w:sz w:val="24"/>
          <w:szCs w:val="24"/>
          <w:highlight w:val="none"/>
        </w:rPr>
      </w:pPr>
      <w:r>
        <w:rPr>
          <w:rFonts w:hint="eastAsia" w:ascii="仿宋_GB2312" w:hAnsi="仿宋" w:eastAsia="仿宋_GB2312"/>
          <w:sz w:val="24"/>
          <w:szCs w:val="24"/>
          <w:highlight w:val="none"/>
        </w:rPr>
        <w:t>《建筑工程冬期施工规程》（JGJ/T</w:t>
      </w:r>
      <w:r>
        <w:rPr>
          <w:rFonts w:hint="eastAsia" w:ascii="仿宋_GB2312" w:hAnsi="仿宋" w:eastAsia="仿宋_GB2312"/>
          <w:sz w:val="24"/>
          <w:szCs w:val="24"/>
          <w:highlight w:val="none"/>
          <w:lang w:val="en-US" w:eastAsia="zh-CN"/>
        </w:rPr>
        <w:t xml:space="preserve"> </w:t>
      </w:r>
      <w:r>
        <w:rPr>
          <w:rFonts w:hint="eastAsia" w:ascii="仿宋_GB2312" w:hAnsi="仿宋" w:eastAsia="仿宋_GB2312"/>
          <w:sz w:val="24"/>
          <w:szCs w:val="24"/>
          <w:highlight w:val="none"/>
        </w:rPr>
        <w:t>104-2011）</w:t>
      </w:r>
    </w:p>
    <w:p w14:paraId="55B5FF5C">
      <w:pPr>
        <w:ind w:firstLine="480" w:firstLineChars="200"/>
        <w:rPr>
          <w:rFonts w:ascii="仿宋_GB2312" w:hAnsi="仿宋" w:eastAsia="仿宋_GB2312"/>
          <w:sz w:val="24"/>
          <w:szCs w:val="24"/>
          <w:highlight w:val="none"/>
        </w:rPr>
      </w:pPr>
      <w:r>
        <w:rPr>
          <w:rFonts w:hint="eastAsia" w:ascii="仿宋_GB2312" w:hAnsi="仿宋" w:eastAsia="仿宋_GB2312"/>
          <w:sz w:val="24"/>
          <w:szCs w:val="24"/>
          <w:highlight w:val="none"/>
        </w:rPr>
        <w:t>《用于水泥和混凝土中的粉煤灰》 (GB/T</w:t>
      </w:r>
      <w:r>
        <w:rPr>
          <w:rFonts w:hint="eastAsia" w:ascii="仿宋_GB2312" w:hAnsi="仿宋" w:eastAsia="仿宋_GB2312"/>
          <w:sz w:val="24"/>
          <w:szCs w:val="24"/>
          <w:highlight w:val="none"/>
          <w:lang w:val="en-US" w:eastAsia="zh-CN"/>
        </w:rPr>
        <w:t xml:space="preserve"> </w:t>
      </w:r>
      <w:r>
        <w:rPr>
          <w:rFonts w:hint="eastAsia" w:ascii="仿宋_GB2312" w:hAnsi="仿宋" w:eastAsia="仿宋_GB2312"/>
          <w:sz w:val="24"/>
          <w:szCs w:val="24"/>
          <w:highlight w:val="none"/>
        </w:rPr>
        <w:t>1596-2017)</w:t>
      </w:r>
    </w:p>
    <w:p w14:paraId="781F5D36">
      <w:pPr>
        <w:ind w:firstLine="480" w:firstLineChars="200"/>
        <w:rPr>
          <w:rFonts w:ascii="仿宋_GB2312" w:hAnsi="仿宋" w:eastAsia="仿宋_GB2312"/>
          <w:sz w:val="24"/>
          <w:szCs w:val="24"/>
          <w:highlight w:val="none"/>
        </w:rPr>
      </w:pPr>
      <w:r>
        <w:rPr>
          <w:rFonts w:hint="eastAsia" w:ascii="仿宋_GB2312" w:hAnsi="仿宋" w:eastAsia="仿宋_GB2312"/>
          <w:sz w:val="24"/>
          <w:szCs w:val="24"/>
          <w:highlight w:val="none"/>
        </w:rPr>
        <w:t>《混凝土</w:t>
      </w:r>
      <w:r>
        <w:rPr>
          <w:rFonts w:hint="eastAsia" w:ascii="仿宋_GB2312" w:hAnsi="仿宋" w:eastAsia="仿宋_GB2312"/>
          <w:sz w:val="24"/>
          <w:szCs w:val="24"/>
          <w:highlight w:val="none"/>
          <w:lang w:val="en-US" w:eastAsia="zh-CN"/>
        </w:rPr>
        <w:t>物理</w:t>
      </w:r>
      <w:r>
        <w:rPr>
          <w:rFonts w:hint="eastAsia" w:ascii="仿宋_GB2312" w:hAnsi="仿宋" w:eastAsia="仿宋_GB2312"/>
          <w:sz w:val="24"/>
          <w:szCs w:val="24"/>
          <w:highlight w:val="none"/>
        </w:rPr>
        <w:t>力学性能试验方法标准》（GB/T</w:t>
      </w:r>
      <w:r>
        <w:rPr>
          <w:rFonts w:hint="eastAsia" w:ascii="仿宋_GB2312" w:hAnsi="仿宋" w:eastAsia="仿宋_GB2312"/>
          <w:sz w:val="24"/>
          <w:szCs w:val="24"/>
          <w:highlight w:val="none"/>
          <w:lang w:val="en-US" w:eastAsia="zh-CN"/>
        </w:rPr>
        <w:t xml:space="preserve"> </w:t>
      </w:r>
      <w:r>
        <w:rPr>
          <w:rFonts w:hint="eastAsia" w:ascii="仿宋_GB2312" w:hAnsi="仿宋" w:eastAsia="仿宋_GB2312"/>
          <w:sz w:val="24"/>
          <w:szCs w:val="24"/>
          <w:highlight w:val="none"/>
        </w:rPr>
        <w:t>50081-</w:t>
      </w:r>
      <w:r>
        <w:rPr>
          <w:rFonts w:hint="eastAsia" w:ascii="仿宋_GB2312" w:hAnsi="仿宋" w:eastAsia="仿宋_GB2312"/>
          <w:sz w:val="24"/>
          <w:szCs w:val="24"/>
          <w:highlight w:val="none"/>
          <w:lang w:val="en-US" w:eastAsia="zh-CN"/>
        </w:rPr>
        <w:t>2019</w:t>
      </w:r>
      <w:r>
        <w:rPr>
          <w:rFonts w:hint="eastAsia" w:ascii="仿宋_GB2312" w:hAnsi="仿宋" w:eastAsia="仿宋_GB2312"/>
          <w:sz w:val="24"/>
          <w:szCs w:val="24"/>
          <w:highlight w:val="none"/>
        </w:rPr>
        <w:t>）</w:t>
      </w:r>
      <w:permEnd w:id="36"/>
    </w:p>
    <w:p w14:paraId="17B8591B">
      <w:pPr>
        <w:pStyle w:val="5"/>
        <w:keepNext w:val="0"/>
        <w:keepLines w:val="0"/>
        <w:spacing w:line="240" w:lineRule="auto"/>
        <w:ind w:firstLine="482"/>
        <w:rPr>
          <w:rFonts w:ascii="仿宋_GB2312" w:hAnsi="仿宋" w:eastAsia="仿宋_GB2312"/>
          <w:sz w:val="24"/>
          <w:szCs w:val="24"/>
          <w:highlight w:val="none"/>
        </w:rPr>
      </w:pPr>
      <w:r>
        <w:rPr>
          <w:rFonts w:ascii="仿宋_GB2312" w:hAnsi="仿宋" w:eastAsia="仿宋_GB2312"/>
          <w:sz w:val="24"/>
          <w:szCs w:val="24"/>
          <w:highlight w:val="none"/>
        </w:rPr>
        <w:t>1</w:t>
      </w:r>
      <w:r>
        <w:rPr>
          <w:rFonts w:hint="eastAsia" w:ascii="仿宋_GB2312" w:hAnsi="仿宋" w:eastAsia="仿宋_GB2312"/>
          <w:sz w:val="24"/>
          <w:szCs w:val="24"/>
          <w:highlight w:val="none"/>
        </w:rPr>
        <w:t>.4产品有关参数要求：</w:t>
      </w:r>
    </w:p>
    <w:p w14:paraId="3414D50A">
      <w:pPr>
        <w:pStyle w:val="6"/>
        <w:keepNext w:val="0"/>
        <w:keepLines w:val="0"/>
        <w:tabs>
          <w:tab w:val="left" w:pos="567"/>
        </w:tabs>
        <w:spacing w:before="0" w:line="240" w:lineRule="auto"/>
        <w:ind w:firstLine="482" w:firstLineChars="200"/>
        <w:rPr>
          <w:rFonts w:ascii="仿宋_GB2312" w:hAnsi="仿宋" w:eastAsia="仿宋_GB2312"/>
          <w:sz w:val="24"/>
          <w:szCs w:val="24"/>
          <w:highlight w:val="none"/>
        </w:rPr>
      </w:pPr>
      <w:permStart w:id="37" w:edGrp="everyone"/>
      <w:r>
        <w:rPr>
          <w:rFonts w:ascii="仿宋_GB2312" w:hAnsi="仿宋" w:eastAsia="仿宋_GB2312"/>
          <w:sz w:val="24"/>
          <w:szCs w:val="24"/>
          <w:highlight w:val="none"/>
        </w:rPr>
        <w:t>1</w:t>
      </w:r>
      <w:r>
        <w:rPr>
          <w:rFonts w:hint="eastAsia" w:ascii="仿宋_GB2312" w:hAnsi="仿宋" w:eastAsia="仿宋_GB2312"/>
          <w:sz w:val="24"/>
          <w:szCs w:val="24"/>
          <w:highlight w:val="none"/>
        </w:rPr>
        <w:t>.4.1技术要求：</w:t>
      </w:r>
      <w:r>
        <w:rPr>
          <w:rFonts w:hint="eastAsia" w:ascii="仿宋_GB2312" w:hAnsi="仿宋" w:eastAsia="仿宋_GB2312"/>
          <w:b w:val="0"/>
          <w:bCs w:val="0"/>
          <w:sz w:val="24"/>
          <w:szCs w:val="24"/>
          <w:highlight w:val="none"/>
        </w:rPr>
        <w:t>满足《混凝土结构设计规范》（GB50010-2010）、《地铁设计规范》（GB50157-2013）、《混凝土结构耐久性设计规范》（GB/T50476-2008）、工程设计图纸以及其他国家、</w:t>
      </w:r>
      <w:r>
        <w:rPr>
          <w:rFonts w:hint="eastAsia" w:ascii="仿宋_GB2312" w:hAnsi="仿宋" w:eastAsia="仿宋_GB2312"/>
          <w:b w:val="0"/>
          <w:bCs w:val="0"/>
          <w:sz w:val="24"/>
          <w:szCs w:val="24"/>
          <w:highlight w:val="none"/>
          <w:u w:val="single"/>
          <w:lang w:val="en-US" w:eastAsia="zh-CN"/>
        </w:rPr>
        <w:t>桂林</w:t>
      </w:r>
      <w:r>
        <w:rPr>
          <w:rFonts w:hint="eastAsia" w:ascii="仿宋_GB2312" w:hAnsi="仿宋" w:eastAsia="仿宋_GB2312"/>
          <w:b w:val="0"/>
          <w:bCs w:val="0"/>
          <w:color w:val="FF0000"/>
          <w:sz w:val="24"/>
          <w:szCs w:val="24"/>
          <w:highlight w:val="none"/>
        </w:rPr>
        <w:t>（市）</w:t>
      </w:r>
      <w:r>
        <w:rPr>
          <w:rFonts w:hint="eastAsia" w:ascii="仿宋_GB2312" w:hAnsi="仿宋" w:eastAsia="仿宋_GB2312"/>
          <w:b w:val="0"/>
          <w:bCs w:val="0"/>
          <w:sz w:val="24"/>
          <w:szCs w:val="24"/>
          <w:highlight w:val="none"/>
        </w:rPr>
        <w:t>有关部门及建设单位颁布的关于产品供应的现行规范、标准、规程或规定等。</w:t>
      </w:r>
    </w:p>
    <w:p w14:paraId="491C9F44">
      <w:pPr>
        <w:pStyle w:val="6"/>
        <w:keepNext w:val="0"/>
        <w:keepLines w:val="0"/>
        <w:tabs>
          <w:tab w:val="left" w:pos="567"/>
        </w:tabs>
        <w:spacing w:before="0" w:line="240" w:lineRule="auto"/>
        <w:ind w:firstLine="482" w:firstLineChars="200"/>
        <w:rPr>
          <w:rFonts w:ascii="仿宋_GB2312" w:hAnsi="仿宋" w:eastAsia="仿宋_GB2312"/>
          <w:b w:val="0"/>
          <w:bCs w:val="0"/>
          <w:sz w:val="24"/>
          <w:szCs w:val="24"/>
          <w:highlight w:val="none"/>
        </w:rPr>
      </w:pPr>
      <w:r>
        <w:rPr>
          <w:rFonts w:ascii="仿宋_GB2312" w:hAnsi="仿宋" w:eastAsia="仿宋_GB2312"/>
          <w:sz w:val="24"/>
          <w:szCs w:val="24"/>
          <w:highlight w:val="none"/>
        </w:rPr>
        <w:t>1.</w:t>
      </w:r>
      <w:r>
        <w:rPr>
          <w:rFonts w:hint="eastAsia" w:ascii="仿宋_GB2312" w:hAnsi="仿宋" w:eastAsia="仿宋_GB2312"/>
          <w:sz w:val="24"/>
          <w:szCs w:val="24"/>
          <w:highlight w:val="none"/>
        </w:rPr>
        <w:t>4.2抗渗要求：</w:t>
      </w:r>
      <w:r>
        <w:rPr>
          <w:rFonts w:hint="eastAsia" w:ascii="仿宋_GB2312" w:hAnsi="仿宋" w:eastAsia="仿宋_GB2312"/>
          <w:b w:val="0"/>
          <w:bCs w:val="0"/>
          <w:sz w:val="24"/>
          <w:szCs w:val="24"/>
          <w:highlight w:val="none"/>
        </w:rPr>
        <w:t>抗渗剂材料，严格按照工程设计图纸要求执行，应满足相关规范、标准及建设单位规定的要求。</w:t>
      </w:r>
    </w:p>
    <w:p w14:paraId="79FE1302">
      <w:pPr>
        <w:pStyle w:val="6"/>
        <w:keepNext w:val="0"/>
        <w:keepLines w:val="0"/>
        <w:tabs>
          <w:tab w:val="left" w:pos="567"/>
        </w:tabs>
        <w:spacing w:before="0" w:line="240" w:lineRule="auto"/>
        <w:ind w:firstLine="482" w:firstLineChars="200"/>
        <w:rPr>
          <w:rFonts w:ascii="仿宋_GB2312" w:hAnsi="仿宋" w:eastAsia="仿宋_GB2312"/>
          <w:b w:val="0"/>
          <w:bCs w:val="0"/>
          <w:sz w:val="24"/>
          <w:szCs w:val="24"/>
          <w:highlight w:val="none"/>
        </w:rPr>
      </w:pPr>
      <w:r>
        <w:rPr>
          <w:rFonts w:ascii="仿宋_GB2312" w:hAnsi="仿宋" w:eastAsia="仿宋_GB2312"/>
          <w:sz w:val="24"/>
          <w:szCs w:val="24"/>
          <w:highlight w:val="none"/>
        </w:rPr>
        <w:t>1</w:t>
      </w:r>
      <w:r>
        <w:rPr>
          <w:rFonts w:hint="eastAsia" w:ascii="仿宋_GB2312" w:hAnsi="仿宋" w:eastAsia="仿宋_GB2312"/>
          <w:sz w:val="24"/>
          <w:szCs w:val="24"/>
          <w:highlight w:val="none"/>
        </w:rPr>
        <w:t>.4.3混凝土拌和物的最高温度及最低温度：</w:t>
      </w:r>
      <w:r>
        <w:rPr>
          <w:rFonts w:hint="eastAsia" w:ascii="仿宋_GB2312" w:hAnsi="仿宋" w:eastAsia="仿宋_GB2312"/>
          <w:b w:val="0"/>
          <w:bCs w:val="0"/>
          <w:sz w:val="24"/>
          <w:szCs w:val="24"/>
          <w:highlight w:val="none"/>
        </w:rPr>
        <w:t>高温季节拌制混凝土时，应综合控制原材料的温度、搅拌站卸料开始到浇筑完毕的延续时间，混凝土的入模温度不宜超过25℃。但冬季施工时，按冬施施工规程执行，最低不得低于5℃。</w:t>
      </w:r>
    </w:p>
    <w:p w14:paraId="482B680B">
      <w:pPr>
        <w:pStyle w:val="6"/>
        <w:keepNext w:val="0"/>
        <w:keepLines w:val="0"/>
        <w:tabs>
          <w:tab w:val="left" w:pos="567"/>
        </w:tabs>
        <w:spacing w:before="0" w:line="240" w:lineRule="auto"/>
        <w:ind w:firstLine="482" w:firstLineChars="200"/>
        <w:rPr>
          <w:rFonts w:ascii="仿宋_GB2312" w:hAnsi="仿宋" w:eastAsia="仿宋_GB2312"/>
          <w:b w:val="0"/>
          <w:bCs w:val="0"/>
          <w:sz w:val="24"/>
          <w:szCs w:val="24"/>
          <w:highlight w:val="none"/>
        </w:rPr>
      </w:pPr>
      <w:r>
        <w:rPr>
          <w:rFonts w:ascii="仿宋_GB2312" w:hAnsi="仿宋" w:eastAsia="仿宋_GB2312"/>
          <w:sz w:val="24"/>
          <w:szCs w:val="24"/>
          <w:highlight w:val="none"/>
        </w:rPr>
        <w:t>1</w:t>
      </w:r>
      <w:r>
        <w:rPr>
          <w:rFonts w:hint="eastAsia" w:ascii="仿宋_GB2312" w:hAnsi="仿宋" w:eastAsia="仿宋_GB2312"/>
          <w:sz w:val="24"/>
          <w:szCs w:val="24"/>
          <w:highlight w:val="none"/>
        </w:rPr>
        <w:t>.4.</w:t>
      </w:r>
      <w:r>
        <w:rPr>
          <w:rFonts w:ascii="仿宋_GB2312" w:hAnsi="仿宋" w:eastAsia="仿宋_GB2312"/>
          <w:sz w:val="24"/>
          <w:szCs w:val="24"/>
          <w:highlight w:val="none"/>
        </w:rPr>
        <w:t>4</w:t>
      </w:r>
      <w:r>
        <w:rPr>
          <w:rFonts w:hint="eastAsia" w:ascii="仿宋_GB2312" w:hAnsi="仿宋" w:eastAsia="仿宋_GB2312"/>
          <w:sz w:val="24"/>
          <w:szCs w:val="24"/>
          <w:highlight w:val="none"/>
        </w:rPr>
        <w:t>坍落度要求：</w:t>
      </w:r>
      <w:r>
        <w:rPr>
          <w:rFonts w:hint="eastAsia" w:ascii="仿宋_GB2312" w:hAnsi="仿宋" w:eastAsia="仿宋_GB2312"/>
          <w:b w:val="0"/>
          <w:bCs w:val="0"/>
          <w:sz w:val="24"/>
          <w:szCs w:val="24"/>
          <w:highlight w:val="none"/>
        </w:rPr>
        <w:t>施工用混凝土坍落度，应严格按照工程设计图纸要求执行，外加剂材料及使用，应满足</w:t>
      </w:r>
      <w:r>
        <w:rPr>
          <w:rFonts w:hint="eastAsia" w:ascii="仿宋_GB2312" w:hAnsi="仿宋" w:eastAsia="仿宋_GB2312"/>
          <w:b w:val="0"/>
          <w:bCs w:val="0"/>
          <w:sz w:val="24"/>
          <w:szCs w:val="24"/>
          <w:highlight w:val="none"/>
          <w:lang w:val="en-US" w:eastAsia="zh-CN"/>
        </w:rPr>
        <w:t>1</w:t>
      </w:r>
      <w:r>
        <w:rPr>
          <w:rFonts w:hint="eastAsia" w:ascii="仿宋_GB2312" w:hAnsi="仿宋" w:eastAsia="仿宋_GB2312"/>
          <w:b w:val="0"/>
          <w:bCs w:val="0"/>
          <w:sz w:val="24"/>
          <w:szCs w:val="24"/>
          <w:highlight w:val="none"/>
        </w:rPr>
        <w:t>.3条及相关规范、标准及建设单位规定的要求。</w:t>
      </w:r>
    </w:p>
    <w:p w14:paraId="648104F0">
      <w:pPr>
        <w:pStyle w:val="5"/>
        <w:keepNext w:val="0"/>
        <w:keepLines w:val="0"/>
        <w:spacing w:line="240" w:lineRule="auto"/>
        <w:ind w:firstLine="482"/>
        <w:rPr>
          <w:rFonts w:ascii="仿宋_GB2312" w:hAnsi="仿宋" w:eastAsia="仿宋_GB2312"/>
          <w:sz w:val="24"/>
          <w:szCs w:val="24"/>
          <w:highlight w:val="none"/>
        </w:rPr>
      </w:pPr>
      <w:r>
        <w:rPr>
          <w:rFonts w:ascii="仿宋_GB2312" w:hAnsi="仿宋" w:eastAsia="仿宋_GB2312"/>
          <w:sz w:val="24"/>
          <w:szCs w:val="24"/>
          <w:highlight w:val="none"/>
        </w:rPr>
        <w:t>1</w:t>
      </w:r>
      <w:r>
        <w:rPr>
          <w:rFonts w:hint="eastAsia" w:ascii="仿宋_GB2312" w:hAnsi="仿宋" w:eastAsia="仿宋_GB2312"/>
          <w:sz w:val="24"/>
          <w:szCs w:val="24"/>
          <w:highlight w:val="none"/>
        </w:rPr>
        <w:t>.5产品原材料要求：</w:t>
      </w:r>
      <w:r>
        <w:rPr>
          <w:rFonts w:hint="eastAsia" w:ascii="仿宋_GB2312" w:hAnsi="仿宋" w:eastAsia="仿宋_GB2312"/>
          <w:b w:val="0"/>
          <w:bCs w:val="0"/>
          <w:sz w:val="24"/>
          <w:szCs w:val="24"/>
          <w:highlight w:val="none"/>
        </w:rPr>
        <w:t>所有原材料（水泥、骨料、外加剂、水泥掺合料以及其它辅助材料等）必须符合本合同第</w:t>
      </w:r>
      <w:r>
        <w:rPr>
          <w:rFonts w:hint="eastAsia" w:ascii="仿宋_GB2312" w:hAnsi="仿宋" w:eastAsia="仿宋_GB2312"/>
          <w:b w:val="0"/>
          <w:bCs w:val="0"/>
          <w:sz w:val="24"/>
          <w:szCs w:val="24"/>
          <w:highlight w:val="none"/>
          <w:lang w:val="en-US" w:eastAsia="zh-CN"/>
        </w:rPr>
        <w:t>1</w:t>
      </w:r>
      <w:r>
        <w:rPr>
          <w:rFonts w:hint="eastAsia" w:ascii="仿宋_GB2312" w:hAnsi="仿宋" w:eastAsia="仿宋_GB2312"/>
          <w:b w:val="0"/>
          <w:bCs w:val="0"/>
          <w:sz w:val="24"/>
          <w:szCs w:val="24"/>
          <w:highlight w:val="none"/>
        </w:rPr>
        <w:t>.3条中相应的规范、规定、标准及</w:t>
      </w:r>
      <w:r>
        <w:rPr>
          <w:rFonts w:hint="eastAsia" w:ascii="仿宋_GB2312" w:hAnsi="仿宋" w:eastAsia="仿宋_GB2312"/>
          <w:b w:val="0"/>
          <w:bCs w:val="0"/>
          <w:color w:val="FF0000"/>
          <w:sz w:val="24"/>
          <w:szCs w:val="24"/>
          <w:highlight w:val="none"/>
          <w:u w:val="single"/>
        </w:rPr>
        <w:t xml:space="preserve"> ** </w:t>
      </w:r>
      <w:r>
        <w:rPr>
          <w:rFonts w:hint="eastAsia" w:ascii="仿宋_GB2312" w:hAnsi="仿宋" w:eastAsia="仿宋_GB2312"/>
          <w:b w:val="0"/>
          <w:bCs w:val="0"/>
          <w:color w:val="FF0000"/>
          <w:sz w:val="24"/>
          <w:szCs w:val="24"/>
          <w:highlight w:val="none"/>
        </w:rPr>
        <w:t>（市）</w:t>
      </w:r>
      <w:r>
        <w:rPr>
          <w:rFonts w:hint="eastAsia" w:ascii="仿宋_GB2312" w:hAnsi="仿宋" w:eastAsia="仿宋_GB2312"/>
          <w:b w:val="0"/>
          <w:bCs w:val="0"/>
          <w:sz w:val="24"/>
          <w:szCs w:val="24"/>
          <w:highlight w:val="none"/>
        </w:rPr>
        <w:t>有关规范、规定、标准。</w:t>
      </w:r>
    </w:p>
    <w:p w14:paraId="0EAAAB21">
      <w:pPr>
        <w:pStyle w:val="21"/>
        <w:spacing w:before="0" w:beforeLines="0"/>
        <w:ind w:firstLine="482"/>
        <w:rPr>
          <w:rFonts w:ascii="仿宋_GB2312" w:hAnsi="仿宋" w:eastAsia="仿宋_GB2312"/>
          <w:b/>
          <w:bCs/>
          <w:color w:val="auto"/>
          <w:sz w:val="24"/>
          <w:szCs w:val="24"/>
          <w:highlight w:val="none"/>
        </w:rPr>
      </w:pPr>
      <w:r>
        <w:rPr>
          <w:rFonts w:hint="eastAsia" w:ascii="仿宋_GB2312" w:hAnsi="仿宋" w:eastAsia="仿宋_GB2312"/>
          <w:b/>
          <w:bCs/>
          <w:color w:val="auto"/>
          <w:sz w:val="24"/>
          <w:szCs w:val="24"/>
          <w:highlight w:val="none"/>
        </w:rPr>
        <w:t>机制砂、混合砂、再生骨料等非传统原材料限制使用。</w:t>
      </w:r>
    </w:p>
    <w:p w14:paraId="2500BE42">
      <w:pPr>
        <w:pStyle w:val="21"/>
        <w:spacing w:before="0" w:beforeLines="0"/>
        <w:ind w:firstLine="482"/>
        <w:rPr>
          <w:rFonts w:ascii="仿宋_GB2312" w:hAnsi="仿宋" w:eastAsia="仿宋_GB2312"/>
          <w:b/>
          <w:bCs/>
          <w:color w:val="auto"/>
          <w:sz w:val="24"/>
          <w:szCs w:val="24"/>
          <w:highlight w:val="none"/>
        </w:rPr>
      </w:pPr>
      <w:r>
        <w:rPr>
          <w:rFonts w:hint="eastAsia" w:ascii="仿宋_GB2312" w:hAnsi="仿宋" w:eastAsia="仿宋_GB2312"/>
          <w:b/>
          <w:bCs/>
          <w:color w:val="auto"/>
          <w:sz w:val="24"/>
          <w:szCs w:val="24"/>
          <w:highlight w:val="none"/>
        </w:rPr>
        <w:t>未经有效净化的海砂、钢渣等危害材料禁止使用。</w:t>
      </w:r>
    </w:p>
    <w:p w14:paraId="19DCA6F1">
      <w:pPr>
        <w:pStyle w:val="6"/>
        <w:keepNext w:val="0"/>
        <w:keepLines w:val="0"/>
        <w:tabs>
          <w:tab w:val="left" w:pos="567"/>
        </w:tabs>
        <w:spacing w:before="0" w:line="240" w:lineRule="auto"/>
        <w:ind w:firstLine="482" w:firstLineChars="200"/>
        <w:rPr>
          <w:rFonts w:ascii="仿宋_GB2312" w:hAnsi="仿宋" w:eastAsia="仿宋_GB2312"/>
          <w:sz w:val="24"/>
          <w:szCs w:val="24"/>
          <w:highlight w:val="none"/>
        </w:rPr>
      </w:pPr>
      <w:r>
        <w:rPr>
          <w:rFonts w:ascii="仿宋_GB2312" w:hAnsi="仿宋" w:eastAsia="仿宋_GB2312"/>
          <w:sz w:val="24"/>
          <w:szCs w:val="24"/>
          <w:highlight w:val="none"/>
        </w:rPr>
        <w:t>1</w:t>
      </w:r>
      <w:r>
        <w:rPr>
          <w:rFonts w:hint="eastAsia" w:ascii="仿宋_GB2312" w:hAnsi="仿宋" w:eastAsia="仿宋_GB2312"/>
          <w:sz w:val="24"/>
          <w:szCs w:val="24"/>
          <w:highlight w:val="none"/>
        </w:rPr>
        <w:t>.5.1水泥：</w:t>
      </w:r>
      <w:r>
        <w:rPr>
          <w:rFonts w:hint="eastAsia" w:ascii="仿宋_GB2312" w:hAnsi="仿宋" w:eastAsia="仿宋_GB2312"/>
          <w:b w:val="0"/>
          <w:bCs w:val="0"/>
          <w:sz w:val="24"/>
          <w:szCs w:val="24"/>
          <w:highlight w:val="none"/>
        </w:rPr>
        <w:t>配制耐久混凝土的水泥可采用硅酸盐水泥、普通硅酸盐水泥或矿渣硅酸盐水泥。不论骨料是否具有活性，水泥的含碱量（等效Na2O）均不宜超过水泥重的0.6%。在配制混凝土所用的各种原材料的氯离子含量分别不应超过胶凝材料重量的0.1%和0.06%。水泥必须保证同一厂家、同一品牌、同一强度等级产品。水泥存储超过三个月后，应重新进行物理性能检验，并按复验的结果使用，但不能用于结构的重要部位。</w:t>
      </w:r>
    </w:p>
    <w:p w14:paraId="02702DCD">
      <w:pPr>
        <w:pStyle w:val="6"/>
        <w:keepNext w:val="0"/>
        <w:keepLines w:val="0"/>
        <w:tabs>
          <w:tab w:val="left" w:pos="567"/>
        </w:tabs>
        <w:spacing w:before="0" w:line="240" w:lineRule="auto"/>
        <w:ind w:firstLine="482" w:firstLineChars="200"/>
        <w:rPr>
          <w:rFonts w:ascii="仿宋_GB2312" w:hAnsi="仿宋" w:eastAsia="仿宋_GB2312"/>
          <w:b w:val="0"/>
          <w:bCs w:val="0"/>
          <w:sz w:val="24"/>
          <w:szCs w:val="24"/>
          <w:highlight w:val="none"/>
        </w:rPr>
      </w:pPr>
      <w:r>
        <w:rPr>
          <w:rFonts w:ascii="仿宋_GB2312" w:hAnsi="仿宋" w:eastAsia="仿宋_GB2312"/>
          <w:sz w:val="24"/>
          <w:szCs w:val="24"/>
          <w:highlight w:val="none"/>
        </w:rPr>
        <w:t>1</w:t>
      </w:r>
      <w:r>
        <w:rPr>
          <w:rFonts w:hint="eastAsia" w:ascii="仿宋_GB2312" w:hAnsi="仿宋" w:eastAsia="仿宋_GB2312"/>
          <w:sz w:val="24"/>
          <w:szCs w:val="24"/>
          <w:highlight w:val="none"/>
        </w:rPr>
        <w:t>.5.2矿物掺合料：</w:t>
      </w:r>
      <w:r>
        <w:rPr>
          <w:rFonts w:hint="eastAsia" w:ascii="仿宋_GB2312" w:hAnsi="仿宋" w:eastAsia="仿宋_GB2312"/>
          <w:b w:val="0"/>
          <w:bCs w:val="0"/>
          <w:sz w:val="24"/>
          <w:szCs w:val="24"/>
          <w:highlight w:val="none"/>
        </w:rPr>
        <w:t>配制耐久性混凝土所用的粉煤灰应选用来料均匀、各项性能指标稳定的一级或二级灰。粉煤灰的烧失量应尽可能低并不大于4%，三氧化硫含量不大于3%，不宜超过在满足强度需要的前提下，粉煤灰掺量30%。磨细的粒化高炉矿渣的比表面积不宜小于3500cm2/g，但过高的细度也不利于控制水化热和混凝土的防裂。</w:t>
      </w:r>
    </w:p>
    <w:p w14:paraId="3510C07C">
      <w:pPr>
        <w:pStyle w:val="6"/>
        <w:keepNext w:val="0"/>
        <w:keepLines w:val="0"/>
        <w:tabs>
          <w:tab w:val="left" w:pos="567"/>
        </w:tabs>
        <w:spacing w:before="0" w:line="240" w:lineRule="auto"/>
        <w:ind w:firstLine="482" w:firstLineChars="200"/>
        <w:rPr>
          <w:rFonts w:ascii="仿宋_GB2312" w:hAnsi="仿宋" w:eastAsia="仿宋_GB2312"/>
          <w:b w:val="0"/>
          <w:bCs w:val="0"/>
          <w:sz w:val="24"/>
          <w:szCs w:val="24"/>
          <w:highlight w:val="none"/>
        </w:rPr>
      </w:pPr>
      <w:r>
        <w:rPr>
          <w:rFonts w:ascii="仿宋_GB2312" w:hAnsi="仿宋" w:eastAsia="仿宋_GB2312"/>
          <w:sz w:val="24"/>
          <w:szCs w:val="24"/>
          <w:highlight w:val="none"/>
        </w:rPr>
        <w:t>1</w:t>
      </w:r>
      <w:r>
        <w:rPr>
          <w:rFonts w:hint="eastAsia" w:ascii="仿宋_GB2312" w:hAnsi="仿宋" w:eastAsia="仿宋_GB2312"/>
          <w:sz w:val="24"/>
          <w:szCs w:val="24"/>
          <w:highlight w:val="none"/>
        </w:rPr>
        <w:t>.5.3粗细骨料：</w:t>
      </w:r>
      <w:r>
        <w:rPr>
          <w:rFonts w:hint="eastAsia" w:ascii="仿宋_GB2312" w:hAnsi="仿宋" w:eastAsia="仿宋_GB2312"/>
          <w:b w:val="0"/>
          <w:bCs w:val="0"/>
          <w:sz w:val="24"/>
          <w:szCs w:val="24"/>
          <w:highlight w:val="none"/>
        </w:rPr>
        <w:t>质地均匀坚固，粒形和级配良好，空隙率小（粗骨料堆积密度一般大于1500kg/m3，对较致密石子如石灰岩大于1600kg/m3，即空隙率约不超过40%，对不同细度模数的砂子，控制5mm、0.63mm和0.16mm筛的累计筛余量 分别为0~5%、40~70%和≥95%）粗骨料的压碎指标不大于10%，吸水率不大于2%。对于可能处于干湿循环下的混凝土，粗、细骨料中的含泥量应分别低于0.7%和1%，粗细骨料中的水溶性氯化物折合氯离子含量应均不超过骨料重的0.2%，硫酸盐和硫化物中的SO3离子含量应均不超过骨料重的0.5%。外加剂中的氯离子含量不得大于混凝土中胶凝材料重量的0.02%，高效减水剂中的硫酸钠含量不大于减水剂干重的15%。对于可能处于潮湿环境的砼，当砼中含碱量不明时，不得采用有潜在活性的骨料。如因条件所限制抑制碱骨料反应的可靠措施并通过专门的检测和论证。</w:t>
      </w:r>
    </w:p>
    <w:p w14:paraId="6922037C">
      <w:pPr>
        <w:pStyle w:val="6"/>
        <w:keepNext w:val="0"/>
        <w:keepLines w:val="0"/>
        <w:tabs>
          <w:tab w:val="left" w:pos="567"/>
        </w:tabs>
        <w:spacing w:before="0" w:line="240" w:lineRule="auto"/>
        <w:ind w:firstLine="482" w:firstLineChars="200"/>
        <w:rPr>
          <w:rFonts w:ascii="仿宋_GB2312" w:hAnsi="仿宋" w:eastAsia="仿宋_GB2312"/>
          <w:b w:val="0"/>
          <w:bCs w:val="0"/>
          <w:sz w:val="24"/>
          <w:szCs w:val="24"/>
          <w:highlight w:val="none"/>
        </w:rPr>
      </w:pPr>
      <w:r>
        <w:rPr>
          <w:rFonts w:ascii="仿宋_GB2312" w:hAnsi="仿宋" w:eastAsia="仿宋_GB2312"/>
          <w:sz w:val="24"/>
          <w:szCs w:val="24"/>
          <w:highlight w:val="none"/>
        </w:rPr>
        <w:t>1</w:t>
      </w:r>
      <w:r>
        <w:rPr>
          <w:rFonts w:hint="eastAsia" w:ascii="仿宋_GB2312" w:hAnsi="仿宋" w:eastAsia="仿宋_GB2312"/>
          <w:sz w:val="24"/>
          <w:szCs w:val="24"/>
          <w:highlight w:val="none"/>
        </w:rPr>
        <w:t>.5.4混凝土外加剂（包括抗裂防水剂）：</w:t>
      </w:r>
      <w:r>
        <w:rPr>
          <w:rFonts w:hint="eastAsia" w:ascii="仿宋_GB2312" w:hAnsi="仿宋" w:eastAsia="仿宋_GB2312"/>
          <w:b w:val="0"/>
          <w:bCs w:val="0"/>
          <w:sz w:val="24"/>
          <w:szCs w:val="24"/>
          <w:highlight w:val="none"/>
        </w:rPr>
        <w:t>砼的化学外加剂及其使用应符合以下要求：各种外加剂应有厂商提供的推荐掺量与相应减水率，主要成分（包括复合组分）的化学名称，氯离子含量百分比，含碱量，以及施工中必要的注意事项如超量或欠量使用时的有害影响，掺和方法和成功的使用证明等。当砼使用各种外加剂时，应事先测定它们之间的相溶性。混凝土外加剂必须选用符合国家政府部门及建设单位所规定批准使用的品种和生产厂家，使用前应得到买方的认可。</w:t>
      </w:r>
    </w:p>
    <w:p w14:paraId="0D408E66">
      <w:pPr>
        <w:pStyle w:val="5"/>
        <w:keepNext w:val="0"/>
        <w:keepLines w:val="0"/>
        <w:spacing w:line="240" w:lineRule="auto"/>
        <w:ind w:firstLine="482"/>
        <w:rPr>
          <w:rFonts w:ascii="仿宋_GB2312" w:hAnsi="仿宋" w:eastAsia="仿宋_GB2312"/>
          <w:sz w:val="24"/>
          <w:szCs w:val="24"/>
          <w:highlight w:val="none"/>
        </w:rPr>
      </w:pPr>
      <w:r>
        <w:rPr>
          <w:rFonts w:ascii="仿宋_GB2312" w:hAnsi="仿宋" w:eastAsia="仿宋_GB2312"/>
          <w:sz w:val="24"/>
          <w:szCs w:val="24"/>
          <w:highlight w:val="none"/>
        </w:rPr>
        <w:t>1</w:t>
      </w:r>
      <w:r>
        <w:rPr>
          <w:rFonts w:hint="eastAsia" w:ascii="仿宋_GB2312" w:hAnsi="仿宋" w:eastAsia="仿宋_GB2312"/>
          <w:sz w:val="24"/>
          <w:szCs w:val="24"/>
          <w:highlight w:val="none"/>
        </w:rPr>
        <w:t>.6产品质量要求：</w:t>
      </w:r>
    </w:p>
    <w:p w14:paraId="559A7432">
      <w:pPr>
        <w:spacing w:line="400" w:lineRule="exact"/>
        <w:ind w:firstLine="480" w:firstLineChars="200"/>
        <w:jc w:val="left"/>
        <w:outlineLvl w:val="2"/>
        <w:rPr>
          <w:rFonts w:hint="eastAsia" w:ascii="仿宋" w:hAnsi="仿宋" w:eastAsia="仿宋" w:cs="仿宋"/>
          <w:sz w:val="21"/>
          <w:szCs w:val="21"/>
        </w:rPr>
      </w:pPr>
      <w:r>
        <w:rPr>
          <w:rFonts w:ascii="仿宋_GB2312" w:hAnsi="仿宋" w:eastAsia="仿宋_GB2312"/>
          <w:sz w:val="24"/>
          <w:szCs w:val="24"/>
          <w:highlight w:val="none"/>
        </w:rPr>
        <w:t>1</w:t>
      </w:r>
      <w:r>
        <w:rPr>
          <w:rFonts w:hint="eastAsia" w:ascii="仿宋_GB2312" w:hAnsi="仿宋" w:eastAsia="仿宋_GB2312"/>
          <w:sz w:val="24"/>
          <w:szCs w:val="24"/>
          <w:highlight w:val="none"/>
        </w:rPr>
        <w:t>.6.1</w:t>
      </w:r>
      <w:r>
        <w:rPr>
          <w:rFonts w:hint="eastAsia" w:ascii="仿宋" w:hAnsi="仿宋" w:eastAsia="仿宋" w:cs="仿宋"/>
          <w:sz w:val="21"/>
          <w:szCs w:val="21"/>
        </w:rPr>
        <w:t>《混凝土外加剂匀质性试验方法》  (GB/T 8077-2012)；</w:t>
      </w:r>
    </w:p>
    <w:p w14:paraId="7B66E5C2">
      <w:pPr>
        <w:spacing w:line="400" w:lineRule="exact"/>
        <w:ind w:firstLine="420" w:firstLineChars="200"/>
        <w:jc w:val="left"/>
        <w:outlineLvl w:val="2"/>
        <w:rPr>
          <w:rFonts w:hint="eastAsia" w:ascii="仿宋" w:hAnsi="仿宋" w:eastAsia="仿宋" w:cs="仿宋"/>
          <w:sz w:val="21"/>
          <w:szCs w:val="21"/>
        </w:rPr>
      </w:pPr>
      <w:r>
        <w:rPr>
          <w:rFonts w:hint="eastAsia" w:ascii="仿宋" w:hAnsi="仿宋" w:eastAsia="仿宋" w:cs="仿宋"/>
          <w:sz w:val="21"/>
          <w:szCs w:val="21"/>
        </w:rPr>
        <w:t>《混凝土结构设计规范》（GB50010-2019）；</w:t>
      </w:r>
    </w:p>
    <w:p w14:paraId="0E13822D">
      <w:pPr>
        <w:spacing w:line="400" w:lineRule="exact"/>
        <w:ind w:firstLine="420" w:firstLineChars="200"/>
        <w:jc w:val="left"/>
        <w:outlineLvl w:val="2"/>
        <w:rPr>
          <w:rFonts w:hint="eastAsia" w:ascii="仿宋" w:hAnsi="仿宋" w:eastAsia="仿宋" w:cs="仿宋"/>
          <w:sz w:val="21"/>
          <w:szCs w:val="21"/>
        </w:rPr>
      </w:pPr>
      <w:r>
        <w:rPr>
          <w:rFonts w:hint="eastAsia" w:ascii="仿宋" w:hAnsi="仿宋" w:eastAsia="仿宋" w:cs="仿宋"/>
          <w:sz w:val="21"/>
          <w:szCs w:val="21"/>
        </w:rPr>
        <w:t>《混凝土结构工程施工质量验收规范》（GB50204-2015）；</w:t>
      </w:r>
    </w:p>
    <w:p w14:paraId="1AAC73C4">
      <w:pPr>
        <w:spacing w:line="400" w:lineRule="exact"/>
        <w:ind w:firstLine="420" w:firstLineChars="200"/>
        <w:jc w:val="left"/>
        <w:outlineLvl w:val="2"/>
        <w:rPr>
          <w:rFonts w:hint="eastAsia" w:ascii="仿宋" w:hAnsi="仿宋" w:eastAsia="仿宋" w:cs="仿宋"/>
          <w:sz w:val="21"/>
          <w:szCs w:val="21"/>
        </w:rPr>
      </w:pPr>
      <w:r>
        <w:rPr>
          <w:rFonts w:hint="eastAsia" w:ascii="仿宋" w:hAnsi="仿宋" w:eastAsia="仿宋" w:cs="仿宋"/>
          <w:sz w:val="21"/>
          <w:szCs w:val="21"/>
        </w:rPr>
        <w:t>《混凝土强度检验评定标准》(GBJ107-2010)；</w:t>
      </w:r>
    </w:p>
    <w:p w14:paraId="50FE2046">
      <w:pPr>
        <w:spacing w:line="400" w:lineRule="exact"/>
        <w:ind w:firstLine="420" w:firstLineChars="200"/>
        <w:jc w:val="left"/>
        <w:outlineLvl w:val="2"/>
        <w:rPr>
          <w:rFonts w:hint="eastAsia" w:ascii="仿宋" w:hAnsi="仿宋" w:eastAsia="仿宋" w:cs="仿宋"/>
          <w:sz w:val="21"/>
          <w:szCs w:val="21"/>
        </w:rPr>
      </w:pPr>
      <w:r>
        <w:rPr>
          <w:rFonts w:hint="eastAsia" w:ascii="仿宋" w:hAnsi="仿宋" w:eastAsia="仿宋" w:cs="仿宋"/>
          <w:sz w:val="21"/>
          <w:szCs w:val="21"/>
        </w:rPr>
        <w:t>《混凝土质量控制标准》(GB50164-2011)；</w:t>
      </w:r>
    </w:p>
    <w:p w14:paraId="50AC8D88">
      <w:pPr>
        <w:spacing w:line="400" w:lineRule="exact"/>
        <w:ind w:firstLine="420" w:firstLineChars="200"/>
        <w:jc w:val="left"/>
        <w:outlineLvl w:val="2"/>
        <w:rPr>
          <w:rFonts w:hint="eastAsia" w:ascii="仿宋" w:hAnsi="仿宋" w:eastAsia="仿宋" w:cs="仿宋"/>
          <w:sz w:val="21"/>
          <w:szCs w:val="21"/>
        </w:rPr>
      </w:pPr>
      <w:r>
        <w:rPr>
          <w:rFonts w:hint="eastAsia" w:ascii="仿宋" w:hAnsi="仿宋" w:eastAsia="仿宋" w:cs="仿宋"/>
          <w:sz w:val="21"/>
          <w:szCs w:val="21"/>
        </w:rPr>
        <w:t>《普通混凝土配合比设计规程》(JGJ55-2011)；</w:t>
      </w:r>
    </w:p>
    <w:p w14:paraId="5AC6B5B9">
      <w:pPr>
        <w:spacing w:line="400" w:lineRule="exact"/>
        <w:ind w:firstLine="420" w:firstLineChars="200"/>
        <w:jc w:val="left"/>
        <w:outlineLvl w:val="2"/>
        <w:rPr>
          <w:rFonts w:hint="eastAsia" w:ascii="仿宋" w:hAnsi="仿宋" w:eastAsia="仿宋" w:cs="仿宋"/>
          <w:sz w:val="21"/>
          <w:szCs w:val="21"/>
        </w:rPr>
      </w:pPr>
      <w:r>
        <w:rPr>
          <w:rFonts w:hint="eastAsia" w:ascii="仿宋" w:hAnsi="仿宋" w:eastAsia="仿宋" w:cs="仿宋"/>
          <w:sz w:val="21"/>
          <w:szCs w:val="21"/>
        </w:rPr>
        <w:t>《混凝土用水标准》(JGJ63-2006)；</w:t>
      </w:r>
    </w:p>
    <w:p w14:paraId="2651E85D">
      <w:pPr>
        <w:spacing w:line="400" w:lineRule="exact"/>
        <w:ind w:firstLine="420" w:firstLineChars="200"/>
        <w:jc w:val="left"/>
        <w:outlineLvl w:val="2"/>
        <w:rPr>
          <w:rFonts w:hint="eastAsia" w:ascii="仿宋" w:hAnsi="仿宋" w:eastAsia="仿宋" w:cs="仿宋"/>
          <w:sz w:val="21"/>
          <w:szCs w:val="21"/>
        </w:rPr>
      </w:pPr>
      <w:r>
        <w:rPr>
          <w:rFonts w:hint="eastAsia" w:ascii="仿宋" w:hAnsi="仿宋" w:eastAsia="仿宋" w:cs="仿宋"/>
          <w:sz w:val="21"/>
          <w:szCs w:val="21"/>
        </w:rPr>
        <w:t>《混凝土外加剂》  （GB8076-2009）；</w:t>
      </w:r>
    </w:p>
    <w:p w14:paraId="1B7E65E8">
      <w:pPr>
        <w:spacing w:line="400" w:lineRule="exact"/>
        <w:ind w:firstLine="420" w:firstLineChars="200"/>
        <w:jc w:val="left"/>
        <w:outlineLvl w:val="2"/>
        <w:rPr>
          <w:rFonts w:hint="eastAsia" w:ascii="仿宋" w:hAnsi="仿宋" w:eastAsia="仿宋" w:cs="仿宋"/>
          <w:sz w:val="21"/>
          <w:szCs w:val="21"/>
        </w:rPr>
      </w:pPr>
      <w:r>
        <w:rPr>
          <w:rFonts w:hint="eastAsia" w:ascii="仿宋" w:hAnsi="仿宋" w:eastAsia="仿宋" w:cs="仿宋"/>
          <w:sz w:val="21"/>
          <w:szCs w:val="21"/>
        </w:rPr>
        <w:t>《通用硅酸盐水泥》  (GB 175-2007/XG1-2009)；</w:t>
      </w:r>
    </w:p>
    <w:p w14:paraId="1E595CA7">
      <w:pPr>
        <w:spacing w:line="400" w:lineRule="exact"/>
        <w:ind w:firstLine="420" w:firstLineChars="200"/>
        <w:jc w:val="left"/>
        <w:outlineLvl w:val="2"/>
        <w:rPr>
          <w:rFonts w:hint="eastAsia" w:ascii="仿宋" w:hAnsi="仿宋" w:eastAsia="仿宋" w:cs="仿宋"/>
          <w:sz w:val="21"/>
          <w:szCs w:val="21"/>
        </w:rPr>
      </w:pPr>
      <w:r>
        <w:rPr>
          <w:rFonts w:hint="eastAsia" w:ascii="仿宋" w:hAnsi="仿宋" w:eastAsia="仿宋" w:cs="仿宋"/>
          <w:sz w:val="21"/>
          <w:szCs w:val="21"/>
        </w:rPr>
        <w:t>《普通混凝土用砂、石质量及检验方法》 (JGJ52-2006)；</w:t>
      </w:r>
    </w:p>
    <w:p w14:paraId="77390B7D">
      <w:pPr>
        <w:spacing w:line="400" w:lineRule="exact"/>
        <w:ind w:firstLine="420" w:firstLineChars="200"/>
        <w:jc w:val="left"/>
        <w:outlineLvl w:val="2"/>
        <w:rPr>
          <w:rFonts w:hint="eastAsia" w:ascii="仿宋" w:hAnsi="仿宋" w:eastAsia="仿宋" w:cs="仿宋"/>
          <w:sz w:val="21"/>
          <w:szCs w:val="21"/>
        </w:rPr>
      </w:pPr>
      <w:r>
        <w:rPr>
          <w:rFonts w:hint="eastAsia" w:ascii="仿宋" w:hAnsi="仿宋" w:eastAsia="仿宋" w:cs="仿宋"/>
          <w:sz w:val="21"/>
          <w:szCs w:val="21"/>
        </w:rPr>
        <w:t>《预拌混凝土》(GB/T 14902-2012) ；</w:t>
      </w:r>
    </w:p>
    <w:p w14:paraId="6E6E2E5E">
      <w:pPr>
        <w:spacing w:line="400" w:lineRule="exact"/>
        <w:ind w:firstLine="420" w:firstLineChars="200"/>
        <w:jc w:val="left"/>
        <w:outlineLvl w:val="2"/>
        <w:rPr>
          <w:rFonts w:hint="eastAsia" w:ascii="仿宋" w:hAnsi="仿宋" w:eastAsia="仿宋" w:cs="仿宋"/>
          <w:sz w:val="21"/>
          <w:szCs w:val="21"/>
        </w:rPr>
      </w:pPr>
      <w:r>
        <w:rPr>
          <w:rFonts w:hint="eastAsia" w:ascii="仿宋" w:hAnsi="仿宋" w:eastAsia="仿宋" w:cs="仿宋"/>
          <w:sz w:val="21"/>
          <w:szCs w:val="21"/>
        </w:rPr>
        <w:t>《混凝土泵送施工技术规程》（JGJ/T10-2011）；</w:t>
      </w:r>
    </w:p>
    <w:p w14:paraId="5662104D">
      <w:pPr>
        <w:spacing w:line="400" w:lineRule="exact"/>
        <w:ind w:firstLine="420" w:firstLineChars="200"/>
        <w:jc w:val="left"/>
        <w:outlineLvl w:val="2"/>
        <w:rPr>
          <w:rFonts w:hint="eastAsia" w:ascii="仿宋" w:hAnsi="仿宋" w:eastAsia="仿宋" w:cs="仿宋"/>
          <w:sz w:val="21"/>
          <w:szCs w:val="21"/>
        </w:rPr>
      </w:pPr>
      <w:r>
        <w:rPr>
          <w:rFonts w:hint="eastAsia" w:ascii="仿宋" w:hAnsi="仿宋" w:eastAsia="仿宋" w:cs="仿宋"/>
          <w:sz w:val="21"/>
          <w:szCs w:val="21"/>
        </w:rPr>
        <w:t>《用于水泥和混凝土中的粉煤灰》（GB/T1596-2017） ；</w:t>
      </w:r>
    </w:p>
    <w:p w14:paraId="11DD382D">
      <w:pPr>
        <w:spacing w:line="400" w:lineRule="exact"/>
        <w:ind w:firstLine="420" w:firstLineChars="200"/>
        <w:jc w:val="left"/>
        <w:outlineLvl w:val="2"/>
        <w:rPr>
          <w:rFonts w:hint="eastAsia" w:ascii="仿宋" w:hAnsi="仿宋" w:eastAsia="仿宋" w:cs="仿宋"/>
          <w:sz w:val="21"/>
          <w:szCs w:val="21"/>
        </w:rPr>
      </w:pPr>
      <w:r>
        <w:rPr>
          <w:rFonts w:hint="eastAsia" w:ascii="仿宋" w:hAnsi="仿宋" w:eastAsia="仿宋" w:cs="仿宋"/>
          <w:sz w:val="21"/>
          <w:szCs w:val="21"/>
        </w:rPr>
        <w:t>《粉煤灰在混凝土和砂浆中的应用技术规程》（JGJ28-86）；</w:t>
      </w:r>
    </w:p>
    <w:p w14:paraId="3124912F">
      <w:pPr>
        <w:spacing w:line="400" w:lineRule="exact"/>
        <w:ind w:firstLine="420" w:firstLineChars="200"/>
        <w:jc w:val="left"/>
        <w:outlineLvl w:val="2"/>
        <w:rPr>
          <w:rFonts w:hint="eastAsia" w:ascii="仿宋" w:hAnsi="仿宋" w:eastAsia="仿宋" w:cs="仿宋"/>
          <w:sz w:val="21"/>
          <w:szCs w:val="21"/>
        </w:rPr>
      </w:pPr>
      <w:r>
        <w:rPr>
          <w:rFonts w:hint="eastAsia" w:ascii="仿宋" w:hAnsi="仿宋" w:eastAsia="仿宋" w:cs="仿宋"/>
          <w:sz w:val="21"/>
          <w:szCs w:val="21"/>
        </w:rPr>
        <w:t xml:space="preserve">《普通混凝土力学性能试验方法标准》（GB/T50081-2002）； </w:t>
      </w:r>
    </w:p>
    <w:p w14:paraId="2893C8E4">
      <w:pPr>
        <w:spacing w:line="400" w:lineRule="exact"/>
        <w:ind w:firstLine="420" w:firstLineChars="200"/>
        <w:jc w:val="left"/>
        <w:outlineLvl w:val="2"/>
        <w:rPr>
          <w:rFonts w:hint="eastAsia" w:ascii="仿宋" w:hAnsi="仿宋" w:eastAsia="仿宋" w:cs="仿宋"/>
          <w:sz w:val="21"/>
          <w:szCs w:val="21"/>
        </w:rPr>
      </w:pPr>
      <w:r>
        <w:rPr>
          <w:rFonts w:hint="eastAsia" w:ascii="仿宋" w:hAnsi="仿宋" w:eastAsia="仿宋" w:cs="仿宋"/>
          <w:sz w:val="21"/>
          <w:szCs w:val="21"/>
        </w:rPr>
        <w:t>《公路工程水泥及水泥混凝土试验规程》JTGE30-2005；</w:t>
      </w:r>
    </w:p>
    <w:p w14:paraId="0599812B">
      <w:pPr>
        <w:spacing w:line="400" w:lineRule="exact"/>
        <w:ind w:firstLine="420" w:firstLineChars="200"/>
        <w:jc w:val="left"/>
        <w:outlineLvl w:val="2"/>
        <w:rPr>
          <w:rFonts w:hint="eastAsia" w:ascii="仿宋" w:hAnsi="仿宋" w:eastAsia="仿宋" w:cs="仿宋"/>
          <w:sz w:val="21"/>
          <w:szCs w:val="21"/>
        </w:rPr>
      </w:pPr>
      <w:r>
        <w:rPr>
          <w:rFonts w:hint="eastAsia" w:ascii="仿宋" w:hAnsi="仿宋" w:eastAsia="仿宋" w:cs="仿宋"/>
          <w:sz w:val="21"/>
          <w:szCs w:val="21"/>
        </w:rPr>
        <w:t>《公路水泥混凝土路面设计规范》(JTG D40-2011)；</w:t>
      </w:r>
    </w:p>
    <w:p w14:paraId="2F573C51">
      <w:pPr>
        <w:spacing w:line="400" w:lineRule="exact"/>
        <w:ind w:firstLine="420" w:firstLineChars="200"/>
        <w:jc w:val="left"/>
        <w:outlineLvl w:val="2"/>
        <w:rPr>
          <w:rFonts w:hint="eastAsia" w:ascii="仿宋" w:hAnsi="仿宋" w:eastAsia="仿宋" w:cs="仿宋"/>
          <w:sz w:val="21"/>
          <w:szCs w:val="21"/>
        </w:rPr>
      </w:pPr>
      <w:r>
        <w:rPr>
          <w:rFonts w:hint="eastAsia" w:ascii="仿宋" w:hAnsi="仿宋" w:eastAsia="仿宋" w:cs="仿宋"/>
          <w:sz w:val="21"/>
          <w:szCs w:val="21"/>
        </w:rPr>
        <w:t>《公路工程集料试验规程》(JTG E42-2005)；</w:t>
      </w:r>
    </w:p>
    <w:p w14:paraId="64F02969">
      <w:pPr>
        <w:spacing w:line="400" w:lineRule="exact"/>
        <w:ind w:firstLine="420" w:firstLineChars="200"/>
        <w:jc w:val="left"/>
        <w:outlineLvl w:val="2"/>
        <w:rPr>
          <w:rFonts w:hint="eastAsia" w:ascii="仿宋" w:hAnsi="仿宋" w:eastAsia="仿宋" w:cs="仿宋"/>
          <w:sz w:val="21"/>
          <w:szCs w:val="21"/>
        </w:rPr>
      </w:pPr>
      <w:r>
        <w:rPr>
          <w:rFonts w:hint="eastAsia" w:ascii="仿宋" w:hAnsi="仿宋" w:eastAsia="仿宋" w:cs="仿宋"/>
          <w:sz w:val="21"/>
          <w:szCs w:val="21"/>
        </w:rPr>
        <w:t>《公路水泥混凝土路面施工技术细则》JTG/T F30-2014；</w:t>
      </w:r>
    </w:p>
    <w:p w14:paraId="0FE2D925">
      <w:pPr>
        <w:spacing w:line="400" w:lineRule="exact"/>
        <w:ind w:firstLine="420" w:firstLineChars="200"/>
        <w:jc w:val="left"/>
        <w:outlineLvl w:val="2"/>
        <w:rPr>
          <w:rFonts w:hint="eastAsia" w:ascii="仿宋" w:hAnsi="仿宋" w:eastAsia="仿宋" w:cs="仿宋"/>
          <w:sz w:val="21"/>
          <w:szCs w:val="21"/>
        </w:rPr>
      </w:pPr>
      <w:r>
        <w:rPr>
          <w:rFonts w:hint="eastAsia" w:ascii="仿宋" w:hAnsi="仿宋" w:eastAsia="仿宋" w:cs="仿宋"/>
          <w:sz w:val="21"/>
          <w:szCs w:val="21"/>
        </w:rPr>
        <w:t xml:space="preserve">《公路工程质量检验评定标准》(JTG F80/1-2017)； </w:t>
      </w:r>
    </w:p>
    <w:p w14:paraId="16CDFE6B">
      <w:pPr>
        <w:spacing w:line="400" w:lineRule="exact"/>
        <w:ind w:firstLine="420" w:firstLineChars="200"/>
        <w:jc w:val="left"/>
        <w:outlineLvl w:val="2"/>
        <w:rPr>
          <w:rFonts w:hint="eastAsia" w:ascii="仿宋" w:hAnsi="仿宋" w:eastAsia="仿宋" w:cs="仿宋"/>
          <w:sz w:val="21"/>
          <w:szCs w:val="21"/>
        </w:rPr>
      </w:pPr>
      <w:r>
        <w:rPr>
          <w:rFonts w:hint="eastAsia" w:ascii="仿宋" w:hAnsi="仿宋" w:eastAsia="仿宋" w:cs="仿宋"/>
          <w:sz w:val="21"/>
          <w:szCs w:val="21"/>
        </w:rPr>
        <w:t xml:space="preserve"> 现行国家关于水泥混凝土强制性标准；</w:t>
      </w:r>
    </w:p>
    <w:p w14:paraId="5EAEAC8F">
      <w:pPr>
        <w:pStyle w:val="6"/>
        <w:keepNext w:val="0"/>
        <w:keepLines w:val="0"/>
        <w:tabs>
          <w:tab w:val="left" w:pos="567"/>
        </w:tabs>
        <w:spacing w:before="0" w:line="240" w:lineRule="auto"/>
        <w:ind w:firstLine="422" w:firstLineChars="200"/>
        <w:rPr>
          <w:rFonts w:hint="eastAsia" w:ascii="仿宋" w:hAnsi="仿宋" w:eastAsia="仿宋" w:cs="仿宋"/>
          <w:b w:val="0"/>
          <w:bCs w:val="0"/>
          <w:kern w:val="2"/>
          <w:sz w:val="21"/>
          <w:szCs w:val="21"/>
          <w:lang w:val="en-US" w:eastAsia="zh-CN" w:bidi="ar-SA"/>
        </w:rPr>
      </w:pPr>
      <w:r>
        <w:rPr>
          <w:rFonts w:hint="eastAsia" w:ascii="仿宋" w:hAnsi="仿宋" w:eastAsia="仿宋" w:cs="仿宋"/>
          <w:sz w:val="21"/>
          <w:szCs w:val="21"/>
        </w:rPr>
        <w:t xml:space="preserve"> </w:t>
      </w:r>
      <w:r>
        <w:rPr>
          <w:rFonts w:hint="eastAsia" w:ascii="仿宋" w:hAnsi="仿宋" w:eastAsia="仿宋" w:cs="仿宋"/>
          <w:b w:val="0"/>
          <w:bCs w:val="0"/>
          <w:kern w:val="2"/>
          <w:sz w:val="21"/>
          <w:szCs w:val="21"/>
          <w:lang w:val="en-US" w:eastAsia="zh-CN" w:bidi="ar-SA"/>
        </w:rPr>
        <w:t>原材料、添加剂符合国家及行业相关标准要求；同时应符合施工工艺有关规定并取得甲方、监理同意；</w:t>
      </w:r>
    </w:p>
    <w:p w14:paraId="7FA6FAC9">
      <w:pPr>
        <w:pStyle w:val="6"/>
        <w:keepNext w:val="0"/>
        <w:keepLines w:val="0"/>
        <w:tabs>
          <w:tab w:val="left" w:pos="567"/>
        </w:tabs>
        <w:spacing w:before="0" w:line="240" w:lineRule="auto"/>
        <w:ind w:firstLine="482" w:firstLineChars="200"/>
        <w:rPr>
          <w:rFonts w:ascii="仿宋_GB2312" w:hAnsi="仿宋" w:eastAsia="仿宋_GB2312"/>
          <w:b w:val="0"/>
          <w:bCs w:val="0"/>
          <w:sz w:val="24"/>
          <w:szCs w:val="24"/>
          <w:highlight w:val="none"/>
        </w:rPr>
      </w:pPr>
      <w:r>
        <w:rPr>
          <w:rFonts w:ascii="仿宋_GB2312" w:hAnsi="仿宋" w:eastAsia="仿宋_GB2312"/>
          <w:sz w:val="24"/>
          <w:szCs w:val="24"/>
          <w:highlight w:val="none"/>
        </w:rPr>
        <w:t>1</w:t>
      </w:r>
      <w:r>
        <w:rPr>
          <w:rFonts w:hint="eastAsia" w:ascii="仿宋_GB2312" w:hAnsi="仿宋" w:eastAsia="仿宋_GB2312"/>
          <w:sz w:val="24"/>
          <w:szCs w:val="24"/>
          <w:highlight w:val="none"/>
        </w:rPr>
        <w:t>.6.2混凝土配合比：</w:t>
      </w:r>
      <w:r>
        <w:rPr>
          <w:rFonts w:hint="eastAsia" w:ascii="仿宋_GB2312" w:hAnsi="仿宋" w:eastAsia="仿宋_GB2312"/>
          <w:b w:val="0"/>
          <w:bCs w:val="0"/>
          <w:sz w:val="24"/>
          <w:szCs w:val="24"/>
          <w:highlight w:val="none"/>
          <w:lang w:val="en-US" w:eastAsia="zh-CN"/>
        </w:rPr>
        <w:t>乙</w:t>
      </w:r>
      <w:r>
        <w:rPr>
          <w:rFonts w:hint="eastAsia" w:ascii="仿宋_GB2312" w:hAnsi="仿宋" w:eastAsia="仿宋_GB2312"/>
          <w:b w:val="0"/>
          <w:bCs w:val="0"/>
          <w:sz w:val="24"/>
          <w:szCs w:val="24"/>
          <w:highlight w:val="none"/>
        </w:rPr>
        <w:t>方根据所选出的原材料及外加剂、掺和料等，依据本合同第</w:t>
      </w:r>
      <w:r>
        <w:rPr>
          <w:rFonts w:hint="eastAsia" w:ascii="仿宋_GB2312" w:hAnsi="仿宋" w:eastAsia="仿宋_GB2312"/>
          <w:b w:val="0"/>
          <w:bCs w:val="0"/>
          <w:sz w:val="24"/>
          <w:szCs w:val="24"/>
          <w:highlight w:val="none"/>
          <w:lang w:val="en-US" w:eastAsia="zh-CN"/>
        </w:rPr>
        <w:t>1</w:t>
      </w:r>
      <w:r>
        <w:rPr>
          <w:rFonts w:hint="eastAsia" w:ascii="仿宋_GB2312" w:hAnsi="仿宋" w:eastAsia="仿宋_GB2312"/>
          <w:b w:val="0"/>
          <w:bCs w:val="0"/>
          <w:sz w:val="24"/>
          <w:szCs w:val="24"/>
          <w:highlight w:val="none"/>
        </w:rPr>
        <w:t>.3条中有关的规范、规定、标准进行混凝土试配，得出优化配合比。</w:t>
      </w:r>
    </w:p>
    <w:p w14:paraId="4BA28548">
      <w:pPr>
        <w:pStyle w:val="6"/>
        <w:keepNext w:val="0"/>
        <w:keepLines w:val="0"/>
        <w:tabs>
          <w:tab w:val="left" w:pos="567"/>
        </w:tabs>
        <w:spacing w:before="0" w:line="240" w:lineRule="auto"/>
        <w:ind w:firstLine="480" w:firstLineChars="200"/>
        <w:rPr>
          <w:rFonts w:ascii="仿宋_GB2312" w:hAnsi="仿宋" w:eastAsia="仿宋_GB2312"/>
          <w:sz w:val="24"/>
          <w:szCs w:val="24"/>
          <w:highlight w:val="none"/>
        </w:rPr>
      </w:pPr>
      <w:r>
        <w:rPr>
          <w:rFonts w:hint="eastAsia" w:ascii="仿宋_GB2312" w:hAnsi="仿宋" w:eastAsia="仿宋_GB2312"/>
          <w:b w:val="0"/>
          <w:bCs w:val="0"/>
          <w:sz w:val="24"/>
          <w:szCs w:val="24"/>
          <w:highlight w:val="none"/>
        </w:rPr>
        <w:t>当出现下列情况之一时，卖方应对混凝土配合比重新设计：</w:t>
      </w:r>
    </w:p>
    <w:p w14:paraId="7BACEF5F">
      <w:pPr>
        <w:pStyle w:val="21"/>
        <w:spacing w:before="0" w:beforeLines="0"/>
        <w:ind w:firstLine="480"/>
        <w:rPr>
          <w:rFonts w:ascii="仿宋_GB2312" w:hAnsi="仿宋" w:eastAsia="仿宋_GB2312"/>
          <w:sz w:val="24"/>
          <w:szCs w:val="24"/>
          <w:highlight w:val="none"/>
        </w:rPr>
      </w:pPr>
      <w:r>
        <w:rPr>
          <w:rFonts w:hint="eastAsia" w:ascii="仿宋_GB2312" w:hAnsi="仿宋" w:eastAsia="仿宋_GB2312"/>
          <w:sz w:val="24"/>
          <w:szCs w:val="24"/>
          <w:highlight w:val="none"/>
        </w:rPr>
        <w:t>（1）原材料的生产厂家或品种有变化时；</w:t>
      </w:r>
    </w:p>
    <w:p w14:paraId="124BEB1C">
      <w:pPr>
        <w:pStyle w:val="21"/>
        <w:spacing w:before="0" w:beforeLines="0"/>
        <w:ind w:firstLine="480"/>
        <w:rPr>
          <w:rFonts w:ascii="仿宋_GB2312" w:hAnsi="仿宋" w:eastAsia="仿宋_GB2312"/>
          <w:sz w:val="24"/>
          <w:szCs w:val="24"/>
          <w:highlight w:val="none"/>
        </w:rPr>
      </w:pPr>
      <w:r>
        <w:rPr>
          <w:rFonts w:hint="eastAsia" w:ascii="仿宋_GB2312" w:hAnsi="仿宋" w:eastAsia="仿宋_GB2312"/>
          <w:sz w:val="24"/>
          <w:szCs w:val="24"/>
          <w:highlight w:val="none"/>
        </w:rPr>
        <w:t>（2）该配合比的混凝土生产间断半年以上；</w:t>
      </w:r>
    </w:p>
    <w:p w14:paraId="6A814985">
      <w:pPr>
        <w:pStyle w:val="21"/>
        <w:spacing w:before="0" w:beforeLines="0"/>
        <w:ind w:firstLine="480"/>
        <w:rPr>
          <w:rFonts w:ascii="仿宋_GB2312" w:hAnsi="仿宋" w:eastAsia="仿宋_GB2312"/>
          <w:sz w:val="24"/>
          <w:szCs w:val="24"/>
          <w:highlight w:val="none"/>
        </w:rPr>
      </w:pPr>
      <w:r>
        <w:rPr>
          <w:rFonts w:hint="eastAsia" w:ascii="仿宋_GB2312" w:hAnsi="仿宋" w:eastAsia="仿宋_GB2312"/>
          <w:sz w:val="24"/>
          <w:szCs w:val="24"/>
          <w:highlight w:val="none"/>
        </w:rPr>
        <w:t>（3）</w:t>
      </w:r>
      <w:r>
        <w:rPr>
          <w:rFonts w:hint="eastAsia" w:ascii="仿宋_GB2312" w:hAnsi="仿宋" w:eastAsia="仿宋_GB2312"/>
          <w:sz w:val="24"/>
          <w:szCs w:val="24"/>
          <w:highlight w:val="none"/>
          <w:lang w:val="en-US" w:eastAsia="zh-CN"/>
        </w:rPr>
        <w:t>甲</w:t>
      </w:r>
      <w:r>
        <w:rPr>
          <w:rFonts w:hint="eastAsia" w:ascii="仿宋_GB2312" w:hAnsi="仿宋" w:eastAsia="仿宋_GB2312"/>
          <w:sz w:val="24"/>
          <w:szCs w:val="24"/>
          <w:highlight w:val="none"/>
        </w:rPr>
        <w:t>方、监理或建设单位提出更改意见。</w:t>
      </w:r>
    </w:p>
    <w:p w14:paraId="170CA8D3">
      <w:pPr>
        <w:pStyle w:val="6"/>
        <w:keepNext w:val="0"/>
        <w:keepLines w:val="0"/>
        <w:tabs>
          <w:tab w:val="left" w:pos="567"/>
        </w:tabs>
        <w:spacing w:before="0" w:line="240" w:lineRule="auto"/>
        <w:ind w:firstLine="482" w:firstLineChars="200"/>
        <w:rPr>
          <w:rFonts w:ascii="仿宋_GB2312" w:hAnsi="仿宋" w:eastAsia="仿宋_GB2312"/>
          <w:b w:val="0"/>
          <w:bCs w:val="0"/>
          <w:sz w:val="24"/>
          <w:szCs w:val="24"/>
          <w:highlight w:val="none"/>
        </w:rPr>
      </w:pPr>
      <w:r>
        <w:rPr>
          <w:rFonts w:ascii="仿宋_GB2312" w:hAnsi="仿宋" w:eastAsia="仿宋_GB2312"/>
          <w:sz w:val="24"/>
          <w:szCs w:val="24"/>
          <w:highlight w:val="none"/>
        </w:rPr>
        <w:t>1</w:t>
      </w:r>
      <w:r>
        <w:rPr>
          <w:rFonts w:hint="eastAsia" w:ascii="仿宋_GB2312" w:hAnsi="仿宋" w:eastAsia="仿宋_GB2312"/>
          <w:sz w:val="24"/>
          <w:szCs w:val="24"/>
          <w:highlight w:val="none"/>
        </w:rPr>
        <w:t>.6.3凝结时间的控制：</w:t>
      </w:r>
      <w:r>
        <w:rPr>
          <w:rFonts w:hint="eastAsia" w:ascii="仿宋_GB2312" w:hAnsi="仿宋" w:eastAsia="仿宋_GB2312"/>
          <w:b w:val="0"/>
          <w:bCs w:val="0"/>
          <w:sz w:val="24"/>
          <w:szCs w:val="24"/>
          <w:highlight w:val="none"/>
          <w:lang w:val="en-US" w:eastAsia="zh-CN"/>
        </w:rPr>
        <w:t>乙</w:t>
      </w:r>
      <w:r>
        <w:rPr>
          <w:rFonts w:hint="eastAsia" w:ascii="仿宋_GB2312" w:hAnsi="仿宋" w:eastAsia="仿宋_GB2312"/>
          <w:b w:val="0"/>
          <w:bCs w:val="0"/>
          <w:sz w:val="24"/>
          <w:szCs w:val="24"/>
          <w:highlight w:val="none"/>
        </w:rPr>
        <w:t>方应根据至现场的交通状况在混凝土中适当添加缓凝剂，并考虑途中失水的情况，满足买方施工现场的使用要求。混凝土到场应按规定对每车混凝土进行诸如坍落度等的检查，不符合申请要求的无条件清退。如因</w:t>
      </w:r>
      <w:r>
        <w:rPr>
          <w:rFonts w:hint="eastAsia" w:ascii="仿宋_GB2312" w:hAnsi="仿宋" w:eastAsia="仿宋_GB2312"/>
          <w:b w:val="0"/>
          <w:bCs w:val="0"/>
          <w:sz w:val="24"/>
          <w:szCs w:val="24"/>
          <w:highlight w:val="none"/>
          <w:lang w:val="en-US" w:eastAsia="zh-CN"/>
        </w:rPr>
        <w:t>乙</w:t>
      </w:r>
      <w:r>
        <w:rPr>
          <w:rFonts w:hint="eastAsia" w:ascii="仿宋_GB2312" w:hAnsi="仿宋" w:eastAsia="仿宋_GB2312"/>
          <w:b w:val="0"/>
          <w:bCs w:val="0"/>
          <w:sz w:val="24"/>
          <w:szCs w:val="24"/>
          <w:highlight w:val="none"/>
        </w:rPr>
        <w:t>方混凝土坍落度原因造成的混凝土泵送困难，造成的损失由</w:t>
      </w:r>
      <w:r>
        <w:rPr>
          <w:rFonts w:hint="eastAsia" w:ascii="仿宋_GB2312" w:hAnsi="仿宋" w:eastAsia="仿宋_GB2312"/>
          <w:b w:val="0"/>
          <w:bCs w:val="0"/>
          <w:sz w:val="24"/>
          <w:szCs w:val="24"/>
          <w:highlight w:val="none"/>
          <w:lang w:val="en-US" w:eastAsia="zh-CN"/>
        </w:rPr>
        <w:t>乙</w:t>
      </w:r>
      <w:r>
        <w:rPr>
          <w:rFonts w:hint="eastAsia" w:ascii="仿宋_GB2312" w:hAnsi="仿宋" w:eastAsia="仿宋_GB2312"/>
          <w:b w:val="0"/>
          <w:bCs w:val="0"/>
          <w:sz w:val="24"/>
          <w:szCs w:val="24"/>
          <w:highlight w:val="none"/>
        </w:rPr>
        <w:t>方承担。</w:t>
      </w:r>
    </w:p>
    <w:p w14:paraId="39852295">
      <w:pPr>
        <w:pStyle w:val="6"/>
        <w:keepNext w:val="0"/>
        <w:keepLines w:val="0"/>
        <w:tabs>
          <w:tab w:val="left" w:pos="567"/>
        </w:tabs>
        <w:spacing w:before="0" w:line="240" w:lineRule="auto"/>
        <w:ind w:firstLine="482" w:firstLineChars="200"/>
        <w:rPr>
          <w:rFonts w:ascii="仿宋_GB2312" w:hAnsi="仿宋" w:eastAsia="仿宋_GB2312"/>
          <w:b w:val="0"/>
          <w:bCs w:val="0"/>
          <w:sz w:val="24"/>
          <w:szCs w:val="24"/>
          <w:highlight w:val="none"/>
        </w:rPr>
      </w:pPr>
      <w:r>
        <w:rPr>
          <w:rFonts w:ascii="仿宋_GB2312" w:hAnsi="仿宋" w:eastAsia="仿宋_GB2312"/>
          <w:sz w:val="24"/>
          <w:szCs w:val="24"/>
          <w:highlight w:val="none"/>
        </w:rPr>
        <w:t>1</w:t>
      </w:r>
      <w:r>
        <w:rPr>
          <w:rFonts w:hint="eastAsia" w:ascii="仿宋_GB2312" w:hAnsi="仿宋" w:eastAsia="仿宋_GB2312"/>
          <w:sz w:val="24"/>
          <w:szCs w:val="24"/>
          <w:highlight w:val="none"/>
        </w:rPr>
        <w:t>.6.4</w:t>
      </w:r>
      <w:r>
        <w:rPr>
          <w:rFonts w:hint="eastAsia" w:ascii="仿宋_GB2312" w:hAnsi="仿宋" w:eastAsia="仿宋_GB2312"/>
          <w:b w:val="0"/>
          <w:bCs w:val="0"/>
          <w:sz w:val="24"/>
          <w:szCs w:val="24"/>
          <w:highlight w:val="none"/>
        </w:rPr>
        <w:t>符合大体积混凝土施工的构件混凝土应加掺和料及外加剂(如掺粉煤灰及减水剂等)，以减少大体积混凝土水化热。</w:t>
      </w:r>
    </w:p>
    <w:p w14:paraId="3B268F81">
      <w:pPr>
        <w:pStyle w:val="6"/>
        <w:keepNext w:val="0"/>
        <w:keepLines w:val="0"/>
        <w:tabs>
          <w:tab w:val="left" w:pos="567"/>
        </w:tabs>
        <w:spacing w:before="0" w:line="240" w:lineRule="auto"/>
        <w:ind w:firstLine="482" w:firstLineChars="200"/>
        <w:rPr>
          <w:rFonts w:ascii="仿宋_GB2312" w:hAnsi="仿宋" w:eastAsia="仿宋_GB2312"/>
          <w:b w:val="0"/>
          <w:bCs w:val="0"/>
          <w:sz w:val="24"/>
          <w:szCs w:val="24"/>
          <w:highlight w:val="none"/>
        </w:rPr>
      </w:pPr>
      <w:r>
        <w:rPr>
          <w:rFonts w:ascii="仿宋_GB2312" w:hAnsi="仿宋" w:eastAsia="仿宋_GB2312"/>
          <w:sz w:val="24"/>
          <w:szCs w:val="24"/>
          <w:highlight w:val="none"/>
        </w:rPr>
        <w:t>1</w:t>
      </w:r>
      <w:r>
        <w:rPr>
          <w:rFonts w:hint="eastAsia" w:ascii="仿宋_GB2312" w:hAnsi="仿宋" w:eastAsia="仿宋_GB2312"/>
          <w:sz w:val="24"/>
          <w:szCs w:val="24"/>
          <w:highlight w:val="none"/>
        </w:rPr>
        <w:t>.6.</w:t>
      </w:r>
      <w:r>
        <w:rPr>
          <w:rFonts w:ascii="仿宋_GB2312" w:hAnsi="仿宋" w:eastAsia="仿宋_GB2312"/>
          <w:sz w:val="24"/>
          <w:szCs w:val="24"/>
          <w:highlight w:val="none"/>
        </w:rPr>
        <w:t>5</w:t>
      </w:r>
      <w:r>
        <w:rPr>
          <w:rFonts w:hint="eastAsia" w:ascii="仿宋_GB2312" w:hAnsi="仿宋" w:eastAsia="仿宋_GB2312"/>
          <w:b w:val="0"/>
          <w:bCs w:val="0"/>
          <w:sz w:val="24"/>
          <w:szCs w:val="24"/>
          <w:highlight w:val="none"/>
        </w:rPr>
        <w:t>在风雨或暴热天气运输混凝土，罐车上应加遮盖或浇水降温，以防进水、水分蒸发、或混凝土温度过高。冬季施工时采取水泥投料前预热、砼运输罐体加以保温等措施以确保混凝土入模温度符合规范要求。</w:t>
      </w:r>
    </w:p>
    <w:p w14:paraId="61126B6C">
      <w:pPr>
        <w:pStyle w:val="6"/>
        <w:keepNext w:val="0"/>
        <w:keepLines w:val="0"/>
        <w:tabs>
          <w:tab w:val="left" w:pos="567"/>
        </w:tabs>
        <w:spacing w:before="0" w:line="240" w:lineRule="auto"/>
        <w:ind w:firstLine="482" w:firstLineChars="200"/>
        <w:rPr>
          <w:rFonts w:ascii="仿宋_GB2312" w:hAnsi="仿宋" w:eastAsia="仿宋_GB2312"/>
          <w:sz w:val="24"/>
          <w:szCs w:val="24"/>
          <w:highlight w:val="none"/>
        </w:rPr>
      </w:pPr>
      <w:r>
        <w:rPr>
          <w:rFonts w:ascii="仿宋_GB2312" w:hAnsi="仿宋" w:eastAsia="仿宋_GB2312"/>
          <w:sz w:val="24"/>
          <w:szCs w:val="24"/>
          <w:highlight w:val="none"/>
        </w:rPr>
        <w:t>1</w:t>
      </w:r>
      <w:r>
        <w:rPr>
          <w:rFonts w:hint="eastAsia" w:ascii="仿宋_GB2312" w:hAnsi="仿宋" w:eastAsia="仿宋_GB2312"/>
          <w:sz w:val="24"/>
          <w:szCs w:val="24"/>
          <w:highlight w:val="none"/>
        </w:rPr>
        <w:t>.6.6</w:t>
      </w:r>
      <w:r>
        <w:rPr>
          <w:rFonts w:hint="eastAsia" w:ascii="仿宋_GB2312" w:hAnsi="仿宋" w:eastAsia="仿宋_GB2312"/>
          <w:b w:val="0"/>
          <w:bCs w:val="0"/>
          <w:sz w:val="24"/>
          <w:szCs w:val="24"/>
          <w:highlight w:val="none"/>
        </w:rPr>
        <w:t>产品的质量必须完全符合国家有关技术标准、规范的要求、达到</w:t>
      </w:r>
      <w:r>
        <w:rPr>
          <w:rFonts w:hint="eastAsia" w:ascii="仿宋_GB2312" w:hAnsi="仿宋" w:eastAsia="仿宋_GB2312"/>
          <w:b w:val="0"/>
          <w:bCs w:val="0"/>
          <w:sz w:val="24"/>
          <w:szCs w:val="24"/>
          <w:highlight w:val="none"/>
          <w:lang w:val="en-US" w:eastAsia="zh-CN"/>
        </w:rPr>
        <w:t>乙</w:t>
      </w:r>
      <w:r>
        <w:rPr>
          <w:rFonts w:hint="eastAsia" w:ascii="仿宋_GB2312" w:hAnsi="仿宋" w:eastAsia="仿宋_GB2312"/>
          <w:b w:val="0"/>
          <w:bCs w:val="0"/>
          <w:sz w:val="24"/>
          <w:szCs w:val="24"/>
          <w:highlight w:val="none"/>
        </w:rPr>
        <w:t>方提供的产品资料所述性能，并满足</w:t>
      </w:r>
      <w:r>
        <w:rPr>
          <w:rFonts w:hint="eastAsia" w:ascii="仿宋_GB2312" w:hAnsi="仿宋" w:eastAsia="仿宋_GB2312"/>
          <w:b w:val="0"/>
          <w:bCs w:val="0"/>
          <w:sz w:val="24"/>
          <w:szCs w:val="24"/>
          <w:highlight w:val="none"/>
          <w:lang w:val="en-US" w:eastAsia="zh-CN"/>
        </w:rPr>
        <w:t>甲</w:t>
      </w:r>
      <w:r>
        <w:rPr>
          <w:rFonts w:hint="eastAsia" w:ascii="仿宋_GB2312" w:hAnsi="仿宋" w:eastAsia="仿宋_GB2312"/>
          <w:b w:val="0"/>
          <w:bCs w:val="0"/>
          <w:sz w:val="24"/>
          <w:szCs w:val="24"/>
          <w:highlight w:val="none"/>
        </w:rPr>
        <w:t>方的要求。</w:t>
      </w:r>
      <w:r>
        <w:rPr>
          <w:rFonts w:hint="eastAsia" w:ascii="仿宋_GB2312" w:hAnsi="仿宋" w:eastAsia="仿宋_GB2312"/>
          <w:b w:val="0"/>
          <w:bCs w:val="0"/>
          <w:sz w:val="24"/>
          <w:szCs w:val="24"/>
          <w:highlight w:val="none"/>
          <w:lang w:val="en-US" w:eastAsia="zh-CN"/>
        </w:rPr>
        <w:t>乙</w:t>
      </w:r>
      <w:r>
        <w:rPr>
          <w:rFonts w:hint="eastAsia" w:ascii="仿宋_GB2312" w:hAnsi="仿宋" w:eastAsia="仿宋_GB2312"/>
          <w:b w:val="0"/>
          <w:bCs w:val="0"/>
          <w:sz w:val="24"/>
          <w:szCs w:val="24"/>
          <w:highlight w:val="none"/>
        </w:rPr>
        <w:t>方应保证产品经过正常使用条件下，在其设计期限内具有可靠的性能。混凝土配合比应按使用年限100年及所处环境类别进行设计，混凝土的抗裂性、护筋性、耐腐性、抗冻性、耐磨性及抗碱-骨料反应性等应符合结构的设计年限和所处环境类别及作用等级的要求，混凝土的电通量应满足下表规定：</w:t>
      </w:r>
    </w:p>
    <w:tbl>
      <w:tblPr>
        <w:tblStyle w:val="15"/>
        <w:tblW w:w="5810" w:type="dxa"/>
        <w:tblInd w:w="110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59"/>
        <w:gridCol w:w="2551"/>
      </w:tblGrid>
      <w:tr w14:paraId="6A052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6" w:hRule="atLeast"/>
        </w:trPr>
        <w:tc>
          <w:tcPr>
            <w:tcW w:w="3259" w:type="dxa"/>
            <w:vAlign w:val="center"/>
          </w:tcPr>
          <w:p w14:paraId="1606DF2C">
            <w:pPr>
              <w:rPr>
                <w:rFonts w:ascii="仿宋_GB2312" w:hAnsi="仿宋" w:eastAsia="仿宋_GB2312"/>
                <w:sz w:val="24"/>
                <w:szCs w:val="24"/>
                <w:highlight w:val="none"/>
              </w:rPr>
            </w:pPr>
            <w:r>
              <w:rPr>
                <w:rFonts w:hint="eastAsia" w:ascii="仿宋_GB2312" w:hAnsi="仿宋" w:eastAsia="仿宋_GB2312"/>
                <w:sz w:val="24"/>
                <w:szCs w:val="24"/>
                <w:highlight w:val="none"/>
              </w:rPr>
              <w:t>混凝土强度等级</w:t>
            </w:r>
          </w:p>
        </w:tc>
        <w:tc>
          <w:tcPr>
            <w:tcW w:w="2551" w:type="dxa"/>
            <w:vAlign w:val="center"/>
          </w:tcPr>
          <w:p w14:paraId="6BE276E1">
            <w:pPr>
              <w:rPr>
                <w:rFonts w:ascii="仿宋_GB2312" w:hAnsi="仿宋" w:eastAsia="仿宋_GB2312"/>
                <w:sz w:val="24"/>
                <w:szCs w:val="24"/>
                <w:highlight w:val="none"/>
              </w:rPr>
            </w:pPr>
            <w:r>
              <w:rPr>
                <w:rFonts w:hint="eastAsia" w:ascii="仿宋_GB2312" w:hAnsi="仿宋" w:eastAsia="仿宋_GB2312"/>
                <w:sz w:val="24"/>
                <w:szCs w:val="24"/>
                <w:highlight w:val="none"/>
              </w:rPr>
              <w:t>电通量</w:t>
            </w:r>
          </w:p>
        </w:tc>
      </w:tr>
      <w:tr w14:paraId="397DDD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6" w:hRule="atLeast"/>
        </w:trPr>
        <w:tc>
          <w:tcPr>
            <w:tcW w:w="3259" w:type="dxa"/>
            <w:vAlign w:val="center"/>
          </w:tcPr>
          <w:p w14:paraId="4EC5E0B0">
            <w:pPr>
              <w:rPr>
                <w:rFonts w:ascii="仿宋_GB2312" w:hAnsi="仿宋" w:eastAsia="仿宋_GB2312"/>
                <w:sz w:val="24"/>
                <w:szCs w:val="24"/>
                <w:highlight w:val="none"/>
              </w:rPr>
            </w:pPr>
            <w:r>
              <w:rPr>
                <w:rFonts w:hint="eastAsia" w:ascii="仿宋_GB2312" w:hAnsi="仿宋" w:eastAsia="仿宋_GB2312"/>
                <w:sz w:val="24"/>
                <w:szCs w:val="24"/>
                <w:highlight w:val="none"/>
              </w:rPr>
              <w:t>＜C30</w:t>
            </w:r>
          </w:p>
        </w:tc>
        <w:tc>
          <w:tcPr>
            <w:tcW w:w="2551" w:type="dxa"/>
            <w:vAlign w:val="center"/>
          </w:tcPr>
          <w:p w14:paraId="609F038E">
            <w:pPr>
              <w:rPr>
                <w:rFonts w:ascii="仿宋_GB2312" w:hAnsi="仿宋" w:eastAsia="仿宋_GB2312"/>
                <w:sz w:val="24"/>
                <w:szCs w:val="24"/>
                <w:highlight w:val="none"/>
              </w:rPr>
            </w:pPr>
            <w:r>
              <w:rPr>
                <w:rFonts w:hint="eastAsia" w:ascii="仿宋_GB2312" w:hAnsi="仿宋" w:eastAsia="仿宋_GB2312"/>
                <w:sz w:val="24"/>
                <w:szCs w:val="24"/>
                <w:highlight w:val="none"/>
              </w:rPr>
              <w:t>＜2000</w:t>
            </w:r>
          </w:p>
        </w:tc>
      </w:tr>
      <w:tr w14:paraId="0A0669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6" w:hRule="atLeast"/>
        </w:trPr>
        <w:tc>
          <w:tcPr>
            <w:tcW w:w="3259" w:type="dxa"/>
            <w:vAlign w:val="center"/>
          </w:tcPr>
          <w:p w14:paraId="7670D789">
            <w:pPr>
              <w:rPr>
                <w:rFonts w:ascii="仿宋_GB2312" w:hAnsi="仿宋" w:eastAsia="仿宋_GB2312"/>
                <w:sz w:val="24"/>
                <w:szCs w:val="24"/>
                <w:highlight w:val="none"/>
              </w:rPr>
            </w:pPr>
            <w:r>
              <w:rPr>
                <w:rFonts w:hint="eastAsia" w:ascii="仿宋_GB2312" w:hAnsi="仿宋" w:eastAsia="仿宋_GB2312"/>
                <w:sz w:val="24"/>
                <w:szCs w:val="24"/>
                <w:highlight w:val="none"/>
              </w:rPr>
              <w:t>C30~C45</w:t>
            </w:r>
          </w:p>
        </w:tc>
        <w:tc>
          <w:tcPr>
            <w:tcW w:w="2551" w:type="dxa"/>
            <w:vAlign w:val="center"/>
          </w:tcPr>
          <w:p w14:paraId="53C78180">
            <w:pPr>
              <w:rPr>
                <w:rFonts w:ascii="仿宋_GB2312" w:hAnsi="仿宋" w:eastAsia="仿宋_GB2312"/>
                <w:sz w:val="24"/>
                <w:szCs w:val="24"/>
                <w:highlight w:val="none"/>
              </w:rPr>
            </w:pPr>
            <w:r>
              <w:rPr>
                <w:rFonts w:hint="eastAsia" w:ascii="仿宋_GB2312" w:hAnsi="仿宋" w:eastAsia="仿宋_GB2312"/>
                <w:sz w:val="24"/>
                <w:szCs w:val="24"/>
                <w:highlight w:val="none"/>
              </w:rPr>
              <w:t>＜1500</w:t>
            </w:r>
          </w:p>
        </w:tc>
      </w:tr>
      <w:tr w14:paraId="634446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3" w:hRule="atLeast"/>
        </w:trPr>
        <w:tc>
          <w:tcPr>
            <w:tcW w:w="3259" w:type="dxa"/>
            <w:vAlign w:val="center"/>
          </w:tcPr>
          <w:p w14:paraId="3166ACAB">
            <w:pPr>
              <w:rPr>
                <w:rFonts w:ascii="仿宋_GB2312" w:hAnsi="仿宋" w:eastAsia="仿宋_GB2312"/>
                <w:sz w:val="24"/>
                <w:szCs w:val="24"/>
                <w:highlight w:val="none"/>
              </w:rPr>
            </w:pPr>
            <w:r>
              <w:rPr>
                <w:rFonts w:hint="eastAsia" w:ascii="仿宋_GB2312" w:hAnsi="仿宋" w:eastAsia="仿宋_GB2312"/>
                <w:sz w:val="24"/>
                <w:szCs w:val="24"/>
                <w:highlight w:val="none"/>
              </w:rPr>
              <w:t>≥C50</w:t>
            </w:r>
          </w:p>
        </w:tc>
        <w:tc>
          <w:tcPr>
            <w:tcW w:w="2551" w:type="dxa"/>
            <w:vAlign w:val="center"/>
          </w:tcPr>
          <w:p w14:paraId="5AE87900">
            <w:pPr>
              <w:rPr>
                <w:rFonts w:ascii="仿宋_GB2312" w:hAnsi="仿宋" w:eastAsia="仿宋_GB2312"/>
                <w:sz w:val="24"/>
                <w:szCs w:val="24"/>
                <w:highlight w:val="none"/>
              </w:rPr>
            </w:pPr>
            <w:r>
              <w:rPr>
                <w:rFonts w:hint="eastAsia" w:ascii="仿宋_GB2312" w:hAnsi="仿宋" w:eastAsia="仿宋_GB2312"/>
                <w:sz w:val="24"/>
                <w:szCs w:val="24"/>
                <w:highlight w:val="none"/>
              </w:rPr>
              <w:t>＜1000</w:t>
            </w:r>
          </w:p>
        </w:tc>
      </w:tr>
    </w:tbl>
    <w:p w14:paraId="38556508">
      <w:pPr>
        <w:pStyle w:val="21"/>
        <w:spacing w:before="0" w:beforeLines="0"/>
        <w:ind w:firstLine="480"/>
        <w:rPr>
          <w:rFonts w:hint="eastAsia" w:ascii="仿宋_GB2312" w:hAnsi="仿宋" w:eastAsia="仿宋_GB2312" w:cs="宋体"/>
          <w:sz w:val="24"/>
          <w:szCs w:val="24"/>
          <w:highlight w:val="none"/>
        </w:rPr>
      </w:pPr>
      <w:r>
        <w:rPr>
          <w:rFonts w:hint="eastAsia" w:ascii="仿宋_GB2312" w:hAnsi="仿宋" w:eastAsia="仿宋_GB2312"/>
          <w:sz w:val="24"/>
          <w:szCs w:val="24"/>
          <w:highlight w:val="none"/>
        </w:rPr>
        <w:t>（1）</w:t>
      </w:r>
      <w:r>
        <w:rPr>
          <w:rFonts w:hint="eastAsia" w:ascii="仿宋_GB2312" w:hAnsi="仿宋" w:eastAsia="仿宋_GB2312"/>
          <w:sz w:val="24"/>
          <w:szCs w:val="24"/>
          <w:highlight w:val="none"/>
          <w:lang w:val="en-US" w:eastAsia="zh-CN"/>
        </w:rPr>
        <w:t>乙</w:t>
      </w:r>
      <w:r>
        <w:rPr>
          <w:rFonts w:hint="eastAsia" w:ascii="仿宋_GB2312" w:hAnsi="仿宋" w:eastAsia="仿宋_GB2312"/>
          <w:sz w:val="24"/>
          <w:szCs w:val="24"/>
          <w:highlight w:val="none"/>
        </w:rPr>
        <w:t>方所提供混凝土必须符合国家质量《预拌混凝土》(GBT14902-2012)标准，出现混凝土不合格时，一切责任及损失由卖方承担。对C50级及以上混凝土，</w:t>
      </w:r>
      <w:r>
        <w:rPr>
          <w:rFonts w:hint="eastAsia" w:ascii="仿宋_GB2312" w:hAnsi="仿宋" w:eastAsia="仿宋_GB2312" w:cs="宋体"/>
          <w:sz w:val="24"/>
          <w:szCs w:val="24"/>
          <w:highlight w:val="none"/>
        </w:rPr>
        <w:t>尚需满足设计图纸中弹性模量的要求值。</w:t>
      </w:r>
    </w:p>
    <w:p w14:paraId="750D2903">
      <w:pPr>
        <w:pStyle w:val="21"/>
        <w:spacing w:before="0" w:beforeLines="0"/>
        <w:ind w:firstLine="480"/>
        <w:rPr>
          <w:rFonts w:hint="eastAsia" w:ascii="仿宋_GB2312" w:hAnsi="仿宋" w:eastAsia="仿宋_GB2312" w:cs="宋体"/>
          <w:sz w:val="24"/>
          <w:szCs w:val="24"/>
          <w:highlight w:val="none"/>
        </w:rPr>
      </w:pPr>
      <w:r>
        <w:rPr>
          <w:rFonts w:hint="eastAsia" w:ascii="仿宋_GB2312" w:hAnsi="仿宋" w:eastAsia="仿宋_GB2312" w:cs="宋体"/>
          <w:sz w:val="24"/>
          <w:szCs w:val="24"/>
          <w:highlight w:val="none"/>
        </w:rPr>
        <w:t>（2）砂、石符合《普通混凝土用砂、石质量及检验方法标准》(JGJ52-2006)。</w:t>
      </w:r>
    </w:p>
    <w:p w14:paraId="233F164A">
      <w:pPr>
        <w:pStyle w:val="21"/>
        <w:spacing w:before="0" w:beforeLines="0"/>
        <w:ind w:firstLine="480"/>
        <w:rPr>
          <w:rFonts w:hint="eastAsia" w:ascii="仿宋_GB2312" w:hAnsi="仿宋" w:eastAsia="仿宋_GB2312" w:cs="宋体"/>
          <w:sz w:val="24"/>
          <w:szCs w:val="24"/>
          <w:highlight w:val="none"/>
        </w:rPr>
      </w:pPr>
      <w:r>
        <w:rPr>
          <w:rFonts w:hint="eastAsia" w:ascii="仿宋_GB2312" w:hAnsi="仿宋" w:eastAsia="仿宋_GB2312" w:cs="宋体"/>
          <w:sz w:val="24"/>
          <w:szCs w:val="24"/>
          <w:highlight w:val="none"/>
        </w:rPr>
        <w:t>（3）水泥符合《通用硅酸盐水泥》(GB</w:t>
      </w:r>
      <w:r>
        <w:rPr>
          <w:rFonts w:hint="eastAsia" w:ascii="仿宋_GB2312" w:hAnsi="仿宋" w:eastAsia="仿宋_GB2312" w:cs="宋体"/>
          <w:sz w:val="24"/>
          <w:szCs w:val="24"/>
          <w:highlight w:val="none"/>
          <w:lang w:val="en-US" w:eastAsia="zh-CN"/>
        </w:rPr>
        <w:t xml:space="preserve"> </w:t>
      </w:r>
      <w:r>
        <w:rPr>
          <w:rFonts w:hint="eastAsia" w:ascii="仿宋_GB2312" w:hAnsi="仿宋" w:eastAsia="仿宋_GB2312" w:cs="宋体"/>
          <w:sz w:val="24"/>
          <w:szCs w:val="24"/>
          <w:highlight w:val="none"/>
        </w:rPr>
        <w:t>175-</w:t>
      </w:r>
      <w:r>
        <w:rPr>
          <w:rFonts w:hint="eastAsia" w:ascii="仿宋_GB2312" w:hAnsi="仿宋" w:eastAsia="仿宋_GB2312" w:cs="宋体"/>
          <w:sz w:val="24"/>
          <w:szCs w:val="24"/>
          <w:highlight w:val="none"/>
          <w:lang w:val="en-US" w:eastAsia="zh-CN"/>
        </w:rPr>
        <w:t>2023</w:t>
      </w:r>
      <w:r>
        <w:rPr>
          <w:rFonts w:hint="eastAsia" w:ascii="仿宋_GB2312" w:hAnsi="仿宋" w:eastAsia="仿宋_GB2312" w:cs="宋体"/>
          <w:sz w:val="24"/>
          <w:szCs w:val="24"/>
          <w:highlight w:val="none"/>
        </w:rPr>
        <w:t>)国家标准。</w:t>
      </w:r>
    </w:p>
    <w:p w14:paraId="48886232">
      <w:pPr>
        <w:pStyle w:val="21"/>
        <w:spacing w:before="0" w:beforeLines="0"/>
        <w:ind w:firstLine="480"/>
        <w:rPr>
          <w:rFonts w:hint="eastAsia" w:ascii="仿宋_GB2312" w:hAnsi="仿宋" w:eastAsia="仿宋_GB2312" w:cs="宋体"/>
          <w:sz w:val="24"/>
          <w:szCs w:val="24"/>
          <w:highlight w:val="none"/>
        </w:rPr>
      </w:pPr>
      <w:r>
        <w:rPr>
          <w:rFonts w:hint="eastAsia" w:ascii="仿宋_GB2312" w:hAnsi="仿宋" w:eastAsia="仿宋_GB2312" w:cs="宋体"/>
          <w:sz w:val="24"/>
          <w:szCs w:val="24"/>
          <w:highlight w:val="none"/>
        </w:rPr>
        <w:t>（4）混凝土外加剂符合《混凝土外加剂》(GB</w:t>
      </w:r>
      <w:r>
        <w:rPr>
          <w:rFonts w:hint="eastAsia" w:ascii="仿宋_GB2312" w:hAnsi="仿宋" w:eastAsia="仿宋_GB2312" w:cs="宋体"/>
          <w:sz w:val="24"/>
          <w:szCs w:val="24"/>
          <w:highlight w:val="none"/>
          <w:lang w:val="en-US" w:eastAsia="zh-CN"/>
        </w:rPr>
        <w:t xml:space="preserve"> </w:t>
      </w:r>
      <w:r>
        <w:rPr>
          <w:rFonts w:hint="eastAsia" w:ascii="仿宋_GB2312" w:hAnsi="仿宋" w:eastAsia="仿宋_GB2312" w:cs="宋体"/>
          <w:sz w:val="24"/>
          <w:szCs w:val="24"/>
          <w:highlight w:val="none"/>
        </w:rPr>
        <w:t>8076-2008)标准及《混凝土外加剂匀质性试验方法》(GB/T 8077-20</w:t>
      </w:r>
      <w:r>
        <w:rPr>
          <w:rFonts w:hint="eastAsia" w:ascii="仿宋_GB2312" w:hAnsi="仿宋" w:eastAsia="仿宋_GB2312" w:cs="宋体"/>
          <w:sz w:val="24"/>
          <w:szCs w:val="24"/>
          <w:highlight w:val="none"/>
          <w:lang w:val="en-US" w:eastAsia="zh-CN"/>
        </w:rPr>
        <w:t>23</w:t>
      </w:r>
      <w:r>
        <w:rPr>
          <w:rFonts w:hint="eastAsia" w:ascii="仿宋_GB2312" w:hAnsi="仿宋" w:eastAsia="仿宋_GB2312" w:cs="宋体"/>
          <w:sz w:val="24"/>
          <w:szCs w:val="24"/>
          <w:highlight w:val="none"/>
        </w:rPr>
        <w:t>)。</w:t>
      </w:r>
    </w:p>
    <w:p w14:paraId="7872B660">
      <w:pPr>
        <w:pStyle w:val="21"/>
        <w:spacing w:before="0" w:beforeLines="0"/>
        <w:ind w:firstLine="480"/>
        <w:rPr>
          <w:rFonts w:hint="eastAsia" w:ascii="仿宋_GB2312" w:hAnsi="仿宋" w:eastAsia="仿宋_GB2312"/>
          <w:sz w:val="24"/>
          <w:szCs w:val="24"/>
          <w:highlight w:val="none"/>
        </w:rPr>
      </w:pPr>
      <w:r>
        <w:rPr>
          <w:rFonts w:hint="eastAsia" w:ascii="仿宋_GB2312" w:hAnsi="仿宋" w:eastAsia="仿宋_GB2312" w:cs="宋体"/>
          <w:sz w:val="24"/>
          <w:szCs w:val="24"/>
          <w:highlight w:val="none"/>
        </w:rPr>
        <w:t>（</w:t>
      </w:r>
      <w:r>
        <w:rPr>
          <w:rFonts w:hint="eastAsia" w:ascii="仿宋_GB2312" w:hAnsi="仿宋" w:eastAsia="仿宋_GB2312" w:cs="宋体"/>
          <w:sz w:val="24"/>
          <w:szCs w:val="24"/>
          <w:highlight w:val="none"/>
          <w:lang w:val="en-US" w:eastAsia="zh-CN"/>
        </w:rPr>
        <w:t>5</w:t>
      </w:r>
      <w:r>
        <w:rPr>
          <w:rFonts w:hint="eastAsia" w:ascii="仿宋_GB2312" w:hAnsi="仿宋" w:eastAsia="仿宋_GB2312" w:cs="宋体"/>
          <w:sz w:val="24"/>
          <w:szCs w:val="24"/>
          <w:highlight w:val="none"/>
        </w:rPr>
        <w:t>）混凝土用粉煤灰符合《用于水泥和混凝土</w:t>
      </w:r>
      <w:r>
        <w:rPr>
          <w:rFonts w:hint="eastAsia" w:ascii="仿宋_GB2312" w:hAnsi="仿宋" w:eastAsia="仿宋_GB2312"/>
          <w:sz w:val="24"/>
          <w:szCs w:val="24"/>
          <w:highlight w:val="none"/>
        </w:rPr>
        <w:t>中的粉煤灰》 (GB/T1596-2017)。</w:t>
      </w:r>
    </w:p>
    <w:p w14:paraId="31B2E898">
      <w:pPr>
        <w:pStyle w:val="21"/>
        <w:spacing w:before="0" w:beforeLines="0"/>
        <w:ind w:firstLine="480"/>
        <w:rPr>
          <w:rFonts w:hint="eastAsia" w:ascii="仿宋_GB2312" w:hAnsi="仿宋" w:eastAsia="仿宋_GB2312"/>
          <w:sz w:val="24"/>
          <w:szCs w:val="24"/>
          <w:highlight w:val="none"/>
        </w:rPr>
      </w:pPr>
      <w:r>
        <w:rPr>
          <w:rFonts w:hint="eastAsia" w:ascii="仿宋_GB2312" w:hAnsi="仿宋" w:eastAsia="仿宋_GB2312"/>
          <w:sz w:val="24"/>
          <w:szCs w:val="24"/>
          <w:highlight w:val="none"/>
        </w:rPr>
        <w:t>（6）混凝土用水符合《混凝土用水标准》(JGJ63-2006)。</w:t>
      </w:r>
    </w:p>
    <w:p w14:paraId="68C68495">
      <w:pPr>
        <w:pStyle w:val="21"/>
        <w:spacing w:before="0" w:beforeLines="0"/>
        <w:ind w:firstLine="480"/>
        <w:rPr>
          <w:rFonts w:ascii="仿宋_GB2312" w:hAnsi="仿宋" w:eastAsia="仿宋_GB2312"/>
          <w:sz w:val="24"/>
          <w:szCs w:val="24"/>
          <w:highlight w:val="none"/>
        </w:rPr>
      </w:pPr>
      <w:r>
        <w:rPr>
          <w:rFonts w:hint="eastAsia" w:ascii="仿宋_GB2312" w:hAnsi="仿宋" w:eastAsia="仿宋_GB2312"/>
          <w:sz w:val="24"/>
          <w:szCs w:val="24"/>
          <w:highlight w:val="none"/>
        </w:rPr>
        <w:t>（7）一般环境下混凝土的最大水胶比和胶凝材料用量应符合下表规定：</w:t>
      </w:r>
    </w:p>
    <w:tbl>
      <w:tblPr>
        <w:tblStyle w:val="1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98"/>
        <w:gridCol w:w="1277"/>
        <w:gridCol w:w="1560"/>
        <w:gridCol w:w="1984"/>
        <w:gridCol w:w="1978"/>
      </w:tblGrid>
      <w:tr w14:paraId="21BFCD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98" w:type="dxa"/>
            <w:vAlign w:val="center"/>
          </w:tcPr>
          <w:p w14:paraId="3D55CABE">
            <w:pPr>
              <w:rPr>
                <w:rFonts w:ascii="仿宋_GB2312" w:hAnsi="仿宋" w:eastAsia="仿宋_GB2312"/>
                <w:sz w:val="24"/>
                <w:szCs w:val="24"/>
                <w:highlight w:val="none"/>
              </w:rPr>
            </w:pPr>
            <w:r>
              <w:rPr>
                <w:rFonts w:hint="eastAsia" w:ascii="仿宋_GB2312" w:hAnsi="仿宋" w:eastAsia="仿宋_GB2312"/>
                <w:sz w:val="24"/>
                <w:szCs w:val="24"/>
                <w:highlight w:val="none"/>
              </w:rPr>
              <w:t>混凝土强度等级</w:t>
            </w:r>
          </w:p>
        </w:tc>
        <w:tc>
          <w:tcPr>
            <w:tcW w:w="1277" w:type="dxa"/>
            <w:vAlign w:val="center"/>
          </w:tcPr>
          <w:p w14:paraId="0EA0ACFD">
            <w:pPr>
              <w:rPr>
                <w:rFonts w:ascii="仿宋_GB2312" w:hAnsi="仿宋" w:eastAsia="仿宋_GB2312"/>
                <w:sz w:val="24"/>
                <w:szCs w:val="24"/>
                <w:highlight w:val="none"/>
              </w:rPr>
            </w:pPr>
            <w:r>
              <w:rPr>
                <w:rFonts w:hint="eastAsia" w:ascii="仿宋_GB2312" w:hAnsi="仿宋" w:eastAsia="仿宋_GB2312"/>
                <w:sz w:val="24"/>
                <w:szCs w:val="24"/>
                <w:highlight w:val="none"/>
              </w:rPr>
              <w:t>最大水胶比</w:t>
            </w:r>
          </w:p>
        </w:tc>
        <w:tc>
          <w:tcPr>
            <w:tcW w:w="1560" w:type="dxa"/>
            <w:vAlign w:val="center"/>
          </w:tcPr>
          <w:p w14:paraId="0E0F8C4A">
            <w:pPr>
              <w:rPr>
                <w:rFonts w:ascii="仿宋_GB2312" w:hAnsi="仿宋" w:eastAsia="仿宋_GB2312"/>
                <w:sz w:val="24"/>
                <w:szCs w:val="24"/>
                <w:highlight w:val="none"/>
              </w:rPr>
            </w:pPr>
            <w:r>
              <w:rPr>
                <w:rFonts w:hint="eastAsia" w:ascii="仿宋_GB2312" w:hAnsi="仿宋" w:eastAsia="仿宋_GB2312"/>
                <w:sz w:val="24"/>
                <w:szCs w:val="24"/>
                <w:highlight w:val="none"/>
              </w:rPr>
              <w:t>水泥最小用量</w:t>
            </w:r>
          </w:p>
        </w:tc>
        <w:tc>
          <w:tcPr>
            <w:tcW w:w="1984" w:type="dxa"/>
            <w:vAlign w:val="center"/>
          </w:tcPr>
          <w:p w14:paraId="457378F3">
            <w:pPr>
              <w:rPr>
                <w:rFonts w:ascii="仿宋_GB2312" w:hAnsi="仿宋" w:eastAsia="仿宋_GB2312"/>
                <w:sz w:val="24"/>
                <w:szCs w:val="24"/>
                <w:highlight w:val="none"/>
              </w:rPr>
            </w:pPr>
            <w:r>
              <w:rPr>
                <w:rFonts w:hint="eastAsia" w:ascii="仿宋_GB2312" w:hAnsi="仿宋" w:eastAsia="仿宋_GB2312"/>
                <w:sz w:val="24"/>
                <w:szCs w:val="24"/>
                <w:highlight w:val="none"/>
              </w:rPr>
              <w:t>胶凝材料最小用量</w:t>
            </w:r>
          </w:p>
        </w:tc>
        <w:tc>
          <w:tcPr>
            <w:tcW w:w="1978" w:type="dxa"/>
            <w:vAlign w:val="center"/>
          </w:tcPr>
          <w:p w14:paraId="2710C125">
            <w:pPr>
              <w:rPr>
                <w:rFonts w:ascii="仿宋_GB2312" w:hAnsi="仿宋" w:eastAsia="仿宋_GB2312"/>
                <w:sz w:val="24"/>
                <w:szCs w:val="24"/>
                <w:highlight w:val="none"/>
              </w:rPr>
            </w:pPr>
            <w:r>
              <w:rPr>
                <w:rFonts w:hint="eastAsia" w:ascii="仿宋_GB2312" w:hAnsi="仿宋" w:eastAsia="仿宋_GB2312"/>
                <w:sz w:val="24"/>
                <w:szCs w:val="24"/>
                <w:highlight w:val="none"/>
              </w:rPr>
              <w:t>胶凝材料最大用量</w:t>
            </w:r>
          </w:p>
        </w:tc>
      </w:tr>
      <w:tr w14:paraId="01FBBE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98" w:type="dxa"/>
            <w:vAlign w:val="center"/>
          </w:tcPr>
          <w:p w14:paraId="5A8BD2D7">
            <w:pPr>
              <w:rPr>
                <w:rFonts w:ascii="仿宋_GB2312" w:hAnsi="仿宋" w:eastAsia="仿宋_GB2312"/>
                <w:sz w:val="24"/>
                <w:szCs w:val="24"/>
                <w:highlight w:val="none"/>
              </w:rPr>
            </w:pPr>
            <w:r>
              <w:rPr>
                <w:rFonts w:hint="eastAsia" w:ascii="仿宋_GB2312" w:hAnsi="仿宋" w:eastAsia="仿宋_GB2312"/>
                <w:sz w:val="24"/>
                <w:szCs w:val="24"/>
                <w:highlight w:val="none"/>
              </w:rPr>
              <w:t>＜C30</w:t>
            </w:r>
          </w:p>
        </w:tc>
        <w:tc>
          <w:tcPr>
            <w:tcW w:w="1277" w:type="dxa"/>
            <w:vAlign w:val="center"/>
          </w:tcPr>
          <w:p w14:paraId="624BB7DE">
            <w:pPr>
              <w:rPr>
                <w:rFonts w:ascii="仿宋_GB2312" w:hAnsi="仿宋" w:eastAsia="仿宋_GB2312"/>
                <w:sz w:val="24"/>
                <w:szCs w:val="24"/>
                <w:highlight w:val="none"/>
              </w:rPr>
            </w:pPr>
            <w:r>
              <w:rPr>
                <w:rFonts w:hint="eastAsia" w:ascii="仿宋_GB2312" w:hAnsi="仿宋" w:eastAsia="仿宋_GB2312"/>
                <w:sz w:val="24"/>
                <w:szCs w:val="24"/>
                <w:highlight w:val="none"/>
              </w:rPr>
              <w:t>0.45</w:t>
            </w:r>
          </w:p>
        </w:tc>
        <w:tc>
          <w:tcPr>
            <w:tcW w:w="1560" w:type="dxa"/>
            <w:vAlign w:val="center"/>
          </w:tcPr>
          <w:p w14:paraId="5C3716A4">
            <w:pPr>
              <w:rPr>
                <w:rFonts w:ascii="仿宋_GB2312" w:hAnsi="仿宋" w:eastAsia="仿宋_GB2312"/>
                <w:sz w:val="24"/>
                <w:szCs w:val="24"/>
                <w:highlight w:val="none"/>
              </w:rPr>
            </w:pPr>
            <w:r>
              <w:rPr>
                <w:rFonts w:hint="eastAsia" w:ascii="仿宋_GB2312" w:hAnsi="仿宋" w:eastAsia="仿宋_GB2312"/>
                <w:sz w:val="24"/>
                <w:szCs w:val="24"/>
                <w:highlight w:val="none"/>
              </w:rPr>
              <w:t>280</w:t>
            </w:r>
          </w:p>
        </w:tc>
        <w:tc>
          <w:tcPr>
            <w:tcW w:w="1984" w:type="dxa"/>
            <w:vAlign w:val="center"/>
          </w:tcPr>
          <w:p w14:paraId="56664ED9">
            <w:pPr>
              <w:rPr>
                <w:rFonts w:ascii="仿宋_GB2312" w:hAnsi="仿宋" w:eastAsia="仿宋_GB2312"/>
                <w:sz w:val="24"/>
                <w:szCs w:val="24"/>
                <w:highlight w:val="none"/>
              </w:rPr>
            </w:pPr>
            <w:r>
              <w:rPr>
                <w:rFonts w:hint="eastAsia" w:ascii="仿宋_GB2312" w:hAnsi="仿宋" w:eastAsia="仿宋_GB2312"/>
                <w:sz w:val="24"/>
                <w:szCs w:val="24"/>
                <w:highlight w:val="none"/>
              </w:rPr>
              <w:t>320</w:t>
            </w:r>
          </w:p>
        </w:tc>
        <w:tc>
          <w:tcPr>
            <w:tcW w:w="1978" w:type="dxa"/>
            <w:vAlign w:val="center"/>
          </w:tcPr>
          <w:p w14:paraId="137E00A7">
            <w:pPr>
              <w:rPr>
                <w:rFonts w:ascii="仿宋_GB2312" w:hAnsi="仿宋" w:eastAsia="仿宋_GB2312"/>
                <w:sz w:val="24"/>
                <w:szCs w:val="24"/>
                <w:highlight w:val="none"/>
              </w:rPr>
            </w:pPr>
            <w:r>
              <w:rPr>
                <w:rFonts w:hint="eastAsia" w:ascii="仿宋_GB2312" w:hAnsi="仿宋" w:eastAsia="仿宋_GB2312"/>
                <w:sz w:val="24"/>
                <w:szCs w:val="24"/>
                <w:highlight w:val="none"/>
              </w:rPr>
              <w:t>400</w:t>
            </w:r>
          </w:p>
        </w:tc>
      </w:tr>
      <w:tr w14:paraId="6354CE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98" w:type="dxa"/>
            <w:vAlign w:val="center"/>
          </w:tcPr>
          <w:p w14:paraId="5CEEDC12">
            <w:pPr>
              <w:rPr>
                <w:rFonts w:ascii="仿宋_GB2312" w:hAnsi="仿宋" w:eastAsia="仿宋_GB2312"/>
                <w:sz w:val="24"/>
                <w:szCs w:val="24"/>
                <w:highlight w:val="none"/>
              </w:rPr>
            </w:pPr>
            <w:r>
              <w:rPr>
                <w:rFonts w:hint="eastAsia" w:ascii="仿宋_GB2312" w:hAnsi="仿宋" w:eastAsia="仿宋_GB2312"/>
                <w:sz w:val="24"/>
                <w:szCs w:val="24"/>
                <w:highlight w:val="none"/>
              </w:rPr>
              <w:t>C30~C45</w:t>
            </w:r>
          </w:p>
        </w:tc>
        <w:tc>
          <w:tcPr>
            <w:tcW w:w="1277" w:type="dxa"/>
            <w:vAlign w:val="center"/>
          </w:tcPr>
          <w:p w14:paraId="0EA940D6">
            <w:pPr>
              <w:rPr>
                <w:rFonts w:ascii="仿宋_GB2312" w:hAnsi="仿宋" w:eastAsia="仿宋_GB2312"/>
                <w:sz w:val="24"/>
                <w:szCs w:val="24"/>
                <w:highlight w:val="none"/>
              </w:rPr>
            </w:pPr>
            <w:r>
              <w:rPr>
                <w:rFonts w:hint="eastAsia" w:ascii="仿宋_GB2312" w:hAnsi="仿宋" w:eastAsia="仿宋_GB2312"/>
                <w:sz w:val="24"/>
                <w:szCs w:val="24"/>
                <w:highlight w:val="none"/>
              </w:rPr>
              <w:t>0.43</w:t>
            </w:r>
          </w:p>
        </w:tc>
        <w:tc>
          <w:tcPr>
            <w:tcW w:w="1560" w:type="dxa"/>
            <w:vAlign w:val="center"/>
          </w:tcPr>
          <w:p w14:paraId="10DF6649">
            <w:pPr>
              <w:rPr>
                <w:rFonts w:ascii="仿宋_GB2312" w:hAnsi="仿宋" w:eastAsia="仿宋_GB2312"/>
                <w:sz w:val="24"/>
                <w:szCs w:val="24"/>
                <w:highlight w:val="none"/>
              </w:rPr>
            </w:pPr>
            <w:r>
              <w:rPr>
                <w:rFonts w:hint="eastAsia" w:ascii="仿宋_GB2312" w:hAnsi="仿宋" w:eastAsia="仿宋_GB2312"/>
                <w:sz w:val="24"/>
                <w:szCs w:val="24"/>
                <w:highlight w:val="none"/>
              </w:rPr>
              <w:t>300</w:t>
            </w:r>
          </w:p>
        </w:tc>
        <w:tc>
          <w:tcPr>
            <w:tcW w:w="1984" w:type="dxa"/>
            <w:vAlign w:val="center"/>
          </w:tcPr>
          <w:p w14:paraId="3F217D82">
            <w:pPr>
              <w:rPr>
                <w:rFonts w:ascii="仿宋_GB2312" w:hAnsi="仿宋" w:eastAsia="仿宋_GB2312"/>
                <w:sz w:val="24"/>
                <w:szCs w:val="24"/>
                <w:highlight w:val="none"/>
              </w:rPr>
            </w:pPr>
            <w:r>
              <w:rPr>
                <w:rFonts w:hint="eastAsia" w:ascii="仿宋_GB2312" w:hAnsi="仿宋" w:eastAsia="仿宋_GB2312"/>
                <w:sz w:val="24"/>
                <w:szCs w:val="24"/>
                <w:highlight w:val="none"/>
              </w:rPr>
              <w:t>350</w:t>
            </w:r>
          </w:p>
        </w:tc>
        <w:tc>
          <w:tcPr>
            <w:tcW w:w="1978" w:type="dxa"/>
            <w:vAlign w:val="center"/>
          </w:tcPr>
          <w:p w14:paraId="0A67083F">
            <w:pPr>
              <w:rPr>
                <w:rFonts w:ascii="仿宋_GB2312" w:hAnsi="仿宋" w:eastAsia="仿宋_GB2312"/>
                <w:sz w:val="24"/>
                <w:szCs w:val="24"/>
                <w:highlight w:val="none"/>
              </w:rPr>
            </w:pPr>
            <w:r>
              <w:rPr>
                <w:rFonts w:hint="eastAsia" w:ascii="仿宋_GB2312" w:hAnsi="仿宋" w:eastAsia="仿宋_GB2312"/>
                <w:sz w:val="24"/>
                <w:szCs w:val="24"/>
                <w:highlight w:val="none"/>
              </w:rPr>
              <w:t>450</w:t>
            </w:r>
          </w:p>
        </w:tc>
      </w:tr>
      <w:tr w14:paraId="2E4DE3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98" w:type="dxa"/>
            <w:vAlign w:val="center"/>
          </w:tcPr>
          <w:p w14:paraId="64461F82">
            <w:pPr>
              <w:rPr>
                <w:rFonts w:ascii="仿宋_GB2312" w:hAnsi="仿宋" w:eastAsia="仿宋_GB2312"/>
                <w:sz w:val="24"/>
                <w:szCs w:val="24"/>
                <w:highlight w:val="none"/>
              </w:rPr>
            </w:pPr>
            <w:r>
              <w:rPr>
                <w:rFonts w:hint="eastAsia" w:ascii="仿宋_GB2312" w:hAnsi="仿宋" w:eastAsia="仿宋_GB2312"/>
                <w:sz w:val="24"/>
                <w:szCs w:val="24"/>
                <w:highlight w:val="none"/>
              </w:rPr>
              <w:t>≥C50</w:t>
            </w:r>
          </w:p>
        </w:tc>
        <w:tc>
          <w:tcPr>
            <w:tcW w:w="1277" w:type="dxa"/>
            <w:vAlign w:val="center"/>
          </w:tcPr>
          <w:p w14:paraId="7E23B8EE">
            <w:pPr>
              <w:rPr>
                <w:rFonts w:ascii="仿宋_GB2312" w:hAnsi="仿宋" w:eastAsia="仿宋_GB2312"/>
                <w:sz w:val="24"/>
                <w:szCs w:val="24"/>
                <w:highlight w:val="none"/>
              </w:rPr>
            </w:pPr>
            <w:r>
              <w:rPr>
                <w:rFonts w:hint="eastAsia" w:ascii="仿宋_GB2312" w:hAnsi="仿宋" w:eastAsia="仿宋_GB2312"/>
                <w:sz w:val="24"/>
                <w:szCs w:val="24"/>
                <w:highlight w:val="none"/>
              </w:rPr>
              <w:t>0.38</w:t>
            </w:r>
          </w:p>
        </w:tc>
        <w:tc>
          <w:tcPr>
            <w:tcW w:w="1560" w:type="dxa"/>
            <w:vAlign w:val="center"/>
          </w:tcPr>
          <w:p w14:paraId="61EDA794">
            <w:pPr>
              <w:rPr>
                <w:rFonts w:ascii="仿宋_GB2312" w:hAnsi="仿宋" w:eastAsia="仿宋_GB2312"/>
                <w:sz w:val="24"/>
                <w:szCs w:val="24"/>
                <w:highlight w:val="none"/>
              </w:rPr>
            </w:pPr>
            <w:r>
              <w:rPr>
                <w:rFonts w:hint="eastAsia" w:ascii="仿宋_GB2312" w:hAnsi="仿宋" w:eastAsia="仿宋_GB2312"/>
                <w:sz w:val="24"/>
                <w:szCs w:val="24"/>
                <w:highlight w:val="none"/>
              </w:rPr>
              <w:t>320</w:t>
            </w:r>
          </w:p>
        </w:tc>
        <w:tc>
          <w:tcPr>
            <w:tcW w:w="1984" w:type="dxa"/>
            <w:vAlign w:val="center"/>
          </w:tcPr>
          <w:p w14:paraId="7AB474C7">
            <w:pPr>
              <w:rPr>
                <w:rFonts w:ascii="仿宋_GB2312" w:hAnsi="仿宋" w:eastAsia="仿宋_GB2312"/>
                <w:sz w:val="24"/>
                <w:szCs w:val="24"/>
                <w:highlight w:val="none"/>
              </w:rPr>
            </w:pPr>
            <w:r>
              <w:rPr>
                <w:rFonts w:hint="eastAsia" w:ascii="仿宋_GB2312" w:hAnsi="仿宋" w:eastAsia="仿宋_GB2312"/>
                <w:sz w:val="24"/>
                <w:szCs w:val="24"/>
                <w:highlight w:val="none"/>
              </w:rPr>
              <w:t>400</w:t>
            </w:r>
          </w:p>
        </w:tc>
        <w:tc>
          <w:tcPr>
            <w:tcW w:w="1978" w:type="dxa"/>
            <w:vAlign w:val="center"/>
          </w:tcPr>
          <w:p w14:paraId="1AC7C25C">
            <w:pPr>
              <w:rPr>
                <w:rFonts w:ascii="仿宋_GB2312" w:hAnsi="仿宋" w:eastAsia="仿宋_GB2312"/>
                <w:sz w:val="24"/>
                <w:szCs w:val="24"/>
                <w:highlight w:val="none"/>
              </w:rPr>
            </w:pPr>
            <w:r>
              <w:rPr>
                <w:rFonts w:hint="eastAsia" w:ascii="仿宋_GB2312" w:hAnsi="仿宋" w:eastAsia="仿宋_GB2312"/>
                <w:sz w:val="24"/>
                <w:szCs w:val="24"/>
                <w:highlight w:val="none"/>
              </w:rPr>
              <w:t>500</w:t>
            </w:r>
          </w:p>
        </w:tc>
      </w:tr>
    </w:tbl>
    <w:p w14:paraId="0E238D59">
      <w:pPr>
        <w:pStyle w:val="21"/>
        <w:spacing w:before="0" w:beforeLines="0"/>
        <w:ind w:firstLine="480"/>
        <w:rPr>
          <w:rFonts w:ascii="仿宋_GB2312" w:hAnsi="仿宋" w:eastAsia="仿宋_GB2312"/>
          <w:sz w:val="24"/>
          <w:szCs w:val="24"/>
          <w:highlight w:val="none"/>
        </w:rPr>
      </w:pPr>
      <w:r>
        <w:rPr>
          <w:rFonts w:hint="eastAsia" w:ascii="仿宋_GB2312" w:hAnsi="仿宋" w:eastAsia="仿宋_GB2312"/>
          <w:sz w:val="24"/>
          <w:szCs w:val="24"/>
          <w:highlight w:val="none"/>
        </w:rPr>
        <w:t>（8）混凝土中的最大氯离子含量不应超过胶凝材料总量的0.06%。</w:t>
      </w:r>
    </w:p>
    <w:p w14:paraId="32824296">
      <w:pPr>
        <w:pStyle w:val="21"/>
        <w:spacing w:before="0" w:beforeLines="0"/>
        <w:ind w:firstLine="480"/>
        <w:rPr>
          <w:rFonts w:ascii="仿宋_GB2312" w:hAnsi="仿宋" w:eastAsia="仿宋_GB2312"/>
          <w:sz w:val="24"/>
          <w:szCs w:val="24"/>
          <w:highlight w:val="none"/>
        </w:rPr>
      </w:pPr>
      <w:r>
        <w:rPr>
          <w:rFonts w:hint="eastAsia" w:ascii="仿宋_GB2312" w:hAnsi="仿宋" w:eastAsia="仿宋_GB2312"/>
          <w:sz w:val="24"/>
          <w:szCs w:val="24"/>
          <w:highlight w:val="none"/>
        </w:rPr>
        <w:t>（9）混凝土中的最大总碱含量为3.0kg/m</w:t>
      </w:r>
      <w:r>
        <w:rPr>
          <w:rFonts w:ascii="Calibri" w:hAnsi="Calibri" w:eastAsia="仿宋_GB2312" w:cs="Calibri"/>
          <w:sz w:val="24"/>
          <w:szCs w:val="24"/>
          <w:highlight w:val="none"/>
        </w:rPr>
        <w:t>³</w:t>
      </w:r>
      <w:r>
        <w:rPr>
          <w:rFonts w:hint="eastAsia" w:ascii="仿宋_GB2312" w:hAnsi="仿宋" w:eastAsia="仿宋_GB2312" w:cs="仿宋"/>
          <w:sz w:val="24"/>
          <w:szCs w:val="24"/>
          <w:highlight w:val="none"/>
        </w:rPr>
        <w:t>。</w:t>
      </w:r>
    </w:p>
    <w:p w14:paraId="2D30ED75">
      <w:pPr>
        <w:pStyle w:val="21"/>
        <w:spacing w:before="0" w:beforeLines="0"/>
        <w:ind w:firstLine="480"/>
        <w:rPr>
          <w:rFonts w:ascii="仿宋_GB2312" w:hAnsi="仿宋" w:eastAsia="仿宋_GB2312"/>
          <w:sz w:val="24"/>
          <w:szCs w:val="24"/>
          <w:highlight w:val="none"/>
        </w:rPr>
      </w:pPr>
      <w:r>
        <w:rPr>
          <w:rFonts w:hint="eastAsia" w:ascii="仿宋_GB2312" w:hAnsi="仿宋" w:eastAsia="仿宋_GB2312"/>
          <w:sz w:val="24"/>
          <w:szCs w:val="24"/>
          <w:highlight w:val="none"/>
        </w:rPr>
        <w:t>（10）高性能补偿收缩混凝土的限制膨胀率应符合下表规定：</w:t>
      </w:r>
    </w:p>
    <w:tbl>
      <w:tblPr>
        <w:tblStyle w:val="1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59"/>
        <w:gridCol w:w="2619"/>
        <w:gridCol w:w="2619"/>
      </w:tblGrid>
      <w:tr w14:paraId="2F7EAF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259" w:type="dxa"/>
            <w:vAlign w:val="center"/>
          </w:tcPr>
          <w:p w14:paraId="7D8018C1">
            <w:pPr>
              <w:rPr>
                <w:rFonts w:ascii="仿宋_GB2312" w:hAnsi="仿宋" w:eastAsia="仿宋_GB2312"/>
                <w:sz w:val="24"/>
                <w:szCs w:val="24"/>
                <w:highlight w:val="none"/>
              </w:rPr>
            </w:pPr>
            <w:r>
              <w:rPr>
                <w:rFonts w:hint="eastAsia" w:ascii="仿宋_GB2312" w:hAnsi="仿宋" w:eastAsia="仿宋_GB2312"/>
                <w:sz w:val="24"/>
                <w:szCs w:val="24"/>
                <w:highlight w:val="none"/>
              </w:rPr>
              <w:t>结构部位</w:t>
            </w:r>
          </w:p>
        </w:tc>
        <w:tc>
          <w:tcPr>
            <w:tcW w:w="2619" w:type="dxa"/>
            <w:vAlign w:val="center"/>
          </w:tcPr>
          <w:p w14:paraId="06AF2904">
            <w:pPr>
              <w:rPr>
                <w:rFonts w:ascii="仿宋_GB2312" w:hAnsi="仿宋" w:eastAsia="仿宋_GB2312"/>
                <w:sz w:val="24"/>
                <w:szCs w:val="24"/>
                <w:highlight w:val="none"/>
              </w:rPr>
            </w:pPr>
            <w:r>
              <w:rPr>
                <w:rFonts w:hint="eastAsia" w:ascii="仿宋_GB2312" w:hAnsi="仿宋" w:eastAsia="仿宋_GB2312"/>
                <w:sz w:val="24"/>
                <w:szCs w:val="24"/>
                <w:highlight w:val="none"/>
              </w:rPr>
              <w:t>最小限制膨胀率*10</w:t>
            </w:r>
            <w:r>
              <w:rPr>
                <w:rFonts w:hint="eastAsia" w:ascii="仿宋_GB2312" w:hAnsi="仿宋" w:eastAsia="仿宋_GB2312"/>
                <w:sz w:val="24"/>
                <w:szCs w:val="24"/>
                <w:highlight w:val="none"/>
                <w:vertAlign w:val="superscript"/>
              </w:rPr>
              <w:t>-4</w:t>
            </w:r>
          </w:p>
        </w:tc>
        <w:tc>
          <w:tcPr>
            <w:tcW w:w="2619" w:type="dxa"/>
            <w:vAlign w:val="center"/>
          </w:tcPr>
          <w:p w14:paraId="393F367B">
            <w:pPr>
              <w:rPr>
                <w:rFonts w:ascii="仿宋_GB2312" w:hAnsi="仿宋" w:eastAsia="仿宋_GB2312"/>
                <w:sz w:val="24"/>
                <w:szCs w:val="24"/>
                <w:highlight w:val="none"/>
              </w:rPr>
            </w:pPr>
            <w:r>
              <w:rPr>
                <w:rFonts w:hint="eastAsia" w:ascii="仿宋_GB2312" w:hAnsi="仿宋" w:eastAsia="仿宋_GB2312"/>
                <w:sz w:val="24"/>
                <w:szCs w:val="24"/>
                <w:highlight w:val="none"/>
              </w:rPr>
              <w:t>最大限制膨胀率*10</w:t>
            </w:r>
            <w:r>
              <w:rPr>
                <w:rFonts w:hint="eastAsia" w:ascii="仿宋_GB2312" w:hAnsi="仿宋" w:eastAsia="仿宋_GB2312"/>
                <w:sz w:val="24"/>
                <w:szCs w:val="24"/>
                <w:highlight w:val="none"/>
                <w:vertAlign w:val="superscript"/>
              </w:rPr>
              <w:t>-4</w:t>
            </w:r>
          </w:p>
        </w:tc>
      </w:tr>
      <w:tr w14:paraId="3EB1F2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259" w:type="dxa"/>
            <w:vAlign w:val="center"/>
          </w:tcPr>
          <w:p w14:paraId="78767A8C">
            <w:pPr>
              <w:rPr>
                <w:rFonts w:ascii="仿宋_GB2312" w:hAnsi="仿宋" w:eastAsia="仿宋_GB2312"/>
                <w:sz w:val="24"/>
                <w:szCs w:val="24"/>
                <w:highlight w:val="none"/>
              </w:rPr>
            </w:pPr>
            <w:r>
              <w:rPr>
                <w:rFonts w:hint="eastAsia" w:ascii="仿宋_GB2312" w:hAnsi="仿宋" w:eastAsia="仿宋_GB2312"/>
                <w:sz w:val="24"/>
                <w:szCs w:val="24"/>
                <w:highlight w:val="none"/>
              </w:rPr>
              <w:t>平板结构</w:t>
            </w:r>
          </w:p>
        </w:tc>
        <w:tc>
          <w:tcPr>
            <w:tcW w:w="2619" w:type="dxa"/>
            <w:vAlign w:val="center"/>
          </w:tcPr>
          <w:p w14:paraId="72202B08">
            <w:pPr>
              <w:rPr>
                <w:rFonts w:ascii="仿宋_GB2312" w:hAnsi="仿宋" w:eastAsia="仿宋_GB2312"/>
                <w:sz w:val="24"/>
                <w:szCs w:val="24"/>
                <w:highlight w:val="none"/>
              </w:rPr>
            </w:pPr>
            <w:r>
              <w:rPr>
                <w:rFonts w:hint="eastAsia" w:ascii="仿宋_GB2312" w:hAnsi="仿宋" w:eastAsia="仿宋_GB2312"/>
                <w:sz w:val="24"/>
                <w:szCs w:val="24"/>
                <w:highlight w:val="none"/>
              </w:rPr>
              <w:t>2.0</w:t>
            </w:r>
          </w:p>
        </w:tc>
        <w:tc>
          <w:tcPr>
            <w:tcW w:w="2619" w:type="dxa"/>
            <w:vAlign w:val="center"/>
          </w:tcPr>
          <w:p w14:paraId="3C01C548">
            <w:pPr>
              <w:rPr>
                <w:rFonts w:ascii="仿宋_GB2312" w:hAnsi="仿宋" w:eastAsia="仿宋_GB2312"/>
                <w:sz w:val="24"/>
                <w:szCs w:val="24"/>
                <w:highlight w:val="none"/>
              </w:rPr>
            </w:pPr>
            <w:r>
              <w:rPr>
                <w:rFonts w:hint="eastAsia" w:ascii="仿宋_GB2312" w:hAnsi="仿宋" w:eastAsia="仿宋_GB2312"/>
                <w:sz w:val="24"/>
                <w:szCs w:val="24"/>
                <w:highlight w:val="none"/>
              </w:rPr>
              <w:t>3.0</w:t>
            </w:r>
          </w:p>
        </w:tc>
      </w:tr>
      <w:tr w14:paraId="31C22A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259" w:type="dxa"/>
            <w:vAlign w:val="center"/>
          </w:tcPr>
          <w:p w14:paraId="70BEDBA9">
            <w:pPr>
              <w:rPr>
                <w:rFonts w:ascii="仿宋_GB2312" w:hAnsi="仿宋" w:eastAsia="仿宋_GB2312"/>
                <w:sz w:val="24"/>
                <w:szCs w:val="24"/>
                <w:highlight w:val="none"/>
              </w:rPr>
            </w:pPr>
            <w:r>
              <w:rPr>
                <w:rFonts w:hint="eastAsia" w:ascii="仿宋_GB2312" w:hAnsi="仿宋" w:eastAsia="仿宋_GB2312"/>
                <w:sz w:val="24"/>
                <w:szCs w:val="24"/>
                <w:highlight w:val="none"/>
              </w:rPr>
              <w:t>梁、墙结构</w:t>
            </w:r>
          </w:p>
        </w:tc>
        <w:tc>
          <w:tcPr>
            <w:tcW w:w="2619" w:type="dxa"/>
            <w:vAlign w:val="center"/>
          </w:tcPr>
          <w:p w14:paraId="60A5DF91">
            <w:pPr>
              <w:rPr>
                <w:rFonts w:ascii="仿宋_GB2312" w:hAnsi="仿宋" w:eastAsia="仿宋_GB2312"/>
                <w:sz w:val="24"/>
                <w:szCs w:val="24"/>
                <w:highlight w:val="none"/>
              </w:rPr>
            </w:pPr>
            <w:r>
              <w:rPr>
                <w:rFonts w:hint="eastAsia" w:ascii="仿宋_GB2312" w:hAnsi="仿宋" w:eastAsia="仿宋_GB2312"/>
                <w:sz w:val="24"/>
                <w:szCs w:val="24"/>
                <w:highlight w:val="none"/>
              </w:rPr>
              <w:t>2.5</w:t>
            </w:r>
          </w:p>
        </w:tc>
        <w:tc>
          <w:tcPr>
            <w:tcW w:w="2619" w:type="dxa"/>
            <w:vAlign w:val="center"/>
          </w:tcPr>
          <w:p w14:paraId="0DF7042C">
            <w:pPr>
              <w:rPr>
                <w:rFonts w:ascii="仿宋_GB2312" w:hAnsi="仿宋" w:eastAsia="仿宋_GB2312"/>
                <w:sz w:val="24"/>
                <w:szCs w:val="24"/>
                <w:highlight w:val="none"/>
              </w:rPr>
            </w:pPr>
            <w:r>
              <w:rPr>
                <w:rFonts w:hint="eastAsia" w:ascii="仿宋_GB2312" w:hAnsi="仿宋" w:eastAsia="仿宋_GB2312"/>
                <w:sz w:val="24"/>
                <w:szCs w:val="24"/>
                <w:highlight w:val="none"/>
              </w:rPr>
              <w:t>4.0</w:t>
            </w:r>
          </w:p>
        </w:tc>
      </w:tr>
      <w:tr w14:paraId="380A0A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259" w:type="dxa"/>
            <w:vAlign w:val="center"/>
          </w:tcPr>
          <w:p w14:paraId="04B1B1F7">
            <w:pPr>
              <w:rPr>
                <w:rFonts w:ascii="仿宋_GB2312" w:hAnsi="仿宋" w:eastAsia="仿宋_GB2312"/>
                <w:sz w:val="24"/>
                <w:szCs w:val="24"/>
                <w:highlight w:val="none"/>
              </w:rPr>
            </w:pPr>
            <w:r>
              <w:rPr>
                <w:rFonts w:hint="eastAsia" w:ascii="仿宋_GB2312" w:hAnsi="仿宋" w:eastAsia="仿宋_GB2312"/>
                <w:sz w:val="24"/>
                <w:szCs w:val="24"/>
                <w:highlight w:val="none"/>
              </w:rPr>
              <w:t>倒浇带、膨胀加强带等填充部位</w:t>
            </w:r>
          </w:p>
        </w:tc>
        <w:tc>
          <w:tcPr>
            <w:tcW w:w="2619" w:type="dxa"/>
            <w:vAlign w:val="center"/>
          </w:tcPr>
          <w:p w14:paraId="0203B7C5">
            <w:pPr>
              <w:rPr>
                <w:rFonts w:ascii="仿宋_GB2312" w:hAnsi="仿宋" w:eastAsia="仿宋_GB2312"/>
                <w:sz w:val="24"/>
                <w:szCs w:val="24"/>
                <w:highlight w:val="none"/>
              </w:rPr>
            </w:pPr>
            <w:r>
              <w:rPr>
                <w:rFonts w:hint="eastAsia" w:ascii="仿宋_GB2312" w:hAnsi="仿宋" w:eastAsia="仿宋_GB2312"/>
                <w:sz w:val="24"/>
                <w:szCs w:val="24"/>
                <w:highlight w:val="none"/>
              </w:rPr>
              <w:t>3.0</w:t>
            </w:r>
          </w:p>
        </w:tc>
        <w:tc>
          <w:tcPr>
            <w:tcW w:w="2619" w:type="dxa"/>
            <w:vAlign w:val="center"/>
          </w:tcPr>
          <w:p w14:paraId="6AD5D60E">
            <w:pPr>
              <w:rPr>
                <w:rFonts w:ascii="仿宋_GB2312" w:hAnsi="仿宋" w:eastAsia="仿宋_GB2312"/>
                <w:sz w:val="24"/>
                <w:szCs w:val="24"/>
                <w:highlight w:val="none"/>
              </w:rPr>
            </w:pPr>
            <w:r>
              <w:rPr>
                <w:rFonts w:hint="eastAsia" w:ascii="仿宋_GB2312" w:hAnsi="仿宋" w:eastAsia="仿宋_GB2312"/>
                <w:sz w:val="24"/>
                <w:szCs w:val="24"/>
                <w:highlight w:val="none"/>
              </w:rPr>
              <w:t>5.0</w:t>
            </w:r>
          </w:p>
        </w:tc>
      </w:tr>
      <w:permEnd w:id="37"/>
    </w:tbl>
    <w:p w14:paraId="4102EEF8">
      <w:pPr>
        <w:pStyle w:val="5"/>
        <w:keepNext w:val="0"/>
        <w:keepLines w:val="0"/>
        <w:spacing w:line="240" w:lineRule="auto"/>
        <w:ind w:firstLine="482"/>
        <w:rPr>
          <w:rFonts w:ascii="仿宋_GB2312" w:hAnsi="仿宋" w:eastAsia="仿宋_GB2312"/>
          <w:sz w:val="24"/>
          <w:szCs w:val="24"/>
          <w:highlight w:val="none"/>
        </w:rPr>
      </w:pPr>
      <w:r>
        <w:rPr>
          <w:rFonts w:ascii="仿宋_GB2312" w:hAnsi="仿宋" w:eastAsia="仿宋_GB2312"/>
          <w:sz w:val="24"/>
          <w:szCs w:val="24"/>
          <w:highlight w:val="none"/>
        </w:rPr>
        <w:t>1</w:t>
      </w:r>
      <w:r>
        <w:rPr>
          <w:rFonts w:hint="eastAsia" w:ascii="仿宋_GB2312" w:hAnsi="仿宋" w:eastAsia="仿宋_GB2312"/>
          <w:sz w:val="24"/>
          <w:szCs w:val="24"/>
          <w:highlight w:val="none"/>
        </w:rPr>
        <w:t>.7产品生产：</w:t>
      </w:r>
      <w:r>
        <w:rPr>
          <w:rFonts w:hint="eastAsia" w:ascii="仿宋_GB2312" w:hAnsi="仿宋" w:eastAsia="仿宋_GB2312"/>
          <w:b w:val="0"/>
          <w:bCs w:val="0"/>
          <w:sz w:val="24"/>
          <w:szCs w:val="24"/>
          <w:highlight w:val="none"/>
        </w:rPr>
        <w:t>原材料储存、计量、搅拌过程中所需一切设备应满足</w:t>
      </w:r>
      <w:r>
        <w:rPr>
          <w:rFonts w:hint="eastAsia" w:ascii="仿宋_GB2312" w:hAnsi="仿宋" w:eastAsia="仿宋_GB2312"/>
          <w:b w:val="0"/>
          <w:bCs w:val="0"/>
          <w:sz w:val="24"/>
          <w:szCs w:val="24"/>
          <w:highlight w:val="none"/>
          <w:lang w:val="en-US" w:eastAsia="zh-CN"/>
        </w:rPr>
        <w:t>1</w:t>
      </w:r>
      <w:r>
        <w:rPr>
          <w:rFonts w:hint="eastAsia" w:ascii="仿宋_GB2312" w:hAnsi="仿宋" w:eastAsia="仿宋_GB2312"/>
          <w:b w:val="0"/>
          <w:bCs w:val="0"/>
          <w:sz w:val="24"/>
          <w:szCs w:val="24"/>
          <w:highlight w:val="none"/>
        </w:rPr>
        <w:t>.3条有关规范、规程、标准及建设单位的规定。</w:t>
      </w:r>
    </w:p>
    <w:p w14:paraId="3BF2054E">
      <w:pPr>
        <w:pStyle w:val="19"/>
        <w:spacing w:line="400" w:lineRule="atLeast"/>
        <w:ind w:firstLine="482" w:firstLineChars="200"/>
        <w:rPr>
          <w:rFonts w:ascii="仿宋_GB2312" w:hAnsi="仿宋" w:eastAsia="仿宋_GB2312" w:cs="仿宋_GB2312"/>
          <w:b/>
          <w:bCs/>
          <w:color w:val="000000" w:themeColor="text1"/>
          <w:highlight w:val="none"/>
          <w14:textFill>
            <w14:solidFill>
              <w14:schemeClr w14:val="tx1"/>
            </w14:solidFill>
          </w14:textFill>
        </w:rPr>
      </w:pPr>
      <w:r>
        <w:rPr>
          <w:rFonts w:hint="eastAsia" w:ascii="仿宋_GB2312" w:hAnsi="仿宋" w:eastAsia="仿宋_GB2312" w:cs="仿宋_GB2312"/>
          <w:b/>
          <w:bCs/>
          <w:color w:val="000000" w:themeColor="text1"/>
          <w:highlight w:val="none"/>
          <w14:textFill>
            <w14:solidFill>
              <w14:schemeClr w14:val="tx1"/>
            </w14:solidFill>
          </w14:textFill>
        </w:rPr>
        <w:t>2、货物附件清单：</w:t>
      </w:r>
    </w:p>
    <w:p w14:paraId="7884F320">
      <w:pPr>
        <w:pStyle w:val="19"/>
        <w:spacing w:line="400" w:lineRule="atLeast"/>
        <w:ind w:firstLine="480" w:firstLineChars="200"/>
        <w:rPr>
          <w:rFonts w:ascii="仿宋_GB2312" w:hAnsi="仿宋" w:eastAsia="仿宋_GB2312" w:cs="仿宋_GB2312"/>
          <w:color w:val="000000" w:themeColor="text1"/>
          <w:highlight w:val="none"/>
          <w14:textFill>
            <w14:solidFill>
              <w14:schemeClr w14:val="tx1"/>
            </w14:solidFill>
          </w14:textFill>
        </w:rPr>
      </w:pPr>
      <w:r>
        <w:rPr>
          <w:rFonts w:ascii="仿宋_GB2312" w:hAnsi="仿宋" w:eastAsia="仿宋_GB2312" w:cs="仿宋_GB2312"/>
          <w:color w:val="000000" w:themeColor="text1"/>
          <w:highlight w:val="none"/>
          <w14:textFill>
            <w14:solidFill>
              <w14:schemeClr w14:val="tx1"/>
            </w14:solidFill>
          </w14:textFill>
        </w:rPr>
        <w:t>2</w:t>
      </w:r>
      <w:r>
        <w:rPr>
          <w:rFonts w:hint="eastAsia" w:ascii="仿宋_GB2312" w:hAnsi="仿宋" w:eastAsia="仿宋_GB2312" w:cs="仿宋_GB2312"/>
          <w:color w:val="000000" w:themeColor="text1"/>
          <w:highlight w:val="none"/>
          <w14:textFill>
            <w14:solidFill>
              <w14:schemeClr w14:val="tx1"/>
            </w14:solidFill>
          </w14:textFill>
        </w:rPr>
        <w:t>.1</w:t>
      </w:r>
      <w:r>
        <w:rPr>
          <w:rFonts w:hint="eastAsia" w:ascii="仿宋_GB2312" w:hAnsi="仿宋" w:eastAsia="仿宋_GB2312" w:cs="仿宋_GB2312"/>
          <w:color w:val="000000" w:themeColor="text1"/>
          <w:highlight w:val="none"/>
          <w:lang w:val="en-US" w:eastAsia="zh-CN"/>
          <w14:textFill>
            <w14:solidFill>
              <w14:schemeClr w14:val="tx1"/>
            </w14:solidFill>
          </w14:textFill>
        </w:rPr>
        <w:t>乙</w:t>
      </w:r>
      <w:r>
        <w:rPr>
          <w:rFonts w:hint="eastAsia" w:ascii="仿宋_GB2312" w:hAnsi="仿宋" w:eastAsia="仿宋_GB2312" w:cs="仿宋_GB2312"/>
          <w:color w:val="000000" w:themeColor="text1"/>
          <w:highlight w:val="none"/>
          <w14:textFill>
            <w14:solidFill>
              <w14:schemeClr w14:val="tx1"/>
            </w14:solidFill>
          </w14:textFill>
        </w:rPr>
        <w:t>方必须按照本合同第</w:t>
      </w:r>
      <w:r>
        <w:rPr>
          <w:rFonts w:hint="eastAsia" w:ascii="仿宋_GB2312" w:hAnsi="仿宋" w:eastAsia="仿宋_GB2312" w:cs="仿宋_GB2312"/>
          <w:color w:val="000000" w:themeColor="text1"/>
          <w:highlight w:val="none"/>
          <w:lang w:val="en-US" w:eastAsia="zh-CN"/>
          <w14:textFill>
            <w14:solidFill>
              <w14:schemeClr w14:val="tx1"/>
            </w14:solidFill>
          </w14:textFill>
        </w:rPr>
        <w:t>1</w:t>
      </w:r>
      <w:r>
        <w:rPr>
          <w:rFonts w:hint="eastAsia" w:ascii="仿宋_GB2312" w:hAnsi="仿宋" w:eastAsia="仿宋_GB2312" w:cs="仿宋_GB2312"/>
          <w:color w:val="000000" w:themeColor="text1"/>
          <w:highlight w:val="none"/>
          <w14:textFill>
            <w14:solidFill>
              <w14:schemeClr w14:val="tx1"/>
            </w14:solidFill>
          </w14:textFill>
        </w:rPr>
        <w:t>.3条中有关的规范、规定及标准要求及时向</w:t>
      </w:r>
      <w:r>
        <w:rPr>
          <w:rFonts w:hint="eastAsia" w:ascii="仿宋_GB2312" w:hAnsi="仿宋" w:eastAsia="仿宋_GB2312" w:cs="仿宋_GB2312"/>
          <w:color w:val="000000" w:themeColor="text1"/>
          <w:highlight w:val="none"/>
          <w:lang w:val="en-US" w:eastAsia="zh-CN"/>
          <w14:textFill>
            <w14:solidFill>
              <w14:schemeClr w14:val="tx1"/>
            </w14:solidFill>
          </w14:textFill>
        </w:rPr>
        <w:t>甲</w:t>
      </w:r>
      <w:r>
        <w:rPr>
          <w:rFonts w:hint="eastAsia" w:ascii="仿宋_GB2312" w:hAnsi="仿宋" w:eastAsia="仿宋_GB2312" w:cs="仿宋_GB2312"/>
          <w:color w:val="000000" w:themeColor="text1"/>
          <w:highlight w:val="none"/>
          <w14:textFill>
            <w14:solidFill>
              <w14:schemeClr w14:val="tx1"/>
            </w14:solidFill>
          </w14:textFill>
        </w:rPr>
        <w:t>方提供准确、完整、齐全的技术资料</w:t>
      </w:r>
      <w:r>
        <w:rPr>
          <w:rFonts w:hint="eastAsia" w:ascii="仿宋_GB2312" w:hAnsi="仿宋" w:eastAsia="仿宋_GB2312" w:cs="仿宋_GB2312"/>
          <w:color w:val="000000" w:themeColor="text1"/>
          <w:highlight w:val="none"/>
          <w:lang w:eastAsia="zh-CN"/>
          <w14:textFill>
            <w14:solidFill>
              <w14:schemeClr w14:val="tx1"/>
            </w14:solidFill>
          </w14:textFill>
        </w:rPr>
        <w:t>、</w:t>
      </w:r>
      <w:r>
        <w:rPr>
          <w:rFonts w:hint="eastAsia" w:ascii="仿宋_GB2312" w:hAnsi="仿宋" w:eastAsia="仿宋_GB2312" w:cs="仿宋_GB2312"/>
          <w:color w:val="000000" w:themeColor="text1"/>
          <w:highlight w:val="none"/>
          <w:lang w:val="en-US" w:eastAsia="zh-CN"/>
          <w14:textFill>
            <w14:solidFill>
              <w14:schemeClr w14:val="tx1"/>
            </w14:solidFill>
          </w14:textFill>
        </w:rPr>
        <w:t>原材料资料</w:t>
      </w:r>
      <w:r>
        <w:rPr>
          <w:rFonts w:hint="eastAsia" w:ascii="仿宋_GB2312" w:hAnsi="仿宋_GB2312" w:eastAsia="仿宋_GB2312" w:cs="仿宋_GB2312"/>
          <w:color w:val="auto"/>
          <w:highlight w:val="none"/>
          <w:u w:val="none"/>
          <w:lang w:val="en-US" w:eastAsia="zh-CN"/>
        </w:rPr>
        <w:t>以及</w:t>
      </w:r>
      <w:r>
        <w:rPr>
          <w:rFonts w:hint="eastAsia" w:ascii="仿宋_GB2312" w:hAnsi="仿宋_GB2312" w:eastAsia="仿宋_GB2312" w:cs="仿宋_GB2312"/>
          <w:color w:val="auto"/>
          <w:highlight w:val="none"/>
          <w:u w:val="none"/>
        </w:rPr>
        <w:t>甲方为完成计量、竣工资料所需要的所有资料</w:t>
      </w:r>
      <w:r>
        <w:rPr>
          <w:rFonts w:hint="eastAsia" w:ascii="仿宋_GB2312" w:hAnsi="仿宋" w:eastAsia="仿宋_GB2312" w:cs="仿宋_GB2312"/>
          <w:color w:val="000000" w:themeColor="text1"/>
          <w:highlight w:val="none"/>
          <w14:textFill>
            <w14:solidFill>
              <w14:schemeClr w14:val="tx1"/>
            </w14:solidFill>
          </w14:textFill>
        </w:rPr>
        <w:t>，</w:t>
      </w:r>
      <w:r>
        <w:rPr>
          <w:rFonts w:hint="eastAsia" w:ascii="仿宋_GB2312" w:hAnsi="仿宋" w:eastAsia="仿宋_GB2312" w:cs="仿宋_GB2312"/>
          <w:color w:val="000000" w:themeColor="text1"/>
          <w:highlight w:val="none"/>
          <w:lang w:val="en-US" w:eastAsia="zh-CN"/>
          <w14:textFill>
            <w14:solidFill>
              <w14:schemeClr w14:val="tx1"/>
            </w14:solidFill>
          </w14:textFill>
        </w:rPr>
        <w:t>乙</w:t>
      </w:r>
      <w:r>
        <w:rPr>
          <w:rFonts w:hint="eastAsia" w:ascii="仿宋_GB2312" w:hAnsi="仿宋" w:eastAsia="仿宋_GB2312" w:cs="仿宋_GB2312"/>
          <w:color w:val="000000" w:themeColor="text1"/>
          <w:highlight w:val="none"/>
          <w14:textFill>
            <w14:solidFill>
              <w14:schemeClr w14:val="tx1"/>
            </w14:solidFill>
          </w14:textFill>
        </w:rPr>
        <w:t>方提供的技术资料必须符合</w:t>
      </w:r>
      <w:r>
        <w:rPr>
          <w:rFonts w:hint="eastAsia" w:ascii="仿宋_GB2312" w:hAnsi="仿宋" w:eastAsia="仿宋_GB2312" w:cs="仿宋_GB2312"/>
          <w:color w:val="000000" w:themeColor="text1"/>
          <w:highlight w:val="none"/>
          <w:lang w:val="en-US" w:eastAsia="zh-CN"/>
          <w14:textFill>
            <w14:solidFill>
              <w14:schemeClr w14:val="tx1"/>
            </w14:solidFill>
          </w14:textFill>
        </w:rPr>
        <w:t>甲</w:t>
      </w:r>
      <w:r>
        <w:rPr>
          <w:rFonts w:hint="eastAsia" w:ascii="仿宋_GB2312" w:hAnsi="仿宋" w:eastAsia="仿宋_GB2312" w:cs="仿宋_GB2312"/>
          <w:color w:val="000000" w:themeColor="text1"/>
          <w:highlight w:val="none"/>
          <w14:textFill>
            <w14:solidFill>
              <w14:schemeClr w14:val="tx1"/>
            </w14:solidFill>
          </w14:textFill>
        </w:rPr>
        <w:t>方质量目标的要求。任何由于</w:t>
      </w:r>
      <w:r>
        <w:rPr>
          <w:rFonts w:hint="eastAsia" w:ascii="仿宋_GB2312" w:hAnsi="仿宋" w:eastAsia="仿宋_GB2312" w:cs="仿宋_GB2312"/>
          <w:color w:val="000000" w:themeColor="text1"/>
          <w:highlight w:val="none"/>
          <w:lang w:val="en-US" w:eastAsia="zh-CN"/>
          <w14:textFill>
            <w14:solidFill>
              <w14:schemeClr w14:val="tx1"/>
            </w14:solidFill>
          </w14:textFill>
        </w:rPr>
        <w:t>乙</w:t>
      </w:r>
      <w:r>
        <w:rPr>
          <w:rFonts w:hint="eastAsia" w:ascii="仿宋_GB2312" w:hAnsi="仿宋" w:eastAsia="仿宋_GB2312" w:cs="仿宋_GB2312"/>
          <w:color w:val="000000" w:themeColor="text1"/>
          <w:highlight w:val="none"/>
          <w14:textFill>
            <w14:solidFill>
              <w14:schemeClr w14:val="tx1"/>
            </w14:solidFill>
          </w14:textFill>
        </w:rPr>
        <w:t>方原因造成</w:t>
      </w:r>
      <w:r>
        <w:rPr>
          <w:rFonts w:hint="eastAsia" w:ascii="仿宋_GB2312" w:hAnsi="仿宋" w:eastAsia="仿宋_GB2312" w:cs="仿宋_GB2312"/>
          <w:color w:val="000000" w:themeColor="text1"/>
          <w:highlight w:val="none"/>
          <w:lang w:val="en-US" w:eastAsia="zh-CN"/>
          <w14:textFill>
            <w14:solidFill>
              <w14:schemeClr w14:val="tx1"/>
            </w14:solidFill>
          </w14:textFill>
        </w:rPr>
        <w:t>甲</w:t>
      </w:r>
      <w:r>
        <w:rPr>
          <w:rFonts w:hint="eastAsia" w:ascii="仿宋_GB2312" w:hAnsi="仿宋" w:eastAsia="仿宋_GB2312" w:cs="仿宋_GB2312"/>
          <w:color w:val="000000" w:themeColor="text1"/>
          <w:highlight w:val="none"/>
          <w14:textFill>
            <w14:solidFill>
              <w14:schemeClr w14:val="tx1"/>
            </w14:solidFill>
          </w14:textFill>
        </w:rPr>
        <w:t>方未能完成质量目标的要求，</w:t>
      </w:r>
      <w:r>
        <w:rPr>
          <w:rFonts w:hint="eastAsia" w:ascii="仿宋_GB2312" w:hAnsi="仿宋" w:eastAsia="仿宋_GB2312" w:cs="仿宋_GB2312"/>
          <w:color w:val="000000" w:themeColor="text1"/>
          <w:highlight w:val="none"/>
          <w:lang w:val="en-US" w:eastAsia="zh-CN"/>
          <w14:textFill>
            <w14:solidFill>
              <w14:schemeClr w14:val="tx1"/>
            </w14:solidFill>
          </w14:textFill>
        </w:rPr>
        <w:t>乙</w:t>
      </w:r>
      <w:r>
        <w:rPr>
          <w:rFonts w:hint="eastAsia" w:ascii="仿宋_GB2312" w:hAnsi="仿宋" w:eastAsia="仿宋_GB2312" w:cs="仿宋_GB2312"/>
          <w:color w:val="000000" w:themeColor="text1"/>
          <w:highlight w:val="none"/>
          <w14:textFill>
            <w14:solidFill>
              <w14:schemeClr w14:val="tx1"/>
            </w14:solidFill>
          </w14:textFill>
        </w:rPr>
        <w:t>方须承担由此给</w:t>
      </w:r>
      <w:r>
        <w:rPr>
          <w:rFonts w:hint="eastAsia" w:ascii="仿宋_GB2312" w:hAnsi="仿宋" w:eastAsia="仿宋_GB2312" w:cs="仿宋_GB2312"/>
          <w:color w:val="000000" w:themeColor="text1"/>
          <w:highlight w:val="none"/>
          <w:lang w:val="en-US" w:eastAsia="zh-CN"/>
          <w14:textFill>
            <w14:solidFill>
              <w14:schemeClr w14:val="tx1"/>
            </w14:solidFill>
          </w14:textFill>
        </w:rPr>
        <w:t>甲</w:t>
      </w:r>
      <w:r>
        <w:rPr>
          <w:rFonts w:hint="eastAsia" w:ascii="仿宋_GB2312" w:hAnsi="仿宋" w:eastAsia="仿宋_GB2312" w:cs="仿宋_GB2312"/>
          <w:color w:val="000000" w:themeColor="text1"/>
          <w:highlight w:val="none"/>
          <w14:textFill>
            <w14:solidFill>
              <w14:schemeClr w14:val="tx1"/>
            </w14:solidFill>
          </w14:textFill>
        </w:rPr>
        <w:t>方造成的损失。</w:t>
      </w:r>
    </w:p>
    <w:p w14:paraId="71269B96">
      <w:pPr>
        <w:pStyle w:val="19"/>
        <w:spacing w:line="400" w:lineRule="atLeast"/>
        <w:ind w:firstLine="480" w:firstLineChars="200"/>
        <w:rPr>
          <w:rFonts w:ascii="仿宋_GB2312" w:hAnsi="仿宋" w:eastAsia="仿宋_GB2312" w:cs="仿宋_GB2312"/>
          <w:color w:val="000000" w:themeColor="text1"/>
          <w:highlight w:val="none"/>
          <w14:textFill>
            <w14:solidFill>
              <w14:schemeClr w14:val="tx1"/>
            </w14:solidFill>
          </w14:textFill>
        </w:rPr>
      </w:pPr>
      <w:r>
        <w:rPr>
          <w:rFonts w:ascii="仿宋_GB2312" w:hAnsi="仿宋" w:eastAsia="仿宋_GB2312" w:cs="仿宋_GB2312"/>
          <w:color w:val="000000" w:themeColor="text1"/>
          <w:highlight w:val="none"/>
          <w14:textFill>
            <w14:solidFill>
              <w14:schemeClr w14:val="tx1"/>
            </w14:solidFill>
          </w14:textFill>
        </w:rPr>
        <w:t>2</w:t>
      </w:r>
      <w:r>
        <w:rPr>
          <w:rFonts w:hint="eastAsia" w:ascii="仿宋_GB2312" w:hAnsi="仿宋" w:eastAsia="仿宋_GB2312" w:cs="仿宋_GB2312"/>
          <w:color w:val="000000" w:themeColor="text1"/>
          <w:highlight w:val="none"/>
          <w14:textFill>
            <w14:solidFill>
              <w14:schemeClr w14:val="tx1"/>
            </w14:solidFill>
          </w14:textFill>
        </w:rPr>
        <w:t>.2每次开盘随第一车混凝土提供给买方的资料：</w:t>
      </w:r>
    </w:p>
    <w:p w14:paraId="1AD33062">
      <w:pPr>
        <w:pStyle w:val="19"/>
        <w:spacing w:line="400" w:lineRule="atLeast"/>
        <w:ind w:firstLine="480" w:firstLineChars="200"/>
        <w:rPr>
          <w:rFonts w:ascii="仿宋_GB2312" w:hAnsi="仿宋" w:eastAsia="仿宋_GB2312" w:cs="仿宋_GB2312"/>
          <w:color w:val="000000" w:themeColor="text1"/>
          <w:highlight w:val="none"/>
          <w14:textFill>
            <w14:solidFill>
              <w14:schemeClr w14:val="tx1"/>
            </w14:solidFill>
          </w14:textFill>
        </w:rPr>
      </w:pPr>
      <w:r>
        <w:rPr>
          <w:rFonts w:hint="eastAsia" w:ascii="仿宋_GB2312" w:hAnsi="仿宋" w:eastAsia="仿宋_GB2312" w:cs="仿宋_GB2312"/>
          <w:color w:val="000000" w:themeColor="text1"/>
          <w:highlight w:val="none"/>
          <w14:textFill>
            <w14:solidFill>
              <w14:schemeClr w14:val="tx1"/>
            </w14:solidFill>
          </w14:textFill>
        </w:rPr>
        <w:t>(1)商品混凝土配合比通知单；</w:t>
      </w:r>
    </w:p>
    <w:p w14:paraId="73987ED2">
      <w:pPr>
        <w:pStyle w:val="19"/>
        <w:spacing w:line="400" w:lineRule="atLeast"/>
        <w:ind w:firstLine="480" w:firstLineChars="200"/>
        <w:rPr>
          <w:rFonts w:ascii="仿宋_GB2312" w:hAnsi="仿宋" w:eastAsia="仿宋_GB2312" w:cs="仿宋_GB2312"/>
          <w:color w:val="000000" w:themeColor="text1"/>
          <w:highlight w:val="none"/>
          <w14:textFill>
            <w14:solidFill>
              <w14:schemeClr w14:val="tx1"/>
            </w14:solidFill>
          </w14:textFill>
        </w:rPr>
      </w:pPr>
      <w:r>
        <w:rPr>
          <w:rFonts w:hint="eastAsia" w:ascii="仿宋_GB2312" w:hAnsi="仿宋" w:eastAsia="仿宋_GB2312" w:cs="仿宋_GB2312"/>
          <w:color w:val="000000" w:themeColor="text1"/>
          <w:highlight w:val="none"/>
          <w14:textFill>
            <w14:solidFill>
              <w14:schemeClr w14:val="tx1"/>
            </w14:solidFill>
          </w14:textFill>
        </w:rPr>
        <w:t>(2)商品混凝土开盘鉴定；</w:t>
      </w:r>
    </w:p>
    <w:p w14:paraId="7600086A">
      <w:pPr>
        <w:pStyle w:val="19"/>
        <w:spacing w:line="400" w:lineRule="atLeast"/>
        <w:ind w:firstLine="480" w:firstLineChars="200"/>
        <w:rPr>
          <w:rFonts w:ascii="仿宋_GB2312" w:hAnsi="仿宋" w:eastAsia="仿宋_GB2312" w:cs="仿宋_GB2312"/>
          <w:color w:val="000000" w:themeColor="text1"/>
          <w:highlight w:val="none"/>
          <w14:textFill>
            <w14:solidFill>
              <w14:schemeClr w14:val="tx1"/>
            </w14:solidFill>
          </w14:textFill>
        </w:rPr>
      </w:pPr>
      <w:r>
        <w:rPr>
          <w:rFonts w:hint="eastAsia" w:ascii="仿宋_GB2312" w:hAnsi="仿宋" w:eastAsia="仿宋_GB2312" w:cs="仿宋_GB2312"/>
          <w:color w:val="000000" w:themeColor="text1"/>
          <w:highlight w:val="none"/>
          <w14:textFill>
            <w14:solidFill>
              <w14:schemeClr w14:val="tx1"/>
            </w14:solidFill>
          </w14:textFill>
        </w:rPr>
        <w:t>(3)商品混凝土中水泥出厂合格证；</w:t>
      </w:r>
    </w:p>
    <w:p w14:paraId="4B5FB003">
      <w:pPr>
        <w:pStyle w:val="19"/>
        <w:spacing w:line="400" w:lineRule="atLeast"/>
        <w:ind w:firstLine="480" w:firstLineChars="200"/>
        <w:rPr>
          <w:rFonts w:ascii="仿宋_GB2312" w:hAnsi="仿宋" w:eastAsia="仿宋_GB2312" w:cs="仿宋_GB2312"/>
          <w:color w:val="000000" w:themeColor="text1"/>
          <w:highlight w:val="none"/>
          <w14:textFill>
            <w14:solidFill>
              <w14:schemeClr w14:val="tx1"/>
            </w14:solidFill>
          </w14:textFill>
        </w:rPr>
      </w:pPr>
      <w:r>
        <w:rPr>
          <w:rFonts w:hint="eastAsia" w:ascii="仿宋_GB2312" w:hAnsi="仿宋" w:eastAsia="仿宋_GB2312" w:cs="仿宋_GB2312"/>
          <w:color w:val="000000" w:themeColor="text1"/>
          <w:highlight w:val="none"/>
          <w14:textFill>
            <w14:solidFill>
              <w14:schemeClr w14:val="tx1"/>
            </w14:solidFill>
          </w14:textFill>
        </w:rPr>
        <w:t>(4)商品混凝土中水泥进场复试试验报告(应有快测或3天强度值)；</w:t>
      </w:r>
    </w:p>
    <w:p w14:paraId="196CB39B">
      <w:pPr>
        <w:pStyle w:val="19"/>
        <w:spacing w:line="400" w:lineRule="atLeast"/>
        <w:ind w:firstLine="480" w:firstLineChars="200"/>
        <w:rPr>
          <w:rFonts w:ascii="仿宋_GB2312" w:hAnsi="仿宋" w:eastAsia="仿宋_GB2312" w:cs="仿宋_GB2312"/>
          <w:color w:val="000000" w:themeColor="text1"/>
          <w:highlight w:val="none"/>
          <w14:textFill>
            <w14:solidFill>
              <w14:schemeClr w14:val="tx1"/>
            </w14:solidFill>
          </w14:textFill>
        </w:rPr>
      </w:pPr>
      <w:r>
        <w:rPr>
          <w:rFonts w:hint="eastAsia" w:ascii="仿宋_GB2312" w:hAnsi="仿宋" w:eastAsia="仿宋_GB2312" w:cs="仿宋_GB2312"/>
          <w:color w:val="000000" w:themeColor="text1"/>
          <w:highlight w:val="none"/>
          <w14:textFill>
            <w14:solidFill>
              <w14:schemeClr w14:val="tx1"/>
            </w14:solidFill>
          </w14:textFill>
        </w:rPr>
        <w:t>(5)商品混凝土砂试验报告；</w:t>
      </w:r>
    </w:p>
    <w:p w14:paraId="371B8BD1">
      <w:pPr>
        <w:pStyle w:val="19"/>
        <w:spacing w:line="400" w:lineRule="atLeast"/>
        <w:ind w:firstLine="480" w:firstLineChars="200"/>
        <w:rPr>
          <w:rFonts w:ascii="仿宋_GB2312" w:hAnsi="仿宋" w:eastAsia="仿宋_GB2312" w:cs="仿宋_GB2312"/>
          <w:color w:val="000000" w:themeColor="text1"/>
          <w:highlight w:val="none"/>
          <w14:textFill>
            <w14:solidFill>
              <w14:schemeClr w14:val="tx1"/>
            </w14:solidFill>
          </w14:textFill>
        </w:rPr>
      </w:pPr>
      <w:r>
        <w:rPr>
          <w:rFonts w:hint="eastAsia" w:ascii="仿宋_GB2312" w:hAnsi="仿宋" w:eastAsia="仿宋_GB2312" w:cs="仿宋_GB2312"/>
          <w:color w:val="000000" w:themeColor="text1"/>
          <w:highlight w:val="none"/>
          <w14:textFill>
            <w14:solidFill>
              <w14:schemeClr w14:val="tx1"/>
            </w14:solidFill>
          </w14:textFill>
        </w:rPr>
        <w:t>(6)商品混凝土中卵(碎)石试验报告；</w:t>
      </w:r>
    </w:p>
    <w:p w14:paraId="2BCD6862">
      <w:pPr>
        <w:pStyle w:val="19"/>
        <w:spacing w:line="400" w:lineRule="atLeast"/>
        <w:ind w:firstLine="480" w:firstLineChars="200"/>
        <w:rPr>
          <w:rFonts w:ascii="仿宋_GB2312" w:hAnsi="仿宋" w:eastAsia="仿宋_GB2312" w:cs="仿宋_GB2312"/>
          <w:color w:val="000000" w:themeColor="text1"/>
          <w:highlight w:val="none"/>
          <w14:textFill>
            <w14:solidFill>
              <w14:schemeClr w14:val="tx1"/>
            </w14:solidFill>
          </w14:textFill>
        </w:rPr>
      </w:pPr>
      <w:r>
        <w:rPr>
          <w:rFonts w:hint="eastAsia" w:ascii="仿宋_GB2312" w:hAnsi="仿宋" w:eastAsia="仿宋_GB2312" w:cs="仿宋_GB2312"/>
          <w:color w:val="000000" w:themeColor="text1"/>
          <w:highlight w:val="none"/>
          <w14:textFill>
            <w14:solidFill>
              <w14:schemeClr w14:val="tx1"/>
            </w14:solidFill>
          </w14:textFill>
        </w:rPr>
        <w:t>(7)商品混凝土中外加剂出厂质量证明、使用说明；</w:t>
      </w:r>
    </w:p>
    <w:p w14:paraId="5C92E221">
      <w:pPr>
        <w:pStyle w:val="19"/>
        <w:spacing w:line="400" w:lineRule="atLeast"/>
        <w:ind w:firstLine="480" w:firstLineChars="200"/>
        <w:rPr>
          <w:rFonts w:ascii="仿宋_GB2312" w:hAnsi="仿宋" w:eastAsia="仿宋_GB2312" w:cs="仿宋_GB2312"/>
          <w:color w:val="000000" w:themeColor="text1"/>
          <w:highlight w:val="none"/>
          <w14:textFill>
            <w14:solidFill>
              <w14:schemeClr w14:val="tx1"/>
            </w14:solidFill>
          </w14:textFill>
        </w:rPr>
      </w:pPr>
      <w:r>
        <w:rPr>
          <w:rFonts w:hint="eastAsia" w:ascii="仿宋_GB2312" w:hAnsi="仿宋" w:eastAsia="仿宋_GB2312" w:cs="仿宋_GB2312"/>
          <w:color w:val="000000" w:themeColor="text1"/>
          <w:highlight w:val="none"/>
          <w14:textFill>
            <w14:solidFill>
              <w14:schemeClr w14:val="tx1"/>
            </w14:solidFill>
          </w14:textFill>
        </w:rPr>
        <w:t>(8)商品混凝土中外加剂进场复试报告；</w:t>
      </w:r>
    </w:p>
    <w:p w14:paraId="62BBC911">
      <w:pPr>
        <w:pStyle w:val="19"/>
        <w:spacing w:line="400" w:lineRule="atLeast"/>
        <w:ind w:firstLine="480" w:firstLineChars="200"/>
        <w:rPr>
          <w:rFonts w:ascii="仿宋_GB2312" w:hAnsi="仿宋" w:eastAsia="仿宋_GB2312" w:cs="仿宋_GB2312"/>
          <w:color w:val="000000" w:themeColor="text1"/>
          <w:highlight w:val="none"/>
          <w14:textFill>
            <w14:solidFill>
              <w14:schemeClr w14:val="tx1"/>
            </w14:solidFill>
          </w14:textFill>
        </w:rPr>
      </w:pPr>
      <w:r>
        <w:rPr>
          <w:rFonts w:hint="eastAsia" w:ascii="仿宋_GB2312" w:hAnsi="仿宋" w:eastAsia="仿宋_GB2312" w:cs="仿宋_GB2312"/>
          <w:color w:val="000000" w:themeColor="text1"/>
          <w:highlight w:val="none"/>
          <w14:textFill>
            <w14:solidFill>
              <w14:schemeClr w14:val="tx1"/>
            </w14:solidFill>
          </w14:textFill>
        </w:rPr>
        <w:t>(9)商品混凝土中掺和料出厂质量证明；</w:t>
      </w:r>
    </w:p>
    <w:p w14:paraId="59EE0657">
      <w:pPr>
        <w:pStyle w:val="19"/>
        <w:spacing w:line="400" w:lineRule="atLeast"/>
        <w:ind w:firstLine="480" w:firstLineChars="200"/>
        <w:rPr>
          <w:rFonts w:ascii="仿宋_GB2312" w:hAnsi="仿宋" w:eastAsia="仿宋_GB2312" w:cs="仿宋_GB2312"/>
          <w:color w:val="000000" w:themeColor="text1"/>
          <w:highlight w:val="none"/>
          <w14:textFill>
            <w14:solidFill>
              <w14:schemeClr w14:val="tx1"/>
            </w14:solidFill>
          </w14:textFill>
        </w:rPr>
      </w:pPr>
      <w:r>
        <w:rPr>
          <w:rFonts w:hint="eastAsia" w:ascii="仿宋_GB2312" w:hAnsi="仿宋" w:eastAsia="仿宋_GB2312" w:cs="仿宋_GB2312"/>
          <w:color w:val="000000" w:themeColor="text1"/>
          <w:highlight w:val="none"/>
          <w14:textFill>
            <w14:solidFill>
              <w14:schemeClr w14:val="tx1"/>
            </w14:solidFill>
          </w14:textFill>
        </w:rPr>
        <w:t>(10)商品混凝土中掺和料进场复试报告；</w:t>
      </w:r>
    </w:p>
    <w:p w14:paraId="553E9752">
      <w:pPr>
        <w:pStyle w:val="19"/>
        <w:spacing w:line="400" w:lineRule="atLeast"/>
        <w:ind w:firstLine="480" w:firstLineChars="200"/>
        <w:rPr>
          <w:rFonts w:ascii="仿宋_GB2312" w:hAnsi="仿宋" w:eastAsia="仿宋_GB2312" w:cs="仿宋_GB2312"/>
          <w:color w:val="000000" w:themeColor="text1"/>
          <w:highlight w:val="none"/>
          <w14:textFill>
            <w14:solidFill>
              <w14:schemeClr w14:val="tx1"/>
            </w14:solidFill>
          </w14:textFill>
        </w:rPr>
      </w:pPr>
      <w:r>
        <w:rPr>
          <w:rFonts w:hint="eastAsia" w:ascii="仿宋_GB2312" w:hAnsi="仿宋" w:eastAsia="仿宋_GB2312" w:cs="仿宋_GB2312"/>
          <w:color w:val="000000" w:themeColor="text1"/>
          <w:highlight w:val="none"/>
          <w14:textFill>
            <w14:solidFill>
              <w14:schemeClr w14:val="tx1"/>
            </w14:solidFill>
          </w14:textFill>
        </w:rPr>
        <w:t>(11)商品混凝土中所有原材料的含碱量试验报告；</w:t>
      </w:r>
    </w:p>
    <w:p w14:paraId="02C55DB9">
      <w:pPr>
        <w:pStyle w:val="19"/>
        <w:spacing w:line="400" w:lineRule="atLeast"/>
        <w:ind w:firstLine="480" w:firstLineChars="200"/>
        <w:rPr>
          <w:rFonts w:ascii="仿宋_GB2312" w:hAnsi="仿宋" w:eastAsia="仿宋_GB2312" w:cs="仿宋_GB2312"/>
          <w:color w:val="000000" w:themeColor="text1"/>
          <w:highlight w:val="none"/>
          <w14:textFill>
            <w14:solidFill>
              <w14:schemeClr w14:val="tx1"/>
            </w14:solidFill>
          </w14:textFill>
        </w:rPr>
      </w:pPr>
      <w:r>
        <w:rPr>
          <w:rFonts w:hint="eastAsia" w:ascii="仿宋_GB2312" w:hAnsi="仿宋" w:eastAsia="仿宋_GB2312" w:cs="仿宋_GB2312"/>
          <w:color w:val="000000" w:themeColor="text1"/>
          <w:highlight w:val="none"/>
          <w14:textFill>
            <w14:solidFill>
              <w14:schemeClr w14:val="tx1"/>
            </w14:solidFill>
          </w14:textFill>
        </w:rPr>
        <w:t>(12)商品混凝土中混凝土碱含量及氯离子含量试验报告；</w:t>
      </w:r>
    </w:p>
    <w:p w14:paraId="60AF1A72">
      <w:pPr>
        <w:pStyle w:val="19"/>
        <w:spacing w:line="400" w:lineRule="atLeast"/>
        <w:ind w:firstLine="480" w:firstLineChars="200"/>
        <w:rPr>
          <w:rFonts w:ascii="仿宋_GB2312" w:hAnsi="仿宋" w:eastAsia="仿宋_GB2312" w:cs="仿宋_GB2312"/>
          <w:color w:val="000000" w:themeColor="text1"/>
          <w:highlight w:val="none"/>
          <w14:textFill>
            <w14:solidFill>
              <w14:schemeClr w14:val="tx1"/>
            </w14:solidFill>
          </w14:textFill>
        </w:rPr>
      </w:pPr>
      <w:r>
        <w:rPr>
          <w:rFonts w:hint="eastAsia" w:ascii="仿宋_GB2312" w:hAnsi="仿宋" w:eastAsia="仿宋_GB2312" w:cs="仿宋_GB2312"/>
          <w:color w:val="000000" w:themeColor="text1"/>
          <w:highlight w:val="none"/>
          <w14:textFill>
            <w14:solidFill>
              <w14:schemeClr w14:val="tx1"/>
            </w14:solidFill>
          </w14:textFill>
        </w:rPr>
        <w:t>(13)商品混凝土运输单；</w:t>
      </w:r>
    </w:p>
    <w:p w14:paraId="3FA70D2F">
      <w:pPr>
        <w:pStyle w:val="19"/>
        <w:spacing w:line="400" w:lineRule="atLeast"/>
        <w:ind w:firstLine="480" w:firstLineChars="200"/>
        <w:rPr>
          <w:rFonts w:ascii="仿宋_GB2312" w:hAnsi="仿宋" w:eastAsia="仿宋_GB2312" w:cs="仿宋_GB2312"/>
          <w:color w:val="000000" w:themeColor="text1"/>
          <w:highlight w:val="none"/>
          <w14:textFill>
            <w14:solidFill>
              <w14:schemeClr w14:val="tx1"/>
            </w14:solidFill>
          </w14:textFill>
        </w:rPr>
      </w:pPr>
      <w:r>
        <w:rPr>
          <w:rFonts w:hint="eastAsia" w:ascii="仿宋_GB2312" w:hAnsi="仿宋" w:eastAsia="仿宋_GB2312" w:cs="仿宋_GB2312"/>
          <w:color w:val="000000" w:themeColor="text1"/>
          <w:highlight w:val="none"/>
          <w14:textFill>
            <w14:solidFill>
              <w14:schemeClr w14:val="tx1"/>
            </w14:solidFill>
          </w14:textFill>
        </w:rPr>
        <w:t>(1</w:t>
      </w:r>
      <w:r>
        <w:rPr>
          <w:rFonts w:ascii="仿宋_GB2312" w:hAnsi="仿宋" w:eastAsia="仿宋_GB2312" w:cs="仿宋_GB2312"/>
          <w:color w:val="000000" w:themeColor="text1"/>
          <w:highlight w:val="none"/>
          <w14:textFill>
            <w14:solidFill>
              <w14:schemeClr w14:val="tx1"/>
            </w14:solidFill>
          </w14:textFill>
        </w:rPr>
        <w:t>4</w:t>
      </w:r>
      <w:r>
        <w:rPr>
          <w:rFonts w:hint="eastAsia" w:ascii="仿宋_GB2312" w:hAnsi="仿宋" w:eastAsia="仿宋_GB2312" w:cs="仿宋_GB2312"/>
          <w:color w:val="000000" w:themeColor="text1"/>
          <w:highlight w:val="none"/>
          <w14:textFill>
            <w14:solidFill>
              <w14:schemeClr w14:val="tx1"/>
            </w14:solidFill>
          </w14:textFill>
        </w:rPr>
        <w:t>)商品混凝土各项原材料质量的第三方检测机构合格报告；</w:t>
      </w:r>
    </w:p>
    <w:p w14:paraId="602CE09C">
      <w:pPr>
        <w:pStyle w:val="19"/>
        <w:spacing w:line="400" w:lineRule="atLeast"/>
        <w:ind w:firstLine="480" w:firstLineChars="200"/>
        <w:rPr>
          <w:rFonts w:ascii="仿宋_GB2312" w:hAnsi="仿宋" w:eastAsia="仿宋_GB2312" w:cs="仿宋_GB2312"/>
          <w:color w:val="000000" w:themeColor="text1"/>
          <w:highlight w:val="none"/>
          <w14:textFill>
            <w14:solidFill>
              <w14:schemeClr w14:val="tx1"/>
            </w14:solidFill>
          </w14:textFill>
        </w:rPr>
      </w:pPr>
      <w:r>
        <w:rPr>
          <w:rFonts w:hint="eastAsia" w:ascii="仿宋_GB2312" w:hAnsi="仿宋" w:eastAsia="仿宋_GB2312" w:cs="仿宋_GB2312"/>
          <w:color w:val="000000" w:themeColor="text1"/>
          <w:highlight w:val="none"/>
          <w14:textFill>
            <w14:solidFill>
              <w14:schemeClr w14:val="tx1"/>
            </w14:solidFill>
          </w14:textFill>
        </w:rPr>
        <w:t>(14)其他买方要求的资料；</w:t>
      </w:r>
    </w:p>
    <w:p w14:paraId="2CD6C4E3">
      <w:pPr>
        <w:pStyle w:val="19"/>
        <w:spacing w:line="400" w:lineRule="atLeast"/>
        <w:ind w:firstLine="480" w:firstLineChars="200"/>
        <w:rPr>
          <w:rFonts w:ascii="仿宋_GB2312" w:hAnsi="仿宋" w:eastAsia="仿宋_GB2312" w:cs="仿宋_GB2312"/>
          <w:color w:val="000000" w:themeColor="text1"/>
          <w:highlight w:val="none"/>
          <w14:textFill>
            <w14:solidFill>
              <w14:schemeClr w14:val="tx1"/>
            </w14:solidFill>
          </w14:textFill>
        </w:rPr>
      </w:pPr>
      <w:r>
        <w:rPr>
          <w:rFonts w:hint="eastAsia" w:ascii="仿宋_GB2312" w:hAnsi="仿宋" w:eastAsia="仿宋_GB2312" w:cs="仿宋_GB2312"/>
          <w:color w:val="000000" w:themeColor="text1"/>
          <w:highlight w:val="none"/>
          <w14:textFill>
            <w14:solidFill>
              <w14:schemeClr w14:val="tx1"/>
            </w14:solidFill>
          </w14:textFill>
        </w:rPr>
        <w:t>(15)其它卖方认为须提供的资料。</w:t>
      </w:r>
    </w:p>
    <w:p w14:paraId="225A9EF9">
      <w:pPr>
        <w:pStyle w:val="19"/>
        <w:spacing w:line="400" w:lineRule="atLeast"/>
        <w:ind w:firstLine="480" w:firstLineChars="200"/>
        <w:rPr>
          <w:rFonts w:ascii="仿宋_GB2312" w:hAnsi="仿宋" w:eastAsia="仿宋_GB2312" w:cs="仿宋_GB2312"/>
          <w:color w:val="000000" w:themeColor="text1"/>
          <w:highlight w:val="none"/>
          <w14:textFill>
            <w14:solidFill>
              <w14:schemeClr w14:val="tx1"/>
            </w14:solidFill>
          </w14:textFill>
        </w:rPr>
      </w:pPr>
      <w:r>
        <w:rPr>
          <w:rFonts w:ascii="仿宋_GB2312" w:hAnsi="仿宋" w:eastAsia="仿宋_GB2312" w:cs="仿宋_GB2312"/>
          <w:color w:val="000000" w:themeColor="text1"/>
          <w:highlight w:val="none"/>
          <w14:textFill>
            <w14:solidFill>
              <w14:schemeClr w14:val="tx1"/>
            </w14:solidFill>
          </w14:textFill>
        </w:rPr>
        <w:t>2</w:t>
      </w:r>
      <w:r>
        <w:rPr>
          <w:rFonts w:hint="eastAsia" w:ascii="仿宋_GB2312" w:hAnsi="仿宋" w:eastAsia="仿宋_GB2312" w:cs="仿宋_GB2312"/>
          <w:color w:val="000000" w:themeColor="text1"/>
          <w:highlight w:val="none"/>
          <w14:textFill>
            <w14:solidFill>
              <w14:schemeClr w14:val="tx1"/>
            </w14:solidFill>
          </w14:textFill>
        </w:rPr>
        <w:t>.3混凝土浇注后30日之内应提供的资料：</w:t>
      </w:r>
    </w:p>
    <w:p w14:paraId="3EA009CB">
      <w:pPr>
        <w:pStyle w:val="19"/>
        <w:spacing w:line="400" w:lineRule="atLeast"/>
        <w:ind w:firstLine="480" w:firstLineChars="200"/>
        <w:rPr>
          <w:rFonts w:ascii="仿宋_GB2312" w:hAnsi="仿宋" w:eastAsia="仿宋_GB2312" w:cs="仿宋_GB2312"/>
          <w:color w:val="000000" w:themeColor="text1"/>
          <w:highlight w:val="none"/>
          <w14:textFill>
            <w14:solidFill>
              <w14:schemeClr w14:val="tx1"/>
            </w14:solidFill>
          </w14:textFill>
        </w:rPr>
      </w:pPr>
      <w:r>
        <w:rPr>
          <w:rFonts w:hint="eastAsia" w:ascii="仿宋_GB2312" w:hAnsi="仿宋" w:eastAsia="仿宋_GB2312" w:cs="仿宋_GB2312"/>
          <w:color w:val="000000" w:themeColor="text1"/>
          <w:highlight w:val="none"/>
          <w14:textFill>
            <w14:solidFill>
              <w14:schemeClr w14:val="tx1"/>
            </w14:solidFill>
          </w14:textFill>
        </w:rPr>
        <w:t>(1)商品混凝土中水泥材质证明28天强度补报单；</w:t>
      </w:r>
    </w:p>
    <w:p w14:paraId="42717EDB">
      <w:pPr>
        <w:pStyle w:val="19"/>
        <w:spacing w:line="400" w:lineRule="atLeast"/>
        <w:ind w:firstLine="480" w:firstLineChars="200"/>
        <w:rPr>
          <w:rFonts w:ascii="仿宋_GB2312" w:hAnsi="仿宋" w:eastAsia="仿宋_GB2312" w:cs="仿宋_GB2312"/>
          <w:color w:val="000000" w:themeColor="text1"/>
          <w:highlight w:val="none"/>
          <w14:textFill>
            <w14:solidFill>
              <w14:schemeClr w14:val="tx1"/>
            </w14:solidFill>
          </w14:textFill>
        </w:rPr>
      </w:pPr>
      <w:r>
        <w:rPr>
          <w:rFonts w:hint="eastAsia" w:ascii="仿宋_GB2312" w:hAnsi="仿宋" w:eastAsia="仿宋_GB2312" w:cs="仿宋_GB2312"/>
          <w:color w:val="000000" w:themeColor="text1"/>
          <w:highlight w:val="none"/>
          <w14:textFill>
            <w14:solidFill>
              <w14:schemeClr w14:val="tx1"/>
            </w14:solidFill>
          </w14:textFill>
        </w:rPr>
        <w:t>(2)商品混凝土出厂合格证；</w:t>
      </w:r>
    </w:p>
    <w:p w14:paraId="1037DF70">
      <w:pPr>
        <w:pStyle w:val="19"/>
        <w:spacing w:line="400" w:lineRule="atLeast"/>
        <w:ind w:firstLine="480" w:firstLineChars="200"/>
        <w:rPr>
          <w:rFonts w:ascii="仿宋_GB2312" w:hAnsi="仿宋" w:eastAsia="仿宋_GB2312" w:cs="仿宋_GB2312"/>
          <w:color w:val="000000" w:themeColor="text1"/>
          <w:highlight w:val="none"/>
          <w14:textFill>
            <w14:solidFill>
              <w14:schemeClr w14:val="tx1"/>
            </w14:solidFill>
          </w14:textFill>
        </w:rPr>
      </w:pPr>
      <w:r>
        <w:rPr>
          <w:rFonts w:hint="eastAsia" w:ascii="仿宋_GB2312" w:hAnsi="仿宋" w:eastAsia="仿宋_GB2312" w:cs="仿宋_GB2312"/>
          <w:color w:val="000000" w:themeColor="text1"/>
          <w:highlight w:val="none"/>
          <w14:textFill>
            <w14:solidFill>
              <w14:schemeClr w14:val="tx1"/>
            </w14:solidFill>
          </w14:textFill>
        </w:rPr>
        <w:t>(3)商品混凝土出厂检验强度试验报告；</w:t>
      </w:r>
    </w:p>
    <w:p w14:paraId="280AB3B4">
      <w:pPr>
        <w:pStyle w:val="19"/>
        <w:spacing w:line="400" w:lineRule="atLeast"/>
        <w:ind w:firstLine="480" w:firstLineChars="200"/>
        <w:rPr>
          <w:rFonts w:ascii="仿宋_GB2312" w:hAnsi="仿宋" w:eastAsia="仿宋_GB2312" w:cs="仿宋_GB2312"/>
          <w:color w:val="000000" w:themeColor="text1"/>
          <w:highlight w:val="none"/>
          <w14:textFill>
            <w14:solidFill>
              <w14:schemeClr w14:val="tx1"/>
            </w14:solidFill>
          </w14:textFill>
        </w:rPr>
      </w:pPr>
      <w:r>
        <w:rPr>
          <w:rFonts w:hint="eastAsia" w:ascii="仿宋_GB2312" w:hAnsi="仿宋" w:eastAsia="仿宋_GB2312" w:cs="仿宋_GB2312"/>
          <w:color w:val="000000" w:themeColor="text1"/>
          <w:highlight w:val="none"/>
          <w14:textFill>
            <w14:solidFill>
              <w14:schemeClr w14:val="tx1"/>
            </w14:solidFill>
          </w14:textFill>
        </w:rPr>
        <w:t>(4)商品混凝土出厂抗渗性能试验报告(可延迟至45天之内)；</w:t>
      </w:r>
    </w:p>
    <w:p w14:paraId="3249571B">
      <w:pPr>
        <w:pStyle w:val="19"/>
        <w:spacing w:line="400" w:lineRule="atLeast"/>
        <w:ind w:firstLine="480" w:firstLineChars="200"/>
        <w:rPr>
          <w:rFonts w:ascii="仿宋_GB2312" w:hAnsi="仿宋" w:eastAsia="仿宋_GB2312" w:cs="仿宋_GB2312"/>
          <w:color w:val="000000" w:themeColor="text1"/>
          <w:highlight w:val="none"/>
          <w14:textFill>
            <w14:solidFill>
              <w14:schemeClr w14:val="tx1"/>
            </w14:solidFill>
          </w14:textFill>
        </w:rPr>
      </w:pPr>
      <w:r>
        <w:rPr>
          <w:rFonts w:hint="eastAsia" w:ascii="仿宋_GB2312" w:hAnsi="仿宋" w:eastAsia="仿宋_GB2312" w:cs="仿宋_GB2312"/>
          <w:color w:val="000000" w:themeColor="text1"/>
          <w:highlight w:val="none"/>
          <w14:textFill>
            <w14:solidFill>
              <w14:schemeClr w14:val="tx1"/>
            </w14:solidFill>
          </w14:textFill>
        </w:rPr>
        <w:t>(5)其他买方要求的资料。</w:t>
      </w:r>
    </w:p>
    <w:p w14:paraId="7365FC78">
      <w:pPr>
        <w:pStyle w:val="19"/>
        <w:spacing w:line="400" w:lineRule="atLeast"/>
        <w:ind w:firstLine="480" w:firstLineChars="200"/>
        <w:rPr>
          <w:rFonts w:ascii="仿宋_GB2312" w:hAnsi="仿宋" w:eastAsia="仿宋_GB2312" w:cs="仿宋_GB2312"/>
          <w:color w:val="000000" w:themeColor="text1"/>
          <w:highlight w:val="none"/>
          <w14:textFill>
            <w14:solidFill>
              <w14:schemeClr w14:val="tx1"/>
            </w14:solidFill>
          </w14:textFill>
        </w:rPr>
      </w:pPr>
      <w:r>
        <w:rPr>
          <w:rFonts w:hint="eastAsia" w:ascii="仿宋_GB2312" w:hAnsi="仿宋" w:eastAsia="仿宋_GB2312" w:cs="仿宋_GB2312"/>
          <w:color w:val="000000" w:themeColor="text1"/>
          <w:highlight w:val="none"/>
          <w14:textFill>
            <w14:solidFill>
              <w14:schemeClr w14:val="tx1"/>
            </w14:solidFill>
          </w14:textFill>
        </w:rPr>
        <w:t>资料清单明确附件内容及份数同时加印乙方签章于收货时一并交由甲方核验，否则甲方不予办理收料手续。</w:t>
      </w:r>
    </w:p>
    <w:p w14:paraId="21082ABB">
      <w:pPr>
        <w:pStyle w:val="19"/>
        <w:spacing w:line="400" w:lineRule="atLeast"/>
        <w:ind w:firstLine="480" w:firstLineChars="200"/>
        <w:rPr>
          <w:rFonts w:ascii="仿宋_GB2312" w:hAnsi="仿宋" w:eastAsia="仿宋_GB2312" w:cs="仿宋_GB2312"/>
          <w:color w:val="000000" w:themeColor="text1"/>
          <w:highlight w:val="none"/>
          <w14:textFill>
            <w14:solidFill>
              <w14:schemeClr w14:val="tx1"/>
            </w14:solidFill>
          </w14:textFill>
        </w:rPr>
      </w:pPr>
      <w:r>
        <w:rPr>
          <w:rFonts w:hint="eastAsia" w:ascii="仿宋_GB2312" w:hAnsi="仿宋" w:eastAsia="仿宋_GB2312" w:cs="仿宋_GB2312"/>
          <w:color w:val="000000" w:themeColor="text1"/>
          <w:highlight w:val="none"/>
          <w14:textFill>
            <w14:solidFill>
              <w14:schemeClr w14:val="tx1"/>
            </w14:solidFill>
          </w14:textFill>
        </w:rPr>
        <w:t>2.</w:t>
      </w:r>
      <w:r>
        <w:rPr>
          <w:rFonts w:hint="eastAsia" w:ascii="仿宋_GB2312" w:hAnsi="仿宋" w:eastAsia="仿宋_GB2312" w:cs="仿宋_GB2312"/>
          <w:color w:val="000000" w:themeColor="text1"/>
          <w:highlight w:val="none"/>
          <w:lang w:val="en-US" w:eastAsia="zh-CN"/>
          <w14:textFill>
            <w14:solidFill>
              <w14:schemeClr w14:val="tx1"/>
            </w14:solidFill>
          </w14:textFill>
        </w:rPr>
        <w:t>4</w:t>
      </w:r>
      <w:r>
        <w:rPr>
          <w:rFonts w:hint="eastAsia" w:ascii="仿宋_GB2312" w:hAnsi="仿宋" w:eastAsia="仿宋_GB2312" w:cs="仿宋_GB2312"/>
          <w:color w:val="000000" w:themeColor="text1"/>
          <w:highlight w:val="none"/>
          <w14:textFill>
            <w14:solidFill>
              <w14:schemeClr w14:val="tx1"/>
            </w14:solidFill>
          </w14:textFill>
        </w:rPr>
        <w:t>乙方必须在按照时间要求将砼相关的技术质量资料提供给甲方。付款前乙方必须向甲方补齐所欠混凝土相关的技术质量资料，否则甲方有权不予支付该项目当期结算的材料款，直至乙方补齐所欠混凝土相关的技术质量资料时方可支付当期结算的材料款。</w:t>
      </w:r>
    </w:p>
    <w:p w14:paraId="371F51AD">
      <w:pPr>
        <w:pStyle w:val="19"/>
        <w:numPr>
          <w:ilvl w:val="0"/>
          <w:numId w:val="2"/>
        </w:numPr>
        <w:spacing w:line="400" w:lineRule="atLeast"/>
        <w:ind w:firstLine="482"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货物质量保修期：</w:t>
      </w:r>
      <w:r>
        <w:rPr>
          <w:rFonts w:hint="eastAsia" w:ascii="仿宋_GB2312" w:hAnsi="仿宋_GB2312" w:eastAsia="仿宋_GB2312" w:cs="仿宋_GB2312"/>
          <w:color w:val="000000" w:themeColor="text1"/>
          <w:highlight w:val="none"/>
          <w14:textFill>
            <w14:solidFill>
              <w14:schemeClr w14:val="tx1"/>
            </w14:solidFill>
          </w14:textFill>
        </w:rPr>
        <w:t xml:space="preserve"> </w:t>
      </w:r>
    </w:p>
    <w:p w14:paraId="1751112D">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3.1货物质量保修期：无；</w:t>
      </w:r>
    </w:p>
    <w:p w14:paraId="52E1954F">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3.2货物质量保证期：按国家有关法律法规的规定，货物质量保证期为终身；</w:t>
      </w:r>
    </w:p>
    <w:p w14:paraId="70E01760">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所有货物须保证满足现场使用要求，如货物在质量保修期内出现质量瑕疵或者缺陷的，由乙方按照甲方的时间要求免费维修或者更换，经甲方要求整改一次仍无法达到合同要求时，甲方可自行或委托第三方代为履行，并以实际发生费用从乙方的应付款中扣除。</w:t>
      </w:r>
    </w:p>
    <w:p w14:paraId="5ECE920E">
      <w:pPr>
        <w:pStyle w:val="19"/>
        <w:numPr>
          <w:ilvl w:val="0"/>
          <w:numId w:val="1"/>
        </w:numPr>
        <w:spacing w:before="120" w:beforeLines="50" w:after="120" w:afterLines="50" w:line="400" w:lineRule="atLeast"/>
        <w:ind w:firstLine="482" w:firstLineChars="200"/>
        <w:outlineLvl w:val="0"/>
        <w:rPr>
          <w:rFonts w:ascii="仿宋_GB2312" w:hAnsi="仿宋_GB2312" w:eastAsia="仿宋_GB2312" w:cs="仿宋_GB2312"/>
          <w:b/>
          <w:bCs/>
          <w:color w:val="000000" w:themeColor="text1"/>
          <w:highlight w:val="none"/>
          <w14:textFill>
            <w14:solidFill>
              <w14:schemeClr w14:val="tx1"/>
            </w14:solidFill>
          </w14:textFill>
        </w:rPr>
      </w:pPr>
      <w:bookmarkStart w:id="9" w:name="_Toc15057"/>
      <w:r>
        <w:rPr>
          <w:rFonts w:hint="eastAsia" w:ascii="仿宋_GB2312" w:hAnsi="仿宋_GB2312" w:eastAsia="仿宋_GB2312" w:cs="仿宋_GB2312"/>
          <w:b/>
          <w:bCs/>
          <w:color w:val="000000" w:themeColor="text1"/>
          <w:highlight w:val="none"/>
          <w14:textFill>
            <w14:solidFill>
              <w14:schemeClr w14:val="tx1"/>
            </w14:solidFill>
          </w14:textFill>
        </w:rPr>
        <w:t>货物验收</w:t>
      </w:r>
      <w:bookmarkEnd w:id="9"/>
    </w:p>
    <w:p w14:paraId="262ED2B4">
      <w:pPr>
        <w:pStyle w:val="19"/>
        <w:numPr>
          <w:ilvl w:val="0"/>
          <w:numId w:val="3"/>
        </w:numPr>
        <w:spacing w:line="400" w:lineRule="atLeast"/>
        <w:ind w:firstLine="482" w:firstLineChars="200"/>
        <w:jc w:val="both"/>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验收人员：</w:t>
      </w:r>
      <w:r>
        <w:rPr>
          <w:rFonts w:hint="eastAsia" w:ascii="仿宋_GB2312" w:hAnsi="仿宋_GB2312" w:eastAsia="仿宋_GB2312" w:cs="仿宋_GB2312"/>
          <w:color w:val="000000" w:themeColor="text1"/>
          <w:highlight w:val="none"/>
          <w14:textFill>
            <w14:solidFill>
              <w14:schemeClr w14:val="tx1"/>
            </w14:solidFill>
          </w14:textFill>
        </w:rPr>
        <w:t>货物进场需由甲方收货联系人、</w:t>
      </w:r>
      <w:bookmarkStart w:id="10" w:name="_Hlk127189311"/>
      <w:r>
        <w:rPr>
          <w:rFonts w:hint="eastAsia" w:ascii="仿宋_GB2312" w:hAnsi="仿宋_GB2312" w:eastAsia="仿宋_GB2312" w:cs="仿宋_GB2312"/>
          <w:color w:val="000000" w:themeColor="text1"/>
          <w:highlight w:val="none"/>
          <w14:textFill>
            <w14:solidFill>
              <w14:schemeClr w14:val="tx1"/>
            </w14:solidFill>
          </w14:textFill>
        </w:rPr>
        <w:t>现场责任</w:t>
      </w:r>
      <w:bookmarkEnd w:id="10"/>
      <w:r>
        <w:rPr>
          <w:rFonts w:hint="eastAsia" w:ascii="仿宋_GB2312" w:hAnsi="仿宋_GB2312" w:eastAsia="仿宋_GB2312" w:cs="仿宋_GB2312"/>
          <w:color w:val="000000" w:themeColor="text1"/>
          <w:highlight w:val="none"/>
          <w14:textFill>
            <w14:solidFill>
              <w14:schemeClr w14:val="tx1"/>
            </w14:solidFill>
          </w14:textFill>
        </w:rPr>
        <w:t>工程师、分包单位和乙方发货联系人共同完成现场验收，现场验收不代表货物质量合格，质量是否合格需要进一步复核确定。</w:t>
      </w:r>
    </w:p>
    <w:p w14:paraId="782E84CF">
      <w:pPr>
        <w:pStyle w:val="19"/>
        <w:numPr>
          <w:ilvl w:val="0"/>
          <w:numId w:val="3"/>
        </w:numPr>
        <w:spacing w:line="400" w:lineRule="atLeast"/>
        <w:ind w:firstLine="482" w:firstLineChars="200"/>
        <w:jc w:val="both"/>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验收方式：</w:t>
      </w:r>
      <w:r>
        <w:rPr>
          <w:rFonts w:hint="eastAsia" w:ascii="仿宋_GB2312" w:hAnsi="仿宋_GB2312" w:eastAsia="仿宋_GB2312" w:cs="仿宋_GB2312"/>
          <w:color w:val="000000" w:themeColor="text1"/>
          <w:highlight w:val="none"/>
          <w:u w:val="single"/>
          <w14:textFill>
            <w14:solidFill>
              <w14:schemeClr w14:val="tx1"/>
            </w14:solidFill>
          </w14:textFill>
        </w:rPr>
        <w:t>以智能地磅、云筑收验货系统为主要载体，结合视频监控系统，完成核对凭证、外观质量验收、数量验收和检测报告四步验收，甲方收货联系人出具收料单，甲方收货联系人及乙方发货联系人双方签字后视为验收完成</w:t>
      </w:r>
      <w:r>
        <w:rPr>
          <w:rFonts w:hint="eastAsia" w:ascii="仿宋_GB2312" w:hAnsi="仿宋_GB2312" w:eastAsia="仿宋_GB2312" w:cs="仿宋_GB2312"/>
          <w:color w:val="000000" w:themeColor="text1"/>
          <w:highlight w:val="none"/>
          <w14:textFill>
            <w14:solidFill>
              <w14:schemeClr w14:val="tx1"/>
            </w14:solidFill>
          </w14:textFill>
        </w:rPr>
        <w:t>。</w:t>
      </w:r>
    </w:p>
    <w:p w14:paraId="245B11C3">
      <w:pPr>
        <w:pStyle w:val="19"/>
        <w:numPr>
          <w:ilvl w:val="0"/>
          <w:numId w:val="3"/>
        </w:numPr>
        <w:spacing w:line="400" w:lineRule="atLeast"/>
        <w:ind w:firstLine="482" w:firstLineChars="200"/>
        <w:rPr>
          <w:rFonts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数量验收：</w:t>
      </w:r>
    </w:p>
    <w:p w14:paraId="6E69571D">
      <w:pPr>
        <w:pStyle w:val="19"/>
        <w:spacing w:line="400" w:lineRule="atLeast"/>
        <w:ind w:left="420" w:left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3.1数量验收方式：</w:t>
      </w:r>
      <w:r>
        <w:rPr>
          <w:rFonts w:hint="eastAsia" w:ascii="仿宋_GB2312" w:hAnsi="仿宋_GB2312" w:eastAsia="仿宋_GB2312" w:cs="仿宋_GB2312"/>
          <w:color w:val="000000" w:themeColor="text1"/>
          <w:highlight w:val="none"/>
          <w14:textFill>
            <w14:solidFill>
              <w14:schemeClr w14:val="tx1"/>
            </w14:solidFill>
          </w14:textFill>
        </w:rPr>
        <w:t>本合同商品混凝土工程量结算的具体方式为以下第</w:t>
      </w:r>
      <w:permStart w:id="38" w:edGrp="everyone"/>
      <w:r>
        <w:rPr>
          <w:rFonts w:hint="eastAsia" w:ascii="仿宋_GB2312" w:hAnsi="仿宋_GB2312" w:eastAsia="仿宋_GB2312" w:cs="仿宋_GB2312"/>
          <w:color w:val="000000" w:themeColor="text1"/>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highlight w:val="none"/>
          <w:u w:val="single"/>
          <w:lang w:val="en-US" w:eastAsia="zh-CN"/>
          <w14:textFill>
            <w14:solidFill>
              <w14:schemeClr w14:val="tx1"/>
            </w14:solidFill>
          </w14:textFill>
        </w:rPr>
        <w:t>4</w:t>
      </w:r>
      <w:r>
        <w:rPr>
          <w:rFonts w:hint="eastAsia" w:ascii="仿宋_GB2312" w:hAnsi="仿宋_GB2312" w:eastAsia="仿宋_GB2312" w:cs="仿宋_GB2312"/>
          <w:color w:val="000000" w:themeColor="text1"/>
          <w:highlight w:val="none"/>
          <w:u w:val="single"/>
          <w14:textFill>
            <w14:solidFill>
              <w14:schemeClr w14:val="tx1"/>
            </w14:solidFill>
          </w14:textFill>
        </w:rPr>
        <w:t xml:space="preserve"> </w:t>
      </w:r>
      <w:permEnd w:id="38"/>
      <w:r>
        <w:rPr>
          <w:rFonts w:hint="eastAsia" w:ascii="仿宋_GB2312" w:hAnsi="仿宋_GB2312" w:eastAsia="仿宋_GB2312" w:cs="仿宋_GB2312"/>
          <w:color w:val="000000" w:themeColor="text1"/>
          <w:highlight w:val="none"/>
          <w14:textFill>
            <w14:solidFill>
              <w14:schemeClr w14:val="tx1"/>
            </w14:solidFill>
          </w14:textFill>
        </w:rPr>
        <w:t>种。</w:t>
      </w:r>
    </w:p>
    <w:p w14:paraId="2BB5260C">
      <w:pPr>
        <w:pStyle w:val="19"/>
        <w:spacing w:line="400" w:lineRule="exact"/>
        <w:ind w:firstLine="482" w:firstLineChars="200"/>
        <w:rPr>
          <w:rFonts w:ascii="仿宋_GB2312" w:hAnsi="仿宋_GB2312" w:eastAsia="仿宋_GB2312" w:cs="仿宋_GB2312"/>
          <w:b/>
          <w:bCs/>
          <w:color w:val="000000" w:themeColor="text1"/>
          <w:highlight w:val="none"/>
          <w:u w:val="single"/>
          <w14:textFill>
            <w14:solidFill>
              <w14:schemeClr w14:val="tx1"/>
            </w14:solidFill>
          </w14:textFill>
        </w:rPr>
      </w:pPr>
      <w:r>
        <w:rPr>
          <w:rFonts w:hint="eastAsia" w:ascii="仿宋_GB2312" w:hAnsi="仿宋_GB2312" w:eastAsia="仿宋_GB2312" w:cs="仿宋_GB2312"/>
          <w:b/>
          <w:bCs/>
          <w:color w:val="000000" w:themeColor="text1"/>
          <w:highlight w:val="none"/>
          <w:u w:val="single"/>
          <w14:textFill>
            <w14:solidFill>
              <w14:schemeClr w14:val="tx1"/>
            </w14:solidFill>
          </w14:textFill>
        </w:rPr>
        <w:t>3.1.1按混凝土进场验收过磅为依据进行结算，甲方按以下方式进行验收：</w:t>
      </w:r>
    </w:p>
    <w:p w14:paraId="19852B95">
      <w:pPr>
        <w:pStyle w:val="22"/>
        <w:spacing w:line="400" w:lineRule="exact"/>
        <w:ind w:firstLine="540" w:firstLineChars="225"/>
        <w:rPr>
          <w:rFonts w:ascii="仿宋_GB2312" w:hAnsi="仿宋_GB2312" w:eastAsia="仿宋_GB2312" w:cs="仿宋_GB2312"/>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t>1）混凝土按照“过磅计量”方式结算，甲方对混凝土进行过磅，商品混凝土容重按照每批次混凝土进场时的开盘鉴定中配合比进行计算。</w:t>
      </w:r>
    </w:p>
    <w:p w14:paraId="4D2378E1">
      <w:pPr>
        <w:pStyle w:val="22"/>
        <w:spacing w:line="360" w:lineRule="auto"/>
        <w:ind w:firstLine="540" w:firstLineChars="225"/>
        <w:rPr>
          <w:rFonts w:ascii="仿宋_GB2312" w:hAnsi="仿宋_GB2312" w:eastAsia="仿宋_GB2312" w:cs="仿宋_GB2312"/>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t>2）供应过程中，甲方项目有地磅的必须每车进出场双检，出现小票未过磅确认的，甲方不予承认其数量。无地磅的项目有权进行抽查，且且保证抽查量不低于供应总量的50％。</w:t>
      </w:r>
    </w:p>
    <w:p w14:paraId="12986ACB">
      <w:pPr>
        <w:pStyle w:val="22"/>
        <w:spacing w:line="360" w:lineRule="auto"/>
        <w:ind w:firstLine="540" w:firstLineChars="225"/>
        <w:rPr>
          <w:rFonts w:ascii="仿宋_GB2312" w:hAnsi="仿宋_GB2312" w:eastAsia="仿宋_GB2312" w:cs="仿宋_GB2312"/>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t>3）甲方将过磅量与小票量进行对比，当过磅量大于或等于小票量时方可视为方量满足要求，否则按亏方处理。发现亏方情况，有地磅项目本批次浇筑的每一车都扣相应的亏损量；无地磅项目本批次浇筑的每一车都扣相应相应亏损量的两倍。</w:t>
      </w:r>
    </w:p>
    <w:p w14:paraId="18BFF2E1">
      <w:pPr>
        <w:pStyle w:val="22"/>
        <w:spacing w:line="360" w:lineRule="auto"/>
        <w:ind w:firstLine="540" w:firstLineChars="225"/>
        <w:rPr>
          <w:rFonts w:ascii="仿宋_GB2312" w:hAnsi="仿宋_GB2312" w:eastAsia="仿宋_GB2312" w:cs="仿宋_GB2312"/>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t>4）每批次浇筑完成，甲乙双方须在2个工作日内完成该批次混凝的数量确认，双方签字确认的作为混凝土结算办理数量依据。小票签收人员由项目部委托人员签字有效，其他人员签字无效。</w:t>
      </w:r>
    </w:p>
    <w:p w14:paraId="701922F9">
      <w:pPr>
        <w:pStyle w:val="22"/>
        <w:spacing w:line="360" w:lineRule="auto"/>
        <w:ind w:firstLine="540" w:firstLineChars="225"/>
        <w:rPr>
          <w:rFonts w:ascii="仿宋_GB2312" w:hAnsi="仿宋_GB2312" w:eastAsia="仿宋_GB2312" w:cs="仿宋_GB2312"/>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t>5）为保证乙方混凝土容重的准确性，甲方有权随机抽查乙方搅拌站配合比容重，经实测的容重与配合比容重误差在±1.5％内视为符合要求，容重误差超过1.5％视为不符合要求，其中误差在1.5％-3％的处自上次容重抽查之日以来所有浇筑的混凝土方量扣减10％的处罚，误差在3％-5％的处自上次容重抽查之日以来所有浇筑的混凝土方量扣减20％的处罚，误差在5％以上的处自上次容重抽查之日以来所有浇筑的混凝土方量扣减30％的处罚，并解除供货合同，列入中建</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路桥</w:t>
      </w:r>
      <w:r>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t>不合格供应商。</w:t>
      </w:r>
    </w:p>
    <w:p w14:paraId="5AFC2E1F">
      <w:pPr>
        <w:pStyle w:val="19"/>
        <w:spacing w:line="400" w:lineRule="atLeast"/>
        <w:ind w:firstLine="482" w:firstLineChars="200"/>
        <w:rPr>
          <w:rFonts w:ascii="仿宋_GB2312" w:hAnsi="仿宋_GB2312" w:eastAsia="仿宋_GB2312" w:cs="仿宋_GB2312"/>
          <w:b/>
          <w:bCs/>
          <w:color w:val="000000" w:themeColor="text1"/>
          <w:highlight w:val="none"/>
          <w:u w:val="single"/>
          <w14:textFill>
            <w14:solidFill>
              <w14:schemeClr w14:val="tx1"/>
            </w14:solidFill>
          </w14:textFill>
        </w:rPr>
      </w:pPr>
      <w:r>
        <w:rPr>
          <w:rFonts w:hint="eastAsia" w:ascii="仿宋_GB2312" w:hAnsi="仿宋_GB2312" w:eastAsia="仿宋_GB2312" w:cs="仿宋_GB2312"/>
          <w:b/>
          <w:bCs/>
          <w:color w:val="000000" w:themeColor="text1"/>
          <w:highlight w:val="none"/>
          <w:u w:val="single"/>
          <w14:textFill>
            <w14:solidFill>
              <w14:schemeClr w14:val="tx1"/>
            </w14:solidFill>
          </w14:textFill>
        </w:rPr>
        <w:t>3.1.2按施工图纸计算工程量和小票验收量相结合的结算方式：</w:t>
      </w:r>
    </w:p>
    <w:p w14:paraId="1DE3ABEC">
      <w:pPr>
        <w:pStyle w:val="3"/>
        <w:snapToGrid w:val="0"/>
        <w:spacing w:line="400" w:lineRule="atLeast"/>
        <w:ind w:firstLine="480"/>
        <w:contextualSpacing/>
        <w:jc w:val="left"/>
        <w:rPr>
          <w:rFonts w:hAnsi="仿宋_GB2312" w:cs="仿宋_GB2312"/>
          <w:bCs w:val="0"/>
          <w:color w:val="000000" w:themeColor="text1"/>
          <w:sz w:val="24"/>
          <w:szCs w:val="24"/>
          <w:highlight w:val="none"/>
          <w14:textFill>
            <w14:solidFill>
              <w14:schemeClr w14:val="tx1"/>
            </w14:solidFill>
          </w14:textFill>
        </w:rPr>
      </w:pPr>
      <w:r>
        <w:rPr>
          <w:rFonts w:hint="eastAsia" w:hAnsi="仿宋_GB2312" w:cs="仿宋_GB2312"/>
          <w:bCs w:val="0"/>
          <w:color w:val="000000" w:themeColor="text1"/>
          <w:sz w:val="24"/>
          <w:szCs w:val="24"/>
          <w:highlight w:val="none"/>
          <w14:textFill>
            <w14:solidFill>
              <w14:schemeClr w14:val="tx1"/>
            </w14:solidFill>
          </w14:textFill>
        </w:rPr>
        <w:t>（1）按实际小票量结算的部位：①水沟、电缆沟、临时马路、塔吊基础、彩板房基础等临建基础。②.桩基、垫层、导墙、挡土墙、支撑系统（含支撑梁、冠梁及栈桥）、二次构件（含圈梁、过梁、构造柱、飘窗、线条、翻边）、地坪、细石砼楼地面、屋面找平层、保护层、坡屋面、女儿墙、花架、设备基础、填充砼、散水、后浇带。③.基础设施工程中的：支座垫石、楔块、防护栏杆、路基基础、系梁、地连墙、桥（路）面铺装。</w:t>
      </w:r>
    </w:p>
    <w:p w14:paraId="471D80B4">
      <w:pPr>
        <w:spacing w:line="400" w:lineRule="atLeast"/>
        <w:ind w:firstLine="480" w:firstLineChars="200"/>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除按实际小票量结算部位外，其他部位以实际用量与结构层图纸预算数量相比，不能超过结构层图纸预算数量（含钢筋体积），若超过则按结构层图纸预算数量结算，没有超过则按实际用量结算（房屋建筑工程项目比较范围为每个结构层；市政桥梁工程项目比较范围为水平方向每个施工区段，竖向为每个分部工程）；</w:t>
      </w:r>
    </w:p>
    <w:p w14:paraId="4C0A889B">
      <w:pPr>
        <w:spacing w:line="400" w:lineRule="atLeast"/>
        <w:ind w:firstLine="480" w:firstLineChars="200"/>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小票数量的确认方法：在浇筑过程中,乙方无条件服从甲方项目人员对任意车次的重量抽查。无论甲方抽查几车，只要抽查发现过磅偏差超出下表对应的偏差允许值，则需对该批次混凝土逐车进行扣减。（如果抽查中存在多个超出偏差允许值的情况，则按最大过磅偏差值，对该批混凝土逐车进行扣减）</w:t>
      </w:r>
    </w:p>
    <w:p w14:paraId="789FF485">
      <w:pPr>
        <w:spacing w:line="400" w:lineRule="atLeast"/>
        <w:ind w:firstLine="480" w:firstLineChars="200"/>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（4）商品混凝土容重：按项目与供应商约定的实际配合比计算。</w:t>
      </w:r>
    </w:p>
    <w:p w14:paraId="28D76F32">
      <w:pPr>
        <w:pStyle w:val="19"/>
        <w:spacing w:line="400" w:lineRule="atLeast"/>
        <w:ind w:firstLine="482" w:firstLineChars="200"/>
        <w:rPr>
          <w:rFonts w:ascii="仿宋_GB2312" w:hAnsi="仿宋_GB2312" w:eastAsia="仿宋_GB2312" w:cs="仿宋_GB2312"/>
          <w:color w:val="000000" w:themeColor="text1"/>
          <w:highlight w:val="none"/>
          <w:u w:val="single"/>
          <w14:textFill>
            <w14:solidFill>
              <w14:schemeClr w14:val="tx1"/>
            </w14:solidFill>
          </w14:textFill>
        </w:rPr>
      </w:pPr>
      <w:r>
        <w:rPr>
          <w:rFonts w:hint="eastAsia" w:ascii="仿宋_GB2312" w:hAnsi="仿宋_GB2312" w:eastAsia="仿宋_GB2312" w:cs="仿宋_GB2312"/>
          <w:b/>
          <w:bCs/>
          <w:color w:val="000000" w:themeColor="text1"/>
          <w:highlight w:val="none"/>
          <w:u w:val="single"/>
          <w14:textFill>
            <w14:solidFill>
              <w14:schemeClr w14:val="tx1"/>
            </w14:solidFill>
          </w14:textFill>
        </w:rPr>
        <w:t>3.1.3按施工图纸计算工程量和小票验收量相结合的结算方式，商品混凝土实际结算量不超过图纸量（含设计变更、签证部分）。</w:t>
      </w:r>
      <w:r>
        <w:rPr>
          <w:rFonts w:hint="eastAsia" w:ascii="仿宋_GB2312" w:hAnsi="仿宋_GB2312" w:eastAsia="仿宋_GB2312" w:cs="仿宋_GB2312"/>
          <w:color w:val="000000" w:themeColor="text1"/>
          <w:highlight w:val="none"/>
          <w:u w:val="single"/>
          <w14:textFill>
            <w14:solidFill>
              <w14:schemeClr w14:val="tx1"/>
            </w14:solidFill>
          </w14:textFill>
        </w:rPr>
        <w:t xml:space="preserve"> </w:t>
      </w:r>
    </w:p>
    <w:p w14:paraId="3F73BD45">
      <w:pPr>
        <w:pStyle w:val="3"/>
        <w:snapToGrid w:val="0"/>
        <w:spacing w:line="400" w:lineRule="atLeast"/>
        <w:ind w:firstLine="480"/>
        <w:contextualSpacing/>
        <w:jc w:val="left"/>
        <w:rPr>
          <w:rFonts w:hAnsi="仿宋_GB2312" w:cs="仿宋_GB2312"/>
          <w:bCs w:val="0"/>
          <w:color w:val="000000" w:themeColor="text1"/>
          <w:sz w:val="24"/>
          <w:szCs w:val="24"/>
          <w:highlight w:val="none"/>
          <w14:textFill>
            <w14:solidFill>
              <w14:schemeClr w14:val="tx1"/>
            </w14:solidFill>
          </w14:textFill>
        </w:rPr>
      </w:pPr>
      <w:r>
        <w:rPr>
          <w:rFonts w:hint="eastAsia" w:hAnsi="仿宋_GB2312" w:cs="仿宋_GB2312"/>
          <w:bCs w:val="0"/>
          <w:color w:val="000000" w:themeColor="text1"/>
          <w:sz w:val="24"/>
          <w:szCs w:val="24"/>
          <w:highlight w:val="none"/>
          <w14:textFill>
            <w14:solidFill>
              <w14:schemeClr w14:val="tx1"/>
            </w14:solidFill>
          </w14:textFill>
        </w:rPr>
        <w:t>（1）按实际小票量结算的部位：①水沟、电缆沟、临时马路、塔吊基础、彩板房基础等临建基础。②.桩基、垫层、导墙、挡土墙、支撑系统（含支撑梁、冠梁及栈桥）、二次构件（含圈梁、过梁、构造柱、飘窗、线条、翻边）、地坪、细石砼楼地面、屋面找平层、保护层、坡屋面、女儿墙、花架、设备基础、填充砼、散水、后浇带。③.基础设施工程中的：支座垫石、楔块、防护栏杆、路基基础、系梁、地连墙、桥（路）面铺装。</w:t>
      </w:r>
    </w:p>
    <w:p w14:paraId="0E743E4F">
      <w:pPr>
        <w:spacing w:line="400" w:lineRule="atLeast"/>
        <w:ind w:firstLine="480" w:firstLineChars="200"/>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除按实际小票量结算部位外，其他部位按照结构层图纸预算量进行结算，结构层图纸预算数量不扣除钢筋体积不另计损耗，房屋建筑工程项目为每个结构层；市政桥梁工程项目为水平方向每个施工区段，竖向为每个分部工程。工程量计算规则按2013年《建设工程工程量清单计价规范》（GB50500-2013）中混凝土的计算规则执行，《建设工程工程量清单计价规范》中以面积计量的，工程量=面积*厚度。</w:t>
      </w:r>
    </w:p>
    <w:p w14:paraId="23DEE370">
      <w:pPr>
        <w:spacing w:line="400" w:lineRule="atLeast"/>
        <w:ind w:firstLine="480" w:firstLineChars="200"/>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以上小票数量的确认和施工图纸预算计量的方法：在浇筑过程中,乙方无条件服从甲方项目人员对任意车次的重量抽查。其中小票计量抽查比例不低于70％，施工图纸预算计量抽查比例不低于10％。按照小票计量的，无论甲方抽查几车，只要抽查发现过磅偏差超出下表对应的偏差允许值，则需对该批次混凝土逐车进行扣减（如果抽查中存在多个超出偏差允许值的情况，则按最大过磅偏差值，对该批混凝土逐车进行扣减）。按照施工图纸预算计量的小票签收以及抽查，仅作为过程管理资料，不作为收方结算凭证。</w:t>
      </w:r>
    </w:p>
    <w:tbl>
      <w:tblPr>
        <w:tblStyle w:val="16"/>
        <w:tblW w:w="79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4450"/>
        <w:gridCol w:w="2740"/>
      </w:tblGrid>
      <w:tr w14:paraId="4B228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0" w:type="dxa"/>
          </w:tcPr>
          <w:p w14:paraId="45A6BD51">
            <w:pPr>
              <w:spacing w:before="120" w:after="120" w:line="400" w:lineRule="atLeast"/>
              <w:jc w:val="center"/>
              <w:rPr>
                <w:rFonts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序号</w:t>
            </w:r>
          </w:p>
        </w:tc>
        <w:tc>
          <w:tcPr>
            <w:tcW w:w="4450" w:type="dxa"/>
            <w:vAlign w:val="center"/>
          </w:tcPr>
          <w:p w14:paraId="4F41C9D0">
            <w:pPr>
              <w:spacing w:line="400" w:lineRule="atLeast"/>
              <w:ind w:firstLine="480" w:firstLineChars="200"/>
              <w:jc w:val="center"/>
              <w:rPr>
                <w:rFonts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项抽查</w:t>
            </w:r>
          </w:p>
        </w:tc>
        <w:tc>
          <w:tcPr>
            <w:tcW w:w="2740" w:type="dxa"/>
            <w:vAlign w:val="center"/>
          </w:tcPr>
          <w:p w14:paraId="5E451E1D">
            <w:pPr>
              <w:spacing w:line="400" w:lineRule="atLeast"/>
              <w:ind w:firstLine="480" w:firstLineChars="200"/>
              <w:jc w:val="center"/>
              <w:rPr>
                <w:rFonts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允许误差</w:t>
            </w:r>
          </w:p>
        </w:tc>
      </w:tr>
      <w:tr w14:paraId="6FE11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00" w:type="dxa"/>
            <w:vAlign w:val="center"/>
          </w:tcPr>
          <w:p w14:paraId="21D7984A">
            <w:pPr>
              <w:spacing w:line="400" w:lineRule="atLeast"/>
              <w:jc w:val="center"/>
              <w:rPr>
                <w:rFonts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1</w:t>
            </w:r>
          </w:p>
        </w:tc>
        <w:tc>
          <w:tcPr>
            <w:tcW w:w="4450" w:type="dxa"/>
            <w:vAlign w:val="center"/>
          </w:tcPr>
          <w:p w14:paraId="2703C3D4">
            <w:pPr>
              <w:spacing w:line="400" w:lineRule="atLeast"/>
              <w:jc w:val="left"/>
              <w:rPr>
                <w:rFonts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实测容重与乙方开盘鉴定提供标准容重</w:t>
            </w:r>
          </w:p>
        </w:tc>
        <w:tc>
          <w:tcPr>
            <w:tcW w:w="2740" w:type="dxa"/>
            <w:vAlign w:val="center"/>
          </w:tcPr>
          <w:p w14:paraId="770F1B33">
            <w:pPr>
              <w:spacing w:line="400" w:lineRule="atLeast"/>
              <w:ind w:firstLine="480" w:firstLineChars="200"/>
              <w:rPr>
                <w:rFonts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-1％≤实测值≤0</w:t>
            </w:r>
          </w:p>
        </w:tc>
      </w:tr>
      <w:tr w14:paraId="4292F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0" w:type="dxa"/>
            <w:vAlign w:val="center"/>
          </w:tcPr>
          <w:p w14:paraId="45130D9B">
            <w:pPr>
              <w:spacing w:line="400" w:lineRule="atLeast"/>
              <w:jc w:val="center"/>
              <w:rPr>
                <w:rFonts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2</w:t>
            </w:r>
          </w:p>
        </w:tc>
        <w:tc>
          <w:tcPr>
            <w:tcW w:w="4450" w:type="dxa"/>
            <w:vAlign w:val="center"/>
          </w:tcPr>
          <w:p w14:paraId="50176EC8">
            <w:pPr>
              <w:spacing w:line="400" w:lineRule="atLeast"/>
              <w:jc w:val="left"/>
              <w:rPr>
                <w:rFonts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实测车载重量与乙方提供的按照标准容重、标准方量计算的重量</w:t>
            </w:r>
          </w:p>
        </w:tc>
        <w:tc>
          <w:tcPr>
            <w:tcW w:w="2740" w:type="dxa"/>
            <w:vAlign w:val="center"/>
          </w:tcPr>
          <w:p w14:paraId="5DF67F03">
            <w:pPr>
              <w:spacing w:line="400" w:lineRule="atLeast"/>
              <w:ind w:firstLine="480" w:firstLineChars="200"/>
              <w:rPr>
                <w:rFonts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-1％≤实测值≤0</w:t>
            </w:r>
          </w:p>
        </w:tc>
      </w:tr>
    </w:tbl>
    <w:p w14:paraId="716E04C8">
      <w:pPr>
        <w:spacing w:line="400" w:lineRule="atLeast"/>
        <w:ind w:firstLine="480" w:firstLineChars="200"/>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（4）商品混凝土容重：按项目与供应商约定的实际配合比计算。</w:t>
      </w:r>
    </w:p>
    <w:p w14:paraId="383604B6">
      <w:pPr>
        <w:spacing w:line="400" w:lineRule="atLeast"/>
        <w:ind w:firstLine="480" w:firstLineChars="200"/>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（5）乙方免费提供润泵砂浆，甲方不计量不计价。</w:t>
      </w:r>
    </w:p>
    <w:p w14:paraId="69D23C8E">
      <w:pPr>
        <w:spacing w:line="400" w:lineRule="atLeast"/>
        <w:ind w:firstLine="480" w:firstLineChars="200"/>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w:t>
      </w:r>
      <w:r>
        <w:rPr>
          <w:rFonts w:ascii="仿宋_GB2312" w:hAnsi="仿宋_GB2312" w:eastAsia="仿宋_GB2312" w:cs="仿宋_GB2312"/>
          <w:color w:val="000000" w:themeColor="text1"/>
          <w:sz w:val="24"/>
          <w:szCs w:val="24"/>
          <w:highlight w:val="none"/>
          <w14:textFill>
            <w14:solidFill>
              <w14:schemeClr w14:val="tx1"/>
            </w14:solidFill>
          </w14:textFill>
        </w:rPr>
        <w:t>.1.4</w:t>
      </w:r>
      <w:r>
        <w:rPr>
          <w:rFonts w:hint="eastAsia" w:ascii="仿宋_GB2312" w:hAnsi="仿宋_GB2312" w:eastAsia="仿宋_GB2312" w:cs="仿宋_GB2312"/>
          <w:color w:val="000000" w:themeColor="text1"/>
          <w:sz w:val="24"/>
          <w:szCs w:val="24"/>
          <w:highlight w:val="none"/>
          <w14:textFill>
            <w14:solidFill>
              <w14:schemeClr w14:val="tx1"/>
            </w14:solidFill>
          </w14:textFill>
        </w:rPr>
        <w:t>其他</w:t>
      </w:r>
      <w:permStart w:id="39" w:edGrp="everyone"/>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 xml:space="preserve"> </w:t>
      </w:r>
      <w:r>
        <w:rPr>
          <w:rFonts w:ascii="仿宋_GB2312" w:hAnsi="仿宋_GB2312" w:eastAsia="仿宋_GB2312" w:cs="仿宋_GB2312"/>
          <w:color w:val="000000" w:themeColor="text1"/>
          <w:sz w:val="24"/>
          <w:szCs w:val="24"/>
          <w:highlight w:val="none"/>
          <w:u w:val="single"/>
          <w14:textFill>
            <w14:solidFill>
              <w14:schemeClr w14:val="tx1"/>
            </w14:solidFill>
          </w14:textFill>
        </w:rPr>
        <w:t xml:space="preserve">   </w:t>
      </w:r>
      <w:permEnd w:id="39"/>
    </w:p>
    <w:p w14:paraId="3E3D690A">
      <w:pPr>
        <w:pStyle w:val="3"/>
        <w:snapToGrid w:val="0"/>
        <w:spacing w:line="400" w:lineRule="atLeast"/>
        <w:ind w:firstLine="482"/>
        <w:contextualSpacing/>
        <w:jc w:val="left"/>
        <w:rPr>
          <w:rFonts w:hAnsi="仿宋_GB2312" w:cs="仿宋_GB2312"/>
          <w:b/>
          <w:color w:val="000000" w:themeColor="text1"/>
          <w:sz w:val="24"/>
          <w:szCs w:val="24"/>
          <w:highlight w:val="none"/>
          <w:u w:val="single"/>
          <w14:textFill>
            <w14:solidFill>
              <w14:schemeClr w14:val="tx1"/>
            </w14:solidFill>
          </w14:textFill>
        </w:rPr>
      </w:pPr>
      <w:r>
        <w:rPr>
          <w:rFonts w:hint="eastAsia" w:hAnsi="仿宋_GB2312" w:cs="仿宋_GB2312"/>
          <w:b/>
          <w:color w:val="000000" w:themeColor="text1"/>
          <w:sz w:val="24"/>
          <w:szCs w:val="24"/>
          <w:highlight w:val="none"/>
          <w:u w:val="single"/>
          <w14:textFill>
            <w14:solidFill>
              <w14:schemeClr w14:val="tx1"/>
            </w14:solidFill>
          </w14:textFill>
        </w:rPr>
        <w:t>3.2验收注意事项：</w:t>
      </w:r>
    </w:p>
    <w:p w14:paraId="407C9098">
      <w:pPr>
        <w:pStyle w:val="3"/>
        <w:numPr>
          <w:ilvl w:val="0"/>
          <w:numId w:val="4"/>
        </w:numPr>
        <w:snapToGrid w:val="0"/>
        <w:spacing w:line="400" w:lineRule="atLeast"/>
        <w:ind w:firstLine="480"/>
        <w:contextualSpacing/>
        <w:jc w:val="left"/>
        <w:rPr>
          <w:rFonts w:hAnsi="仿宋_GB2312" w:cs="仿宋_GB2312"/>
          <w:bCs w:val="0"/>
          <w:color w:val="000000" w:themeColor="text1"/>
          <w:sz w:val="24"/>
          <w:szCs w:val="24"/>
          <w:highlight w:val="none"/>
          <w14:textFill>
            <w14:solidFill>
              <w14:schemeClr w14:val="tx1"/>
            </w14:solidFill>
          </w14:textFill>
        </w:rPr>
      </w:pPr>
      <w:r>
        <w:rPr>
          <w:rFonts w:hint="eastAsia" w:hAnsi="仿宋_GB2312" w:cs="仿宋_GB2312"/>
          <w:bCs w:val="0"/>
          <w:color w:val="000000" w:themeColor="text1"/>
          <w:sz w:val="24"/>
          <w:szCs w:val="24"/>
          <w:highlight w:val="none"/>
          <w14:textFill>
            <w14:solidFill>
              <w14:schemeClr w14:val="tx1"/>
            </w14:solidFill>
          </w14:textFill>
        </w:rPr>
        <w:t>称重要求：以甲方现场安装的地磅作为抽查设备，除非乙方有证据证明甲方设备超过国家计量允许偏差范围。甲方现场没有安装称重设备的，可由双方共同委托符合要求的第三方计量单位完成抽样工作。相关费用由合同违约一方承担。</w:t>
      </w:r>
    </w:p>
    <w:p w14:paraId="3C023C95">
      <w:pPr>
        <w:pStyle w:val="3"/>
        <w:numPr>
          <w:ilvl w:val="0"/>
          <w:numId w:val="4"/>
        </w:numPr>
        <w:snapToGrid w:val="0"/>
        <w:spacing w:line="400" w:lineRule="atLeast"/>
        <w:ind w:firstLine="480"/>
        <w:contextualSpacing/>
        <w:jc w:val="left"/>
        <w:rPr>
          <w:rFonts w:hAnsi="仿宋_GB2312" w:cs="仿宋_GB2312"/>
          <w:bCs w:val="0"/>
          <w:color w:val="000000" w:themeColor="text1"/>
          <w:sz w:val="24"/>
          <w:szCs w:val="24"/>
          <w:highlight w:val="none"/>
          <w14:textFill>
            <w14:solidFill>
              <w14:schemeClr w14:val="tx1"/>
            </w14:solidFill>
          </w14:textFill>
        </w:rPr>
      </w:pPr>
      <w:r>
        <w:rPr>
          <w:rFonts w:hint="eastAsia" w:hAnsi="仿宋_GB2312" w:cs="仿宋_GB2312"/>
          <w:bCs w:val="0"/>
          <w:color w:val="000000" w:themeColor="text1"/>
          <w:sz w:val="24"/>
          <w:szCs w:val="24"/>
          <w:highlight w:val="none"/>
          <w14:textFill>
            <w14:solidFill>
              <w14:schemeClr w14:val="tx1"/>
            </w14:solidFill>
          </w14:textFill>
        </w:rPr>
        <w:t>超耗要求：若浇筑时出现跑模、胀模、爆管等混凝土超耗由责任方承担，按图纸计量部分若因甲方原因造成的超耗可办理签证予以计量。</w:t>
      </w:r>
    </w:p>
    <w:p w14:paraId="2B2A5732">
      <w:pPr>
        <w:spacing w:line="400" w:lineRule="atLeast"/>
        <w:ind w:firstLine="480" w:firstLineChars="200"/>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资料要求：乙方具体现场验收及抽查人员以《商品混凝土需方验收人员一览表》（合同附件）为准，除此以外的任何机构或个人的任何盖章或签字均属无效，甲方不予认可。抽查结果以《商品混凝土进场验收验证记录表》（合同附件）为准。</w:t>
      </w:r>
    </w:p>
    <w:p w14:paraId="1EB75137">
      <w:pPr>
        <w:pStyle w:val="3"/>
        <w:snapToGrid w:val="0"/>
        <w:spacing w:line="400" w:lineRule="atLeast"/>
        <w:ind w:firstLine="480"/>
        <w:contextualSpacing/>
        <w:jc w:val="left"/>
        <w:rPr>
          <w:rFonts w:hAnsi="仿宋_GB2312" w:cs="仿宋_GB2312"/>
          <w:bCs w:val="0"/>
          <w:color w:val="000000" w:themeColor="text1"/>
          <w:sz w:val="24"/>
          <w:szCs w:val="24"/>
          <w:highlight w:val="none"/>
          <w14:textFill>
            <w14:solidFill>
              <w14:schemeClr w14:val="tx1"/>
            </w14:solidFill>
          </w14:textFill>
        </w:rPr>
      </w:pPr>
      <w:r>
        <w:rPr>
          <w:rFonts w:hint="eastAsia" w:hAnsi="仿宋_GB2312" w:cs="仿宋_GB2312"/>
          <w:bCs w:val="0"/>
          <w:color w:val="000000" w:themeColor="text1"/>
          <w:sz w:val="24"/>
          <w:szCs w:val="24"/>
          <w:highlight w:val="none"/>
          <w14:textFill>
            <w14:solidFill>
              <w14:schemeClr w14:val="tx1"/>
            </w14:solidFill>
          </w14:textFill>
        </w:rPr>
        <w:t>（4）授权人员：乙方以书面形式委托的现场代表负责配合处理现场过磅、验收、核对方量、结算事宜。如未委派代表或现场代表以任何理由不参与，则乙方运输司机或其他人员的签署视为有效。如乙方无任何人员参与上述事宜，则视为供方默认甲方的现场签署意见，并以甲方签署的单据为有效结算依据。</w:t>
      </w:r>
    </w:p>
    <w:p w14:paraId="2597CA02">
      <w:pPr>
        <w:pStyle w:val="6"/>
        <w:keepNext w:val="0"/>
        <w:keepLines w:val="0"/>
        <w:tabs>
          <w:tab w:val="left" w:pos="567"/>
        </w:tabs>
        <w:spacing w:before="0" w:line="240" w:lineRule="auto"/>
        <w:ind w:firstLine="480" w:firstLineChars="200"/>
        <w:rPr>
          <w:rFonts w:ascii="仿宋" w:hAnsi="仿宋" w:eastAsia="仿宋"/>
          <w:color w:val="000000"/>
          <w:sz w:val="24"/>
          <w:szCs w:val="24"/>
          <w:highlight w:val="none"/>
        </w:rPr>
      </w:pPr>
      <w:r>
        <w:rPr>
          <w:rFonts w:hint="eastAsia" w:hAnsi="仿宋_GB2312" w:cs="仿宋_GB2312"/>
          <w:b w:val="0"/>
          <w:color w:val="000000" w:themeColor="text1"/>
          <w:sz w:val="24"/>
          <w:szCs w:val="24"/>
          <w:highlight w:val="none"/>
          <w14:textFill>
            <w14:solidFill>
              <w14:schemeClr w14:val="tx1"/>
            </w14:solidFill>
          </w14:textFill>
        </w:rPr>
        <w:t>（</w:t>
      </w:r>
      <w:r>
        <w:rPr>
          <w:rFonts w:hint="eastAsia" w:ascii="仿宋" w:hAnsi="仿宋" w:eastAsia="仿宋" w:cs="仿宋_GB2312"/>
          <w:b w:val="0"/>
          <w:color w:val="000000" w:themeColor="text1"/>
          <w:sz w:val="24"/>
          <w:szCs w:val="24"/>
          <w:highlight w:val="none"/>
          <w14:textFill>
            <w14:solidFill>
              <w14:schemeClr w14:val="tx1"/>
            </w14:solidFill>
          </w14:textFill>
        </w:rPr>
        <w:t>5）</w:t>
      </w:r>
      <w:r>
        <w:rPr>
          <w:rFonts w:hint="eastAsia" w:ascii="仿宋" w:hAnsi="仿宋" w:eastAsia="仿宋"/>
          <w:b w:val="0"/>
          <w:color w:val="000000"/>
          <w:sz w:val="24"/>
          <w:szCs w:val="24"/>
          <w:highlight w:val="none"/>
        </w:rPr>
        <w:t>不同强度混凝土密度、单方容重、偏差应满足下表：</w:t>
      </w:r>
    </w:p>
    <w:tbl>
      <w:tblPr>
        <w:tblStyle w:val="15"/>
        <w:tblpPr w:leftFromText="180" w:rightFromText="180" w:vertAnchor="text"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6"/>
        <w:gridCol w:w="873"/>
        <w:gridCol w:w="1008"/>
        <w:gridCol w:w="1008"/>
        <w:gridCol w:w="1009"/>
        <w:gridCol w:w="1009"/>
        <w:gridCol w:w="1009"/>
        <w:gridCol w:w="922"/>
      </w:tblGrid>
      <w:tr w14:paraId="07A5C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6" w:type="dxa"/>
          </w:tcPr>
          <w:p w14:paraId="3873E7EF">
            <w:pPr>
              <w:pStyle w:val="7"/>
              <w:ind w:left="480" w:hanging="480" w:hangingChars="200"/>
              <w:rPr>
                <w:rFonts w:ascii="仿宋" w:hAnsi="仿宋" w:eastAsia="仿宋"/>
                <w:color w:val="000000"/>
                <w:kern w:val="16"/>
                <w:sz w:val="24"/>
                <w:szCs w:val="24"/>
                <w:highlight w:val="none"/>
              </w:rPr>
            </w:pPr>
            <w:permStart w:id="40" w:edGrp="everyone"/>
            <w:r>
              <w:rPr>
                <w:rFonts w:hint="eastAsia" w:ascii="仿宋" w:hAnsi="仿宋" w:eastAsia="仿宋"/>
                <w:color w:val="000000"/>
                <w:kern w:val="16"/>
                <w:sz w:val="24"/>
                <w:szCs w:val="24"/>
                <w:highlight w:val="none"/>
              </w:rPr>
              <w:t>混凝土规格</w:t>
            </w:r>
          </w:p>
        </w:tc>
        <w:tc>
          <w:tcPr>
            <w:tcW w:w="873" w:type="dxa"/>
          </w:tcPr>
          <w:p w14:paraId="6BA4D90E">
            <w:pPr>
              <w:pStyle w:val="7"/>
              <w:ind w:left="480" w:hanging="480" w:hangingChars="200"/>
              <w:rPr>
                <w:rFonts w:ascii="仿宋" w:hAnsi="仿宋" w:eastAsia="仿宋"/>
                <w:color w:val="000000"/>
                <w:kern w:val="16"/>
                <w:sz w:val="24"/>
                <w:szCs w:val="24"/>
                <w:highlight w:val="none"/>
              </w:rPr>
            </w:pPr>
            <w:r>
              <w:rPr>
                <w:rFonts w:hint="eastAsia" w:ascii="仿宋" w:hAnsi="仿宋" w:eastAsia="仿宋"/>
                <w:color w:val="000000"/>
                <w:kern w:val="16"/>
                <w:sz w:val="24"/>
                <w:szCs w:val="24"/>
                <w:highlight w:val="none"/>
              </w:rPr>
              <w:t>C15</w:t>
            </w:r>
          </w:p>
        </w:tc>
        <w:tc>
          <w:tcPr>
            <w:tcW w:w="1008" w:type="dxa"/>
          </w:tcPr>
          <w:p w14:paraId="7074A0BB">
            <w:pPr>
              <w:pStyle w:val="7"/>
              <w:ind w:left="480" w:hanging="480" w:hangingChars="200"/>
              <w:rPr>
                <w:rFonts w:ascii="仿宋" w:hAnsi="仿宋" w:eastAsia="仿宋"/>
                <w:color w:val="000000"/>
                <w:kern w:val="16"/>
                <w:sz w:val="24"/>
                <w:szCs w:val="24"/>
                <w:highlight w:val="none"/>
              </w:rPr>
            </w:pPr>
            <w:r>
              <w:rPr>
                <w:rFonts w:hint="eastAsia" w:ascii="仿宋" w:hAnsi="仿宋" w:eastAsia="仿宋"/>
                <w:color w:val="000000"/>
                <w:kern w:val="16"/>
                <w:sz w:val="24"/>
                <w:szCs w:val="24"/>
                <w:highlight w:val="none"/>
              </w:rPr>
              <w:t>C20</w:t>
            </w:r>
          </w:p>
        </w:tc>
        <w:tc>
          <w:tcPr>
            <w:tcW w:w="1008" w:type="dxa"/>
          </w:tcPr>
          <w:p w14:paraId="322CFC83">
            <w:pPr>
              <w:pStyle w:val="7"/>
              <w:ind w:left="480" w:hanging="480" w:hangingChars="200"/>
              <w:rPr>
                <w:rFonts w:ascii="仿宋" w:hAnsi="仿宋" w:eastAsia="仿宋"/>
                <w:color w:val="000000"/>
                <w:kern w:val="16"/>
                <w:sz w:val="24"/>
                <w:szCs w:val="24"/>
                <w:highlight w:val="none"/>
              </w:rPr>
            </w:pPr>
            <w:r>
              <w:rPr>
                <w:rFonts w:hint="eastAsia" w:ascii="仿宋" w:hAnsi="仿宋" w:eastAsia="仿宋"/>
                <w:color w:val="000000"/>
                <w:kern w:val="16"/>
                <w:sz w:val="24"/>
                <w:szCs w:val="24"/>
                <w:highlight w:val="none"/>
              </w:rPr>
              <w:t>C25</w:t>
            </w:r>
          </w:p>
        </w:tc>
        <w:tc>
          <w:tcPr>
            <w:tcW w:w="1009" w:type="dxa"/>
          </w:tcPr>
          <w:p w14:paraId="48972DB6">
            <w:pPr>
              <w:pStyle w:val="7"/>
              <w:ind w:left="480" w:hanging="480" w:hangingChars="200"/>
              <w:rPr>
                <w:rFonts w:ascii="仿宋" w:hAnsi="仿宋" w:eastAsia="仿宋"/>
                <w:color w:val="000000"/>
                <w:kern w:val="16"/>
                <w:sz w:val="24"/>
                <w:szCs w:val="24"/>
                <w:highlight w:val="none"/>
              </w:rPr>
            </w:pPr>
            <w:r>
              <w:rPr>
                <w:rFonts w:hint="eastAsia" w:ascii="仿宋" w:hAnsi="仿宋" w:eastAsia="仿宋"/>
                <w:color w:val="000000"/>
                <w:kern w:val="16"/>
                <w:sz w:val="24"/>
                <w:szCs w:val="24"/>
                <w:highlight w:val="none"/>
              </w:rPr>
              <w:t>C30</w:t>
            </w:r>
          </w:p>
        </w:tc>
        <w:tc>
          <w:tcPr>
            <w:tcW w:w="1009" w:type="dxa"/>
          </w:tcPr>
          <w:p w14:paraId="5794753A">
            <w:pPr>
              <w:pStyle w:val="7"/>
              <w:ind w:left="480" w:hanging="480" w:hangingChars="200"/>
              <w:rPr>
                <w:rFonts w:ascii="仿宋" w:hAnsi="仿宋" w:eastAsia="仿宋"/>
                <w:color w:val="000000"/>
                <w:kern w:val="16"/>
                <w:sz w:val="24"/>
                <w:szCs w:val="24"/>
                <w:highlight w:val="none"/>
              </w:rPr>
            </w:pPr>
            <w:r>
              <w:rPr>
                <w:rFonts w:hint="eastAsia" w:ascii="仿宋" w:hAnsi="仿宋" w:eastAsia="仿宋"/>
                <w:color w:val="000000"/>
                <w:kern w:val="16"/>
                <w:sz w:val="24"/>
                <w:szCs w:val="24"/>
                <w:highlight w:val="none"/>
              </w:rPr>
              <w:t>C35</w:t>
            </w:r>
          </w:p>
        </w:tc>
        <w:tc>
          <w:tcPr>
            <w:tcW w:w="1009" w:type="dxa"/>
          </w:tcPr>
          <w:p w14:paraId="0CDAC3DA">
            <w:pPr>
              <w:pStyle w:val="7"/>
              <w:ind w:left="480" w:hanging="480" w:hangingChars="200"/>
              <w:rPr>
                <w:rFonts w:ascii="仿宋" w:hAnsi="仿宋" w:eastAsia="仿宋"/>
                <w:color w:val="000000"/>
                <w:kern w:val="16"/>
                <w:sz w:val="24"/>
                <w:szCs w:val="24"/>
                <w:highlight w:val="none"/>
              </w:rPr>
            </w:pPr>
            <w:r>
              <w:rPr>
                <w:rFonts w:hint="eastAsia" w:ascii="仿宋" w:hAnsi="仿宋" w:eastAsia="仿宋"/>
                <w:color w:val="000000"/>
                <w:kern w:val="16"/>
                <w:sz w:val="24"/>
                <w:szCs w:val="24"/>
                <w:highlight w:val="none"/>
              </w:rPr>
              <w:t>C40</w:t>
            </w:r>
          </w:p>
        </w:tc>
        <w:tc>
          <w:tcPr>
            <w:tcW w:w="922" w:type="dxa"/>
          </w:tcPr>
          <w:p w14:paraId="49023754">
            <w:pPr>
              <w:pStyle w:val="7"/>
              <w:ind w:left="480" w:hanging="480" w:hangingChars="200"/>
              <w:rPr>
                <w:rFonts w:ascii="仿宋" w:hAnsi="仿宋" w:eastAsia="仿宋"/>
                <w:color w:val="000000"/>
                <w:kern w:val="16"/>
                <w:sz w:val="24"/>
                <w:szCs w:val="24"/>
                <w:highlight w:val="none"/>
              </w:rPr>
            </w:pPr>
            <w:r>
              <w:rPr>
                <w:rFonts w:hint="eastAsia" w:ascii="仿宋" w:hAnsi="仿宋" w:eastAsia="仿宋"/>
                <w:color w:val="000000"/>
                <w:kern w:val="16"/>
                <w:sz w:val="24"/>
                <w:szCs w:val="24"/>
                <w:highlight w:val="none"/>
              </w:rPr>
              <w:t>C45</w:t>
            </w:r>
          </w:p>
        </w:tc>
      </w:tr>
      <w:tr w14:paraId="7C7A7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6" w:type="dxa"/>
          </w:tcPr>
          <w:p w14:paraId="41A5837A">
            <w:pPr>
              <w:pStyle w:val="7"/>
              <w:ind w:left="480" w:hanging="480" w:hangingChars="200"/>
              <w:rPr>
                <w:rFonts w:ascii="仿宋" w:hAnsi="仿宋" w:eastAsia="仿宋"/>
                <w:color w:val="000000"/>
                <w:kern w:val="16"/>
                <w:sz w:val="24"/>
                <w:szCs w:val="24"/>
                <w:highlight w:val="none"/>
              </w:rPr>
            </w:pPr>
            <w:r>
              <w:rPr>
                <w:rFonts w:hint="eastAsia" w:ascii="仿宋" w:hAnsi="仿宋" w:eastAsia="仿宋"/>
                <w:color w:val="000000"/>
                <w:kern w:val="16"/>
                <w:sz w:val="24"/>
                <w:szCs w:val="24"/>
                <w:highlight w:val="none"/>
              </w:rPr>
              <w:t>密度（㎏/m3）</w:t>
            </w:r>
          </w:p>
        </w:tc>
        <w:tc>
          <w:tcPr>
            <w:tcW w:w="873" w:type="dxa"/>
          </w:tcPr>
          <w:p w14:paraId="7BC48778">
            <w:pPr>
              <w:pStyle w:val="7"/>
              <w:ind w:left="480" w:hanging="480" w:hangingChars="200"/>
              <w:rPr>
                <w:rFonts w:ascii="仿宋" w:hAnsi="仿宋" w:eastAsia="仿宋"/>
                <w:color w:val="000000"/>
                <w:kern w:val="16"/>
                <w:sz w:val="24"/>
                <w:szCs w:val="24"/>
                <w:highlight w:val="none"/>
              </w:rPr>
            </w:pPr>
            <w:r>
              <w:rPr>
                <w:rFonts w:hint="eastAsia" w:ascii="仿宋" w:hAnsi="仿宋" w:eastAsia="仿宋"/>
                <w:color w:val="000000"/>
                <w:kern w:val="16"/>
                <w:sz w:val="24"/>
                <w:szCs w:val="24"/>
                <w:highlight w:val="none"/>
              </w:rPr>
              <w:t>2325</w:t>
            </w:r>
          </w:p>
        </w:tc>
        <w:tc>
          <w:tcPr>
            <w:tcW w:w="1008" w:type="dxa"/>
          </w:tcPr>
          <w:p w14:paraId="339E5800">
            <w:pPr>
              <w:pStyle w:val="7"/>
              <w:ind w:left="480" w:hanging="480" w:hangingChars="200"/>
              <w:rPr>
                <w:rFonts w:ascii="仿宋" w:hAnsi="仿宋" w:eastAsia="仿宋"/>
                <w:color w:val="000000"/>
                <w:kern w:val="16"/>
                <w:sz w:val="24"/>
                <w:szCs w:val="24"/>
                <w:highlight w:val="none"/>
              </w:rPr>
            </w:pPr>
            <w:r>
              <w:rPr>
                <w:rFonts w:hint="eastAsia" w:ascii="仿宋" w:hAnsi="仿宋" w:eastAsia="仿宋"/>
                <w:color w:val="000000"/>
                <w:kern w:val="16"/>
                <w:sz w:val="24"/>
                <w:szCs w:val="24"/>
                <w:highlight w:val="none"/>
              </w:rPr>
              <w:t>2340</w:t>
            </w:r>
          </w:p>
        </w:tc>
        <w:tc>
          <w:tcPr>
            <w:tcW w:w="1008" w:type="dxa"/>
          </w:tcPr>
          <w:p w14:paraId="5A5EAF75">
            <w:pPr>
              <w:pStyle w:val="7"/>
              <w:ind w:left="480" w:hanging="480" w:hangingChars="200"/>
              <w:rPr>
                <w:rFonts w:ascii="仿宋" w:hAnsi="仿宋" w:eastAsia="仿宋"/>
                <w:color w:val="000000"/>
                <w:kern w:val="16"/>
                <w:sz w:val="24"/>
                <w:szCs w:val="24"/>
                <w:highlight w:val="none"/>
              </w:rPr>
            </w:pPr>
            <w:r>
              <w:rPr>
                <w:rFonts w:hint="eastAsia" w:ascii="仿宋" w:hAnsi="仿宋" w:eastAsia="仿宋"/>
                <w:color w:val="000000"/>
                <w:kern w:val="16"/>
                <w:sz w:val="24"/>
                <w:szCs w:val="24"/>
                <w:highlight w:val="none"/>
              </w:rPr>
              <w:t>2355</w:t>
            </w:r>
          </w:p>
        </w:tc>
        <w:tc>
          <w:tcPr>
            <w:tcW w:w="1009" w:type="dxa"/>
          </w:tcPr>
          <w:p w14:paraId="65479158">
            <w:pPr>
              <w:pStyle w:val="7"/>
              <w:ind w:left="480" w:hanging="480" w:hangingChars="200"/>
              <w:rPr>
                <w:rFonts w:ascii="仿宋" w:hAnsi="仿宋" w:eastAsia="仿宋"/>
                <w:color w:val="000000"/>
                <w:kern w:val="16"/>
                <w:sz w:val="24"/>
                <w:szCs w:val="24"/>
                <w:highlight w:val="none"/>
              </w:rPr>
            </w:pPr>
            <w:r>
              <w:rPr>
                <w:rFonts w:hint="eastAsia" w:ascii="仿宋" w:hAnsi="仿宋" w:eastAsia="仿宋"/>
                <w:color w:val="000000"/>
                <w:kern w:val="16"/>
                <w:sz w:val="24"/>
                <w:szCs w:val="24"/>
                <w:highlight w:val="none"/>
              </w:rPr>
              <w:t>2370</w:t>
            </w:r>
          </w:p>
        </w:tc>
        <w:tc>
          <w:tcPr>
            <w:tcW w:w="1009" w:type="dxa"/>
          </w:tcPr>
          <w:p w14:paraId="017B55A5">
            <w:pPr>
              <w:pStyle w:val="7"/>
              <w:ind w:left="480" w:hanging="480" w:hangingChars="200"/>
              <w:rPr>
                <w:rFonts w:ascii="仿宋" w:hAnsi="仿宋" w:eastAsia="仿宋"/>
                <w:color w:val="000000"/>
                <w:kern w:val="16"/>
                <w:sz w:val="24"/>
                <w:szCs w:val="24"/>
                <w:highlight w:val="none"/>
              </w:rPr>
            </w:pPr>
            <w:r>
              <w:rPr>
                <w:rFonts w:hint="eastAsia" w:ascii="仿宋" w:hAnsi="仿宋" w:eastAsia="仿宋"/>
                <w:color w:val="000000"/>
                <w:kern w:val="16"/>
                <w:sz w:val="24"/>
                <w:szCs w:val="24"/>
                <w:highlight w:val="none"/>
              </w:rPr>
              <w:t>2385</w:t>
            </w:r>
          </w:p>
        </w:tc>
        <w:tc>
          <w:tcPr>
            <w:tcW w:w="1009" w:type="dxa"/>
          </w:tcPr>
          <w:p w14:paraId="0D4B6E96">
            <w:pPr>
              <w:pStyle w:val="7"/>
              <w:ind w:left="480" w:hanging="480" w:hangingChars="200"/>
              <w:rPr>
                <w:rFonts w:ascii="仿宋" w:hAnsi="仿宋" w:eastAsia="仿宋"/>
                <w:color w:val="000000"/>
                <w:kern w:val="16"/>
                <w:sz w:val="24"/>
                <w:szCs w:val="24"/>
                <w:highlight w:val="none"/>
              </w:rPr>
            </w:pPr>
            <w:r>
              <w:rPr>
                <w:rFonts w:hint="eastAsia" w:ascii="仿宋" w:hAnsi="仿宋" w:eastAsia="仿宋"/>
                <w:color w:val="000000"/>
                <w:kern w:val="16"/>
                <w:sz w:val="24"/>
                <w:szCs w:val="24"/>
                <w:highlight w:val="none"/>
              </w:rPr>
              <w:t>2400</w:t>
            </w:r>
          </w:p>
        </w:tc>
        <w:tc>
          <w:tcPr>
            <w:tcW w:w="922" w:type="dxa"/>
          </w:tcPr>
          <w:p w14:paraId="4B6FF4C5">
            <w:pPr>
              <w:pStyle w:val="7"/>
              <w:ind w:left="480" w:hanging="480" w:hangingChars="200"/>
              <w:rPr>
                <w:rFonts w:ascii="仿宋" w:hAnsi="仿宋" w:eastAsia="仿宋"/>
                <w:color w:val="000000"/>
                <w:kern w:val="16"/>
                <w:sz w:val="24"/>
                <w:szCs w:val="24"/>
                <w:highlight w:val="none"/>
              </w:rPr>
            </w:pPr>
            <w:r>
              <w:rPr>
                <w:rFonts w:hint="eastAsia" w:ascii="仿宋" w:hAnsi="仿宋" w:eastAsia="仿宋"/>
                <w:color w:val="000000"/>
                <w:kern w:val="16"/>
                <w:sz w:val="24"/>
                <w:szCs w:val="24"/>
                <w:highlight w:val="none"/>
              </w:rPr>
              <w:t>2415</w:t>
            </w:r>
          </w:p>
        </w:tc>
      </w:tr>
      <w:permEnd w:id="40"/>
    </w:tbl>
    <w:p w14:paraId="19A2F462">
      <w:pPr>
        <w:pStyle w:val="6"/>
        <w:keepNext w:val="0"/>
        <w:keepLines w:val="0"/>
        <w:tabs>
          <w:tab w:val="left" w:pos="567"/>
        </w:tabs>
        <w:spacing w:before="0" w:line="240" w:lineRule="auto"/>
        <w:rPr>
          <w:rFonts w:ascii="仿宋" w:hAnsi="仿宋" w:eastAsia="仿宋"/>
          <w:color w:val="000000"/>
          <w:sz w:val="21"/>
          <w:szCs w:val="21"/>
          <w:highlight w:val="none"/>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0"/>
        <w:gridCol w:w="2486"/>
        <w:gridCol w:w="2288"/>
        <w:gridCol w:w="2288"/>
      </w:tblGrid>
      <w:tr w14:paraId="72619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493" w:type="dxa"/>
          </w:tcPr>
          <w:p w14:paraId="3A6CC9AC">
            <w:pPr>
              <w:rPr>
                <w:rFonts w:ascii="仿宋" w:hAnsi="仿宋" w:eastAsia="仿宋"/>
                <w:color w:val="000000"/>
                <w:sz w:val="24"/>
                <w:szCs w:val="24"/>
                <w:highlight w:val="none"/>
              </w:rPr>
            </w:pPr>
            <w:permStart w:id="41" w:edGrp="everyone"/>
            <w:r>
              <w:rPr>
                <w:rFonts w:hint="eastAsia" w:ascii="仿宋" w:hAnsi="仿宋" w:eastAsia="仿宋"/>
                <w:color w:val="000000"/>
                <w:sz w:val="24"/>
                <w:szCs w:val="24"/>
                <w:highlight w:val="none"/>
              </w:rPr>
              <w:t>序号</w:t>
            </w:r>
          </w:p>
        </w:tc>
        <w:tc>
          <w:tcPr>
            <w:tcW w:w="2551" w:type="dxa"/>
          </w:tcPr>
          <w:p w14:paraId="1AB364D4">
            <w:pPr>
              <w:rPr>
                <w:rFonts w:ascii="仿宋" w:hAnsi="仿宋" w:eastAsia="仿宋"/>
                <w:color w:val="000000"/>
                <w:sz w:val="24"/>
                <w:szCs w:val="24"/>
                <w:highlight w:val="none"/>
              </w:rPr>
            </w:pPr>
            <w:r>
              <w:rPr>
                <w:rFonts w:hint="eastAsia" w:ascii="仿宋" w:hAnsi="仿宋" w:eastAsia="仿宋"/>
                <w:color w:val="000000"/>
                <w:sz w:val="24"/>
                <w:szCs w:val="24"/>
                <w:highlight w:val="none"/>
              </w:rPr>
              <w:t>材料名称</w:t>
            </w:r>
          </w:p>
        </w:tc>
        <w:tc>
          <w:tcPr>
            <w:tcW w:w="2347" w:type="dxa"/>
          </w:tcPr>
          <w:p w14:paraId="6682FEB0">
            <w:pPr>
              <w:rPr>
                <w:rFonts w:ascii="仿宋" w:hAnsi="仿宋" w:eastAsia="仿宋"/>
                <w:color w:val="000000"/>
                <w:sz w:val="24"/>
                <w:szCs w:val="24"/>
                <w:highlight w:val="none"/>
              </w:rPr>
            </w:pPr>
            <w:r>
              <w:rPr>
                <w:rFonts w:hint="eastAsia" w:ascii="仿宋" w:hAnsi="仿宋" w:eastAsia="仿宋"/>
                <w:color w:val="000000"/>
                <w:sz w:val="24"/>
                <w:szCs w:val="24"/>
                <w:highlight w:val="none"/>
              </w:rPr>
              <w:t>单方最小容重</w:t>
            </w:r>
          </w:p>
        </w:tc>
        <w:tc>
          <w:tcPr>
            <w:tcW w:w="2347" w:type="dxa"/>
          </w:tcPr>
          <w:p w14:paraId="66C21E8B">
            <w:pPr>
              <w:rPr>
                <w:rFonts w:ascii="仿宋" w:hAnsi="仿宋" w:eastAsia="仿宋"/>
                <w:color w:val="000000"/>
                <w:sz w:val="24"/>
                <w:szCs w:val="24"/>
                <w:highlight w:val="none"/>
              </w:rPr>
            </w:pPr>
            <w:r>
              <w:rPr>
                <w:rFonts w:hint="eastAsia" w:ascii="仿宋" w:hAnsi="仿宋" w:eastAsia="仿宋"/>
                <w:color w:val="000000"/>
                <w:sz w:val="24"/>
                <w:szCs w:val="24"/>
                <w:highlight w:val="none"/>
              </w:rPr>
              <w:t>允许偏差</w:t>
            </w:r>
          </w:p>
        </w:tc>
      </w:tr>
      <w:tr w14:paraId="4665D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1493" w:type="dxa"/>
          </w:tcPr>
          <w:p w14:paraId="320268BD">
            <w:pPr>
              <w:rPr>
                <w:rFonts w:ascii="仿宋" w:hAnsi="仿宋" w:eastAsia="仿宋"/>
                <w:color w:val="FF0000"/>
                <w:sz w:val="24"/>
                <w:szCs w:val="24"/>
                <w:highlight w:val="none"/>
              </w:rPr>
            </w:pPr>
          </w:p>
        </w:tc>
        <w:tc>
          <w:tcPr>
            <w:tcW w:w="2551" w:type="dxa"/>
          </w:tcPr>
          <w:p w14:paraId="2474A9DF">
            <w:pPr>
              <w:rPr>
                <w:rFonts w:ascii="仿宋" w:hAnsi="仿宋" w:eastAsia="仿宋"/>
                <w:color w:val="FF0000"/>
                <w:sz w:val="24"/>
                <w:szCs w:val="24"/>
                <w:highlight w:val="none"/>
              </w:rPr>
            </w:pPr>
          </w:p>
        </w:tc>
        <w:tc>
          <w:tcPr>
            <w:tcW w:w="2347" w:type="dxa"/>
          </w:tcPr>
          <w:p w14:paraId="6DA07F82">
            <w:pPr>
              <w:rPr>
                <w:rFonts w:ascii="仿宋" w:hAnsi="仿宋" w:eastAsia="仿宋"/>
                <w:color w:val="FF0000"/>
                <w:sz w:val="24"/>
                <w:szCs w:val="24"/>
                <w:highlight w:val="none"/>
              </w:rPr>
            </w:pPr>
          </w:p>
        </w:tc>
        <w:tc>
          <w:tcPr>
            <w:tcW w:w="2347" w:type="dxa"/>
          </w:tcPr>
          <w:p w14:paraId="60EF3384">
            <w:pPr>
              <w:rPr>
                <w:rFonts w:ascii="仿宋" w:hAnsi="仿宋" w:eastAsia="仿宋"/>
                <w:color w:val="FF0000"/>
                <w:sz w:val="24"/>
                <w:szCs w:val="24"/>
                <w:highlight w:val="none"/>
              </w:rPr>
            </w:pPr>
          </w:p>
        </w:tc>
      </w:tr>
      <w:tr w14:paraId="3620E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1493" w:type="dxa"/>
          </w:tcPr>
          <w:p w14:paraId="50109043">
            <w:pPr>
              <w:rPr>
                <w:rFonts w:ascii="仿宋" w:hAnsi="仿宋" w:eastAsia="仿宋"/>
                <w:color w:val="FF0000"/>
                <w:sz w:val="24"/>
                <w:szCs w:val="24"/>
                <w:highlight w:val="none"/>
              </w:rPr>
            </w:pPr>
          </w:p>
        </w:tc>
        <w:tc>
          <w:tcPr>
            <w:tcW w:w="2551" w:type="dxa"/>
          </w:tcPr>
          <w:p w14:paraId="18FAA2BE">
            <w:pPr>
              <w:rPr>
                <w:rFonts w:ascii="仿宋" w:hAnsi="仿宋" w:eastAsia="仿宋"/>
                <w:color w:val="FF0000"/>
                <w:sz w:val="24"/>
                <w:szCs w:val="24"/>
                <w:highlight w:val="none"/>
              </w:rPr>
            </w:pPr>
          </w:p>
        </w:tc>
        <w:tc>
          <w:tcPr>
            <w:tcW w:w="2347" w:type="dxa"/>
          </w:tcPr>
          <w:p w14:paraId="3E1CBC11">
            <w:pPr>
              <w:rPr>
                <w:rFonts w:ascii="仿宋" w:hAnsi="仿宋" w:eastAsia="仿宋"/>
                <w:color w:val="FF0000"/>
                <w:sz w:val="24"/>
                <w:szCs w:val="24"/>
                <w:highlight w:val="none"/>
              </w:rPr>
            </w:pPr>
          </w:p>
        </w:tc>
        <w:tc>
          <w:tcPr>
            <w:tcW w:w="2347" w:type="dxa"/>
          </w:tcPr>
          <w:p w14:paraId="52E4B368">
            <w:pPr>
              <w:rPr>
                <w:rFonts w:ascii="仿宋" w:hAnsi="仿宋" w:eastAsia="仿宋"/>
                <w:color w:val="FF0000"/>
                <w:sz w:val="24"/>
                <w:szCs w:val="24"/>
                <w:highlight w:val="none"/>
              </w:rPr>
            </w:pPr>
          </w:p>
        </w:tc>
      </w:tr>
      <w:tr w14:paraId="4E22D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1493" w:type="dxa"/>
          </w:tcPr>
          <w:p w14:paraId="4E628EC7">
            <w:pPr>
              <w:rPr>
                <w:rFonts w:ascii="仿宋" w:hAnsi="仿宋" w:eastAsia="仿宋"/>
                <w:color w:val="FF0000"/>
                <w:sz w:val="24"/>
                <w:szCs w:val="24"/>
                <w:highlight w:val="none"/>
              </w:rPr>
            </w:pPr>
          </w:p>
        </w:tc>
        <w:tc>
          <w:tcPr>
            <w:tcW w:w="2551" w:type="dxa"/>
          </w:tcPr>
          <w:p w14:paraId="793A3095">
            <w:pPr>
              <w:rPr>
                <w:rFonts w:ascii="仿宋" w:hAnsi="仿宋" w:eastAsia="仿宋"/>
                <w:color w:val="FF0000"/>
                <w:sz w:val="24"/>
                <w:szCs w:val="24"/>
                <w:highlight w:val="none"/>
              </w:rPr>
            </w:pPr>
          </w:p>
        </w:tc>
        <w:tc>
          <w:tcPr>
            <w:tcW w:w="2347" w:type="dxa"/>
          </w:tcPr>
          <w:p w14:paraId="6DC2F71C">
            <w:pPr>
              <w:rPr>
                <w:rFonts w:ascii="仿宋" w:hAnsi="仿宋" w:eastAsia="仿宋"/>
                <w:color w:val="FF0000"/>
                <w:sz w:val="24"/>
                <w:szCs w:val="24"/>
                <w:highlight w:val="none"/>
              </w:rPr>
            </w:pPr>
          </w:p>
        </w:tc>
        <w:tc>
          <w:tcPr>
            <w:tcW w:w="2347" w:type="dxa"/>
          </w:tcPr>
          <w:p w14:paraId="245F59AE">
            <w:pPr>
              <w:rPr>
                <w:rFonts w:ascii="仿宋" w:hAnsi="仿宋" w:eastAsia="仿宋"/>
                <w:color w:val="FF0000"/>
                <w:sz w:val="24"/>
                <w:szCs w:val="24"/>
                <w:highlight w:val="none"/>
              </w:rPr>
            </w:pPr>
          </w:p>
        </w:tc>
      </w:tr>
      <w:permEnd w:id="41"/>
    </w:tbl>
    <w:p w14:paraId="5A5043EB">
      <w:pPr>
        <w:pStyle w:val="19"/>
        <w:spacing w:line="400" w:lineRule="atLeast"/>
        <w:ind w:firstLine="482"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3.3数量验收凭据：</w:t>
      </w:r>
      <w:r>
        <w:rPr>
          <w:rFonts w:hint="eastAsia" w:ascii="仿宋_GB2312" w:hAnsi="仿宋_GB2312" w:eastAsia="仿宋_GB2312" w:cs="仿宋_GB2312"/>
          <w:highlight w:val="none"/>
          <w:u w:val="single"/>
        </w:rPr>
        <w:t>由甲方物资负责人及相应验收收料人员共同签署的收货凭据（包括但不限于过磅单据、收料单、供货小票、月度统计单或其他数量统计文件等）仅作为甲方收到乙方所供应物资的数量、型号、规格、到场时间等的证明，而不作为甲方付款及结算的唯一凭证，无论该收货凭据上是否载有单价、合价或合计等涉及价款的内容，且乙方不得以此要求甲方支付任何款项或承担任何责任。甲方项目经理部除物资负责人外的其他任何人员签署的任何形式的收货凭据不作为</w:t>
      </w:r>
      <w:r>
        <w:rPr>
          <w:rFonts w:hint="eastAsia" w:ascii="仿宋_GB2312" w:hAnsi="仿宋_GB2312" w:eastAsia="仿宋_GB2312" w:cs="仿宋_GB2312"/>
          <w:highlight w:val="none"/>
          <w:u w:val="single"/>
          <w:lang w:val="en-US" w:eastAsia="zh-CN"/>
        </w:rPr>
        <w:t>交易物</w:t>
      </w:r>
      <w:r>
        <w:rPr>
          <w:rFonts w:hint="eastAsia" w:ascii="仿宋_GB2312" w:hAnsi="仿宋_GB2312" w:eastAsia="仿宋_GB2312" w:cs="仿宋_GB2312"/>
          <w:highlight w:val="none"/>
          <w:u w:val="single"/>
        </w:rPr>
        <w:t>进场的依据，乙方对甲方签字人员权限负有审查义务</w:t>
      </w:r>
      <w:r>
        <w:rPr>
          <w:rFonts w:hint="eastAsia" w:ascii="仿宋_GB2312" w:hAnsi="仿宋_GB2312" w:eastAsia="仿宋_GB2312" w:cs="仿宋_GB2312"/>
          <w:highlight w:val="none"/>
          <w:u w:val="single"/>
          <w:lang w:val="en-US" w:eastAsia="zh-CN"/>
        </w:rPr>
        <w:t>。</w:t>
      </w:r>
    </w:p>
    <w:p w14:paraId="07645490">
      <w:pPr>
        <w:pStyle w:val="19"/>
        <w:spacing w:line="400" w:lineRule="atLeast"/>
        <w:ind w:firstLine="482" w:firstLineChars="200"/>
        <w:rPr>
          <w:rFonts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3.4数量争议：</w:t>
      </w:r>
      <w:r>
        <w:rPr>
          <w:rFonts w:hint="eastAsia" w:ascii="仿宋_GB2312" w:hAnsi="仿宋_GB2312" w:eastAsia="仿宋_GB2312" w:cs="仿宋_GB2312"/>
          <w:color w:val="000000" w:themeColor="text1"/>
          <w:highlight w:val="none"/>
          <w14:textFill>
            <w14:solidFill>
              <w14:schemeClr w14:val="tx1"/>
            </w14:solidFill>
          </w14:textFill>
        </w:rPr>
        <w:t>甲方如有数量异议，应在收货后7天内提出，</w:t>
      </w:r>
      <w:r>
        <w:rPr>
          <w:rFonts w:hint="eastAsia" w:ascii="仿宋_GB2312" w:hAnsi="仿宋_GB2312" w:eastAsia="仿宋_GB2312" w:cs="仿宋_GB2312"/>
          <w:b/>
          <w:bCs/>
          <w:color w:val="000000" w:themeColor="text1"/>
          <w:highlight w:val="none"/>
          <w14:textFill>
            <w14:solidFill>
              <w14:schemeClr w14:val="tx1"/>
            </w14:solidFill>
          </w14:textFill>
        </w:rPr>
        <w:t>乙方应在3天内作出答复，未回复视为认可甲方验收数量。</w:t>
      </w:r>
    </w:p>
    <w:p w14:paraId="5BCF1459">
      <w:pPr>
        <w:pStyle w:val="19"/>
        <w:spacing w:line="400" w:lineRule="atLeast"/>
        <w:ind w:firstLine="480" w:firstLineChars="200"/>
        <w:rPr>
          <w:rFonts w:ascii="仿宋_GB2312" w:hAnsi="仿宋_GB2312" w:eastAsia="仿宋_GB2312" w:cs="仿宋_GB2312"/>
          <w:color w:val="000000" w:themeColor="text1"/>
          <w:highlight w:val="none"/>
          <w:u w:val="singl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3.5其他：</w:t>
      </w:r>
    </w:p>
    <w:p w14:paraId="50C811F5">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3.5.1乙方对甲方在砼浇筑过程中有权进行监督，若乙方在甲方砼浇筑过程中未提出任何异议，双方均按合同结算方式执行，乙方不得在事后提出任何异议。</w:t>
      </w:r>
    </w:p>
    <w:p w14:paraId="2EB6CD65">
      <w:pPr>
        <w:pStyle w:val="19"/>
        <w:numPr>
          <w:ilvl w:val="0"/>
          <w:numId w:val="3"/>
        </w:numPr>
        <w:spacing w:line="400" w:lineRule="atLeast"/>
        <w:ind w:firstLine="482" w:firstLineChars="200"/>
        <w:rPr>
          <w:rFonts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质量验收：</w:t>
      </w:r>
    </w:p>
    <w:p w14:paraId="5472DD72">
      <w:pPr>
        <w:pStyle w:val="19"/>
        <w:spacing w:line="400" w:lineRule="atLeast"/>
        <w:ind w:firstLine="482"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4</w:t>
      </w:r>
      <w:r>
        <w:rPr>
          <w:rFonts w:ascii="仿宋_GB2312" w:hAnsi="仿宋_GB2312" w:eastAsia="仿宋_GB2312" w:cs="仿宋_GB2312"/>
          <w:b/>
          <w:bCs/>
          <w:color w:val="000000" w:themeColor="text1"/>
          <w:highlight w:val="none"/>
          <w14:textFill>
            <w14:solidFill>
              <w14:schemeClr w14:val="tx1"/>
            </w14:solidFill>
          </w14:textFill>
        </w:rPr>
        <w:t>.1</w:t>
      </w:r>
      <w:r>
        <w:rPr>
          <w:rFonts w:hint="eastAsia" w:ascii="仿宋_GB2312" w:hAnsi="仿宋_GB2312" w:eastAsia="仿宋_GB2312" w:cs="仿宋_GB2312"/>
          <w:b/>
          <w:bCs/>
          <w:color w:val="000000" w:themeColor="text1"/>
          <w:highlight w:val="none"/>
          <w14:textFill>
            <w14:solidFill>
              <w14:schemeClr w14:val="tx1"/>
            </w14:solidFill>
          </w14:textFill>
        </w:rPr>
        <w:t>质量验收检查</w:t>
      </w:r>
    </w:p>
    <w:p w14:paraId="6BE9E4DB">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ascii="仿宋_GB2312" w:hAnsi="仿宋_GB2312" w:eastAsia="仿宋_GB2312" w:cs="仿宋_GB2312"/>
          <w:color w:val="000000" w:themeColor="text1"/>
          <w:highlight w:val="none"/>
          <w14:textFill>
            <w14:solidFill>
              <w14:schemeClr w14:val="tx1"/>
            </w14:solidFill>
          </w14:textFill>
        </w:rPr>
        <w:t>4.1.1</w:t>
      </w:r>
      <w:r>
        <w:rPr>
          <w:rFonts w:hint="eastAsia" w:ascii="仿宋_GB2312" w:hAnsi="仿宋_GB2312" w:eastAsia="仿宋_GB2312" w:cs="仿宋_GB2312"/>
          <w:color w:val="000000" w:themeColor="text1"/>
          <w:highlight w:val="none"/>
          <w14:textFill>
            <w14:solidFill>
              <w14:schemeClr w14:val="tx1"/>
            </w14:solidFill>
          </w14:textFill>
        </w:rPr>
        <w:t>检查项目包括：混凝土强度、混凝土抗渗性能、混凝土坍落度等。</w:t>
      </w:r>
    </w:p>
    <w:p w14:paraId="3713D504">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ascii="仿宋_GB2312" w:hAnsi="仿宋_GB2312" w:eastAsia="仿宋_GB2312" w:cs="仿宋_GB2312"/>
          <w:color w:val="000000" w:themeColor="text1"/>
          <w:highlight w:val="none"/>
          <w14:textFill>
            <w14:solidFill>
              <w14:schemeClr w14:val="tx1"/>
            </w14:solidFill>
          </w14:textFill>
        </w:rPr>
        <w:t>4</w:t>
      </w:r>
      <w:r>
        <w:rPr>
          <w:rFonts w:hint="eastAsia" w:ascii="仿宋_GB2312" w:hAnsi="仿宋_GB2312" w:eastAsia="仿宋_GB2312" w:cs="仿宋_GB2312"/>
          <w:color w:val="000000" w:themeColor="text1"/>
          <w:highlight w:val="none"/>
          <w14:textFill>
            <w14:solidFill>
              <w14:schemeClr w14:val="tx1"/>
            </w14:solidFill>
          </w14:textFill>
        </w:rPr>
        <w:t>.1.2浇筑前需对混凝土施工配合比进行复核，混凝土原材料实际计量值需根据骨料含水率实时调整。</w:t>
      </w:r>
    </w:p>
    <w:p w14:paraId="2448A85C">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ascii="仿宋_GB2312" w:hAnsi="仿宋_GB2312" w:eastAsia="仿宋_GB2312" w:cs="仿宋_GB2312"/>
          <w:color w:val="000000" w:themeColor="text1"/>
          <w:highlight w:val="none"/>
          <w14:textFill>
            <w14:solidFill>
              <w14:schemeClr w14:val="tx1"/>
            </w14:solidFill>
          </w14:textFill>
        </w:rPr>
        <w:t>4</w:t>
      </w:r>
      <w:r>
        <w:rPr>
          <w:rFonts w:hint="eastAsia" w:ascii="仿宋_GB2312" w:hAnsi="仿宋_GB2312" w:eastAsia="仿宋_GB2312" w:cs="仿宋_GB2312"/>
          <w:color w:val="000000" w:themeColor="text1"/>
          <w:highlight w:val="none"/>
          <w14:textFill>
            <w14:solidFill>
              <w14:schemeClr w14:val="tx1"/>
            </w14:solidFill>
          </w14:textFill>
        </w:rPr>
        <w:t>.1.3混凝土运输单上需明确浇筑部位与强度，浇筑前需进行复核满足设计要求。</w:t>
      </w:r>
    </w:p>
    <w:p w14:paraId="0D1DA9B2">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ascii="仿宋_GB2312" w:hAnsi="仿宋_GB2312" w:eastAsia="仿宋_GB2312" w:cs="仿宋_GB2312"/>
          <w:color w:val="000000" w:themeColor="text1"/>
          <w:highlight w:val="none"/>
          <w14:textFill>
            <w14:solidFill>
              <w14:schemeClr w14:val="tx1"/>
            </w14:solidFill>
          </w14:textFill>
        </w:rPr>
        <w:t>4</w:t>
      </w:r>
      <w:r>
        <w:rPr>
          <w:rFonts w:hint="eastAsia" w:ascii="仿宋_GB2312" w:hAnsi="仿宋_GB2312" w:eastAsia="仿宋_GB2312" w:cs="仿宋_GB2312"/>
          <w:color w:val="000000" w:themeColor="text1"/>
          <w:highlight w:val="none"/>
          <w14:textFill>
            <w14:solidFill>
              <w14:schemeClr w14:val="tx1"/>
            </w14:solidFill>
          </w14:textFill>
        </w:rPr>
        <w:t>.1.4混凝土运输单需记录好搅拌时间、出站时间、到场时间、开始浇筑时间、浇完时间，且应在混凝土初凝时间前完成浇筑。</w:t>
      </w:r>
    </w:p>
    <w:p w14:paraId="4375EFA2">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ascii="仿宋_GB2312" w:hAnsi="仿宋_GB2312" w:eastAsia="仿宋_GB2312" w:cs="仿宋_GB2312"/>
          <w:color w:val="000000" w:themeColor="text1"/>
          <w:highlight w:val="none"/>
          <w14:textFill>
            <w14:solidFill>
              <w14:schemeClr w14:val="tx1"/>
            </w14:solidFill>
          </w14:textFill>
        </w:rPr>
        <w:t>4</w:t>
      </w:r>
      <w:r>
        <w:rPr>
          <w:rFonts w:hint="eastAsia" w:ascii="仿宋_GB2312" w:hAnsi="仿宋_GB2312" w:eastAsia="仿宋_GB2312" w:cs="仿宋_GB2312"/>
          <w:color w:val="000000" w:themeColor="text1"/>
          <w:highlight w:val="none"/>
          <w14:textFill>
            <w14:solidFill>
              <w14:schemeClr w14:val="tx1"/>
            </w14:solidFill>
          </w14:textFill>
        </w:rPr>
        <w:t>.1.5混凝土和易性满足设计或方案要求，做到首车必检，并记录在混凝土运输单上。</w:t>
      </w:r>
    </w:p>
    <w:p w14:paraId="7B891A90">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ascii="仿宋_GB2312" w:hAnsi="仿宋_GB2312" w:eastAsia="仿宋_GB2312" w:cs="仿宋_GB2312"/>
          <w:color w:val="000000" w:themeColor="text1"/>
          <w:highlight w:val="none"/>
          <w14:textFill>
            <w14:solidFill>
              <w14:schemeClr w14:val="tx1"/>
            </w14:solidFill>
          </w14:textFill>
        </w:rPr>
        <w:t>4</w:t>
      </w:r>
      <w:r>
        <w:rPr>
          <w:rFonts w:hint="eastAsia" w:ascii="仿宋_GB2312" w:hAnsi="仿宋_GB2312" w:eastAsia="仿宋_GB2312" w:cs="仿宋_GB2312"/>
          <w:color w:val="000000" w:themeColor="text1"/>
          <w:highlight w:val="none"/>
          <w14:textFill>
            <w14:solidFill>
              <w14:schemeClr w14:val="tx1"/>
            </w14:solidFill>
          </w14:textFill>
        </w:rPr>
        <w:t>.1.6双方共同完成现场取样试验、交货检验的取样试验，出厂检验的取样试验、出厂坍落度检验等工作由卖方承担。</w:t>
      </w:r>
    </w:p>
    <w:p w14:paraId="680C1A0A">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ascii="仿宋_GB2312" w:hAnsi="仿宋_GB2312" w:eastAsia="仿宋_GB2312" w:cs="仿宋_GB2312"/>
          <w:color w:val="000000" w:themeColor="text1"/>
          <w:highlight w:val="none"/>
          <w14:textFill>
            <w14:solidFill>
              <w14:schemeClr w14:val="tx1"/>
            </w14:solidFill>
          </w14:textFill>
        </w:rPr>
        <w:t>4</w:t>
      </w:r>
      <w:r>
        <w:rPr>
          <w:rFonts w:hint="eastAsia" w:ascii="仿宋_GB2312" w:hAnsi="仿宋_GB2312" w:eastAsia="仿宋_GB2312" w:cs="仿宋_GB2312"/>
          <w:color w:val="000000" w:themeColor="text1"/>
          <w:highlight w:val="none"/>
          <w14:textFill>
            <w14:solidFill>
              <w14:schemeClr w14:val="tx1"/>
            </w14:solidFill>
          </w14:textFill>
        </w:rPr>
        <w:t>.1.7以结构实体检验结果作为判断混凝土质量是否符合要求的依据。</w:t>
      </w:r>
    </w:p>
    <w:p w14:paraId="60985C7D">
      <w:pPr>
        <w:pStyle w:val="19"/>
        <w:spacing w:line="400" w:lineRule="atLeast"/>
        <w:ind w:firstLine="482" w:firstLineChars="200"/>
        <w:rPr>
          <w:rFonts w:ascii="仿宋_GB2312" w:hAnsi="仿宋_GB2312" w:eastAsia="仿宋_GB2312" w:cs="仿宋_GB2312"/>
          <w:b/>
          <w:bCs/>
          <w:color w:val="000000" w:themeColor="text1"/>
          <w:highlight w:val="none"/>
          <w14:textFill>
            <w14:solidFill>
              <w14:schemeClr w14:val="tx1"/>
            </w14:solidFill>
          </w14:textFill>
        </w:rPr>
      </w:pPr>
      <w:r>
        <w:rPr>
          <w:rFonts w:ascii="仿宋_GB2312" w:hAnsi="仿宋_GB2312" w:eastAsia="仿宋_GB2312" w:cs="仿宋_GB2312"/>
          <w:b/>
          <w:bCs/>
          <w:color w:val="000000" w:themeColor="text1"/>
          <w:highlight w:val="none"/>
          <w14:textFill>
            <w14:solidFill>
              <w14:schemeClr w14:val="tx1"/>
            </w14:solidFill>
          </w14:textFill>
        </w:rPr>
        <w:t>4</w:t>
      </w:r>
      <w:r>
        <w:rPr>
          <w:rFonts w:hint="eastAsia" w:ascii="仿宋_GB2312" w:hAnsi="仿宋_GB2312" w:eastAsia="仿宋_GB2312" w:cs="仿宋_GB2312"/>
          <w:b/>
          <w:bCs/>
          <w:color w:val="000000" w:themeColor="text1"/>
          <w:highlight w:val="none"/>
          <w14:textFill>
            <w14:solidFill>
              <w14:schemeClr w14:val="tx1"/>
            </w14:solidFill>
          </w14:textFill>
        </w:rPr>
        <w:t>.2检验合格判定</w:t>
      </w:r>
    </w:p>
    <w:p w14:paraId="443851C3">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ascii="仿宋_GB2312" w:hAnsi="仿宋_GB2312" w:eastAsia="仿宋_GB2312" w:cs="仿宋_GB2312"/>
          <w:color w:val="000000" w:themeColor="text1"/>
          <w:highlight w:val="none"/>
          <w14:textFill>
            <w14:solidFill>
              <w14:schemeClr w14:val="tx1"/>
            </w14:solidFill>
          </w14:textFill>
        </w:rPr>
        <w:t>4</w:t>
      </w:r>
      <w:r>
        <w:rPr>
          <w:rFonts w:hint="eastAsia" w:ascii="仿宋_GB2312" w:hAnsi="仿宋_GB2312" w:eastAsia="仿宋_GB2312" w:cs="仿宋_GB2312"/>
          <w:color w:val="000000" w:themeColor="text1"/>
          <w:highlight w:val="none"/>
          <w14:textFill>
            <w14:solidFill>
              <w14:schemeClr w14:val="tx1"/>
            </w14:solidFill>
          </w14:textFill>
        </w:rPr>
        <w:t>.2.1强度试验及抗渗性能试验结果符合</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highlight w:val="none"/>
          <w14:textFill>
            <w14:solidFill>
              <w14:schemeClr w14:val="tx1"/>
            </w14:solidFill>
          </w14:textFill>
        </w:rPr>
        <w:t>.3条中有关的规范、规定及标准要求，标养混凝土试块28d龄期强度达到设计要求的115%，其他各项指标均符合本合同的有关规定。</w:t>
      </w:r>
    </w:p>
    <w:p w14:paraId="4161874F">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ascii="仿宋_GB2312" w:hAnsi="仿宋_GB2312" w:eastAsia="仿宋_GB2312" w:cs="仿宋_GB2312"/>
          <w:color w:val="000000" w:themeColor="text1"/>
          <w:highlight w:val="none"/>
          <w14:textFill>
            <w14:solidFill>
              <w14:schemeClr w14:val="tx1"/>
            </w14:solidFill>
          </w14:textFill>
        </w:rPr>
        <w:t>4</w:t>
      </w:r>
      <w:r>
        <w:rPr>
          <w:rFonts w:hint="eastAsia" w:ascii="仿宋_GB2312" w:hAnsi="仿宋_GB2312" w:eastAsia="仿宋_GB2312" w:cs="仿宋_GB2312"/>
          <w:color w:val="000000" w:themeColor="text1"/>
          <w:highlight w:val="none"/>
          <w14:textFill>
            <w14:solidFill>
              <w14:schemeClr w14:val="tx1"/>
            </w14:solidFill>
          </w14:textFill>
        </w:rPr>
        <w:t>.2.2坍落度等技术参数要求应符合</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甲</w:t>
      </w:r>
      <w:r>
        <w:rPr>
          <w:rFonts w:hint="eastAsia" w:ascii="仿宋_GB2312" w:hAnsi="仿宋_GB2312" w:eastAsia="仿宋_GB2312" w:cs="仿宋_GB2312"/>
          <w:color w:val="000000" w:themeColor="text1"/>
          <w:highlight w:val="none"/>
          <w14:textFill>
            <w14:solidFill>
              <w14:schemeClr w14:val="tx1"/>
            </w14:solidFill>
          </w14:textFill>
        </w:rPr>
        <w:t>方混凝土申请单要求。</w:t>
      </w:r>
    </w:p>
    <w:p w14:paraId="39ADCF8B">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ascii="仿宋_GB2312" w:hAnsi="仿宋_GB2312" w:eastAsia="仿宋_GB2312" w:cs="仿宋_GB2312"/>
          <w:color w:val="000000" w:themeColor="text1"/>
          <w:highlight w:val="none"/>
          <w14:textFill>
            <w14:solidFill>
              <w14:schemeClr w14:val="tx1"/>
            </w14:solidFill>
          </w14:textFill>
        </w:rPr>
        <w:t>4</w:t>
      </w:r>
      <w:r>
        <w:rPr>
          <w:rFonts w:hint="eastAsia" w:ascii="仿宋_GB2312" w:hAnsi="仿宋_GB2312" w:eastAsia="仿宋_GB2312" w:cs="仿宋_GB2312"/>
          <w:color w:val="000000" w:themeColor="text1"/>
          <w:highlight w:val="none"/>
          <w14:textFill>
            <w14:solidFill>
              <w14:schemeClr w14:val="tx1"/>
            </w14:solidFill>
          </w14:textFill>
        </w:rPr>
        <w:t>.2.3在混凝土使用前向</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甲</w:t>
      </w:r>
      <w:r>
        <w:rPr>
          <w:rFonts w:hint="eastAsia" w:ascii="仿宋_GB2312" w:hAnsi="仿宋_GB2312" w:eastAsia="仿宋_GB2312" w:cs="仿宋_GB2312"/>
          <w:color w:val="000000" w:themeColor="text1"/>
          <w:highlight w:val="none"/>
          <w14:textFill>
            <w14:solidFill>
              <w14:schemeClr w14:val="tx1"/>
            </w14:solidFill>
          </w14:textFill>
        </w:rPr>
        <w:t>方报送混凝土试配单，所提供的混凝土配合比必须是经</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甲</w:t>
      </w:r>
      <w:r>
        <w:rPr>
          <w:rFonts w:hint="eastAsia" w:ascii="仿宋_GB2312" w:hAnsi="仿宋_GB2312" w:eastAsia="仿宋_GB2312" w:cs="仿宋_GB2312"/>
          <w:color w:val="000000" w:themeColor="text1"/>
          <w:highlight w:val="none"/>
          <w14:textFill>
            <w14:solidFill>
              <w14:schemeClr w14:val="tx1"/>
            </w14:solidFill>
          </w14:textFill>
        </w:rPr>
        <w:t>方及监理确认的。商品混凝土进场时，按合同约定技术标准及质量要求进行验收。</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乙</w:t>
      </w:r>
      <w:r>
        <w:rPr>
          <w:rFonts w:hint="eastAsia" w:ascii="仿宋_GB2312" w:hAnsi="仿宋_GB2312" w:eastAsia="仿宋_GB2312" w:cs="仿宋_GB2312"/>
          <w:color w:val="000000" w:themeColor="text1"/>
          <w:highlight w:val="none"/>
          <w14:textFill>
            <w14:solidFill>
              <w14:schemeClr w14:val="tx1"/>
            </w14:solidFill>
          </w14:textFill>
        </w:rPr>
        <w:t>方提供商品混凝土必须符合本合同第二条技术标准及质量要求，如不符合，</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乙</w:t>
      </w:r>
      <w:r>
        <w:rPr>
          <w:rFonts w:hint="eastAsia" w:ascii="仿宋_GB2312" w:hAnsi="仿宋_GB2312" w:eastAsia="仿宋_GB2312" w:cs="仿宋_GB2312"/>
          <w:color w:val="000000" w:themeColor="text1"/>
          <w:highlight w:val="none"/>
          <w14:textFill>
            <w14:solidFill>
              <w14:schemeClr w14:val="tx1"/>
            </w14:solidFill>
          </w14:textFill>
        </w:rPr>
        <w:t>方应无条件立即更换符合本合同要求的商品混凝土给</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甲</w:t>
      </w:r>
      <w:r>
        <w:rPr>
          <w:rFonts w:hint="eastAsia" w:ascii="仿宋_GB2312" w:hAnsi="仿宋_GB2312" w:eastAsia="仿宋_GB2312" w:cs="仿宋_GB2312"/>
          <w:color w:val="000000" w:themeColor="text1"/>
          <w:highlight w:val="none"/>
          <w14:textFill>
            <w14:solidFill>
              <w14:schemeClr w14:val="tx1"/>
            </w14:solidFill>
          </w14:textFill>
        </w:rPr>
        <w:t>方，本合同商品混凝土交货日期不变，</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乙</w:t>
      </w:r>
      <w:r>
        <w:rPr>
          <w:rFonts w:hint="eastAsia" w:ascii="仿宋_GB2312" w:hAnsi="仿宋_GB2312" w:eastAsia="仿宋_GB2312" w:cs="仿宋_GB2312"/>
          <w:color w:val="000000" w:themeColor="text1"/>
          <w:highlight w:val="none"/>
          <w14:textFill>
            <w14:solidFill>
              <w14:schemeClr w14:val="tx1"/>
            </w14:solidFill>
          </w14:textFill>
        </w:rPr>
        <w:t>方未按照规定日期更换的按照</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乙</w:t>
      </w:r>
      <w:r>
        <w:rPr>
          <w:rFonts w:hint="eastAsia" w:ascii="仿宋_GB2312" w:hAnsi="仿宋_GB2312" w:eastAsia="仿宋_GB2312" w:cs="仿宋_GB2312"/>
          <w:color w:val="000000" w:themeColor="text1"/>
          <w:highlight w:val="none"/>
          <w14:textFill>
            <w14:solidFill>
              <w14:schemeClr w14:val="tx1"/>
            </w14:solidFill>
          </w14:textFill>
        </w:rPr>
        <w:t>方违约条款处理。</w:t>
      </w:r>
    </w:p>
    <w:p w14:paraId="2DEB1740">
      <w:pPr>
        <w:pStyle w:val="19"/>
        <w:spacing w:line="400" w:lineRule="atLeast"/>
        <w:ind w:firstLine="482"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4.3质量检测：</w:t>
      </w:r>
      <w:r>
        <w:rPr>
          <w:rFonts w:hint="eastAsia" w:ascii="仿宋_GB2312" w:hAnsi="仿宋_GB2312" w:eastAsia="仿宋_GB2312" w:cs="仿宋_GB2312"/>
          <w:color w:val="000000" w:themeColor="text1"/>
          <w:highlight w:val="none"/>
          <w14:textFill>
            <w14:solidFill>
              <w14:schemeClr w14:val="tx1"/>
            </w14:solidFill>
          </w14:textFill>
        </w:rPr>
        <w:t>货物应在使用前，</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乙方配合甲方</w:t>
      </w:r>
      <w:r>
        <w:rPr>
          <w:rFonts w:hint="eastAsia" w:ascii="仿宋_GB2312" w:hAnsi="仿宋_GB2312" w:eastAsia="仿宋_GB2312" w:cs="仿宋_GB2312"/>
          <w:color w:val="000000" w:themeColor="text1"/>
          <w:highlight w:val="none"/>
          <w14:textFill>
            <w14:solidFill>
              <w14:schemeClr w14:val="tx1"/>
            </w14:solidFill>
          </w14:textFill>
        </w:rPr>
        <w:t>施工人员对涉及结构安全的试块进行取样并送检，若因乙方原因造成的送检试块质量不合格，乙方承担因此造成的工期损失、经济损失。</w:t>
      </w:r>
    </w:p>
    <w:p w14:paraId="4DB02281">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业主、监理、设计单位及甲方均有权随机抽样对货物进行第三方检测或测试，乙方有责任协助甲方完成相关测试工作，若供货材料抽样检测不合格，乙方应承担相应费用和损失。</w:t>
      </w:r>
    </w:p>
    <w:p w14:paraId="758E240C">
      <w:pPr>
        <w:pStyle w:val="19"/>
        <w:spacing w:line="400" w:lineRule="atLeast"/>
        <w:ind w:firstLine="482"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4.4质量争议：</w:t>
      </w:r>
      <w:r>
        <w:rPr>
          <w:rFonts w:hint="eastAsia" w:ascii="仿宋_GB2312" w:hAnsi="仿宋_GB2312" w:eastAsia="仿宋_GB2312" w:cs="仿宋_GB2312"/>
          <w:color w:val="000000" w:themeColor="text1"/>
          <w:highlight w:val="none"/>
          <w14:textFill>
            <w14:solidFill>
              <w14:schemeClr w14:val="tx1"/>
            </w14:solidFill>
          </w14:textFill>
        </w:rPr>
        <w:t>货物如有质量异议，应在收货后7天向对方提出，乙方应在3天内作出答复，未回复视为认可货物质量瑕疵或缺陷。如混凝土结构出现开裂渗漏等质量问题，双方同意共同取样并送交</w:t>
      </w:r>
      <w:r>
        <w:rPr>
          <w:rFonts w:hint="eastAsia" w:ascii="仿宋_GB2312" w:hAnsi="仿宋_GB2312" w:eastAsia="仿宋_GB2312" w:cs="仿宋_GB2312"/>
          <w:color w:val="000000" w:themeColor="text1"/>
          <w:highlight w:val="none"/>
          <w:u w:val="single"/>
          <w14:textFill>
            <w14:solidFill>
              <w14:schemeClr w14:val="tx1"/>
            </w14:solidFill>
          </w14:textFill>
        </w:rPr>
        <w:t xml:space="preserve"> </w:t>
      </w:r>
      <w:permStart w:id="42" w:edGrp="everyone"/>
      <w:r>
        <w:rPr>
          <w:rFonts w:hint="eastAsia" w:ascii="仿宋_GB2312" w:hAnsi="仿宋_GB2312" w:eastAsia="仿宋_GB2312" w:cs="仿宋_GB2312"/>
          <w:color w:val="000000" w:themeColor="text1"/>
          <w:highlight w:val="none"/>
          <w:u w:val="single"/>
          <w14:textFill>
            <w14:solidFill>
              <w14:schemeClr w14:val="tx1"/>
            </w14:solidFill>
          </w14:textFill>
        </w:rPr>
        <w:t xml:space="preserve">  / </w:t>
      </w:r>
      <w:permEnd w:id="42"/>
      <w:r>
        <w:rPr>
          <w:rFonts w:hint="eastAsia" w:ascii="仿宋_GB2312" w:hAnsi="仿宋_GB2312" w:eastAsia="仿宋_GB2312" w:cs="仿宋_GB2312"/>
          <w:color w:val="000000" w:themeColor="text1"/>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highlight w:val="none"/>
          <w14:textFill>
            <w14:solidFill>
              <w14:schemeClr w14:val="tx1"/>
            </w14:solidFill>
          </w14:textFill>
        </w:rPr>
        <w:t>检测站进行检验，并以该机构的检验结果为准，因此而发生的费用由责任方承担。如出现不合格品，乙方应在甲方规定时间内包退包换，所发生的费用由乙方承担。</w:t>
      </w:r>
    </w:p>
    <w:p w14:paraId="3CD28870">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对不符合本合同约定要求的货物甲方有权拒绝签收，乙方应立即将该货物全部运离现场并承担相应费用，同时在供货期限内重新更换符合约定的货物。如不能及时运离并在供货期限内重新更换符合约定的货物送达交货地点，甲方有权单方面解除合同，并要求乙方承担甲方相应损失。</w:t>
      </w:r>
    </w:p>
    <w:p w14:paraId="58A10421">
      <w:pPr>
        <w:pStyle w:val="19"/>
        <w:spacing w:line="400" w:lineRule="atLeast"/>
        <w:ind w:firstLine="482"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4.5更换原则：</w:t>
      </w:r>
      <w:r>
        <w:rPr>
          <w:rFonts w:hint="eastAsia" w:ascii="仿宋_GB2312" w:hAnsi="仿宋_GB2312" w:eastAsia="仿宋_GB2312" w:cs="仿宋_GB2312"/>
          <w:color w:val="000000" w:themeColor="text1"/>
          <w:highlight w:val="none"/>
          <w14:textFill>
            <w14:solidFill>
              <w14:schemeClr w14:val="tx1"/>
            </w14:solidFill>
          </w14:textFill>
        </w:rPr>
        <w:t>由于任何一方原因引起产品更换或补发的时间延长,均以不影响工程进度为原则，如造成影响，则由责任方承担由此导致的后果。</w:t>
      </w:r>
    </w:p>
    <w:p w14:paraId="019CC50B">
      <w:pPr>
        <w:pStyle w:val="19"/>
        <w:spacing w:line="400" w:lineRule="atLeast"/>
        <w:ind w:firstLine="482"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4.6验收责任：</w:t>
      </w:r>
      <w:r>
        <w:rPr>
          <w:rFonts w:hint="eastAsia" w:ascii="仿宋_GB2312" w:hAnsi="仿宋_GB2312" w:eastAsia="仿宋_GB2312" w:cs="仿宋_GB2312"/>
          <w:color w:val="000000" w:themeColor="text1"/>
          <w:highlight w:val="none"/>
          <w14:textFill>
            <w14:solidFill>
              <w14:schemeClr w14:val="tx1"/>
            </w14:solidFill>
          </w14:textFill>
        </w:rPr>
        <w:t>甲方参与对乙方材料的验收并不能免除乙方应承担的责任，如在材料到场验收时未发现质量问题，但在使用时或使用后发现确实因该批材料质量未达到规定要求而造成相应损失，如返工、工期延长等经济和工期损失由乙方承担。</w:t>
      </w:r>
      <w:r>
        <w:rPr>
          <w:rFonts w:hint="eastAsia" w:ascii="仿宋_GB2312" w:hAnsi="仿宋_GB2312" w:eastAsia="仿宋_GB2312" w:cs="仿宋_GB2312"/>
          <w:b/>
          <w:bCs/>
          <w:color w:val="000000" w:themeColor="text1"/>
          <w:highlight w:val="none"/>
          <w14:textFill>
            <w14:solidFill>
              <w14:schemeClr w14:val="tx1"/>
            </w14:solidFill>
          </w14:textFill>
        </w:rPr>
        <w:t>所造成的经济损失，甲方可直接从应付款中扣除，乙方对此不持异议。</w:t>
      </w:r>
      <w:r>
        <w:rPr>
          <w:rFonts w:hint="eastAsia" w:ascii="仿宋_GB2312" w:hAnsi="仿宋_GB2312" w:eastAsia="仿宋_GB2312" w:cs="仿宋_GB2312"/>
          <w:color w:val="000000" w:themeColor="text1"/>
          <w:highlight w:val="none"/>
          <w14:textFill>
            <w14:solidFill>
              <w14:schemeClr w14:val="tx1"/>
            </w14:solidFill>
          </w14:textFill>
        </w:rPr>
        <w:t>对于由该质量问题引起的工程坍塌、人员伤亡等重大事故，乙方应承担直接经济和法律责任。</w:t>
      </w:r>
      <w:r>
        <w:rPr>
          <w:rFonts w:hint="eastAsia" w:ascii="仿宋_GB2312" w:hAnsi="仿宋_GB2312" w:eastAsia="仿宋_GB2312" w:cs="仿宋_GB2312"/>
          <w:b/>
          <w:bCs/>
          <w:color w:val="000000" w:themeColor="text1"/>
          <w:highlight w:val="none"/>
          <w14:textFill>
            <w14:solidFill>
              <w14:schemeClr w14:val="tx1"/>
            </w14:solidFill>
          </w14:textFill>
        </w:rPr>
        <w:t>若由甲方先行承担的，甲方可在任何一笔</w:t>
      </w:r>
      <w:r>
        <w:rPr>
          <w:rFonts w:hint="eastAsia" w:ascii="仿宋_GB2312" w:hAnsi="仿宋_GB2312" w:eastAsia="仿宋_GB2312" w:cs="仿宋_GB2312"/>
          <w:b/>
          <w:bCs/>
          <w:color w:val="000000" w:themeColor="text1"/>
          <w:highlight w:val="none"/>
          <w:lang w:val="en-US" w:eastAsia="zh-CN"/>
          <w14:textFill>
            <w14:solidFill>
              <w14:schemeClr w14:val="tx1"/>
            </w14:solidFill>
          </w14:textFill>
        </w:rPr>
        <w:t>货</w:t>
      </w:r>
      <w:r>
        <w:rPr>
          <w:rFonts w:hint="eastAsia" w:ascii="仿宋_GB2312" w:hAnsi="仿宋_GB2312" w:eastAsia="仿宋_GB2312" w:cs="仿宋_GB2312"/>
          <w:b/>
          <w:bCs/>
          <w:color w:val="000000" w:themeColor="text1"/>
          <w:highlight w:val="none"/>
          <w14:textFill>
            <w14:solidFill>
              <w14:schemeClr w14:val="tx1"/>
            </w14:solidFill>
          </w14:textFill>
        </w:rPr>
        <w:t>款支付中予以扣除，乙方对此不持异议。</w:t>
      </w:r>
    </w:p>
    <w:p w14:paraId="2E3A19FE">
      <w:pPr>
        <w:pStyle w:val="19"/>
        <w:spacing w:line="400" w:lineRule="atLeast"/>
        <w:ind w:firstLine="480" w:firstLineChars="200"/>
        <w:rPr>
          <w:rFonts w:ascii="仿宋_GB2312" w:hAnsi="仿宋_GB2312" w:eastAsia="仿宋_GB2312" w:cs="仿宋_GB2312"/>
          <w:color w:val="000000" w:themeColor="text1"/>
          <w:highlight w:val="none"/>
          <w:u w:val="singl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4.</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7</w:t>
      </w:r>
      <w:r>
        <w:rPr>
          <w:rFonts w:hint="eastAsia" w:ascii="仿宋_GB2312" w:hAnsi="仿宋_GB2312" w:eastAsia="仿宋_GB2312" w:cs="仿宋_GB2312"/>
          <w:color w:val="000000" w:themeColor="text1"/>
          <w:highlight w:val="none"/>
          <w14:textFill>
            <w14:solidFill>
              <w14:schemeClr w14:val="tx1"/>
            </w14:solidFill>
          </w14:textFill>
        </w:rPr>
        <w:t>其他：</w:t>
      </w:r>
    </w:p>
    <w:p w14:paraId="29845E3E">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4.</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7</w:t>
      </w:r>
      <w:r>
        <w:rPr>
          <w:rFonts w:hint="eastAsia" w:ascii="仿宋_GB2312" w:hAnsi="仿宋_GB2312" w:eastAsia="仿宋_GB2312" w:cs="仿宋_GB2312"/>
          <w:color w:val="000000" w:themeColor="text1"/>
          <w:highlight w:val="none"/>
          <w14:textFill>
            <w14:solidFill>
              <w14:schemeClr w14:val="tx1"/>
            </w14:solidFill>
          </w14:textFill>
        </w:rPr>
        <w:t>.1商品混凝土坍落度、和易性的要求：</w:t>
      </w:r>
    </w:p>
    <w:p w14:paraId="3A5A3CAF">
      <w:pPr>
        <w:spacing w:line="400" w:lineRule="atLeast"/>
        <w:ind w:firstLine="480" w:firstLineChars="200"/>
        <w:textAlignment w:val="baseline"/>
        <w:rPr>
          <w:rFonts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①坍落度、和易性适时调整：乙方根据气温条件、运输时间（白天或夜天）、运输道路的距离、混凝土原材料（水泥品种、外加剂品种等）变化、混凝土坍落度损失等情况来适当地调整原配合比，确保甲方混凝土浇筑时的坍落度、和易性等能够满足施工生产需要，确保混凝土质量。</w:t>
      </w:r>
    </w:p>
    <w:p w14:paraId="1DAC54B8">
      <w:pPr>
        <w:spacing w:line="400" w:lineRule="atLeast"/>
        <w:ind w:firstLine="480" w:firstLineChars="200"/>
        <w:textAlignment w:val="baseline"/>
        <w:rPr>
          <w:rFonts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②坍落度抽检：甲乙双方均派专人负责到场砼坍落度抽检，保证坍落度符合规范及设计要求，如不符合，立即退回乙方，严禁使用，所发生的一切费用由责任方承担。砼到场后，乙方不听从甲方现场调度，私自向砼内加水，停止运输车罐体运转或车内尚有砼而将车开走的，每出现一次乙方向甲方支付5000元的违约金。</w:t>
      </w:r>
    </w:p>
    <w:p w14:paraId="65688F45">
      <w:pPr>
        <w:spacing w:line="400" w:lineRule="atLeast"/>
        <w:ind w:firstLine="480" w:firstLineChars="200"/>
        <w:textAlignment w:val="baseline"/>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4.</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7</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.2、检验试验要求：砼的强度应保证符合设计要求，并按</w:t>
      </w:r>
      <w:permStart w:id="43" w:edGrp="everyone"/>
      <w:r>
        <w:rPr>
          <w:rFonts w:hint="eastAsia" w:ascii="仿宋_GB2312" w:hAnsi="仿宋_GB2312" w:eastAsia="仿宋_GB2312" w:cs="仿宋_GB2312"/>
          <w:color w:val="auto"/>
          <w:kern w:val="0"/>
          <w:sz w:val="24"/>
          <w:szCs w:val="24"/>
          <w:highlight w:val="none"/>
        </w:rPr>
        <w:t>《预拌混凝土》（GB/T14902</w:t>
      </w:r>
      <w:r>
        <w:rPr>
          <w:rFonts w:hint="eastAsia" w:ascii="仿宋_GB2312" w:hAnsi="仿宋_GB2312" w:eastAsia="仿宋_GB2312" w:cs="仿宋_GB2312"/>
          <w:color w:val="auto"/>
          <w:kern w:val="0"/>
          <w:sz w:val="24"/>
          <w:szCs w:val="24"/>
          <w:highlight w:val="none"/>
          <w:lang w:val="en-US" w:eastAsia="zh-CN"/>
        </w:rPr>
        <w:t>-2012</w:t>
      </w:r>
      <w:r>
        <w:rPr>
          <w:rFonts w:hint="eastAsia" w:ascii="仿宋_GB2312" w:hAnsi="仿宋_GB2312" w:eastAsia="仿宋_GB2312" w:cs="仿宋_GB2312"/>
          <w:color w:val="auto"/>
          <w:kern w:val="0"/>
          <w:sz w:val="24"/>
          <w:szCs w:val="24"/>
          <w:highlight w:val="none"/>
        </w:rPr>
        <w:t>）和《</w:t>
      </w:r>
      <w:r>
        <w:rPr>
          <w:rFonts w:hint="eastAsia" w:ascii="仿宋_GB2312" w:hAnsi="仿宋_GB2312" w:eastAsia="仿宋_GB2312" w:cs="仿宋_GB2312"/>
          <w:color w:val="auto"/>
          <w:kern w:val="0"/>
          <w:sz w:val="24"/>
          <w:szCs w:val="24"/>
          <w:highlight w:val="none"/>
          <w:lang w:val="en-US" w:eastAsia="zh-CN"/>
        </w:rPr>
        <w:t>混凝土</w:t>
      </w:r>
      <w:r>
        <w:rPr>
          <w:rFonts w:hint="eastAsia" w:ascii="仿宋_GB2312" w:hAnsi="仿宋_GB2312" w:eastAsia="仿宋_GB2312" w:cs="仿宋_GB2312"/>
          <w:color w:val="auto"/>
          <w:kern w:val="0"/>
          <w:sz w:val="24"/>
          <w:szCs w:val="24"/>
          <w:highlight w:val="none"/>
        </w:rPr>
        <w:t>强度检验评定标准》（GB</w:t>
      </w:r>
      <w:r>
        <w:rPr>
          <w:rFonts w:hint="eastAsia" w:ascii="仿宋_GB2312" w:hAnsi="仿宋_GB2312" w:eastAsia="仿宋_GB2312" w:cs="仿宋_GB2312"/>
          <w:color w:val="auto"/>
          <w:kern w:val="0"/>
          <w:sz w:val="24"/>
          <w:szCs w:val="24"/>
          <w:highlight w:val="none"/>
          <w:lang w:val="en-US" w:eastAsia="zh-CN"/>
        </w:rPr>
        <w:t>/T 50107-2010</w:t>
      </w:r>
      <w:r>
        <w:rPr>
          <w:rFonts w:hint="eastAsia" w:ascii="仿宋_GB2312" w:hAnsi="仿宋_GB2312" w:eastAsia="仿宋_GB2312" w:cs="仿宋_GB2312"/>
          <w:color w:val="auto"/>
          <w:kern w:val="0"/>
          <w:sz w:val="24"/>
          <w:szCs w:val="24"/>
          <w:highlight w:val="none"/>
        </w:rPr>
        <w:t>）</w:t>
      </w:r>
      <w:permEnd w:id="43"/>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的统计或非统计方法评定达到合格标准要求。甲方对乙方商砼标养砼试块及抗渗试块进行检验；如果检验不合格，由此引起的一切责任及损失均由乙方承担。</w:t>
      </w:r>
    </w:p>
    <w:p w14:paraId="2C8A2EBE">
      <w:pPr>
        <w:spacing w:line="400" w:lineRule="atLeast"/>
        <w:ind w:firstLine="480" w:firstLineChars="200"/>
        <w:textAlignment w:val="baseline"/>
        <w:rPr>
          <w:rFonts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4.</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8</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.3原材料要求及其它技术要求：</w:t>
      </w:r>
    </w:p>
    <w:p w14:paraId="438299C5">
      <w:pPr>
        <w:spacing w:line="400" w:lineRule="atLeast"/>
        <w:ind w:firstLine="480" w:firstLineChars="200"/>
        <w:textAlignment w:val="baseline"/>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①乙方应保证水泥的各项性能指标满足图纸设计和规范要求。</w:t>
      </w:r>
    </w:p>
    <w:p w14:paraId="637FE876">
      <w:pPr>
        <w:spacing w:line="400" w:lineRule="atLeast"/>
        <w:ind w:firstLine="480" w:firstLineChars="200"/>
        <w:textAlignment w:val="baseline"/>
        <w:rPr>
          <w:rFonts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②掺合料为</w:t>
      </w:r>
      <w:permStart w:id="44" w:edGrp="everyone"/>
      <w:r>
        <w:rPr>
          <w:rFonts w:hint="eastAsia" w:ascii="仿宋_GB2312" w:hAnsi="仿宋_GB2312" w:eastAsia="仿宋_GB2312" w:cs="仿宋_GB2312"/>
          <w:color w:val="000000" w:themeColor="text1"/>
          <w:kern w:val="0"/>
          <w:sz w:val="24"/>
          <w:szCs w:val="24"/>
          <w:highlight w:val="none"/>
          <w:u w:val="single"/>
          <w14:textFill>
            <w14:solidFill>
              <w14:schemeClr w14:val="tx1"/>
            </w14:solidFill>
          </w14:textFill>
        </w:rPr>
        <w:t>粉煤灰、矿粉、膨胀剂</w:t>
      </w:r>
      <w:permEnd w:id="44"/>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等，必须符合相关规范要求。</w:t>
      </w:r>
    </w:p>
    <w:p w14:paraId="1EA0DF66">
      <w:pPr>
        <w:spacing w:line="400" w:lineRule="atLeast"/>
        <w:ind w:firstLine="480" w:firstLineChars="200"/>
        <w:textAlignment w:val="baseline"/>
        <w:rPr>
          <w:rFonts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③混凝土到场后，甲方如发现砼存在离析、分层、泌水、石子过大、夹渣、坍落度过大或过小等影响混凝土强度及性能的情况，甲方有权要求退货，乙方必须立即派专业人员到场核查处理，由此引起的一切责任及经济损失均由乙方承担。</w:t>
      </w:r>
    </w:p>
    <w:p w14:paraId="7C38A766">
      <w:pPr>
        <w:spacing w:line="400" w:lineRule="atLeast"/>
        <w:ind w:firstLine="480" w:firstLineChars="200"/>
        <w:textAlignment w:val="baseline"/>
        <w:rPr>
          <w:rFonts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④若混凝土质量不合格，乙方应无条件退货，并按照违约条款承担相应责任。</w:t>
      </w:r>
    </w:p>
    <w:p w14:paraId="1B28567C">
      <w:pPr>
        <w:spacing w:line="400" w:lineRule="atLeast"/>
        <w:ind w:firstLine="480" w:firstLineChars="200"/>
        <w:textAlignment w:val="baseline"/>
        <w:rPr>
          <w:rFonts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4.</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7</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.4如果业主、监理或甲方在任何文件中规定的标准高于以上标准的，按相关文件中规定的标准执行；如果相关文件中规定的质量标准低于以上标准的，则按以上标准执行。</w:t>
      </w:r>
    </w:p>
    <w:p w14:paraId="28FA5762">
      <w:pPr>
        <w:pStyle w:val="19"/>
        <w:numPr>
          <w:ilvl w:val="0"/>
          <w:numId w:val="1"/>
        </w:numPr>
        <w:spacing w:before="120" w:beforeLines="50" w:after="120" w:afterLines="50" w:line="400" w:lineRule="atLeast"/>
        <w:ind w:firstLine="482" w:firstLineChars="200"/>
        <w:outlineLvl w:val="0"/>
        <w:rPr>
          <w:rFonts w:ascii="仿宋_GB2312" w:hAnsi="仿宋_GB2312" w:eastAsia="仿宋_GB2312" w:cs="仿宋_GB2312"/>
          <w:b/>
          <w:bCs/>
          <w:color w:val="000000" w:themeColor="text1"/>
          <w:highlight w:val="none"/>
          <w14:textFill>
            <w14:solidFill>
              <w14:schemeClr w14:val="tx1"/>
            </w14:solidFill>
          </w14:textFill>
        </w:rPr>
      </w:pPr>
      <w:bookmarkStart w:id="11" w:name="_Toc22928"/>
      <w:r>
        <w:rPr>
          <w:rFonts w:hint="eastAsia" w:ascii="仿宋_GB2312" w:hAnsi="仿宋_GB2312" w:eastAsia="仿宋_GB2312" w:cs="仿宋_GB2312"/>
          <w:b/>
          <w:bCs/>
          <w:color w:val="000000" w:themeColor="text1"/>
          <w:highlight w:val="none"/>
          <w14:textFill>
            <w14:solidFill>
              <w14:schemeClr w14:val="tx1"/>
            </w14:solidFill>
          </w14:textFill>
        </w:rPr>
        <w:t>货物结算</w:t>
      </w:r>
      <w:bookmarkEnd w:id="11"/>
    </w:p>
    <w:p w14:paraId="00A762CE">
      <w:pPr>
        <w:pStyle w:val="19"/>
        <w:numPr>
          <w:ilvl w:val="0"/>
          <w:numId w:val="5"/>
        </w:numPr>
        <w:spacing w:line="400" w:lineRule="atLeast"/>
        <w:ind w:firstLine="482" w:firstLineChars="200"/>
        <w:jc w:val="both"/>
        <w:rPr>
          <w:rFonts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结算周期：</w:t>
      </w:r>
    </w:p>
    <w:p w14:paraId="3411283F">
      <w:pPr>
        <w:pStyle w:val="19"/>
        <w:spacing w:line="400" w:lineRule="atLeast"/>
        <w:ind w:firstLine="480" w:firstLineChars="200"/>
        <w:jc w:val="both"/>
        <w:rPr>
          <w:rFonts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乙方每月</w:t>
      </w:r>
      <w:r>
        <w:rPr>
          <w:rFonts w:hint="eastAsia" w:ascii="仿宋_GB2312" w:hAnsi="仿宋_GB2312" w:eastAsia="仿宋_GB2312" w:cs="仿宋_GB2312"/>
          <w:color w:val="000000" w:themeColor="text1"/>
          <w:highlight w:val="none"/>
          <w:u w:val="single"/>
          <w14:textFill>
            <w14:solidFill>
              <w14:schemeClr w14:val="tx1"/>
            </w14:solidFill>
          </w14:textFill>
        </w:rPr>
        <w:t>16日</w:t>
      </w:r>
      <w:r>
        <w:rPr>
          <w:rFonts w:hint="eastAsia" w:ascii="仿宋_GB2312" w:hAnsi="仿宋_GB2312" w:eastAsia="仿宋_GB2312" w:cs="仿宋_GB2312"/>
          <w:color w:val="000000" w:themeColor="text1"/>
          <w:highlight w:val="none"/>
          <w14:textFill>
            <w14:solidFill>
              <w14:schemeClr w14:val="tx1"/>
            </w14:solidFill>
          </w14:textFill>
        </w:rPr>
        <w:t>与甲方核对上月</w:t>
      </w:r>
      <w:r>
        <w:rPr>
          <w:rFonts w:hint="eastAsia" w:ascii="仿宋_GB2312" w:hAnsi="仿宋_GB2312" w:eastAsia="仿宋_GB2312" w:cs="仿宋_GB2312"/>
          <w:color w:val="000000" w:themeColor="text1"/>
          <w:highlight w:val="none"/>
          <w:u w:val="single"/>
          <w14:textFill>
            <w14:solidFill>
              <w14:schemeClr w14:val="tx1"/>
            </w14:solidFill>
          </w14:textFill>
        </w:rPr>
        <w:t>16日</w:t>
      </w:r>
      <w:r>
        <w:rPr>
          <w:rFonts w:hint="eastAsia" w:ascii="仿宋_GB2312" w:hAnsi="仿宋_GB2312" w:eastAsia="仿宋_GB2312" w:cs="仿宋_GB2312"/>
          <w:color w:val="000000" w:themeColor="text1"/>
          <w:highlight w:val="none"/>
          <w14:textFill>
            <w14:solidFill>
              <w14:schemeClr w14:val="tx1"/>
            </w14:solidFill>
          </w14:textFill>
        </w:rPr>
        <w:t>至本月</w:t>
      </w:r>
      <w:r>
        <w:rPr>
          <w:rFonts w:hint="eastAsia" w:ascii="仿宋_GB2312" w:hAnsi="仿宋_GB2312" w:eastAsia="仿宋_GB2312" w:cs="仿宋_GB2312"/>
          <w:color w:val="000000" w:themeColor="text1"/>
          <w:highlight w:val="none"/>
          <w:u w:val="single"/>
          <w14:textFill>
            <w14:solidFill>
              <w14:schemeClr w14:val="tx1"/>
            </w14:solidFill>
          </w14:textFill>
        </w:rPr>
        <w:t>15日</w:t>
      </w:r>
      <w:r>
        <w:rPr>
          <w:rFonts w:hint="eastAsia" w:ascii="仿宋_GB2312" w:hAnsi="仿宋_GB2312" w:eastAsia="仿宋_GB2312" w:cs="仿宋_GB2312"/>
          <w:color w:val="000000" w:themeColor="text1"/>
          <w:highlight w:val="none"/>
          <w14:textFill>
            <w14:solidFill>
              <w14:schemeClr w14:val="tx1"/>
            </w14:solidFill>
          </w14:textFill>
        </w:rPr>
        <w:t>所供材料数量，并办理完结算手续。</w:t>
      </w:r>
      <w:r>
        <w:rPr>
          <w:rFonts w:hint="eastAsia" w:ascii="仿宋_GB2312" w:hAnsi="仿宋_GB2312" w:eastAsia="仿宋_GB2312" w:cs="仿宋_GB2312"/>
          <w:b/>
          <w:bCs/>
          <w:color w:val="000000" w:themeColor="text1"/>
          <w:highlight w:val="none"/>
          <w14:textFill>
            <w14:solidFill>
              <w14:schemeClr w14:val="tx1"/>
            </w14:solidFill>
          </w14:textFill>
        </w:rPr>
        <w:t>因乙方不配合签认结算单等原因超出本合同规定时间未办理完结算手续，乙方在此期间无权要求甲方付款及追究甲方任何违约责任或要求赔偿资金占用费等损失，同时甲方保留单方办理结算的权利且视为乙方认可甲方审定的结算金额。</w:t>
      </w:r>
    </w:p>
    <w:p w14:paraId="2909673D">
      <w:pPr>
        <w:pStyle w:val="19"/>
        <w:numPr>
          <w:ilvl w:val="0"/>
          <w:numId w:val="5"/>
        </w:numPr>
        <w:spacing w:line="400" w:lineRule="atLeast"/>
        <w:ind w:firstLine="482" w:firstLineChars="200"/>
        <w:jc w:val="both"/>
        <w:rPr>
          <w:rFonts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结算流程：</w:t>
      </w:r>
    </w:p>
    <w:p w14:paraId="3FD0514B">
      <w:pPr>
        <w:pStyle w:val="19"/>
        <w:numPr>
          <w:ilvl w:val="255"/>
          <w:numId w:val="0"/>
        </w:numPr>
        <w:spacing w:line="400" w:lineRule="atLeast"/>
        <w:ind w:firstLine="480" w:firstLineChars="200"/>
        <w:jc w:val="both"/>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双方结算分为过程结算及最终结算。过程结算按下表流程进行。最终结算于供货完成、验收合格且未出现任何质量问题后一个月内办理，最终结算需附物资买卖合同结算协议书。</w:t>
      </w:r>
    </w:p>
    <w:p w14:paraId="039190D2">
      <w:pPr>
        <w:pStyle w:val="19"/>
        <w:numPr>
          <w:ilvl w:val="0"/>
          <w:numId w:val="5"/>
        </w:numPr>
        <w:spacing w:line="400" w:lineRule="atLeast"/>
        <w:ind w:firstLine="482"/>
        <w:jc w:val="both"/>
        <w:rPr>
          <w:rFonts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mc:AlternateContent>
          <mc:Choice Requires="wpg">
            <w:drawing>
              <wp:anchor distT="0" distB="0" distL="114300" distR="114300" simplePos="0" relativeHeight="251665408" behindDoc="0" locked="0" layoutInCell="1" allowOverlap="1">
                <wp:simplePos x="0" y="0"/>
                <wp:positionH relativeFrom="column">
                  <wp:posOffset>-12065</wp:posOffset>
                </wp:positionH>
                <wp:positionV relativeFrom="paragraph">
                  <wp:posOffset>101600</wp:posOffset>
                </wp:positionV>
                <wp:extent cx="5080000" cy="1210310"/>
                <wp:effectExtent l="4445" t="5080" r="249555" b="22860"/>
                <wp:wrapTopAndBottom/>
                <wp:docPr id="10" name="组合 10"/>
                <wp:cNvGraphicFramePr/>
                <a:graphic xmlns:a="http://schemas.openxmlformats.org/drawingml/2006/main">
                  <a:graphicData uri="http://schemas.microsoft.com/office/word/2010/wordprocessingGroup">
                    <wpg:wgp>
                      <wpg:cNvGrpSpPr/>
                      <wpg:grpSpPr>
                        <a:xfrm>
                          <a:off x="0" y="0"/>
                          <a:ext cx="5080000" cy="1210310"/>
                          <a:chOff x="2064" y="142451"/>
                          <a:chExt cx="8000" cy="1906"/>
                        </a:xfrm>
                      </wpg:grpSpPr>
                      <wpg:grpSp>
                        <wpg:cNvPr id="2" name="组合 5"/>
                        <wpg:cNvGrpSpPr/>
                        <wpg:grpSpPr>
                          <a:xfrm>
                            <a:off x="2064" y="142451"/>
                            <a:ext cx="8000" cy="1907"/>
                            <a:chOff x="4638" y="144974"/>
                            <a:chExt cx="8000" cy="2118"/>
                          </a:xfrm>
                        </wpg:grpSpPr>
                        <wps:wsp>
                          <wps:cNvPr id="1" name="文本框 3"/>
                          <wps:cNvSpPr txBox="1"/>
                          <wps:spPr>
                            <a:xfrm>
                              <a:off x="4655" y="144974"/>
                              <a:ext cx="3492" cy="86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60CA39F">
                                <w:pPr>
                                  <w:pStyle w:val="19"/>
                                  <w:jc w:val="center"/>
                                  <w:outlineLvl w:val="0"/>
                                  <w:rPr>
                                    <w:rFonts w:ascii="仿宋_GB2312" w:hAnsi="仿宋_GB2312" w:eastAsia="仿宋_GB2312" w:cs="仿宋_GB2312"/>
                                  </w:rPr>
                                </w:pPr>
                                <w:r>
                                  <w:rPr>
                                    <w:rFonts w:hint="eastAsia" w:ascii="仿宋_GB2312" w:hAnsi="仿宋_GB2312" w:eastAsia="仿宋_GB2312" w:cs="仿宋_GB2312"/>
                                  </w:rPr>
                                  <w:t>1.甲乙双方核对收料单</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 name="文本框 6"/>
                          <wps:cNvSpPr txBox="1"/>
                          <wps:spPr>
                            <a:xfrm>
                              <a:off x="8740" y="144974"/>
                              <a:ext cx="3898" cy="8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C27D405">
                                <w:pPr>
                                  <w:pStyle w:val="19"/>
                                  <w:outlineLvl w:val="0"/>
                                  <w:rPr>
                                    <w:rFonts w:ascii="仿宋_GB2312" w:hAnsi="仿宋_GB2312" w:eastAsia="仿宋_GB2312" w:cs="仿宋_GB2312"/>
                                  </w:rPr>
                                </w:pPr>
                                <w:r>
                                  <w:rPr>
                                    <w:rFonts w:hint="eastAsia" w:ascii="仿宋_GB2312" w:hAnsi="仿宋_GB2312" w:eastAsia="仿宋_GB2312" w:cs="仿宋_GB2312"/>
                                  </w:rPr>
                                  <w:t>2.甲方结算人员生成过程结算</w:t>
                                </w:r>
                                <w:r>
                                  <w:rPr>
                                    <w:rFonts w:hint="eastAsia" w:ascii="仿宋_GB2312" w:hAnsi="仿宋_GB2312" w:eastAsia="仿宋_GB2312" w:cs="仿宋_GB2312"/>
                                    <w:lang w:val="en-US" w:eastAsia="zh-CN"/>
                                  </w:rPr>
                                  <w:t>资料</w:t>
                                </w:r>
                                <w:r>
                                  <w:rPr>
                                    <w:rFonts w:hint="eastAsia" w:ascii="仿宋_GB2312" w:hAnsi="仿宋_GB2312" w:eastAsia="仿宋_GB2312" w:cs="仿宋_GB2312"/>
                                  </w:rPr>
                                  <w:t>，乙方签字盖章确认</w:t>
                                </w:r>
                              </w:p>
                              <w:p w14:paraId="5115F24C">
                                <w:pPr>
                                  <w:pStyle w:val="19"/>
                                  <w:outlineLvl w:val="0"/>
                                  <w:rPr>
                                    <w:rFonts w:ascii="仿宋_GB2312" w:hAnsi="仿宋_GB2312" w:eastAsia="仿宋_GB2312" w:cs="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 name="文本框 8"/>
                          <wps:cNvSpPr txBox="1"/>
                          <wps:spPr>
                            <a:xfrm>
                              <a:off x="4638" y="145859"/>
                              <a:ext cx="3507" cy="1233"/>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7FD1DC7">
                                <w:pPr>
                                  <w:pStyle w:val="19"/>
                                  <w:outlineLvl w:val="0"/>
                                  <w:rPr>
                                    <w:rFonts w:ascii="仿宋_GB2312" w:hAnsi="仿宋_GB2312" w:eastAsia="仿宋_GB2312" w:cs="仿宋_GB2312"/>
                                  </w:rPr>
                                </w:pPr>
                                <w:r>
                                  <w:rPr>
                                    <w:rFonts w:hint="eastAsia" w:ascii="仿宋_GB2312" w:hAnsi="仿宋_GB2312" w:eastAsia="仿宋_GB2312" w:cs="仿宋_GB2312"/>
                                  </w:rPr>
                                  <w:t>4</w:t>
                                </w:r>
                                <w:r>
                                  <w:rPr>
                                    <w:rFonts w:hint="eastAsia" w:ascii="仿宋_GB2312" w:hAnsi="仿宋_GB2312" w:eastAsia="仿宋_GB2312" w:cs="仿宋_GB2312"/>
                                    <w:highlight w:val="none"/>
                                  </w:rPr>
                                  <w:t>.甲方公司复核结算，复核完成后按比例支付结算款</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 name="文本框 11"/>
                          <wps:cNvSpPr txBox="1"/>
                          <wps:spPr>
                            <a:xfrm>
                              <a:off x="8706" y="145858"/>
                              <a:ext cx="3927" cy="1218"/>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C97AD2B">
                                <w:pPr>
                                  <w:pStyle w:val="19"/>
                                  <w:outlineLvl w:val="0"/>
                                  <w:rPr>
                                    <w:rFonts w:ascii="仿宋_GB2312" w:hAnsi="仿宋_GB2312" w:eastAsia="仿宋_GB2312" w:cs="仿宋_GB2312"/>
                                    <w:highlight w:val="none"/>
                                  </w:rPr>
                                </w:pPr>
                                <w:r>
                                  <w:rPr>
                                    <w:rFonts w:hint="eastAsia" w:ascii="仿宋_GB2312" w:hAnsi="仿宋_GB2312" w:eastAsia="仿宋_GB2312" w:cs="仿宋_GB2312"/>
                                    <w:highlight w:val="none"/>
                                  </w:rPr>
                                  <w:t>3.甲方项目部初步审核过程结算，乙方依据金额开具等额发票。</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s:wsp>
                        <wps:cNvPr id="20" name="肘形连接符 2"/>
                        <wps:cNvCnPr/>
                        <wps:spPr>
                          <a:xfrm flipH="1">
                            <a:off x="10059" y="142690"/>
                            <a:ext cx="5" cy="973"/>
                          </a:xfrm>
                          <a:prstGeom prst="bentConnector3">
                            <a:avLst>
                              <a:gd name="adj1" fmla="val -7500000"/>
                            </a:avLst>
                          </a:prstGeom>
                          <a:ln>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21" name="直接箭头连接符 4"/>
                        <wps:cNvCnPr/>
                        <wps:spPr>
                          <a:xfrm>
                            <a:off x="5573" y="142689"/>
                            <a:ext cx="593" cy="1"/>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wps:wsp>
                        <wps:cNvPr id="22" name="直接箭头连接符 7"/>
                        <wps:cNvCnPr/>
                        <wps:spPr>
                          <a:xfrm flipH="1">
                            <a:off x="5571" y="143663"/>
                            <a:ext cx="561" cy="7"/>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_x0000_s1026" o:spid="_x0000_s1026" o:spt="203" style="position:absolute;left:0pt;margin-left:-0.95pt;margin-top:8pt;height:95.3pt;width:400pt;mso-wrap-distance-bottom:0pt;mso-wrap-distance-top:0pt;z-index:251665408;mso-width-relative:page;mso-height-relative:page;" coordorigin="2064,142451" coordsize="8000,1906" o:gfxdata="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">
                <o:lock v:ext="edit" aspectratio="f"/>
                <v:group id="组合 5" o:spid="_x0000_s1026" o:spt="203" style="position:absolute;left:2064;top:142451;height:1907;width:8000;" coordorigin="4638,144974" coordsize="8000,2118" o:gfxdata="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Psb0Q+7AAAA2gAAAA8AAAAAAAAAAQAgAAAAIgAAAGRycy9kb3ducmV2LnhtbFBL&#10;AQIUABQAAAAIAIdO4kAzLwWeOwAAADkAAAAVAAAAAAAAAAEAIAAAAAoBAABkcnMvZ3JvdXBzaGFw&#10;ZXhtbC54bWxQSwUGAAAAAAYABgBgAQAAxwMAAAAA&#10;">
                  <o:lock v:ext="edit" aspectratio="f"/>
                  <v:shape id="文本框 3" o:spid="_x0000_s1026" o:spt="202" type="#_x0000_t202" style="position:absolute;left:4655;top:144974;height:865;width:3492;" fillcolor="#FFFFFF [3201]" filled="t" stroked="t" coordsize="21600,21600" o:gfxdata="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BmIqhotAAAANoAAAAPAAAA&#10;AAAAAAEAIAAAACIAAABkcnMvZG93bnJldi54bWxQSwECFAAUAAAACACHTuJAMy8FnjsAAAA5AAAA&#10;EAAAAAAAAAABACAAAAADAQAAZHJzL3NoYXBleG1sLnhtbFBLBQYAAAAABgAGAFsBAACtAwAAAAA=&#10;">
                    <v:fill on="t" focussize="0,0"/>
                    <v:stroke weight="0.5pt" color="#000000 [3204]" joinstyle="round"/>
                    <v:imagedata o:title=""/>
                    <o:lock v:ext="edit" aspectratio="f"/>
                    <v:textbox>
                      <w:txbxContent>
                        <w:p w14:paraId="160CA39F">
                          <w:pPr>
                            <w:pStyle w:val="19"/>
                            <w:jc w:val="center"/>
                            <w:outlineLvl w:val="0"/>
                            <w:rPr>
                              <w:rFonts w:ascii="仿宋_GB2312" w:hAnsi="仿宋_GB2312" w:eastAsia="仿宋_GB2312" w:cs="仿宋_GB2312"/>
                            </w:rPr>
                          </w:pPr>
                          <w:r>
                            <w:rPr>
                              <w:rFonts w:hint="eastAsia" w:ascii="仿宋_GB2312" w:hAnsi="仿宋_GB2312" w:eastAsia="仿宋_GB2312" w:cs="仿宋_GB2312"/>
                            </w:rPr>
                            <w:t>1.甲乙双方核对收料单</w:t>
                          </w:r>
                        </w:p>
                      </w:txbxContent>
                    </v:textbox>
                  </v:shape>
                  <v:shape id="文本框 6" o:spid="_x0000_s1026" o:spt="202" type="#_x0000_t202" style="position:absolute;left:8740;top:144974;height:825;width:3898;" fillcolor="#FFFFFF [3201]" filled="t" stroked="t" coordsize="21600,21600" o:gfxdata="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JhUpG62AAAA2gAAAA8A&#10;AAAAAAAAAQAgAAAAIgAAAGRycy9kb3ducmV2LnhtbFBLAQIUABQAAAAIAIdO4kAzLwWeOwAAADkA&#10;AAAQAAAAAAAAAAEAIAAAAAUBAABkcnMvc2hhcGV4bWwueG1sUEsFBgAAAAAGAAYAWwEAAK8DAAAA&#10;AA==&#10;">
                    <v:fill on="t" focussize="0,0"/>
                    <v:stroke weight="0.5pt" color="#000000 [3204]" joinstyle="round"/>
                    <v:imagedata o:title=""/>
                    <o:lock v:ext="edit" aspectratio="f"/>
                    <v:textbox>
                      <w:txbxContent>
                        <w:p w14:paraId="3C27D405">
                          <w:pPr>
                            <w:pStyle w:val="19"/>
                            <w:outlineLvl w:val="0"/>
                            <w:rPr>
                              <w:rFonts w:ascii="仿宋_GB2312" w:hAnsi="仿宋_GB2312" w:eastAsia="仿宋_GB2312" w:cs="仿宋_GB2312"/>
                            </w:rPr>
                          </w:pPr>
                          <w:r>
                            <w:rPr>
                              <w:rFonts w:hint="eastAsia" w:ascii="仿宋_GB2312" w:hAnsi="仿宋_GB2312" w:eastAsia="仿宋_GB2312" w:cs="仿宋_GB2312"/>
                            </w:rPr>
                            <w:t>2.甲方结算人员生成过程结算</w:t>
                          </w:r>
                          <w:r>
                            <w:rPr>
                              <w:rFonts w:hint="eastAsia" w:ascii="仿宋_GB2312" w:hAnsi="仿宋_GB2312" w:eastAsia="仿宋_GB2312" w:cs="仿宋_GB2312"/>
                              <w:lang w:val="en-US" w:eastAsia="zh-CN"/>
                            </w:rPr>
                            <w:t>资料</w:t>
                          </w:r>
                          <w:r>
                            <w:rPr>
                              <w:rFonts w:hint="eastAsia" w:ascii="仿宋_GB2312" w:hAnsi="仿宋_GB2312" w:eastAsia="仿宋_GB2312" w:cs="仿宋_GB2312"/>
                            </w:rPr>
                            <w:t>，乙方签字盖章确认</w:t>
                          </w:r>
                        </w:p>
                        <w:p w14:paraId="5115F24C">
                          <w:pPr>
                            <w:pStyle w:val="19"/>
                            <w:outlineLvl w:val="0"/>
                            <w:rPr>
                              <w:rFonts w:ascii="仿宋_GB2312" w:hAnsi="仿宋_GB2312" w:eastAsia="仿宋_GB2312" w:cs="仿宋_GB2312"/>
                            </w:rPr>
                          </w:pPr>
                        </w:p>
                      </w:txbxContent>
                    </v:textbox>
                  </v:shape>
                  <v:shape id="文本框 8" o:spid="_x0000_s1026" o:spt="202" type="#_x0000_t202" style="position:absolute;left:4638;top:145859;height:1233;width:3507;" fillcolor="#FFFFFF [3201]" filled="t" stroked="t" coordsize="21600,21600" o:gfxdata="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OnLMBy2AAAA2gAAAA8A&#10;AAAAAAAAAQAgAAAAIgAAAGRycy9kb3ducmV2LnhtbFBLAQIUABQAAAAIAIdO4kAzLwWeOwAAADkA&#10;AAAQAAAAAAAAAAEAIAAAAAUBAABkcnMvc2hhcGV4bWwueG1sUEsFBgAAAAAGAAYAWwEAAK8DAAAA&#10;AA==&#10;">
                    <v:fill on="t" focussize="0,0"/>
                    <v:stroke weight="0.5pt" color="#000000 [3204]" joinstyle="round"/>
                    <v:imagedata o:title=""/>
                    <o:lock v:ext="edit" aspectratio="f"/>
                    <v:textbox>
                      <w:txbxContent>
                        <w:p w14:paraId="37FD1DC7">
                          <w:pPr>
                            <w:pStyle w:val="19"/>
                            <w:outlineLvl w:val="0"/>
                            <w:rPr>
                              <w:rFonts w:ascii="仿宋_GB2312" w:hAnsi="仿宋_GB2312" w:eastAsia="仿宋_GB2312" w:cs="仿宋_GB2312"/>
                            </w:rPr>
                          </w:pPr>
                          <w:r>
                            <w:rPr>
                              <w:rFonts w:hint="eastAsia" w:ascii="仿宋_GB2312" w:hAnsi="仿宋_GB2312" w:eastAsia="仿宋_GB2312" w:cs="仿宋_GB2312"/>
                            </w:rPr>
                            <w:t>4</w:t>
                          </w:r>
                          <w:r>
                            <w:rPr>
                              <w:rFonts w:hint="eastAsia" w:ascii="仿宋_GB2312" w:hAnsi="仿宋_GB2312" w:eastAsia="仿宋_GB2312" w:cs="仿宋_GB2312"/>
                              <w:highlight w:val="none"/>
                            </w:rPr>
                            <w:t>.甲方公司复核结算，复核完成后按比例支付结算款</w:t>
                          </w:r>
                        </w:p>
                      </w:txbxContent>
                    </v:textbox>
                  </v:shape>
                  <v:shape id="文本框 11" o:spid="_x0000_s1026" o:spt="202" type="#_x0000_t202" style="position:absolute;left:8706;top:145858;height:1218;width:3927;" fillcolor="#FFFFFF [3201]" filled="t" stroked="t" coordsize="21600,21600" o:gfxdata="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IaHlYe2AAAA2gAAAA8A&#10;AAAAAAAAAQAgAAAAIgAAAGRycy9kb3ducmV2LnhtbFBLAQIUABQAAAAIAIdO4kAzLwWeOwAAADkA&#10;AAAQAAAAAAAAAAEAIAAAAAUBAABkcnMvc2hhcGV4bWwueG1sUEsFBgAAAAAGAAYAWwEAAK8DAAAA&#10;AA==&#10;">
                    <v:fill on="t" focussize="0,0"/>
                    <v:stroke weight="0.5pt" color="#000000 [3204]" joinstyle="round"/>
                    <v:imagedata o:title=""/>
                    <o:lock v:ext="edit" aspectratio="f"/>
                    <v:textbox>
                      <w:txbxContent>
                        <w:p w14:paraId="4C97AD2B">
                          <w:pPr>
                            <w:pStyle w:val="19"/>
                            <w:outlineLvl w:val="0"/>
                            <w:rPr>
                              <w:rFonts w:ascii="仿宋_GB2312" w:hAnsi="仿宋_GB2312" w:eastAsia="仿宋_GB2312" w:cs="仿宋_GB2312"/>
                              <w:highlight w:val="none"/>
                            </w:rPr>
                          </w:pPr>
                          <w:r>
                            <w:rPr>
                              <w:rFonts w:hint="eastAsia" w:ascii="仿宋_GB2312" w:hAnsi="仿宋_GB2312" w:eastAsia="仿宋_GB2312" w:cs="仿宋_GB2312"/>
                              <w:highlight w:val="none"/>
                            </w:rPr>
                            <w:t>3.甲方项目部初步审核过程结算，乙方依据金额开具等额发票。</w:t>
                          </w:r>
                        </w:p>
                      </w:txbxContent>
                    </v:textbox>
                  </v:shape>
                </v:group>
                <v:shape id="肘形连接符 2" o:spid="_x0000_s1026" o:spt="34" type="#_x0000_t34" style="position:absolute;left:10059;top:142690;flip:x;height:973;width:5;" filled="f" stroked="t" coordsize="21600,21600" o:gfxdata="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cngGcrgAAADbAAAA&#10;DwAAAAAAAAABACAAAAAiAAAAZHJzL2Rvd25yZXYueG1sUEsBAhQAFAAAAAgAh07iQDMvBZ47AAAA&#10;OQAAABAAAAAAAAAAAQAgAAAABwEAAGRycy9zaGFwZXhtbC54bWxQSwUGAAAAAAYABgBbAQAAsQMA&#10;AAAA&#10;" adj="-1620000">
                  <v:fill on="f" focussize="0,0"/>
                  <v:stroke weight="1pt" color="#000000 [3200]" miterlimit="8" joinstyle="miter" endarrow="open"/>
                  <v:imagedata o:title=""/>
                  <o:lock v:ext="edit" aspectratio="f"/>
                </v:shape>
                <v:shape id="直接箭头连接符 4" o:spid="_x0000_s1026" o:spt="32" type="#_x0000_t32" style="position:absolute;left:5573;top:142689;height:1;width:593;" filled="f" stroked="t" coordsize="21600,21600" o:gfxdata="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c8zfrsAAADb&#10;AAAADwAAAAAAAAABACAAAAAiAAAAZHJzL2Rvd25yZXYueG1sUEsBAhQAFAAAAAgAh07iQDMvBZ47&#10;AAAAOQAAABAAAAAAAAAAAQAgAAAACgEAAGRycy9zaGFwZXhtbC54bWxQSwUGAAAAAAYABgBbAQAA&#10;tAMAAAAA&#10;">
                  <v:fill on="f" focussize="0,0"/>
                  <v:stroke weight="1pt" color="#000000 [3200]" miterlimit="8" joinstyle="miter" endarrow="open"/>
                  <v:imagedata o:title=""/>
                  <o:lock v:ext="edit" aspectratio="f"/>
                </v:shape>
                <v:shape id="直接箭头连接符 7" o:spid="_x0000_s1026" o:spt="32" type="#_x0000_t32" style="position:absolute;left:5571;top:143663;flip:x;height:7;width:561;" filled="f" stroked="t" coordsize="21600,21600" o:gfxdata="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R+uua/&#10;AAAA2wAAAA8AAAAAAAAAAQAgAAAAIgAAAGRycy9kb3ducmV2LnhtbFBLAQIUABQAAAAIAIdO4kAz&#10;LwWeOwAAADkAAAAQAAAAAAAAAAEAIAAAAA4BAABkcnMvc2hhcGV4bWwueG1sUEsFBgAAAAAGAAYA&#10;WwEAALgDAAAAAA==&#10;">
                  <v:fill on="f" focussize="0,0"/>
                  <v:stroke weight="1pt" color="#000000 [3200]" miterlimit="8" joinstyle="miter" endarrow="open"/>
                  <v:imagedata o:title=""/>
                  <o:lock v:ext="edit" aspectratio="f"/>
                </v:shape>
                <w10:wrap type="topAndBottom"/>
              </v:group>
            </w:pict>
          </mc:Fallback>
        </mc:AlternateContent>
      </w:r>
      <w:r>
        <w:rPr>
          <w:rFonts w:hint="eastAsia" w:ascii="仿宋_GB2312" w:hAnsi="仿宋_GB2312" w:eastAsia="仿宋_GB2312" w:cs="仿宋_GB2312"/>
          <w:b/>
          <w:bCs/>
          <w:color w:val="000000" w:themeColor="text1"/>
          <w:highlight w:val="none"/>
          <w14:textFill>
            <w14:solidFill>
              <w14:schemeClr w14:val="tx1"/>
            </w14:solidFill>
          </w14:textFill>
        </w:rPr>
        <w:t>增值税专用发票：</w:t>
      </w:r>
    </w:p>
    <w:p w14:paraId="0EC2D77F">
      <w:pPr>
        <w:pStyle w:val="19"/>
        <w:spacing w:line="400" w:lineRule="atLeast"/>
        <w:ind w:firstLine="482" w:firstLineChars="200"/>
        <w:rPr>
          <w:rFonts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3.1增值税票要求：</w:t>
      </w:r>
    </w:p>
    <w:p w14:paraId="5F9AA283">
      <w:pPr>
        <w:pStyle w:val="19"/>
        <w:spacing w:line="400" w:lineRule="atLeast"/>
        <w:ind w:firstLine="482"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3.1.1税票信息：</w:t>
      </w:r>
      <w:r>
        <w:rPr>
          <w:rFonts w:hint="eastAsia" w:ascii="仿宋_GB2312" w:hAnsi="仿宋_GB2312" w:eastAsia="仿宋_GB2312" w:cs="仿宋_GB2312"/>
          <w:color w:val="000000" w:themeColor="text1"/>
          <w:highlight w:val="none"/>
          <w14:textFill>
            <w14:solidFill>
              <w14:schemeClr w14:val="tx1"/>
            </w14:solidFill>
          </w14:textFill>
        </w:rPr>
        <w:t>乙方应按甲方要求提供以其本单位名义开具，适用</w:t>
      </w:r>
      <w:permStart w:id="45" w:edGrp="everyone"/>
      <w:r>
        <w:rPr>
          <w:rFonts w:hint="eastAsia" w:ascii="仿宋_GB2312" w:hAnsi="仿宋_GB2312" w:eastAsia="仿宋_GB2312" w:cs="仿宋_GB2312"/>
          <w:color w:val="000000" w:themeColor="text1"/>
          <w:highlight w:val="none"/>
          <w:u w:val="single"/>
          <w14:textFill>
            <w14:solidFill>
              <w14:schemeClr w14:val="tx1"/>
            </w14:solidFill>
          </w14:textFill>
        </w:rPr>
        <w:t xml:space="preserve"> 3％/13 ％</w:t>
      </w:r>
      <w:permEnd w:id="45"/>
      <w:r>
        <w:rPr>
          <w:rFonts w:hint="eastAsia" w:ascii="仿宋_GB2312" w:hAnsi="仿宋_GB2312" w:eastAsia="仿宋_GB2312" w:cs="仿宋_GB2312"/>
          <w:color w:val="000000" w:themeColor="text1"/>
          <w:highlight w:val="none"/>
          <w14:textFill>
            <w14:solidFill>
              <w14:schemeClr w14:val="tx1"/>
            </w14:solidFill>
          </w14:textFill>
        </w:rPr>
        <w:t>税率的增值税专用发票，开具金额需与结算金额一致，并加盖与本合同中乙方名称一致的发票专用章（如税务部门要求合同、发票等备案登记的，乙方承担相关费用并办理相关手续）。</w:t>
      </w:r>
    </w:p>
    <w:p w14:paraId="6C5A2EFD">
      <w:pPr>
        <w:pStyle w:val="19"/>
        <w:spacing w:line="400" w:lineRule="atLeast"/>
        <w:ind w:firstLine="482"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3.1.2计税方式：</w:t>
      </w:r>
      <w:r>
        <w:rPr>
          <w:rFonts w:hint="eastAsia" w:ascii="仿宋_GB2312" w:hAnsi="仿宋_GB2312" w:eastAsia="仿宋_GB2312" w:cs="仿宋_GB2312"/>
          <w:color w:val="000000" w:themeColor="text1"/>
          <w:highlight w:val="none"/>
          <w14:textFill>
            <w14:solidFill>
              <w14:schemeClr w14:val="tx1"/>
            </w14:solidFill>
          </w14:textFill>
        </w:rPr>
        <w:t>本合同所涉应税行为计税方法为</w:t>
      </w:r>
      <w:permStart w:id="46" w:edGrp="everyone"/>
      <w:r>
        <w:rPr>
          <w:rFonts w:hint="eastAsia" w:ascii="仿宋_GB2312" w:hAnsi="仿宋_GB2312" w:eastAsia="仿宋_GB2312" w:cs="仿宋_GB2312"/>
          <w:color w:val="000000" w:themeColor="text1"/>
          <w:highlight w:val="none"/>
          <w:u w:val="single"/>
          <w14:textFill>
            <w14:solidFill>
              <w14:schemeClr w14:val="tx1"/>
            </w14:solidFill>
          </w14:textFill>
        </w:rPr>
        <w:t xml:space="preserve"> 一般计税方法 </w:t>
      </w:r>
      <w:permEnd w:id="46"/>
      <w:r>
        <w:rPr>
          <w:rFonts w:hint="eastAsia" w:ascii="仿宋_GB2312" w:hAnsi="仿宋_GB2312" w:eastAsia="仿宋_GB2312" w:cs="仿宋_GB2312"/>
          <w:color w:val="000000" w:themeColor="text1"/>
          <w:highlight w:val="none"/>
          <w14:textFill>
            <w14:solidFill>
              <w14:schemeClr w14:val="tx1"/>
            </w14:solidFill>
          </w14:textFill>
        </w:rPr>
        <w:t>。</w:t>
      </w:r>
    </w:p>
    <w:p w14:paraId="63FE2871">
      <w:pPr>
        <w:pStyle w:val="19"/>
        <w:spacing w:line="400" w:lineRule="atLeast"/>
        <w:ind w:firstLine="482" w:firstLineChars="200"/>
        <w:rPr>
          <w:rFonts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3.1.3税票金额：</w:t>
      </w:r>
      <w:r>
        <w:rPr>
          <w:rFonts w:hint="eastAsia" w:ascii="仿宋_GB2312" w:hAnsi="仿宋_GB2312" w:eastAsia="仿宋_GB2312" w:cs="仿宋_GB2312"/>
          <w:color w:val="000000" w:themeColor="text1"/>
          <w:highlight w:val="none"/>
          <w14:textFill>
            <w14:solidFill>
              <w14:schemeClr w14:val="tx1"/>
            </w14:solidFill>
          </w14:textFill>
        </w:rPr>
        <w:t>乙方应按每期结算金额开具当期增值税专用发票，并于发票开具之日起7天内提供给甲方指定签收人员。乙方应开具合法、有效、准确的增值税专用发票，若汇总开具增值税专用发票的，则乙方需同时提供防伪税控系统开具的《销售货物或者提供应税劳务清单》，清单内容需与实际供货内容、结算内容相一致，并加盖发票专用章。</w:t>
      </w:r>
      <w:r>
        <w:rPr>
          <w:rFonts w:hint="eastAsia" w:ascii="仿宋_GB2312" w:hAnsi="仿宋_GB2312" w:eastAsia="仿宋_GB2312" w:cs="仿宋_GB2312"/>
          <w:b/>
          <w:bCs/>
          <w:color w:val="000000" w:themeColor="text1"/>
          <w:highlight w:val="none"/>
          <w14:textFill>
            <w14:solidFill>
              <w14:schemeClr w14:val="tx1"/>
            </w14:solidFill>
          </w14:textFill>
        </w:rPr>
        <w:t>如乙方未提供发票或提供发票不合规、不及时、无法认证，甲方有权拒绝付款，且不视为甲方付款逾期，乙方无权要求甲方支付利息、违约金或赔偿损失。</w:t>
      </w:r>
    </w:p>
    <w:p w14:paraId="45B53D00">
      <w:pPr>
        <w:pStyle w:val="19"/>
        <w:spacing w:line="400" w:lineRule="atLeast"/>
        <w:ind w:firstLine="482"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3.1.4税率变化：</w:t>
      </w:r>
      <w:r>
        <w:rPr>
          <w:rFonts w:hint="eastAsia" w:ascii="仿宋_GB2312" w:hAnsi="仿宋_GB2312" w:eastAsia="仿宋_GB2312" w:cs="仿宋_GB2312"/>
          <w:color w:val="000000" w:themeColor="text1"/>
          <w:highlight w:val="none"/>
          <w14:textFill>
            <w14:solidFill>
              <w14:schemeClr w14:val="tx1"/>
            </w14:solidFill>
          </w14:textFill>
        </w:rPr>
        <w:t>合同执行过程中如遇国家税务政策调整导致适用税率发生变化，以货物进场验收时间点依据适用政策调整，执行按照新的税率，合同含税价格依据新的税率相应调整，乙方承担相应的纳税义务提供新税率的增值税专用发票。</w:t>
      </w:r>
    </w:p>
    <w:p w14:paraId="2185DA6F">
      <w:pPr>
        <w:pStyle w:val="19"/>
        <w:spacing w:line="400" w:lineRule="atLeast"/>
        <w:ind w:firstLine="482"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3.2 税票丢失：</w:t>
      </w:r>
      <w:r>
        <w:rPr>
          <w:rFonts w:hint="eastAsia" w:ascii="仿宋_GB2312" w:hAnsi="仿宋_GB2312" w:eastAsia="仿宋_GB2312" w:cs="仿宋_GB2312"/>
          <w:color w:val="000000" w:themeColor="text1"/>
          <w:highlight w:val="none"/>
          <w14:textFill>
            <w14:solidFill>
              <w14:schemeClr w14:val="tx1"/>
            </w14:solidFill>
          </w14:textFill>
        </w:rPr>
        <w:t>若甲方丢失增值税专用发票联和抵扣联,乙方在接到甲方书面通知3个工作日内必须向甲方提供专用发票记账联复印件及其主管税务机关出具的《丢失增值税专用发票已报税证明单》，以作为甲方增值税进项税额的抵扣凭证。</w:t>
      </w:r>
    </w:p>
    <w:p w14:paraId="021F6FF6">
      <w:pPr>
        <w:pStyle w:val="19"/>
        <w:spacing w:line="400" w:lineRule="atLeast"/>
        <w:ind w:firstLine="482" w:firstLineChars="200"/>
        <w:rPr>
          <w:rFonts w:hint="eastAsia"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3.3税务信息：</w:t>
      </w:r>
    </w:p>
    <w:tbl>
      <w:tblPr>
        <w:tblStyle w:val="1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845"/>
        <w:gridCol w:w="6143"/>
      </w:tblGrid>
      <w:tr w14:paraId="44361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534" w:type="dxa"/>
            <w:vMerge w:val="restart"/>
            <w:tcBorders>
              <w:top w:val="single" w:color="auto" w:sz="12" w:space="0"/>
              <w:left w:val="single" w:color="auto" w:sz="12" w:space="0"/>
            </w:tcBorders>
            <w:vAlign w:val="center"/>
          </w:tcPr>
          <w:p w14:paraId="6952D770">
            <w:pPr>
              <w:snapToGrid w:val="0"/>
              <w:spacing w:line="400" w:lineRule="atLeast"/>
              <w:contextualSpacing/>
              <w:jc w:val="center"/>
              <w:rPr>
                <w:rFonts w:ascii="仿宋_GB2312" w:hAnsi="仿宋_GB2312" w:eastAsia="仿宋_GB2312" w:cs="仿宋_GB2312"/>
                <w:b/>
                <w:color w:val="000000" w:themeColor="text1"/>
                <w:sz w:val="24"/>
                <w:szCs w:val="24"/>
                <w:highlight w:val="none"/>
                <w14:textFill>
                  <w14:solidFill>
                    <w14:schemeClr w14:val="tx1"/>
                  </w14:solidFill>
                </w14:textFill>
              </w:rPr>
            </w:pPr>
            <w:permStart w:id="47" w:edGrp="everyone"/>
            <w:r>
              <w:rPr>
                <w:rFonts w:hint="eastAsia" w:ascii="仿宋_GB2312" w:hAnsi="仿宋_GB2312" w:eastAsia="仿宋_GB2312" w:cs="仿宋_GB2312"/>
                <w:b/>
                <w:color w:val="000000" w:themeColor="text1"/>
                <w:sz w:val="24"/>
                <w:szCs w:val="24"/>
                <w:highlight w:val="none"/>
                <w14:textFill>
                  <w14:solidFill>
                    <w14:schemeClr w14:val="tx1"/>
                  </w14:solidFill>
                </w14:textFill>
              </w:rPr>
              <w:t>甲方</w:t>
            </w:r>
          </w:p>
        </w:tc>
        <w:tc>
          <w:tcPr>
            <w:tcW w:w="1845" w:type="dxa"/>
            <w:tcBorders>
              <w:top w:val="single" w:color="auto" w:sz="12" w:space="0"/>
            </w:tcBorders>
            <w:vAlign w:val="bottom"/>
          </w:tcPr>
          <w:p w14:paraId="66FD26F7">
            <w:pPr>
              <w:snapToGrid w:val="0"/>
              <w:spacing w:line="400" w:lineRule="atLeast"/>
              <w:contextualSpacing/>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名      称</w:t>
            </w:r>
          </w:p>
        </w:tc>
        <w:tc>
          <w:tcPr>
            <w:tcW w:w="6143" w:type="dxa"/>
            <w:tcBorders>
              <w:top w:val="single" w:color="auto" w:sz="12" w:space="0"/>
              <w:right w:val="single" w:color="auto" w:sz="12" w:space="0"/>
            </w:tcBorders>
          </w:tcPr>
          <w:p w14:paraId="549B1C30">
            <w:pPr>
              <w:spacing w:line="500" w:lineRule="exact"/>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中建路桥集团有限公司桂林分公司</w:t>
            </w:r>
          </w:p>
        </w:tc>
      </w:tr>
      <w:tr w14:paraId="215A5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vMerge w:val="continue"/>
            <w:tcBorders>
              <w:left w:val="single" w:color="auto" w:sz="12" w:space="0"/>
            </w:tcBorders>
            <w:vAlign w:val="center"/>
          </w:tcPr>
          <w:p w14:paraId="0E00F7FD">
            <w:pPr>
              <w:snapToGrid w:val="0"/>
              <w:spacing w:line="400" w:lineRule="atLeast"/>
              <w:contextualSpacing/>
              <w:jc w:val="center"/>
              <w:rPr>
                <w:rFonts w:ascii="仿宋_GB2312" w:hAnsi="仿宋_GB2312" w:eastAsia="仿宋_GB2312" w:cs="仿宋_GB2312"/>
                <w:b/>
                <w:color w:val="000000" w:themeColor="text1"/>
                <w:sz w:val="24"/>
                <w:szCs w:val="24"/>
                <w:highlight w:val="none"/>
                <w14:textFill>
                  <w14:solidFill>
                    <w14:schemeClr w14:val="tx1"/>
                  </w14:solidFill>
                </w14:textFill>
              </w:rPr>
            </w:pPr>
          </w:p>
        </w:tc>
        <w:tc>
          <w:tcPr>
            <w:tcW w:w="1845" w:type="dxa"/>
            <w:vAlign w:val="bottom"/>
          </w:tcPr>
          <w:p w14:paraId="4EE6D60B">
            <w:pPr>
              <w:snapToGrid w:val="0"/>
              <w:spacing w:line="400" w:lineRule="atLeast"/>
              <w:contextualSpacing/>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纳税人身份</w:t>
            </w:r>
          </w:p>
        </w:tc>
        <w:tc>
          <w:tcPr>
            <w:tcW w:w="6143" w:type="dxa"/>
            <w:tcBorders>
              <w:right w:val="single" w:color="auto" w:sz="12" w:space="0"/>
            </w:tcBorders>
          </w:tcPr>
          <w:p w14:paraId="1B582EAF">
            <w:pPr>
              <w:spacing w:line="500" w:lineRule="exact"/>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一般纳税人</w:t>
            </w:r>
          </w:p>
        </w:tc>
      </w:tr>
      <w:tr w14:paraId="46768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vMerge w:val="continue"/>
            <w:tcBorders>
              <w:left w:val="single" w:color="auto" w:sz="12" w:space="0"/>
            </w:tcBorders>
            <w:vAlign w:val="center"/>
          </w:tcPr>
          <w:p w14:paraId="06E9EC5C">
            <w:pPr>
              <w:snapToGrid w:val="0"/>
              <w:spacing w:line="400" w:lineRule="atLeast"/>
              <w:contextualSpacing/>
              <w:jc w:val="center"/>
              <w:rPr>
                <w:rFonts w:ascii="仿宋_GB2312" w:hAnsi="仿宋_GB2312" w:eastAsia="仿宋_GB2312" w:cs="仿宋_GB2312"/>
                <w:b/>
                <w:color w:val="000000" w:themeColor="text1"/>
                <w:sz w:val="24"/>
                <w:szCs w:val="24"/>
                <w:highlight w:val="none"/>
                <w14:textFill>
                  <w14:solidFill>
                    <w14:schemeClr w14:val="tx1"/>
                  </w14:solidFill>
                </w14:textFill>
              </w:rPr>
            </w:pPr>
          </w:p>
        </w:tc>
        <w:tc>
          <w:tcPr>
            <w:tcW w:w="1845" w:type="dxa"/>
            <w:vAlign w:val="bottom"/>
          </w:tcPr>
          <w:p w14:paraId="179D2D55">
            <w:pPr>
              <w:snapToGrid w:val="0"/>
              <w:spacing w:line="400" w:lineRule="atLeast"/>
              <w:contextualSpacing/>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纳税人识别号</w:t>
            </w:r>
          </w:p>
        </w:tc>
        <w:tc>
          <w:tcPr>
            <w:tcW w:w="6143" w:type="dxa"/>
            <w:tcBorders>
              <w:right w:val="single" w:color="auto" w:sz="12" w:space="0"/>
            </w:tcBorders>
          </w:tcPr>
          <w:p w14:paraId="45945944">
            <w:pPr>
              <w:spacing w:line="500" w:lineRule="exact"/>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9145 0321 MA5N 1L7L 62</w:t>
            </w:r>
          </w:p>
        </w:tc>
      </w:tr>
      <w:tr w14:paraId="4E69E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vMerge w:val="continue"/>
            <w:tcBorders>
              <w:left w:val="single" w:color="auto" w:sz="12" w:space="0"/>
            </w:tcBorders>
            <w:vAlign w:val="center"/>
          </w:tcPr>
          <w:p w14:paraId="36CE3B96">
            <w:pPr>
              <w:snapToGrid w:val="0"/>
              <w:spacing w:line="400" w:lineRule="atLeast"/>
              <w:contextualSpacing/>
              <w:jc w:val="center"/>
              <w:rPr>
                <w:rFonts w:ascii="仿宋_GB2312" w:hAnsi="仿宋_GB2312" w:eastAsia="仿宋_GB2312" w:cs="仿宋_GB2312"/>
                <w:b/>
                <w:color w:val="000000" w:themeColor="text1"/>
                <w:sz w:val="24"/>
                <w:szCs w:val="24"/>
                <w:highlight w:val="none"/>
                <w14:textFill>
                  <w14:solidFill>
                    <w14:schemeClr w14:val="tx1"/>
                  </w14:solidFill>
                </w14:textFill>
              </w:rPr>
            </w:pPr>
          </w:p>
        </w:tc>
        <w:tc>
          <w:tcPr>
            <w:tcW w:w="1845" w:type="dxa"/>
            <w:vAlign w:val="bottom"/>
          </w:tcPr>
          <w:p w14:paraId="55F65732">
            <w:pPr>
              <w:snapToGrid w:val="0"/>
              <w:spacing w:line="400" w:lineRule="atLeast"/>
              <w:contextualSpacing/>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地 址、电 话</w:t>
            </w:r>
          </w:p>
        </w:tc>
        <w:tc>
          <w:tcPr>
            <w:tcW w:w="6143" w:type="dxa"/>
            <w:tcBorders>
              <w:right w:val="single" w:color="auto" w:sz="12" w:space="0"/>
            </w:tcBorders>
          </w:tcPr>
          <w:p w14:paraId="1B731DF7">
            <w:pPr>
              <w:snapToGrid w:val="0"/>
              <w:spacing w:line="400" w:lineRule="atLeast"/>
              <w:contextualSpacing/>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阳朔县阳朔镇矮山村委燕村</w:t>
            </w:r>
            <w:r>
              <w:rPr>
                <w:rFonts w:hint="eastAsia" w:ascii="仿宋_GB2312" w:hAnsi="仿宋_GB2312" w:eastAsia="仿宋_GB2312" w:cs="仿宋_GB2312"/>
                <w:color w:val="000000" w:themeColor="text1"/>
                <w:sz w:val="24"/>
                <w:szCs w:val="24"/>
                <w:highlight w:val="none"/>
                <w14:textFill>
                  <w14:solidFill>
                    <w14:schemeClr w14:val="tx1"/>
                  </w14:solidFill>
                </w14:textFill>
              </w:rPr>
              <w:t>、18931878924</w:t>
            </w:r>
          </w:p>
        </w:tc>
      </w:tr>
      <w:tr w14:paraId="32A66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vMerge w:val="continue"/>
            <w:tcBorders>
              <w:left w:val="single" w:color="auto" w:sz="12" w:space="0"/>
            </w:tcBorders>
            <w:vAlign w:val="center"/>
          </w:tcPr>
          <w:p w14:paraId="571E559B">
            <w:pPr>
              <w:snapToGrid w:val="0"/>
              <w:spacing w:line="400" w:lineRule="atLeast"/>
              <w:contextualSpacing/>
              <w:jc w:val="center"/>
              <w:rPr>
                <w:rFonts w:ascii="仿宋_GB2312" w:hAnsi="仿宋_GB2312" w:eastAsia="仿宋_GB2312" w:cs="仿宋_GB2312"/>
                <w:b/>
                <w:color w:val="000000" w:themeColor="text1"/>
                <w:sz w:val="24"/>
                <w:szCs w:val="24"/>
                <w:highlight w:val="none"/>
                <w14:textFill>
                  <w14:solidFill>
                    <w14:schemeClr w14:val="tx1"/>
                  </w14:solidFill>
                </w14:textFill>
              </w:rPr>
            </w:pPr>
          </w:p>
        </w:tc>
        <w:tc>
          <w:tcPr>
            <w:tcW w:w="1845" w:type="dxa"/>
            <w:vAlign w:val="bottom"/>
          </w:tcPr>
          <w:p w14:paraId="79C773D1">
            <w:pPr>
              <w:snapToGrid w:val="0"/>
              <w:spacing w:line="400" w:lineRule="atLeast"/>
              <w:contextualSpacing/>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开户行及账号</w:t>
            </w:r>
          </w:p>
        </w:tc>
        <w:tc>
          <w:tcPr>
            <w:tcW w:w="6143" w:type="dxa"/>
            <w:tcBorders>
              <w:right w:val="single" w:color="auto" w:sz="12" w:space="0"/>
            </w:tcBorders>
            <w:vAlign w:val="top"/>
          </w:tcPr>
          <w:p w14:paraId="3BF27B08">
            <w:pPr>
              <w:snapToGrid w:val="0"/>
              <w:spacing w:line="400" w:lineRule="atLeast"/>
              <w:contextualSpacing/>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兴业银行股份有限公司桂林分行5550 1010 0100 1634 18</w:t>
            </w:r>
          </w:p>
        </w:tc>
      </w:tr>
      <w:tr w14:paraId="430C5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534" w:type="dxa"/>
            <w:vMerge w:val="continue"/>
            <w:tcBorders>
              <w:left w:val="single" w:color="auto" w:sz="12" w:space="0"/>
              <w:bottom w:val="double" w:color="auto" w:sz="4" w:space="0"/>
            </w:tcBorders>
            <w:vAlign w:val="center"/>
          </w:tcPr>
          <w:p w14:paraId="10F127D4">
            <w:pPr>
              <w:snapToGrid w:val="0"/>
              <w:spacing w:line="400" w:lineRule="atLeast"/>
              <w:contextualSpacing/>
              <w:jc w:val="center"/>
              <w:rPr>
                <w:rFonts w:ascii="仿宋_GB2312" w:hAnsi="仿宋_GB2312" w:eastAsia="仿宋_GB2312" w:cs="仿宋_GB2312"/>
                <w:b/>
                <w:color w:val="000000" w:themeColor="text1"/>
                <w:sz w:val="24"/>
                <w:szCs w:val="24"/>
                <w:highlight w:val="none"/>
                <w14:textFill>
                  <w14:solidFill>
                    <w14:schemeClr w14:val="tx1"/>
                  </w14:solidFill>
                </w14:textFill>
              </w:rPr>
            </w:pPr>
          </w:p>
        </w:tc>
        <w:tc>
          <w:tcPr>
            <w:tcW w:w="1845" w:type="dxa"/>
            <w:tcBorders>
              <w:bottom w:val="double" w:color="auto" w:sz="4" w:space="0"/>
            </w:tcBorders>
            <w:vAlign w:val="bottom"/>
          </w:tcPr>
          <w:p w14:paraId="5EA60B3F">
            <w:pPr>
              <w:snapToGrid w:val="0"/>
              <w:spacing w:line="400" w:lineRule="atLeast"/>
              <w:contextualSpacing/>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备      注</w:t>
            </w:r>
          </w:p>
          <w:p w14:paraId="0FD4D321">
            <w:pPr>
              <w:rPr>
                <w:highlight w:val="none"/>
              </w:rPr>
            </w:pPr>
          </w:p>
        </w:tc>
        <w:tc>
          <w:tcPr>
            <w:tcW w:w="6143" w:type="dxa"/>
            <w:tcBorders>
              <w:bottom w:val="double" w:color="auto" w:sz="4" w:space="0"/>
              <w:right w:val="single" w:color="auto" w:sz="12" w:space="0"/>
            </w:tcBorders>
          </w:tcPr>
          <w:p w14:paraId="7C031463">
            <w:pPr>
              <w:snapToGrid w:val="0"/>
              <w:spacing w:line="400" w:lineRule="atLeast"/>
              <w:contextualSpacing/>
              <w:rPr>
                <w:rFonts w:ascii="仿宋_GB2312" w:hAnsi="仿宋_GB2312" w:eastAsia="仿宋_GB2312" w:cs="仿宋_GB2312"/>
                <w:color w:val="000000" w:themeColor="text1"/>
                <w:sz w:val="24"/>
                <w:szCs w:val="24"/>
                <w:highlight w:val="none"/>
                <w14:textFill>
                  <w14:solidFill>
                    <w14:schemeClr w14:val="tx1"/>
                  </w14:solidFill>
                </w14:textFill>
              </w:rPr>
            </w:pPr>
          </w:p>
        </w:tc>
      </w:tr>
      <w:tr w14:paraId="49DE6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vMerge w:val="restart"/>
            <w:tcBorders>
              <w:top w:val="double" w:color="auto" w:sz="4" w:space="0"/>
              <w:left w:val="single" w:color="auto" w:sz="12" w:space="0"/>
            </w:tcBorders>
            <w:vAlign w:val="center"/>
          </w:tcPr>
          <w:p w14:paraId="28A1EA84">
            <w:pPr>
              <w:snapToGrid w:val="0"/>
              <w:spacing w:line="400" w:lineRule="atLeast"/>
              <w:contextualSpacing/>
              <w:jc w:val="center"/>
              <w:rPr>
                <w:rFonts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乙方</w:t>
            </w:r>
          </w:p>
        </w:tc>
        <w:tc>
          <w:tcPr>
            <w:tcW w:w="1845" w:type="dxa"/>
            <w:tcBorders>
              <w:top w:val="double" w:color="auto" w:sz="4" w:space="0"/>
            </w:tcBorders>
            <w:vAlign w:val="bottom"/>
          </w:tcPr>
          <w:p w14:paraId="5241B724">
            <w:pPr>
              <w:snapToGrid w:val="0"/>
              <w:spacing w:line="400" w:lineRule="atLeast"/>
              <w:contextualSpacing/>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名      称</w:t>
            </w:r>
          </w:p>
        </w:tc>
        <w:tc>
          <w:tcPr>
            <w:tcW w:w="6143" w:type="dxa"/>
            <w:tcBorders>
              <w:top w:val="double" w:color="auto" w:sz="4" w:space="0"/>
              <w:right w:val="single" w:color="auto" w:sz="12" w:space="0"/>
            </w:tcBorders>
          </w:tcPr>
          <w:p w14:paraId="7880BC43">
            <w:pPr>
              <w:snapToGrid w:val="0"/>
              <w:spacing w:line="400" w:lineRule="atLeast"/>
              <w:contextualSpacing/>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 xml:space="preserve">                  </w:t>
            </w:r>
          </w:p>
        </w:tc>
      </w:tr>
      <w:tr w14:paraId="67A89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vMerge w:val="continue"/>
            <w:tcBorders>
              <w:left w:val="single" w:color="auto" w:sz="12" w:space="0"/>
            </w:tcBorders>
          </w:tcPr>
          <w:p w14:paraId="3EB6E0C5">
            <w:pPr>
              <w:snapToGrid w:val="0"/>
              <w:spacing w:line="400" w:lineRule="atLeast"/>
              <w:contextualSpacing/>
              <w:rPr>
                <w:rFonts w:ascii="仿宋_GB2312" w:hAnsi="仿宋_GB2312" w:eastAsia="仿宋_GB2312" w:cs="仿宋_GB2312"/>
                <w:color w:val="000000" w:themeColor="text1"/>
                <w:sz w:val="24"/>
                <w:szCs w:val="24"/>
                <w:highlight w:val="none"/>
                <w14:textFill>
                  <w14:solidFill>
                    <w14:schemeClr w14:val="tx1"/>
                  </w14:solidFill>
                </w14:textFill>
              </w:rPr>
            </w:pPr>
          </w:p>
        </w:tc>
        <w:tc>
          <w:tcPr>
            <w:tcW w:w="1845" w:type="dxa"/>
            <w:vAlign w:val="bottom"/>
          </w:tcPr>
          <w:p w14:paraId="67D5DA99">
            <w:pPr>
              <w:snapToGrid w:val="0"/>
              <w:spacing w:line="400" w:lineRule="atLeast"/>
              <w:contextualSpacing/>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纳税人身份</w:t>
            </w:r>
          </w:p>
        </w:tc>
        <w:tc>
          <w:tcPr>
            <w:tcW w:w="6143" w:type="dxa"/>
            <w:tcBorders>
              <w:right w:val="single" w:color="auto" w:sz="12" w:space="0"/>
            </w:tcBorders>
          </w:tcPr>
          <w:p w14:paraId="522C4407">
            <w:pPr>
              <w:snapToGrid w:val="0"/>
              <w:spacing w:line="400" w:lineRule="atLeast"/>
              <w:contextualSpacing/>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 xml:space="preserve">                  </w:t>
            </w:r>
          </w:p>
        </w:tc>
      </w:tr>
      <w:tr w14:paraId="064E3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vMerge w:val="continue"/>
            <w:tcBorders>
              <w:left w:val="single" w:color="auto" w:sz="12" w:space="0"/>
            </w:tcBorders>
          </w:tcPr>
          <w:p w14:paraId="1DDAE367">
            <w:pPr>
              <w:snapToGrid w:val="0"/>
              <w:spacing w:line="400" w:lineRule="atLeast"/>
              <w:contextualSpacing/>
              <w:rPr>
                <w:rFonts w:ascii="仿宋_GB2312" w:hAnsi="仿宋_GB2312" w:eastAsia="仿宋_GB2312" w:cs="仿宋_GB2312"/>
                <w:color w:val="000000" w:themeColor="text1"/>
                <w:sz w:val="24"/>
                <w:szCs w:val="24"/>
                <w:highlight w:val="none"/>
                <w14:textFill>
                  <w14:solidFill>
                    <w14:schemeClr w14:val="tx1"/>
                  </w14:solidFill>
                </w14:textFill>
              </w:rPr>
            </w:pPr>
          </w:p>
        </w:tc>
        <w:tc>
          <w:tcPr>
            <w:tcW w:w="1845" w:type="dxa"/>
            <w:vAlign w:val="bottom"/>
          </w:tcPr>
          <w:p w14:paraId="3DCD037B">
            <w:pPr>
              <w:snapToGrid w:val="0"/>
              <w:spacing w:line="400" w:lineRule="atLeast"/>
              <w:contextualSpacing/>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纳税人识别号</w:t>
            </w:r>
          </w:p>
        </w:tc>
        <w:tc>
          <w:tcPr>
            <w:tcW w:w="6143" w:type="dxa"/>
            <w:tcBorders>
              <w:right w:val="single" w:color="auto" w:sz="12" w:space="0"/>
            </w:tcBorders>
          </w:tcPr>
          <w:p w14:paraId="0D7D4A70">
            <w:pPr>
              <w:snapToGrid w:val="0"/>
              <w:spacing w:line="400" w:lineRule="atLeast"/>
              <w:contextualSpacing/>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 xml:space="preserve">                  </w:t>
            </w:r>
          </w:p>
        </w:tc>
      </w:tr>
      <w:tr w14:paraId="19FD8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vMerge w:val="continue"/>
            <w:tcBorders>
              <w:left w:val="single" w:color="auto" w:sz="12" w:space="0"/>
            </w:tcBorders>
          </w:tcPr>
          <w:p w14:paraId="285A1958">
            <w:pPr>
              <w:snapToGrid w:val="0"/>
              <w:spacing w:line="400" w:lineRule="atLeast"/>
              <w:contextualSpacing/>
              <w:rPr>
                <w:rFonts w:ascii="仿宋_GB2312" w:hAnsi="仿宋_GB2312" w:eastAsia="仿宋_GB2312" w:cs="仿宋_GB2312"/>
                <w:color w:val="000000" w:themeColor="text1"/>
                <w:sz w:val="24"/>
                <w:szCs w:val="24"/>
                <w:highlight w:val="none"/>
                <w14:textFill>
                  <w14:solidFill>
                    <w14:schemeClr w14:val="tx1"/>
                  </w14:solidFill>
                </w14:textFill>
              </w:rPr>
            </w:pPr>
          </w:p>
        </w:tc>
        <w:tc>
          <w:tcPr>
            <w:tcW w:w="1845" w:type="dxa"/>
            <w:vAlign w:val="bottom"/>
          </w:tcPr>
          <w:p w14:paraId="28349183">
            <w:pPr>
              <w:snapToGrid w:val="0"/>
              <w:spacing w:line="400" w:lineRule="atLeast"/>
              <w:contextualSpacing/>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地 址、电 话</w:t>
            </w:r>
          </w:p>
        </w:tc>
        <w:tc>
          <w:tcPr>
            <w:tcW w:w="6143" w:type="dxa"/>
            <w:tcBorders>
              <w:right w:val="single" w:color="auto" w:sz="12" w:space="0"/>
            </w:tcBorders>
            <w:vAlign w:val="bottom"/>
          </w:tcPr>
          <w:p w14:paraId="33914BE2">
            <w:pPr>
              <w:pStyle w:val="19"/>
              <w:jc w:val="both"/>
              <w:rPr>
                <w:rFonts w:ascii="仿宋_GB2312" w:hAnsi="仿宋_GB2312" w:eastAsia="仿宋_GB2312" w:cs="仿宋_GB2312"/>
                <w:bCs/>
                <w:color w:val="000000" w:themeColor="text1"/>
                <w:kern w:val="2"/>
                <w:highlight w:val="none"/>
                <w:u w:val="single"/>
                <w14:textFill>
                  <w14:solidFill>
                    <w14:schemeClr w14:val="tx1"/>
                  </w14:solidFill>
                </w14:textFill>
              </w:rPr>
            </w:pPr>
            <w:r>
              <w:rPr>
                <w:rFonts w:hint="eastAsia" w:ascii="仿宋_GB2312" w:hAnsi="仿宋_GB2312" w:eastAsia="仿宋_GB2312" w:cs="仿宋_GB2312"/>
                <w:color w:val="000000" w:themeColor="text1"/>
                <w:highlight w:val="none"/>
                <w:u w:val="single"/>
                <w14:textFill>
                  <w14:solidFill>
                    <w14:schemeClr w14:val="tx1"/>
                  </w14:solidFill>
                </w14:textFill>
              </w:rPr>
              <w:t xml:space="preserve">                  </w:t>
            </w:r>
          </w:p>
        </w:tc>
      </w:tr>
      <w:tr w14:paraId="58440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vMerge w:val="continue"/>
            <w:tcBorders>
              <w:left w:val="single" w:color="auto" w:sz="12" w:space="0"/>
              <w:bottom w:val="single" w:color="auto" w:sz="12" w:space="0"/>
            </w:tcBorders>
          </w:tcPr>
          <w:p w14:paraId="0A1D6DF1">
            <w:pPr>
              <w:snapToGrid w:val="0"/>
              <w:spacing w:line="400" w:lineRule="atLeast"/>
              <w:contextualSpacing/>
              <w:rPr>
                <w:rFonts w:ascii="仿宋_GB2312" w:hAnsi="仿宋_GB2312" w:eastAsia="仿宋_GB2312" w:cs="仿宋_GB2312"/>
                <w:color w:val="000000" w:themeColor="text1"/>
                <w:sz w:val="24"/>
                <w:szCs w:val="24"/>
                <w:highlight w:val="none"/>
                <w14:textFill>
                  <w14:solidFill>
                    <w14:schemeClr w14:val="tx1"/>
                  </w14:solidFill>
                </w14:textFill>
              </w:rPr>
            </w:pPr>
          </w:p>
        </w:tc>
        <w:tc>
          <w:tcPr>
            <w:tcW w:w="1845" w:type="dxa"/>
            <w:tcBorders>
              <w:bottom w:val="single" w:color="auto" w:sz="12" w:space="0"/>
            </w:tcBorders>
            <w:vAlign w:val="bottom"/>
          </w:tcPr>
          <w:p w14:paraId="7DFBED7A">
            <w:pPr>
              <w:snapToGrid w:val="0"/>
              <w:spacing w:line="400" w:lineRule="atLeast"/>
              <w:contextualSpacing/>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开户行及账号</w:t>
            </w:r>
          </w:p>
        </w:tc>
        <w:tc>
          <w:tcPr>
            <w:tcW w:w="6143" w:type="dxa"/>
            <w:tcBorders>
              <w:bottom w:val="single" w:color="auto" w:sz="12" w:space="0"/>
              <w:right w:val="single" w:color="auto" w:sz="12" w:space="0"/>
            </w:tcBorders>
          </w:tcPr>
          <w:p w14:paraId="37BD80E6">
            <w:pPr>
              <w:snapToGrid w:val="0"/>
              <w:spacing w:line="400" w:lineRule="atLeast"/>
              <w:contextualSpacing/>
              <w:rPr>
                <w:rFonts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 xml:space="preserve">                  </w:t>
            </w:r>
          </w:p>
        </w:tc>
      </w:tr>
      <w:permEnd w:id="47"/>
    </w:tbl>
    <w:p w14:paraId="36C45DB5">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任何一方如上述信息发生变更，应提前10日以书面方式通知另一方。如一方未按本合同规定通知而使另一方遭受损失的，应予以赔偿。</w:t>
      </w:r>
    </w:p>
    <w:p w14:paraId="4A5DBED5">
      <w:pPr>
        <w:pStyle w:val="19"/>
        <w:numPr>
          <w:ilvl w:val="0"/>
          <w:numId w:val="1"/>
        </w:numPr>
        <w:spacing w:before="120" w:beforeLines="50" w:after="120" w:afterLines="50" w:line="400" w:lineRule="atLeast"/>
        <w:ind w:firstLine="482" w:firstLineChars="200"/>
        <w:outlineLvl w:val="0"/>
        <w:rPr>
          <w:rFonts w:ascii="仿宋_GB2312" w:hAnsi="仿宋_GB2312" w:eastAsia="仿宋_GB2312" w:cs="仿宋_GB2312"/>
          <w:b/>
          <w:bCs/>
          <w:color w:val="000000" w:themeColor="text1"/>
          <w:highlight w:val="none"/>
          <w14:textFill>
            <w14:solidFill>
              <w14:schemeClr w14:val="tx1"/>
            </w14:solidFill>
          </w14:textFill>
        </w:rPr>
      </w:pPr>
      <w:bookmarkStart w:id="12" w:name="_Toc20382"/>
      <w:r>
        <w:rPr>
          <w:rFonts w:hint="eastAsia" w:ascii="仿宋_GB2312" w:hAnsi="仿宋_GB2312" w:eastAsia="仿宋_GB2312" w:cs="仿宋_GB2312"/>
          <w:b/>
          <w:bCs/>
          <w:color w:val="000000" w:themeColor="text1"/>
          <w:highlight w:val="none"/>
          <w14:textFill>
            <w14:solidFill>
              <w14:schemeClr w14:val="tx1"/>
            </w14:solidFill>
          </w14:textFill>
        </w:rPr>
        <w:t>货物付款</w:t>
      </w:r>
      <w:bookmarkEnd w:id="12"/>
    </w:p>
    <w:p w14:paraId="6B6E0674">
      <w:pPr>
        <w:pStyle w:val="19"/>
        <w:spacing w:line="400" w:lineRule="atLeast"/>
        <w:ind w:firstLine="482" w:firstLineChars="200"/>
        <w:jc w:val="both"/>
        <w:outlineLvl w:val="1"/>
        <w:rPr>
          <w:rFonts w:ascii="仿宋_GB2312" w:hAnsi="仿宋_GB2312" w:eastAsia="仿宋_GB2312" w:cs="仿宋_GB2312"/>
          <w:b/>
          <w:bCs/>
          <w:color w:val="000000" w:themeColor="text1"/>
          <w:highlight w:val="none"/>
          <w14:textFill>
            <w14:solidFill>
              <w14:schemeClr w14:val="tx1"/>
            </w14:solidFill>
          </w14:textFill>
        </w:rPr>
      </w:pPr>
      <w:bookmarkStart w:id="13" w:name="_Toc13188"/>
      <w:r>
        <w:rPr>
          <w:rFonts w:hint="eastAsia" w:ascii="仿宋_GB2312" w:hAnsi="仿宋_GB2312" w:eastAsia="仿宋_GB2312" w:cs="仿宋_GB2312"/>
          <w:b/>
          <w:bCs/>
          <w:color w:val="000000" w:themeColor="text1"/>
          <w:highlight w:val="none"/>
          <w14:textFill>
            <w14:solidFill>
              <w14:schemeClr w14:val="tx1"/>
            </w14:solidFill>
          </w14:textFill>
        </w:rPr>
        <w:t>1、</w:t>
      </w:r>
      <w:r>
        <w:rPr>
          <w:rFonts w:hint="eastAsia" w:ascii="仿宋_GB2312" w:hAnsi="仿宋_GB2312" w:eastAsia="仿宋_GB2312" w:cs="仿宋_GB2312"/>
          <w:b/>
          <w:bCs/>
          <w:color w:val="000000" w:themeColor="text1"/>
          <w:highlight w:val="yellow"/>
          <w14:textFill>
            <w14:solidFill>
              <w14:schemeClr w14:val="tx1"/>
            </w14:solidFill>
          </w14:textFill>
        </w:rPr>
        <w:t>支付周期及支付比例：</w:t>
      </w:r>
      <w:r>
        <w:rPr>
          <w:rFonts w:hint="eastAsia" w:ascii="仿宋_GB2312" w:hAnsi="仿宋_GB2312" w:eastAsia="仿宋_GB2312" w:cs="仿宋_GB2312"/>
          <w:color w:val="000000" w:themeColor="text1"/>
          <w:highlight w:val="yellow"/>
          <w14:textFill>
            <w14:solidFill>
              <w14:schemeClr w14:val="tx1"/>
            </w14:solidFill>
          </w14:textFill>
        </w:rPr>
        <w:t>双方办理完结算后，适用第</w:t>
      </w:r>
      <w:permStart w:id="48" w:edGrp="everyone"/>
      <w:r>
        <w:rPr>
          <w:rFonts w:hint="eastAsia" w:ascii="仿宋_GB2312" w:hAnsi="仿宋_GB2312" w:eastAsia="仿宋_GB2312" w:cs="仿宋_GB2312"/>
          <w:color w:val="000000" w:themeColor="text1"/>
          <w:highlight w:val="yellow"/>
          <w:u w:val="single"/>
          <w14:textFill>
            <w14:solidFill>
              <w14:schemeClr w14:val="tx1"/>
            </w14:solidFill>
          </w14:textFill>
        </w:rPr>
        <w:t xml:space="preserve"> </w:t>
      </w:r>
      <w:r>
        <w:rPr>
          <w:rFonts w:hint="eastAsia" w:ascii="仿宋_GB2312" w:hAnsi="仿宋_GB2312" w:eastAsia="仿宋_GB2312" w:cs="仿宋_GB2312"/>
          <w:color w:val="000000" w:themeColor="text1"/>
          <w:highlight w:val="yellow"/>
          <w:u w:val="single"/>
          <w:lang w:val="en-US" w:eastAsia="zh-CN"/>
          <w14:textFill>
            <w14:solidFill>
              <w14:schemeClr w14:val="tx1"/>
            </w14:solidFill>
          </w14:textFill>
        </w:rPr>
        <w:t>1.1</w:t>
      </w:r>
      <w:r>
        <w:rPr>
          <w:rFonts w:hint="eastAsia" w:ascii="仿宋_GB2312" w:hAnsi="仿宋_GB2312" w:eastAsia="仿宋_GB2312" w:cs="仿宋_GB2312"/>
          <w:color w:val="000000" w:themeColor="text1"/>
          <w:highlight w:val="yellow"/>
          <w:u w:val="single"/>
          <w14:textFill>
            <w14:solidFill>
              <w14:schemeClr w14:val="tx1"/>
            </w14:solidFill>
          </w14:textFill>
        </w:rPr>
        <w:t xml:space="preserve"> </w:t>
      </w:r>
      <w:permEnd w:id="48"/>
      <w:r>
        <w:rPr>
          <w:rFonts w:hint="eastAsia" w:ascii="仿宋_GB2312" w:hAnsi="仿宋_GB2312" w:eastAsia="仿宋_GB2312" w:cs="仿宋_GB2312"/>
          <w:color w:val="000000" w:themeColor="text1"/>
          <w:highlight w:val="yellow"/>
          <w14:textFill>
            <w14:solidFill>
              <w14:schemeClr w14:val="tx1"/>
            </w14:solidFill>
          </w14:textFill>
        </w:rPr>
        <w:t>条付款条件：</w:t>
      </w:r>
    </w:p>
    <w:p w14:paraId="28BC3BC4">
      <w:pPr>
        <w:pStyle w:val="19"/>
        <w:spacing w:line="400" w:lineRule="atLeast"/>
        <w:ind w:firstLine="480" w:firstLineChars="200"/>
        <w:jc w:val="both"/>
        <w:rPr>
          <w:rFonts w:ascii="仿宋_GB2312" w:hAnsi="仿宋_GB2312" w:eastAsia="仿宋_GB2312" w:cs="仿宋_GB2312"/>
          <w:color w:val="000000" w:themeColor="text1"/>
          <w:highlight w:val="none"/>
          <w:u w:val="singl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1.</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highlight w:val="none"/>
          <w14:textFill>
            <w14:solidFill>
              <w14:schemeClr w14:val="tx1"/>
            </w14:solidFill>
          </w14:textFill>
        </w:rPr>
        <w:t>本合同无预付款。</w:t>
      </w:r>
      <w:r>
        <w:rPr>
          <w:rFonts w:hint="eastAsia" w:ascii="仿宋_GB2312" w:hAnsi="仿宋_GB2312" w:eastAsia="仿宋_GB2312" w:cs="仿宋_GB2312"/>
          <w:b/>
          <w:bCs/>
          <w:color w:val="000000" w:themeColor="text1"/>
          <w:highlight w:val="none"/>
          <w14:textFill>
            <w14:solidFill>
              <w14:schemeClr w14:val="tx1"/>
            </w14:solidFill>
          </w14:textFill>
        </w:rPr>
        <w:t>甲方按资金审批计划对货款进行支付。</w:t>
      </w:r>
      <w:r>
        <w:rPr>
          <w:rFonts w:hint="eastAsia" w:ascii="仿宋_GB2312" w:hAnsi="仿宋_GB2312" w:eastAsia="仿宋_GB2312" w:cs="仿宋_GB2312"/>
          <w:color w:val="000000" w:themeColor="text1"/>
          <w:highlight w:val="none"/>
          <w14:textFill>
            <w14:solidFill>
              <w14:schemeClr w14:val="tx1"/>
            </w14:solidFill>
          </w14:textFill>
        </w:rPr>
        <w:t>付款期限自双方确认结算金额之日起计算，暂定为在甲乙双方完成月度物资结算手续且甲方收到乙方相应全额发票后，</w:t>
      </w:r>
      <w:permStart w:id="49" w:edGrp="everyone"/>
      <w:r>
        <w:rPr>
          <w:rFonts w:hint="eastAsia" w:ascii="仿宋_GB2312" w:hAnsi="仿宋_GB2312" w:eastAsia="仿宋_GB2312" w:cs="仿宋_GB2312"/>
          <w:color w:val="000000" w:themeColor="text1"/>
          <w:highlight w:val="none"/>
          <w:u w:val="single"/>
          <w:lang w:val="en-US" w:eastAsia="zh-CN"/>
          <w14:textFill>
            <w14:solidFill>
              <w14:schemeClr w14:val="tx1"/>
            </w14:solidFill>
          </w14:textFill>
        </w:rPr>
        <w:t>1</w:t>
      </w:r>
      <w:permEnd w:id="49"/>
      <w:r>
        <w:rPr>
          <w:rFonts w:hint="eastAsia" w:ascii="仿宋_GB2312" w:hAnsi="仿宋_GB2312" w:eastAsia="仿宋_GB2312" w:cs="仿宋_GB2312"/>
          <w:color w:val="000000" w:themeColor="text1"/>
          <w:highlight w:val="none"/>
          <w14:textFill>
            <w14:solidFill>
              <w14:schemeClr w14:val="tx1"/>
            </w14:solidFill>
          </w14:textFill>
        </w:rPr>
        <w:t>个月内支付当期</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结算</w:t>
      </w:r>
      <w:r>
        <w:rPr>
          <w:rFonts w:hint="eastAsia" w:ascii="仿宋_GB2312" w:hAnsi="仿宋_GB2312" w:eastAsia="仿宋_GB2312" w:cs="仿宋_GB2312"/>
          <w:color w:val="000000" w:themeColor="text1"/>
          <w:highlight w:val="none"/>
          <w14:textFill>
            <w14:solidFill>
              <w14:schemeClr w14:val="tx1"/>
            </w14:solidFill>
          </w14:textFill>
        </w:rPr>
        <w:t>货款的</w:t>
      </w:r>
      <w:permStart w:id="50" w:edGrp="everyone"/>
      <w:r>
        <w:rPr>
          <w:rFonts w:hint="eastAsia" w:ascii="仿宋_GB2312" w:hAnsi="仿宋_GB2312" w:eastAsia="仿宋_GB2312" w:cs="仿宋_GB2312"/>
          <w:color w:val="000000" w:themeColor="text1"/>
          <w:highlight w:val="none"/>
          <w:u w:val="single"/>
          <w:lang w:val="en-US" w:eastAsia="zh-CN"/>
          <w14:textFill>
            <w14:solidFill>
              <w14:schemeClr w14:val="tx1"/>
            </w14:solidFill>
          </w14:textFill>
        </w:rPr>
        <w:t>70</w:t>
      </w:r>
      <w:permEnd w:id="50"/>
      <w:r>
        <w:rPr>
          <w:rFonts w:hint="eastAsia" w:ascii="仿宋_GB2312" w:hAnsi="仿宋_GB2312" w:eastAsia="仿宋_GB2312" w:cs="仿宋_GB2312"/>
          <w:color w:val="000000" w:themeColor="text1"/>
          <w:highlight w:val="none"/>
          <w14:textFill>
            <w14:solidFill>
              <w14:schemeClr w14:val="tx1"/>
            </w14:solidFill>
          </w14:textFill>
        </w:rPr>
        <w:t>%，</w:t>
      </w:r>
      <w:permStart w:id="51" w:edGrp="everyone"/>
      <w:r>
        <w:rPr>
          <w:rFonts w:hint="eastAsia" w:ascii="仿宋_GB2312" w:hAnsi="仿宋_GB2312" w:eastAsia="仿宋_GB2312" w:cs="仿宋_GB2312"/>
          <w:color w:val="000000" w:themeColor="text1"/>
          <w:highlight w:val="none"/>
          <w:u w:val="single"/>
          <w:lang w:val="en-US" w:eastAsia="zh-CN"/>
          <w14:textFill>
            <w14:solidFill>
              <w14:schemeClr w14:val="tx1"/>
            </w14:solidFill>
          </w14:textFill>
        </w:rPr>
        <w:t>3</w:t>
      </w:r>
      <w:permEnd w:id="51"/>
      <w:r>
        <w:rPr>
          <w:rFonts w:hint="eastAsia" w:ascii="仿宋_GB2312" w:hAnsi="仿宋_GB2312" w:eastAsia="仿宋_GB2312" w:cs="仿宋_GB2312"/>
          <w:color w:val="000000" w:themeColor="text1"/>
          <w:highlight w:val="none"/>
          <w14:textFill>
            <w14:solidFill>
              <w14:schemeClr w14:val="tx1"/>
            </w14:solidFill>
          </w14:textFill>
        </w:rPr>
        <w:t>个月内支付至当期</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结算</w:t>
      </w:r>
      <w:r>
        <w:rPr>
          <w:rFonts w:hint="eastAsia" w:ascii="仿宋_GB2312" w:hAnsi="仿宋_GB2312" w:eastAsia="仿宋_GB2312" w:cs="仿宋_GB2312"/>
          <w:color w:val="000000" w:themeColor="text1"/>
          <w:highlight w:val="none"/>
          <w14:textFill>
            <w14:solidFill>
              <w14:schemeClr w14:val="tx1"/>
            </w14:solidFill>
          </w14:textFill>
        </w:rPr>
        <w:t>货款的</w:t>
      </w:r>
      <w:permStart w:id="52" w:edGrp="everyone"/>
      <w:r>
        <w:rPr>
          <w:rFonts w:hint="eastAsia" w:ascii="仿宋_GB2312" w:hAnsi="仿宋_GB2312" w:eastAsia="仿宋_GB2312" w:cs="仿宋_GB2312"/>
          <w:color w:val="000000" w:themeColor="text1"/>
          <w:highlight w:val="none"/>
          <w:u w:val="single"/>
          <w:lang w:val="en-US" w:eastAsia="zh-CN"/>
          <w14:textFill>
            <w14:solidFill>
              <w14:schemeClr w14:val="tx1"/>
            </w14:solidFill>
          </w14:textFill>
        </w:rPr>
        <w:t>95</w:t>
      </w:r>
      <w:permEnd w:id="52"/>
      <w:r>
        <w:rPr>
          <w:rFonts w:hint="eastAsia" w:ascii="仿宋_GB2312" w:hAnsi="仿宋_GB2312" w:eastAsia="仿宋_GB2312" w:cs="仿宋_GB2312"/>
          <w:color w:val="000000" w:themeColor="text1"/>
          <w:highlight w:val="none"/>
          <w14:textFill>
            <w14:solidFill>
              <w14:schemeClr w14:val="tx1"/>
            </w14:solidFill>
          </w14:textFill>
        </w:rPr>
        <w:t>%，余下</w:t>
      </w:r>
      <w:permStart w:id="53" w:edGrp="everyone"/>
      <w:r>
        <w:rPr>
          <w:rFonts w:hint="eastAsia" w:ascii="仿宋_GB2312" w:hAnsi="仿宋_GB2312" w:eastAsia="仿宋_GB2312" w:cs="仿宋_GB2312"/>
          <w:color w:val="000000" w:themeColor="text1"/>
          <w:highlight w:val="none"/>
          <w:u w:val="single"/>
          <w:lang w:val="en-US" w:eastAsia="zh-CN"/>
          <w14:textFill>
            <w14:solidFill>
              <w14:schemeClr w14:val="tx1"/>
            </w14:solidFill>
          </w14:textFill>
        </w:rPr>
        <w:t>5</w:t>
      </w:r>
      <w:permEnd w:id="53"/>
      <w:r>
        <w:rPr>
          <w:rFonts w:hint="eastAsia" w:ascii="仿宋_GB2312" w:hAnsi="仿宋_GB2312" w:eastAsia="仿宋_GB2312" w:cs="仿宋_GB2312"/>
          <w:color w:val="000000" w:themeColor="text1"/>
          <w:highlight w:val="none"/>
          <w14:textFill>
            <w14:solidFill>
              <w14:schemeClr w14:val="tx1"/>
            </w14:solidFill>
          </w14:textFill>
        </w:rPr>
        <w:t>%</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结算</w:t>
      </w:r>
      <w:r>
        <w:rPr>
          <w:rFonts w:hint="eastAsia" w:ascii="仿宋_GB2312" w:hAnsi="仿宋_GB2312" w:eastAsia="仿宋_GB2312" w:cs="仿宋_GB2312"/>
          <w:color w:val="000000" w:themeColor="text1"/>
          <w:highlight w:val="none"/>
          <w14:textFill>
            <w14:solidFill>
              <w14:schemeClr w14:val="tx1"/>
            </w14:solidFill>
          </w14:textFill>
        </w:rPr>
        <w:t>货款在乙方</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供货完毕、办理完最终结算后</w:t>
      </w:r>
      <w:permStart w:id="54" w:edGrp="everyone"/>
      <w:r>
        <w:rPr>
          <w:rFonts w:hint="eastAsia" w:ascii="仿宋_GB2312" w:hAnsi="仿宋_GB2312" w:eastAsia="仿宋_GB2312" w:cs="仿宋_GB2312"/>
          <w:color w:val="000000" w:themeColor="text1"/>
          <w:highlight w:val="none"/>
          <w:u w:val="single"/>
          <w:lang w:val="en-US" w:eastAsia="zh-CN"/>
          <w14:textFill>
            <w14:solidFill>
              <w14:schemeClr w14:val="tx1"/>
            </w14:solidFill>
          </w14:textFill>
        </w:rPr>
        <w:t>720</w:t>
      </w:r>
      <w:permEnd w:id="54"/>
      <w:r>
        <w:rPr>
          <w:rFonts w:hint="eastAsia" w:ascii="仿宋_GB2312" w:hAnsi="仿宋_GB2312" w:eastAsia="仿宋_GB2312" w:cs="仿宋_GB2312"/>
          <w:color w:val="000000" w:themeColor="text1"/>
          <w:highlight w:val="none"/>
          <w:lang w:val="en-US" w:eastAsia="zh-CN"/>
          <w14:textFill>
            <w14:solidFill>
              <w14:schemeClr w14:val="tx1"/>
            </w14:solidFill>
          </w14:textFill>
        </w:rPr>
        <w:t>日内</w:t>
      </w:r>
      <w:r>
        <w:rPr>
          <w:rFonts w:hint="eastAsia" w:ascii="仿宋_GB2312" w:hAnsi="仿宋_GB2312" w:eastAsia="仿宋_GB2312" w:cs="仿宋_GB2312"/>
          <w:color w:val="000000" w:themeColor="text1"/>
          <w:highlight w:val="none"/>
          <w14:textFill>
            <w14:solidFill>
              <w14:schemeClr w14:val="tx1"/>
            </w14:solidFill>
          </w14:textFill>
        </w:rPr>
        <w:t>付清。以此类推。</w:t>
      </w:r>
    </w:p>
    <w:p w14:paraId="0A5653B8">
      <w:pPr>
        <w:pStyle w:val="19"/>
        <w:spacing w:line="400" w:lineRule="atLeast"/>
        <w:ind w:firstLine="480" w:firstLineChars="200"/>
        <w:jc w:val="both"/>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1.</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highlight w:val="none"/>
          <w14:textFill>
            <w14:solidFill>
              <w14:schemeClr w14:val="tx1"/>
            </w14:solidFill>
          </w14:textFill>
        </w:rPr>
        <w:t>其他：</w:t>
      </w:r>
      <w:permStart w:id="55" w:edGrp="everyone"/>
      <w:r>
        <w:rPr>
          <w:rFonts w:hint="eastAsia" w:ascii="仿宋_GB2312" w:hAnsi="仿宋_GB2312" w:eastAsia="仿宋_GB2312" w:cs="仿宋_GB2312"/>
          <w:color w:val="000000" w:themeColor="text1"/>
          <w:highlight w:val="none"/>
          <w:u w:val="single"/>
          <w14:textFill>
            <w14:solidFill>
              <w14:schemeClr w14:val="tx1"/>
            </w14:solidFill>
          </w14:textFill>
        </w:rPr>
        <w:t xml:space="preserve"> /</w:t>
      </w:r>
      <w:permEnd w:id="55"/>
    </w:p>
    <w:p w14:paraId="1FA8417F">
      <w:pPr>
        <w:pStyle w:val="19"/>
        <w:spacing w:line="400" w:lineRule="atLeast"/>
        <w:ind w:firstLine="482"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2、</w:t>
      </w:r>
      <w:r>
        <w:rPr>
          <w:rFonts w:hint="eastAsia" w:ascii="仿宋_GB2312" w:hAnsi="仿宋_GB2312" w:eastAsia="仿宋_GB2312" w:cs="仿宋_GB2312"/>
          <w:b/>
          <w:bCs/>
          <w:color w:val="000000" w:themeColor="text1"/>
          <w:highlight w:val="yellow"/>
          <w14:textFill>
            <w14:solidFill>
              <w14:schemeClr w14:val="tx1"/>
            </w14:solidFill>
          </w14:textFill>
        </w:rPr>
        <w:t>支付形式：</w:t>
      </w:r>
      <w:r>
        <w:rPr>
          <w:rFonts w:hint="eastAsia" w:ascii="仿宋_GB2312" w:hAnsi="仿宋_GB2312" w:eastAsia="仿宋_GB2312" w:cs="仿宋_GB2312"/>
          <w:color w:val="000000" w:themeColor="text1"/>
          <w:highlight w:val="yellow"/>
          <w14:textFill>
            <w14:solidFill>
              <w14:schemeClr w14:val="tx1"/>
            </w14:solidFill>
          </w14:textFill>
        </w:rPr>
        <w:t>本合同付款形式适用第</w:t>
      </w:r>
      <w:r>
        <w:rPr>
          <w:rFonts w:hint="eastAsia" w:ascii="仿宋_GB2312" w:hAnsi="仿宋_GB2312" w:eastAsia="仿宋_GB2312" w:cs="仿宋_GB2312"/>
          <w:color w:val="000000" w:themeColor="text1"/>
          <w:highlight w:val="yellow"/>
          <w:u w:val="single"/>
          <w14:textFill>
            <w14:solidFill>
              <w14:schemeClr w14:val="tx1"/>
            </w14:solidFill>
          </w14:textFill>
        </w:rPr>
        <w:t xml:space="preserve"> </w:t>
      </w:r>
      <w:permStart w:id="56" w:edGrp="everyone"/>
      <w:r>
        <w:rPr>
          <w:rFonts w:hint="eastAsia" w:ascii="仿宋_GB2312" w:hAnsi="仿宋_GB2312" w:eastAsia="仿宋_GB2312" w:cs="仿宋_GB2312"/>
          <w:color w:val="000000" w:themeColor="text1"/>
          <w:highlight w:val="yellow"/>
          <w:u w:val="single"/>
          <w14:textFill>
            <w14:solidFill>
              <w14:schemeClr w14:val="tx1"/>
            </w14:solidFill>
          </w14:textFill>
        </w:rPr>
        <w:t xml:space="preserve">  2.2  </w:t>
      </w:r>
      <w:permEnd w:id="56"/>
      <w:r>
        <w:rPr>
          <w:rFonts w:hint="eastAsia" w:ascii="仿宋_GB2312" w:hAnsi="仿宋_GB2312" w:eastAsia="仿宋_GB2312" w:cs="仿宋_GB2312"/>
          <w:color w:val="000000" w:themeColor="text1"/>
          <w:highlight w:val="yellow"/>
          <w14:textFill>
            <w14:solidFill>
              <w14:schemeClr w14:val="tx1"/>
            </w14:solidFill>
          </w14:textFill>
        </w:rPr>
        <w:t>条；</w:t>
      </w:r>
    </w:p>
    <w:p w14:paraId="4B324724">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2.1货币付款。</w:t>
      </w:r>
    </w:p>
    <w:p w14:paraId="794A46FB">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2.2货币及其他的形式（包括且不限于支票、电汇、银行承兑汇票、商业承兑汇票、保理、信用证、供应链融资等）向乙方付款。（其中非现金付款方式不低于合同总价的</w:t>
      </w:r>
      <w:permStart w:id="57" w:edGrp="everyone"/>
      <w:r>
        <w:rPr>
          <w:rFonts w:hint="eastAsia" w:ascii="仿宋_GB2312" w:hAnsi="仿宋_GB2312" w:eastAsia="仿宋_GB2312" w:cs="仿宋_GB2312"/>
          <w:color w:val="000000" w:themeColor="text1"/>
          <w:highlight w:val="none"/>
          <w:u w:val="single"/>
          <w:lang w:val="en-US" w:eastAsia="zh-CN"/>
          <w14:textFill>
            <w14:solidFill>
              <w14:schemeClr w14:val="tx1"/>
            </w14:solidFill>
          </w14:textFill>
        </w:rPr>
        <w:t>30</w:t>
      </w:r>
      <w:permEnd w:id="57"/>
      <w:r>
        <w:rPr>
          <w:rFonts w:hint="eastAsia" w:ascii="仿宋_GB2312" w:hAnsi="仿宋_GB2312" w:eastAsia="仿宋_GB2312" w:cs="仿宋_GB2312"/>
          <w:color w:val="000000" w:themeColor="text1"/>
          <w:highlight w:val="none"/>
          <w14:textFill>
            <w14:solidFill>
              <w14:schemeClr w14:val="tx1"/>
            </w14:solidFill>
          </w14:textFill>
        </w:rPr>
        <w:t>%，期限为六个月，因此产生的相关贴现成本由乙方承担。乙方须保证资金往来账户与本合同所约定账户一致，开票单位名称与合同约定名称一致。）</w:t>
      </w:r>
    </w:p>
    <w:p w14:paraId="1016E053">
      <w:pPr>
        <w:pStyle w:val="19"/>
        <w:spacing w:line="400" w:lineRule="atLeast"/>
        <w:ind w:firstLine="482" w:firstLineChars="200"/>
        <w:jc w:val="both"/>
        <w:rPr>
          <w:rFonts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3、付款条件：乙方向甲方申请付款时，应先行满足以下条件：</w:t>
      </w:r>
    </w:p>
    <w:p w14:paraId="0D4C786A">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3.1所供产品无质量缺陷，乙方无违约记录，产品出厂合格证明以及检测报告完整无误。</w:t>
      </w:r>
    </w:p>
    <w:p w14:paraId="4B6B7B18">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3.2乙方申请付款依据的结算单已由甲方最终有效确认，付款期限已经届满。</w:t>
      </w:r>
    </w:p>
    <w:p w14:paraId="0EF3EE61">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3.3乙方已向甲方提供与结算等额增值税专用发票，且甲方已完成发票认证。</w:t>
      </w:r>
    </w:p>
    <w:p w14:paraId="4BAADEE2">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在支付条件达成的基础上，甲方按以上方式向乙方付款，预付款不适用上述条件。</w:t>
      </w:r>
    </w:p>
    <w:p w14:paraId="7FAAEC6C">
      <w:pPr>
        <w:pStyle w:val="19"/>
        <w:spacing w:line="400" w:lineRule="atLeast"/>
        <w:ind w:firstLine="482" w:firstLineChars="200"/>
        <w:rPr>
          <w:rFonts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4、乙方收款账户：</w:t>
      </w:r>
      <w:permStart w:id="58" w:edGrp="everyone"/>
      <w:r>
        <w:rPr>
          <w:rFonts w:hint="eastAsia" w:ascii="仿宋_GB2312" w:hAnsi="仿宋_GB2312" w:eastAsia="仿宋_GB2312" w:cs="仿宋_GB2312"/>
          <w:color w:val="000000" w:themeColor="text1"/>
          <w:highlight w:val="none"/>
          <w:u w:val="single"/>
          <w14:textFill>
            <w14:solidFill>
              <w14:schemeClr w14:val="tx1"/>
            </w14:solidFill>
          </w14:textFill>
        </w:rPr>
        <w:t xml:space="preserve">             </w:t>
      </w:r>
      <w:permEnd w:id="58"/>
    </w:p>
    <w:p w14:paraId="632DD47B">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开户银行：</w:t>
      </w:r>
      <w:permStart w:id="59" w:edGrp="everyone"/>
      <w:r>
        <w:rPr>
          <w:rFonts w:hint="eastAsia" w:ascii="仿宋_GB2312" w:hAnsi="仿宋_GB2312" w:eastAsia="仿宋_GB2312" w:cs="仿宋_GB2312"/>
          <w:color w:val="000000" w:themeColor="text1"/>
          <w:highlight w:val="none"/>
          <w:u w:val="single"/>
          <w14:textFill>
            <w14:solidFill>
              <w14:schemeClr w14:val="tx1"/>
            </w14:solidFill>
          </w14:textFill>
        </w:rPr>
        <w:t xml:space="preserve">             </w:t>
      </w:r>
      <w:permEnd w:id="59"/>
    </w:p>
    <w:p w14:paraId="1AFBA3C2">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银行帐号：</w:t>
      </w:r>
      <w:permStart w:id="60" w:edGrp="everyone"/>
      <w:r>
        <w:rPr>
          <w:rFonts w:hint="eastAsia" w:ascii="仿宋_GB2312" w:hAnsi="仿宋_GB2312" w:eastAsia="仿宋_GB2312" w:cs="仿宋_GB2312"/>
          <w:color w:val="000000" w:themeColor="text1"/>
          <w:highlight w:val="none"/>
          <w:u w:val="single"/>
          <w14:textFill>
            <w14:solidFill>
              <w14:schemeClr w14:val="tx1"/>
            </w14:solidFill>
          </w14:textFill>
        </w:rPr>
        <w:t xml:space="preserve">             </w:t>
      </w:r>
      <w:permEnd w:id="60"/>
    </w:p>
    <w:p w14:paraId="747F4DD7">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乙方指定</w:t>
      </w:r>
      <w:permStart w:id="61" w:edGrp="everyone"/>
      <w:r>
        <w:rPr>
          <w:rFonts w:hint="eastAsia" w:ascii="仿宋_GB2312" w:hAnsi="仿宋_GB2312" w:eastAsia="仿宋_GB2312" w:cs="仿宋_GB2312"/>
          <w:color w:val="000000" w:themeColor="text1"/>
          <w:highlight w:val="none"/>
          <w:u w:val="single"/>
          <w14:textFill>
            <w14:solidFill>
              <w14:schemeClr w14:val="tx1"/>
            </w14:solidFill>
          </w14:textFill>
        </w:rPr>
        <w:t xml:space="preserve">   </w:t>
      </w:r>
      <w:permEnd w:id="61"/>
      <w:r>
        <w:rPr>
          <w:rFonts w:hint="eastAsia" w:ascii="仿宋_GB2312" w:hAnsi="仿宋_GB2312" w:eastAsia="仿宋_GB2312" w:cs="仿宋_GB2312"/>
          <w:color w:val="000000" w:themeColor="text1"/>
          <w:highlight w:val="none"/>
          <w14:textFill>
            <w14:solidFill>
              <w14:schemeClr w14:val="tx1"/>
            </w14:solidFill>
          </w14:textFill>
        </w:rPr>
        <w:t>（身份证号：</w:t>
      </w:r>
      <w:permStart w:id="62" w:edGrp="everyone"/>
      <w:r>
        <w:rPr>
          <w:rFonts w:hint="eastAsia" w:ascii="仿宋_GB2312" w:hAnsi="仿宋_GB2312" w:eastAsia="仿宋_GB2312" w:cs="仿宋_GB2312"/>
          <w:color w:val="000000" w:themeColor="text1"/>
          <w:highlight w:val="none"/>
          <w:u w:val="single"/>
          <w14:textFill>
            <w14:solidFill>
              <w14:schemeClr w14:val="tx1"/>
            </w14:solidFill>
          </w14:textFill>
        </w:rPr>
        <w:t xml:space="preserve">   </w:t>
      </w:r>
      <w:permEnd w:id="62"/>
      <w:r>
        <w:rPr>
          <w:rFonts w:hint="eastAsia" w:ascii="仿宋_GB2312" w:hAnsi="仿宋_GB2312" w:eastAsia="仿宋_GB2312" w:cs="仿宋_GB2312"/>
          <w:color w:val="000000" w:themeColor="text1"/>
          <w:highlight w:val="none"/>
          <w14:textFill>
            <w14:solidFill>
              <w14:schemeClr w14:val="tx1"/>
            </w14:solidFill>
          </w14:textFill>
        </w:rPr>
        <w:t>）作为收款经办人，同甲方相关人员沟通洽商付款具体事宜。</w:t>
      </w:r>
    </w:p>
    <w:p w14:paraId="717A0762">
      <w:pPr>
        <w:pStyle w:val="19"/>
        <w:spacing w:line="400" w:lineRule="atLeast"/>
        <w:ind w:firstLine="482" w:firstLineChars="200"/>
        <w:rPr>
          <w:rFonts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甲方仅向乙方本单位名下银行账户支付价款，未经甲方同意，乙方不得委托任何第三方代为收款，否则甲方有权拒绝付款。</w:t>
      </w:r>
    </w:p>
    <w:p w14:paraId="5D8B8105">
      <w:pPr>
        <w:pStyle w:val="19"/>
        <w:spacing w:line="400" w:lineRule="atLeast"/>
        <w:ind w:firstLine="482"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5、账户变动：</w:t>
      </w:r>
      <w:r>
        <w:rPr>
          <w:rFonts w:hint="eastAsia" w:ascii="仿宋_GB2312" w:hAnsi="仿宋_GB2312" w:eastAsia="仿宋_GB2312" w:cs="仿宋_GB2312"/>
          <w:color w:val="000000" w:themeColor="text1"/>
          <w:highlight w:val="none"/>
          <w14:textFill>
            <w14:solidFill>
              <w14:schemeClr w14:val="tx1"/>
            </w14:solidFill>
          </w14:textFill>
        </w:rPr>
        <w:t>当乙方收款银行账号发生变动时，应以函件的形式书面通知甲方，否则甲方有权拒绝付款。若甲方在收到乙方的书面通知之前已按原账号付款，则甲方不再另行支付，由此造成的一切损失均由乙方自行承担。</w:t>
      </w:r>
    </w:p>
    <w:p w14:paraId="35BFBFD2">
      <w:pPr>
        <w:pStyle w:val="19"/>
        <w:spacing w:line="400" w:lineRule="atLeast"/>
        <w:ind w:firstLine="482" w:firstLineChars="200"/>
        <w:rPr>
          <w:rFonts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6、履约保证金缴纳及退还：</w:t>
      </w:r>
    </w:p>
    <w:p w14:paraId="1051DFAB">
      <w:pPr>
        <w:spacing w:line="400" w:lineRule="atLeast"/>
        <w:ind w:firstLine="482" w:firstLineChars="200"/>
        <w:rPr>
          <w:rFonts w:ascii="仿宋_GB2312" w:hAnsi="仿宋_GB2312" w:eastAsia="仿宋_GB2312" w:cs="仿宋_GB2312"/>
          <w:color w:val="000000" w:themeColor="text1"/>
          <w:sz w:val="24"/>
          <w:szCs w:val="24"/>
          <w:highlight w:val="yellow"/>
          <w:u w:val="single"/>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14:textFill>
            <w14:solidFill>
              <w14:schemeClr w14:val="tx1"/>
            </w14:solidFill>
          </w14:textFill>
        </w:rPr>
        <w:t>6.1</w:t>
      </w:r>
      <w:r>
        <w:rPr>
          <w:rFonts w:hint="eastAsia" w:ascii="仿宋_GB2312" w:hAnsi="仿宋_GB2312" w:eastAsia="仿宋_GB2312" w:cs="仿宋_GB2312"/>
          <w:b/>
          <w:bCs/>
          <w:color w:val="000000" w:themeColor="text1"/>
          <w:sz w:val="24"/>
          <w:szCs w:val="24"/>
          <w:highlight w:val="yellow"/>
          <w14:textFill>
            <w14:solidFill>
              <w14:schemeClr w14:val="tx1"/>
            </w14:solidFill>
          </w14:textFill>
        </w:rPr>
        <w:t>履约保证金缴纳形式：</w:t>
      </w:r>
      <w:r>
        <w:rPr>
          <w:rFonts w:hint="eastAsia" w:ascii="仿宋_GB2312" w:hAnsi="仿宋_GB2312" w:eastAsia="仿宋_GB2312" w:cs="仿宋_GB2312"/>
          <w:color w:val="000000" w:themeColor="text1"/>
          <w:sz w:val="24"/>
          <w:szCs w:val="24"/>
          <w:highlight w:val="yellow"/>
          <w14:textFill>
            <w14:solidFill>
              <w14:schemeClr w14:val="tx1"/>
            </w14:solidFill>
          </w14:textFill>
        </w:rPr>
        <w:t>乙方在签订合同前应向甲方缴纳合同额的</w:t>
      </w:r>
      <w:permStart w:id="63" w:edGrp="everyone"/>
      <w:r>
        <w:rPr>
          <w:rFonts w:hint="eastAsia" w:ascii="仿宋_GB2312" w:hAnsi="仿宋_GB2312" w:eastAsia="仿宋_GB2312" w:cs="仿宋_GB2312"/>
          <w:color w:val="000000" w:themeColor="text1"/>
          <w:sz w:val="24"/>
          <w:szCs w:val="24"/>
          <w:highlight w:val="yellow"/>
          <w:u w:val="single"/>
          <w14:textFill>
            <w14:solidFill>
              <w14:schemeClr w14:val="tx1"/>
            </w14:solidFill>
          </w14:textFill>
        </w:rPr>
        <w:t xml:space="preserve">   </w:t>
      </w:r>
    </w:p>
    <w:p w14:paraId="5795D204">
      <w:pPr>
        <w:spacing w:line="400" w:lineRule="atLeast"/>
        <w:rPr>
          <w:rFonts w:ascii="仿宋_GB2312" w:hAnsi="仿宋_GB2312" w:eastAsia="仿宋_GB2312" w:cs="仿宋_GB2312"/>
          <w:color w:val="000000" w:themeColor="text1"/>
          <w:sz w:val="24"/>
          <w:szCs w:val="24"/>
          <w:highlight w:val="yellow"/>
          <w14:textFill>
            <w14:solidFill>
              <w14:schemeClr w14:val="tx1"/>
            </w14:solidFill>
          </w14:textFill>
        </w:rPr>
      </w:pPr>
      <w:r>
        <w:rPr>
          <w:rFonts w:hint="eastAsia" w:ascii="仿宋_GB2312" w:hAnsi="仿宋_GB2312" w:eastAsia="仿宋_GB2312" w:cs="仿宋_GB2312"/>
          <w:color w:val="000000" w:themeColor="text1"/>
          <w:sz w:val="24"/>
          <w:szCs w:val="24"/>
          <w:highlight w:val="yellow"/>
          <w:u w:val="single"/>
          <w14:textFill>
            <w14:solidFill>
              <w14:schemeClr w14:val="tx1"/>
            </w14:solidFill>
          </w14:textFill>
        </w:rPr>
        <w:t xml:space="preserve"> / </w:t>
      </w:r>
      <w:permEnd w:id="63"/>
      <w:r>
        <w:rPr>
          <w:rFonts w:hint="eastAsia" w:ascii="仿宋_GB2312" w:hAnsi="仿宋_GB2312" w:eastAsia="仿宋_GB2312" w:cs="仿宋_GB2312"/>
          <w:color w:val="000000" w:themeColor="text1"/>
          <w:sz w:val="24"/>
          <w:szCs w:val="24"/>
          <w:highlight w:val="yellow"/>
          <w14:textFill>
            <w14:solidFill>
              <w14:schemeClr w14:val="tx1"/>
            </w14:solidFill>
          </w14:textFill>
        </w:rPr>
        <w:t>％或</w:t>
      </w:r>
      <w:permStart w:id="64" w:edGrp="everyone"/>
      <w:r>
        <w:rPr>
          <w:rFonts w:hint="eastAsia" w:ascii="仿宋_GB2312" w:hAnsi="仿宋_GB2312" w:eastAsia="仿宋_GB2312" w:cs="仿宋_GB2312"/>
          <w:color w:val="000000" w:themeColor="text1"/>
          <w:sz w:val="24"/>
          <w:szCs w:val="24"/>
          <w:highlight w:val="yellow"/>
          <w:u w:val="single"/>
          <w14:textFill>
            <w14:solidFill>
              <w14:schemeClr w14:val="tx1"/>
            </w14:solidFill>
          </w14:textFill>
        </w:rPr>
        <w:t xml:space="preserve"> / </w:t>
      </w:r>
      <w:permEnd w:id="64"/>
      <w:r>
        <w:rPr>
          <w:rFonts w:hint="eastAsia" w:ascii="仿宋_GB2312" w:hAnsi="仿宋_GB2312" w:eastAsia="仿宋_GB2312" w:cs="仿宋_GB2312"/>
          <w:color w:val="000000" w:themeColor="text1"/>
          <w:sz w:val="24"/>
          <w:szCs w:val="24"/>
          <w:highlight w:val="yellow"/>
          <w14:textFill>
            <w14:solidFill>
              <w14:schemeClr w14:val="tx1"/>
            </w14:solidFill>
          </w14:textFill>
        </w:rPr>
        <w:t>元的履约保证金，具体缴纳形式采用第</w:t>
      </w:r>
      <w:permStart w:id="65" w:edGrp="everyone"/>
      <w:r>
        <w:rPr>
          <w:rFonts w:hint="eastAsia" w:ascii="仿宋_GB2312" w:hAnsi="仿宋_GB2312" w:eastAsia="仿宋_GB2312" w:cs="仿宋_GB2312"/>
          <w:color w:val="000000" w:themeColor="text1"/>
          <w:sz w:val="24"/>
          <w:szCs w:val="24"/>
          <w:highlight w:val="yellow"/>
          <w:u w:val="single"/>
          <w14:textFill>
            <w14:solidFill>
              <w14:schemeClr w14:val="tx1"/>
            </w14:solidFill>
          </w14:textFill>
        </w:rPr>
        <w:t xml:space="preserve"> </w:t>
      </w:r>
      <w:r>
        <w:rPr>
          <w:rFonts w:hint="eastAsia" w:ascii="仿宋_GB2312" w:hAnsi="仿宋_GB2312" w:eastAsia="仿宋_GB2312" w:cs="仿宋_GB2312"/>
          <w:color w:val="000000" w:themeColor="text1"/>
          <w:sz w:val="24"/>
          <w:szCs w:val="24"/>
          <w:highlight w:val="yellow"/>
          <w:u w:val="single"/>
          <w:lang w:val="en-US" w:eastAsia="zh-CN"/>
          <w14:textFill>
            <w14:solidFill>
              <w14:schemeClr w14:val="tx1"/>
            </w14:solidFill>
          </w14:textFill>
        </w:rPr>
        <w:t>1.</w:t>
      </w:r>
      <w:bookmarkStart w:id="87" w:name="_GoBack"/>
      <w:bookmarkEnd w:id="87"/>
      <w:r>
        <w:rPr>
          <w:rFonts w:hint="eastAsia" w:ascii="仿宋_GB2312" w:hAnsi="仿宋_GB2312" w:eastAsia="仿宋_GB2312" w:cs="仿宋_GB2312"/>
          <w:color w:val="000000" w:themeColor="text1"/>
          <w:sz w:val="24"/>
          <w:szCs w:val="24"/>
          <w:highlight w:val="yellow"/>
          <w:u w:val="single"/>
          <w:lang w:val="en-US" w:eastAsia="zh-CN"/>
          <w14:textFill>
            <w14:solidFill>
              <w14:schemeClr w14:val="tx1"/>
            </w14:solidFill>
          </w14:textFill>
        </w:rPr>
        <w:t>5</w:t>
      </w:r>
      <w:r>
        <w:rPr>
          <w:rFonts w:hint="eastAsia" w:ascii="仿宋_GB2312" w:hAnsi="仿宋_GB2312" w:eastAsia="仿宋_GB2312" w:cs="仿宋_GB2312"/>
          <w:color w:val="000000" w:themeColor="text1"/>
          <w:sz w:val="24"/>
          <w:szCs w:val="24"/>
          <w:highlight w:val="yellow"/>
          <w:u w:val="single"/>
          <w14:textFill>
            <w14:solidFill>
              <w14:schemeClr w14:val="tx1"/>
            </w14:solidFill>
          </w14:textFill>
        </w:rPr>
        <w:t xml:space="preserve"> </w:t>
      </w:r>
      <w:permEnd w:id="65"/>
      <w:r>
        <w:rPr>
          <w:rFonts w:hint="eastAsia" w:ascii="仿宋_GB2312" w:hAnsi="仿宋_GB2312" w:eastAsia="仿宋_GB2312" w:cs="仿宋_GB2312"/>
          <w:color w:val="000000" w:themeColor="text1"/>
          <w:sz w:val="24"/>
          <w:szCs w:val="24"/>
          <w:highlight w:val="yellow"/>
          <w14:textFill>
            <w14:solidFill>
              <w14:schemeClr w14:val="tx1"/>
            </w14:solidFill>
          </w14:textFill>
        </w:rPr>
        <w:t>种：</w:t>
      </w:r>
    </w:p>
    <w:p w14:paraId="781E497A">
      <w:pPr>
        <w:spacing w:line="400" w:lineRule="atLeast"/>
        <w:ind w:firstLine="480" w:firstLineChars="200"/>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6.1.1无需缴纳履约保证金。</w:t>
      </w:r>
    </w:p>
    <w:p w14:paraId="03622DF8">
      <w:pPr>
        <w:spacing w:line="400" w:lineRule="atLeast"/>
        <w:ind w:firstLine="480" w:firstLineChars="200"/>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6.1.2银行转账：乙方未参与甲方其他在建项目，采用银行转账方式缴纳履约保证金，并由项目相应会计根据财务部规定办理相应流程，开具证明件。</w:t>
      </w:r>
    </w:p>
    <w:p w14:paraId="17E981F3">
      <w:pPr>
        <w:spacing w:line="400" w:lineRule="atLeast"/>
        <w:ind w:firstLine="480" w:firstLineChars="200"/>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6.1.3应付款抵扣：乙方参与甲方其他在建项目，履约保证金从其他项目应付款中抵扣，并由项目相应会计根据财务部规定办理相应流程，开具证明件。</w:t>
      </w:r>
    </w:p>
    <w:p w14:paraId="0E8B660F">
      <w:pPr>
        <w:spacing w:line="400" w:lineRule="atLeast"/>
        <w:ind w:firstLine="480" w:firstLineChars="200"/>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6.1.4履约保函（只接受银行保函，不接受商业保函）。</w:t>
      </w:r>
    </w:p>
    <w:p w14:paraId="1F11C82D">
      <w:pPr>
        <w:spacing w:line="400" w:lineRule="atLeast"/>
        <w:ind w:firstLine="480" w:firstLineChars="200"/>
        <w:rPr>
          <w:rFonts w:ascii="仿宋_GB2312" w:hAnsi="仿宋_GB2312" w:eastAsia="仿宋_GB2312" w:cs="仿宋_GB2312"/>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6.1.5其他</w:t>
      </w:r>
      <w:r>
        <w:rPr>
          <w:rFonts w:hint="eastAsia" w:ascii="仿宋_GB2312" w:hAnsi="仿宋_GB2312" w:eastAsia="仿宋_GB2312" w:cs="仿宋_GB2312"/>
          <w:b/>
          <w:bCs/>
          <w:color w:val="000000" w:themeColor="text1"/>
          <w:sz w:val="24"/>
          <w:szCs w:val="24"/>
          <w:highlight w:val="none"/>
          <w:u w:val="single"/>
          <w14:textFill>
            <w14:solidFill>
              <w14:schemeClr w14:val="tx1"/>
            </w14:solidFill>
          </w14:textFill>
        </w:rPr>
        <w:t xml:space="preserve"> </w:t>
      </w:r>
      <w:permStart w:id="66" w:edGrp="everyone"/>
      <w:r>
        <w:rPr>
          <w:rFonts w:hint="eastAsia" w:ascii="仿宋_GB2312" w:hAnsi="仿宋_GB2312" w:eastAsia="仿宋_GB2312" w:cs="仿宋_GB2312"/>
          <w:b/>
          <w:bCs/>
          <w:color w:val="000000" w:themeColor="text1"/>
          <w:sz w:val="24"/>
          <w:szCs w:val="24"/>
          <w:highlight w:val="none"/>
          <w:u w:val="single"/>
          <w:lang w:val="en-US" w:eastAsia="zh-CN"/>
          <w14:textFill>
            <w14:solidFill>
              <w14:schemeClr w14:val="tx1"/>
            </w14:solidFill>
          </w14:textFill>
        </w:rPr>
        <w:t>在结算中扣除</w:t>
      </w: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 xml:space="preserve"> </w:t>
      </w:r>
      <w:permEnd w:id="66"/>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p w14:paraId="1E9E2E61">
      <w:pPr>
        <w:spacing w:line="400" w:lineRule="atLeast"/>
        <w:ind w:firstLine="480" w:firstLineChars="200"/>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6.</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24"/>
          <w:szCs w:val="24"/>
          <w:highlight w:val="none"/>
          <w14:textFill>
            <w14:solidFill>
              <w14:schemeClr w14:val="tx1"/>
            </w14:solidFill>
          </w14:textFill>
        </w:rPr>
        <w:t>履约保证金缴纳账户：</w:t>
      </w:r>
    </w:p>
    <w:p w14:paraId="70908AA8">
      <w:pPr>
        <w:spacing w:line="400" w:lineRule="atLeast"/>
        <w:ind w:left="120" w:firstLine="480" w:firstLineChars="200"/>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户名：</w:t>
      </w:r>
      <w:permStart w:id="67" w:edGrp="everyone"/>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 xml:space="preserve"> 中建路桥集团建设发展有限公司 </w:t>
      </w:r>
      <w:permEnd w:id="67"/>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w:t>
      </w:r>
    </w:p>
    <w:p w14:paraId="37721938">
      <w:pPr>
        <w:spacing w:line="400" w:lineRule="atLeast"/>
        <w:ind w:left="120" w:firstLine="480" w:firstLineChars="200"/>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帐号：</w:t>
      </w:r>
      <w:permStart w:id="68" w:edGrp="everyone"/>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 xml:space="preserve"> 622012013000000258 </w:t>
      </w:r>
      <w:permEnd w:id="68"/>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w:t>
      </w:r>
    </w:p>
    <w:p w14:paraId="6200C432">
      <w:pPr>
        <w:spacing w:line="400" w:lineRule="atLeast"/>
        <w:ind w:left="120" w:firstLine="480" w:firstLineChars="200"/>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开户行：</w:t>
      </w:r>
      <w:permStart w:id="69" w:edGrp="everyone"/>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 xml:space="preserve"> 河北银行槐安路支行 </w:t>
      </w:r>
      <w:permEnd w:id="69"/>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w:t>
      </w:r>
    </w:p>
    <w:p w14:paraId="1BD30C7B">
      <w:pPr>
        <w:pStyle w:val="19"/>
        <w:spacing w:line="400" w:lineRule="atLeast"/>
        <w:ind w:firstLine="482" w:firstLineChars="200"/>
        <w:rPr>
          <w:highlight w:val="none"/>
        </w:rPr>
      </w:pPr>
      <w:r>
        <w:rPr>
          <w:rFonts w:hint="eastAsia" w:ascii="仿宋_GB2312" w:hAnsi="仿宋_GB2312" w:eastAsia="仿宋_GB2312" w:cs="仿宋_GB2312"/>
          <w:b/>
          <w:bCs/>
          <w:color w:val="000000" w:themeColor="text1"/>
          <w:highlight w:val="none"/>
          <w14:textFill>
            <w14:solidFill>
              <w14:schemeClr w14:val="tx1"/>
            </w14:solidFill>
          </w14:textFill>
        </w:rPr>
        <w:t>6.</w:t>
      </w:r>
      <w:r>
        <w:rPr>
          <w:rFonts w:hint="eastAsia" w:ascii="仿宋_GB2312" w:hAnsi="仿宋_GB2312" w:eastAsia="仿宋_GB2312" w:cs="仿宋_GB2312"/>
          <w:b/>
          <w:bCs/>
          <w:color w:val="000000" w:themeColor="text1"/>
          <w:highlight w:val="none"/>
          <w:lang w:val="en-US" w:eastAsia="zh-CN"/>
          <w14:textFill>
            <w14:solidFill>
              <w14:schemeClr w14:val="tx1"/>
            </w14:solidFill>
          </w14:textFill>
        </w:rPr>
        <w:t>3</w:t>
      </w:r>
      <w:r>
        <w:rPr>
          <w:rFonts w:hint="eastAsia" w:ascii="仿宋_GB2312" w:hAnsi="仿宋_GB2312" w:eastAsia="仿宋_GB2312" w:cs="仿宋_GB2312"/>
          <w:b/>
          <w:bCs/>
          <w:color w:val="000000" w:themeColor="text1"/>
          <w:highlight w:val="none"/>
          <w14:textFill>
            <w14:solidFill>
              <w14:schemeClr w14:val="tx1"/>
            </w14:solidFill>
          </w14:textFill>
        </w:rPr>
        <w:t>履约保证金退还：</w:t>
      </w:r>
      <w: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t>在合同完成后</w:t>
      </w:r>
      <w:permStart w:id="70" w:edGrp="everyone"/>
      <w:r>
        <w:rPr>
          <w:rFonts w:hint="eastAsia" w:ascii="仿宋_GB2312" w:hAnsi="仿宋_GB2312" w:eastAsia="仿宋_GB2312" w:cs="仿宋_GB2312"/>
          <w:color w:val="000000" w:themeColor="text1"/>
          <w:kern w:val="2"/>
          <w:sz w:val="24"/>
          <w:szCs w:val="24"/>
          <w:highlight w:val="none"/>
          <w:u w:val="single"/>
          <w:lang w:val="en-US" w:eastAsia="zh-CN" w:bidi="ar-SA"/>
          <w14:textFill>
            <w14:solidFill>
              <w14:schemeClr w14:val="tx1"/>
            </w14:solidFill>
          </w14:textFill>
        </w:rPr>
        <w:t>30</w:t>
      </w:r>
      <w:permEnd w:id="70"/>
      <w: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t>工作日内甲方无息退还乙方履约保证金（扣除违约金及应扣除款项）</w:t>
      </w:r>
      <w:r>
        <w:rPr>
          <w:rFonts w:hint="eastAsia" w:ascii="仿宋_GB2312" w:hAnsi="仿宋_GB2312" w:eastAsia="仿宋_GB2312" w:cs="仿宋_GB2312"/>
          <w:color w:val="000000" w:themeColor="text1"/>
          <w:highlight w:val="none"/>
          <w14:textFill>
            <w14:solidFill>
              <w14:schemeClr w14:val="tx1"/>
            </w14:solidFill>
          </w14:textFill>
        </w:rPr>
        <w:t>。</w:t>
      </w:r>
    </w:p>
    <w:p w14:paraId="07D5BA8A">
      <w:pPr>
        <w:spacing w:line="400" w:lineRule="atLeast"/>
        <w:ind w:firstLine="482" w:firstLineChars="200"/>
        <w:rPr>
          <w:rFonts w:hint="eastAsia" w:ascii="仿宋_GB2312" w:hAnsi="仿宋_GB2312" w:eastAsia="仿宋_GB2312" w:cs="仿宋_GB2312"/>
          <w:b/>
          <w:bCs/>
          <w:color w:val="000000" w:themeColor="text1"/>
          <w:sz w:val="24"/>
          <w:szCs w:val="24"/>
          <w:highlight w:val="none"/>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6.4</w:t>
      </w:r>
      <w:r>
        <w:rPr>
          <w:rFonts w:hint="eastAsia" w:ascii="仿宋_GB2312" w:hAnsi="仿宋_GB2312" w:eastAsia="仿宋_GB2312" w:cs="仿宋_GB2312"/>
          <w:b/>
          <w:bCs/>
          <w:color w:val="000000" w:themeColor="text1"/>
          <w:sz w:val="24"/>
          <w:szCs w:val="24"/>
          <w:highlight w:val="none"/>
          <w14:textFill>
            <w14:solidFill>
              <w14:schemeClr w14:val="tx1"/>
            </w14:solidFill>
          </w14:textFill>
        </w:rPr>
        <w:t>已缴纳履约保证金的，如发生以下任何一种情况履约保证金不予退还：</w:t>
      </w:r>
    </w:p>
    <w:p w14:paraId="126A7633">
      <w:pPr>
        <w:spacing w:line="400" w:lineRule="atLeas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6.4</w:t>
      </w:r>
      <w:r>
        <w:rPr>
          <w:rFonts w:hint="eastAsia" w:ascii="仿宋_GB2312" w:hAnsi="仿宋_GB2312" w:eastAsia="仿宋_GB2312" w:cs="仿宋_GB2312"/>
          <w:color w:val="000000" w:themeColor="text1"/>
          <w:sz w:val="24"/>
          <w:szCs w:val="24"/>
          <w:highlight w:val="none"/>
          <w14:textFill>
            <w14:solidFill>
              <w14:schemeClr w14:val="tx1"/>
            </w14:solidFill>
          </w14:textFill>
        </w:rPr>
        <w:t>.1无法正常供货的情况，包括任何原因的不供货或连续5日历天未能按甲方要求的数量供货。</w:t>
      </w:r>
    </w:p>
    <w:p w14:paraId="3F1FB6E1">
      <w:pPr>
        <w:spacing w:line="400" w:lineRule="atLeas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6.4</w:t>
      </w:r>
      <w:r>
        <w:rPr>
          <w:rFonts w:hint="eastAsia" w:ascii="仿宋_GB2312" w:hAnsi="仿宋_GB2312" w:eastAsia="仿宋_GB2312" w:cs="仿宋_GB2312"/>
          <w:color w:val="000000" w:themeColor="text1"/>
          <w:sz w:val="24"/>
          <w:szCs w:val="24"/>
          <w:highlight w:val="none"/>
          <w14:textFill>
            <w14:solidFill>
              <w14:schemeClr w14:val="tx1"/>
            </w14:solidFill>
          </w14:textFill>
        </w:rPr>
        <w:t>.2供应的物资不符合国家、甲方、业主和监理相关标准和要求，且在规定时间内不予调换、处理的情况。</w:t>
      </w:r>
    </w:p>
    <w:p w14:paraId="2FA15A5E">
      <w:pPr>
        <w:spacing w:line="400" w:lineRule="atLeas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6.4</w:t>
      </w:r>
      <w:r>
        <w:rPr>
          <w:rFonts w:hint="eastAsia" w:ascii="仿宋_GB2312" w:hAnsi="仿宋_GB2312" w:eastAsia="仿宋_GB2312" w:cs="仿宋_GB2312"/>
          <w:color w:val="000000" w:themeColor="text1"/>
          <w:sz w:val="24"/>
          <w:szCs w:val="24"/>
          <w:highlight w:val="none"/>
          <w14:textFill>
            <w14:solidFill>
              <w14:schemeClr w14:val="tx1"/>
            </w14:solidFill>
          </w14:textFill>
        </w:rPr>
        <w:t>.3不服从甲方管理的。</w:t>
      </w:r>
    </w:p>
    <w:p w14:paraId="1C3E719E">
      <w:pPr>
        <w:spacing w:line="400" w:lineRule="atLeas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6.4</w:t>
      </w:r>
      <w:r>
        <w:rPr>
          <w:rFonts w:hint="eastAsia" w:ascii="仿宋_GB2312" w:hAnsi="仿宋_GB2312" w:eastAsia="仿宋_GB2312" w:cs="仿宋_GB2312"/>
          <w:color w:val="000000" w:themeColor="text1"/>
          <w:sz w:val="24"/>
          <w:szCs w:val="24"/>
          <w:highlight w:val="none"/>
          <w14:textFill>
            <w14:solidFill>
              <w14:schemeClr w14:val="tx1"/>
            </w14:solidFill>
          </w14:textFill>
        </w:rPr>
        <w:t>.4因乙方原因给甲方造成损失的。</w:t>
      </w:r>
    </w:p>
    <w:p w14:paraId="7C86C591">
      <w:pPr>
        <w:spacing w:line="400" w:lineRule="atLeast"/>
        <w:ind w:firstLine="480" w:firstLineChars="200"/>
        <w:rPr>
          <w:rFonts w:hint="default"/>
          <w:highlight w:val="none"/>
          <w:lang w:val="en-US" w:eastAsia="zh-CN"/>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6.4</w:t>
      </w:r>
      <w:r>
        <w:rPr>
          <w:rFonts w:hint="eastAsia" w:ascii="仿宋_GB2312" w:hAnsi="仿宋_GB2312" w:eastAsia="仿宋_GB2312" w:cs="仿宋_GB2312"/>
          <w:color w:val="000000" w:themeColor="text1"/>
          <w:sz w:val="24"/>
          <w:szCs w:val="24"/>
          <w:highlight w:val="none"/>
          <w14:textFill>
            <w14:solidFill>
              <w14:schemeClr w14:val="tx1"/>
            </w14:solidFill>
          </w14:textFill>
        </w:rPr>
        <w:t>.</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24"/>
          <w:szCs w:val="24"/>
          <w:highlight w:val="none"/>
          <w14:textFill>
            <w14:solidFill>
              <w14:schemeClr w14:val="tx1"/>
            </w14:solidFill>
          </w14:textFill>
        </w:rPr>
        <w:t>如履约保证金不足以弥补甲方损失，甲方有权要求相应补偿。</w:t>
      </w:r>
    </w:p>
    <w:p w14:paraId="3F4E22F1">
      <w:pPr>
        <w:pStyle w:val="19"/>
        <w:spacing w:line="400" w:lineRule="atLeast"/>
        <w:ind w:firstLine="482" w:firstLineChars="200"/>
        <w:rPr>
          <w:rFonts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7、甲方禁止项目部及任何人员以甲方、甲方子企业或甲方项目部名义对外借款或者支取任何款项，如乙方或乙方有关人员以任何形式将款项出借或支付或返还给甲方项目部及任何人员，则不论该等款项是否实际用于甲方工程，均与甲方无关，该行为均属于乙方与相关人员个人之间的经济关系，乙方无权向甲方主张任何权利，亦不得要求甲方以货款抵偿。</w:t>
      </w:r>
    </w:p>
    <w:p w14:paraId="4F46FD6D">
      <w:pPr>
        <w:pStyle w:val="19"/>
        <w:spacing w:line="400" w:lineRule="atLeast"/>
        <w:ind w:firstLine="482" w:firstLineChars="200"/>
        <w:rPr>
          <w:rFonts w:hint="eastAsia" w:ascii="仿宋_GB2312" w:hAnsi="仿宋_GB2312" w:eastAsia="仿宋_GB2312" w:cs="仿宋_GB2312"/>
          <w:color w:val="000000" w:themeColor="text1"/>
          <w:highlight w:val="yellow"/>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8、</w:t>
      </w:r>
      <w:r>
        <w:rPr>
          <w:rFonts w:hint="eastAsia" w:ascii="仿宋_GB2312" w:hAnsi="仿宋_GB2312" w:eastAsia="仿宋_GB2312" w:cs="仿宋_GB2312"/>
          <w:b/>
          <w:bCs/>
          <w:color w:val="000000" w:themeColor="text1"/>
          <w:highlight w:val="yellow"/>
          <w:lang w:val="en-US" w:eastAsia="zh-CN"/>
          <w14:textFill>
            <w14:solidFill>
              <w14:schemeClr w14:val="tx1"/>
            </w14:solidFill>
          </w14:textFill>
        </w:rPr>
        <w:t>如双方因货款支付发生争议，对于争议解决前甲方存在迟付情形的已付款项，乙方放弃索要逾期利息、违约金或资金占用费的权利。非因甲方原因延迟支付结算款的，甲方不承担逾期利息，如甲方依法应承担逾期利息时，利息按照合同订立时全国银行间同业拆借中心公布的一年期贷款市场报价利率（LPR）计算，且逾期利息累计总额最高不超过本合同含税暂定总价的 6%。</w:t>
      </w:r>
    </w:p>
    <w:p w14:paraId="685912F2">
      <w:pPr>
        <w:spacing w:line="480" w:lineRule="exact"/>
        <w:ind w:firstLine="482" w:firstLineChars="200"/>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9、甲方拖欠线索受理联系人：</w:t>
      </w:r>
    </w:p>
    <w:p w14:paraId="65BD5BDB">
      <w:pPr>
        <w:spacing w:line="480" w:lineRule="exact"/>
        <w:ind w:firstLine="482" w:firstLineChars="200"/>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项目部联系人：</w:t>
      </w:r>
      <w:permStart w:id="71" w:edGrp="everyone"/>
      <w:r>
        <w:rPr>
          <w:rFonts w:hint="eastAsia" w:ascii="仿宋_GB2312" w:hAnsi="仿宋_GB2312" w:eastAsia="仿宋_GB2312" w:cs="仿宋_GB2312"/>
          <w:b/>
          <w:bCs/>
          <w:color w:val="000000" w:themeColor="text1"/>
          <w:sz w:val="24"/>
          <w:szCs w:val="24"/>
          <w:highlight w:val="none"/>
          <w:u w:val="single"/>
          <w:lang w:val="en-US" w:eastAsia="zh-CN"/>
          <w14:textFill>
            <w14:solidFill>
              <w14:schemeClr w14:val="tx1"/>
            </w14:solidFill>
          </w14:textFill>
        </w:rPr>
        <w:t xml:space="preserve">  刘学龙 </w:t>
      </w:r>
      <w:permEnd w:id="71"/>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，联系电话：</w:t>
      </w:r>
      <w:permStart w:id="72" w:edGrp="everyone"/>
      <w:r>
        <w:rPr>
          <w:rFonts w:hint="eastAsia" w:ascii="仿宋_GB2312" w:hAnsi="仿宋_GB2312" w:eastAsia="仿宋_GB2312" w:cs="仿宋_GB2312"/>
          <w:b/>
          <w:bCs/>
          <w:color w:val="000000" w:themeColor="text1"/>
          <w:sz w:val="24"/>
          <w:szCs w:val="24"/>
          <w:highlight w:val="none"/>
          <w:u w:val="single"/>
          <w:lang w:val="en-US" w:eastAsia="zh-CN"/>
          <w14:textFill>
            <w14:solidFill>
              <w14:schemeClr w14:val="tx1"/>
            </w14:solidFill>
          </w14:textFill>
        </w:rPr>
        <w:t xml:space="preserve">  13144551733  </w:t>
      </w:r>
      <w:permEnd w:id="72"/>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 xml:space="preserve">； </w:t>
      </w:r>
    </w:p>
    <w:p w14:paraId="6A448C0C">
      <w:pPr>
        <w:spacing w:line="480" w:lineRule="exact"/>
        <w:ind w:firstLine="482" w:firstLineChars="200"/>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公司联系人：</w:t>
      </w:r>
      <w:permStart w:id="73" w:edGrp="everyone"/>
      <w:r>
        <w:rPr>
          <w:rFonts w:hint="eastAsia" w:ascii="仿宋_GB2312" w:hAnsi="仿宋_GB2312" w:eastAsia="仿宋_GB2312" w:cs="仿宋_GB2312"/>
          <w:b/>
          <w:bCs/>
          <w:color w:val="000000" w:themeColor="text1"/>
          <w:sz w:val="24"/>
          <w:szCs w:val="24"/>
          <w:highlight w:val="none"/>
          <w:u w:val="single"/>
          <w:lang w:val="en-US" w:eastAsia="zh-CN"/>
          <w14:textFill>
            <w14:solidFill>
              <w14:schemeClr w14:val="tx1"/>
            </w14:solidFill>
          </w14:textFill>
        </w:rPr>
        <w:t xml:space="preserve">   侯双全     </w:t>
      </w:r>
      <w:permEnd w:id="73"/>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，联系电话：</w:t>
      </w:r>
      <w:permStart w:id="74" w:edGrp="everyone"/>
      <w:r>
        <w:rPr>
          <w:rFonts w:hint="eastAsia" w:ascii="仿宋_GB2312" w:hAnsi="仿宋_GB2312" w:eastAsia="仿宋_GB2312" w:cs="仿宋_GB2312"/>
          <w:b/>
          <w:bCs/>
          <w:color w:val="000000" w:themeColor="text1"/>
          <w:sz w:val="24"/>
          <w:szCs w:val="24"/>
          <w:highlight w:val="none"/>
          <w:u w:val="single"/>
          <w:lang w:val="en-US" w:eastAsia="zh-CN"/>
          <w14:textFill>
            <w14:solidFill>
              <w14:schemeClr w14:val="tx1"/>
            </w14:solidFill>
          </w14:textFill>
        </w:rPr>
        <w:t xml:space="preserve">  </w:t>
      </w:r>
      <w:r>
        <w:rPr>
          <w:rFonts w:hint="eastAsia" w:ascii="仿宋_GB2312" w:hAnsi="仿宋_GB2312" w:eastAsia="仿宋_GB2312" w:cs="仿宋_GB2312"/>
          <w:b/>
          <w:bCs/>
          <w:i/>
          <w:iCs/>
          <w:color w:val="000000" w:themeColor="text1"/>
          <w:sz w:val="24"/>
          <w:szCs w:val="24"/>
          <w:highlight w:val="none"/>
          <w:u w:val="single"/>
          <w:lang w:val="en-US" w:eastAsia="zh-CN"/>
          <w14:textFill>
            <w14:solidFill>
              <w14:schemeClr w14:val="tx1"/>
            </w14:solidFill>
          </w14:textFill>
        </w:rPr>
        <w:t xml:space="preserve">0311-89915065 </w:t>
      </w:r>
      <w:permEnd w:id="74"/>
    </w:p>
    <w:p w14:paraId="165F6E3E">
      <w:pPr>
        <w:spacing w:line="480" w:lineRule="exact"/>
        <w:ind w:firstLine="482" w:firstLineChars="200"/>
        <w:rPr>
          <w:rFonts w:hint="default" w:ascii="仿宋_GB2312" w:hAnsi="仿宋_GB2312" w:eastAsia="仿宋_GB2312" w:cs="仿宋_GB2312"/>
          <w:b/>
          <w:bCs/>
          <w:color w:val="000000" w:themeColor="text1"/>
          <w:sz w:val="24"/>
          <w:szCs w:val="24"/>
          <w:highlight w:val="none"/>
          <w:u w:val="single"/>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公司信访投诉电话：</w:t>
      </w:r>
      <w:permStart w:id="75" w:edGrp="everyone"/>
      <w:r>
        <w:rPr>
          <w:rFonts w:hint="eastAsia" w:ascii="仿宋_GB2312" w:hAnsi="仿宋_GB2312" w:eastAsia="仿宋_GB2312" w:cs="仿宋_GB2312"/>
          <w:b/>
          <w:bCs/>
          <w:color w:val="000000" w:themeColor="text1"/>
          <w:sz w:val="24"/>
          <w:szCs w:val="24"/>
          <w:highlight w:val="none"/>
          <w:u w:val="single"/>
          <w:lang w:val="en-US" w:eastAsia="zh-CN"/>
          <w14:textFill>
            <w14:solidFill>
              <w14:schemeClr w14:val="tx1"/>
            </w14:solidFill>
          </w14:textFill>
        </w:rPr>
        <w:t xml:space="preserve">  </w:t>
      </w:r>
      <w:r>
        <w:rPr>
          <w:rFonts w:hint="eastAsia" w:ascii="仿宋_GB2312" w:hAnsi="仿宋_GB2312" w:eastAsia="仿宋_GB2312" w:cs="仿宋_GB2312"/>
          <w:b/>
          <w:bCs/>
          <w:i w:val="0"/>
          <w:iCs w:val="0"/>
          <w:color w:val="000000" w:themeColor="text1"/>
          <w:sz w:val="24"/>
          <w:szCs w:val="24"/>
          <w:highlight w:val="none"/>
          <w:u w:val="single"/>
          <w:lang w:val="en-US" w:eastAsia="zh-CN"/>
          <w14:textFill>
            <w14:solidFill>
              <w14:schemeClr w14:val="tx1"/>
            </w14:solidFill>
          </w14:textFill>
        </w:rPr>
        <w:t xml:space="preserve">03118915068 </w:t>
      </w:r>
      <w:permEnd w:id="75"/>
    </w:p>
    <w:p w14:paraId="46AEF018">
      <w:pPr>
        <w:spacing w:line="480" w:lineRule="exact"/>
        <w:ind w:firstLine="482" w:firstLineChars="200"/>
        <w:rPr>
          <w:rFonts w:hint="default" w:ascii="仿宋_GB2312" w:hAnsi="仿宋_GB2312" w:eastAsia="仿宋_GB2312" w:cs="仿宋_GB2312"/>
          <w:b/>
          <w:bCs/>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信访投诉邮箱：</w:t>
      </w:r>
      <w:permStart w:id="76" w:edGrp="everyone"/>
      <w:r>
        <w:rPr>
          <w:rFonts w:hint="eastAsia" w:ascii="仿宋_GB2312" w:hAnsi="仿宋_GB2312" w:eastAsia="仿宋_GB2312" w:cs="仿宋_GB2312"/>
          <w:b/>
          <w:bCs/>
          <w:color w:val="000000" w:themeColor="text1"/>
          <w:sz w:val="24"/>
          <w:szCs w:val="24"/>
          <w:highlight w:val="none"/>
          <w:u w:val="single"/>
          <w:lang w:val="en-US" w:eastAsia="zh-CN"/>
          <w14:textFill>
            <w14:solidFill>
              <w14:schemeClr w14:val="tx1"/>
            </w14:solidFill>
          </w14:textFill>
        </w:rPr>
        <w:t xml:space="preserve"> </w:t>
      </w:r>
      <w:r>
        <w:rPr>
          <w:rFonts w:hint="eastAsia" w:ascii="仿宋_GB2312" w:hAnsi="仿宋_GB2312" w:eastAsia="仿宋_GB2312" w:cs="仿宋_GB2312"/>
          <w:b/>
          <w:bCs/>
          <w:i w:val="0"/>
          <w:iCs w:val="0"/>
          <w:color w:val="auto"/>
          <w:sz w:val="24"/>
          <w:szCs w:val="24"/>
          <w:highlight w:val="none"/>
          <w:u w:val="single"/>
          <w:lang w:val="en-US" w:eastAsia="zh-CN"/>
        </w:rPr>
        <w:fldChar w:fldCharType="begin"/>
      </w:r>
      <w:r>
        <w:rPr>
          <w:rFonts w:hint="eastAsia" w:ascii="仿宋_GB2312" w:hAnsi="仿宋_GB2312" w:eastAsia="仿宋_GB2312" w:cs="仿宋_GB2312"/>
          <w:b/>
          <w:bCs/>
          <w:i w:val="0"/>
          <w:iCs w:val="0"/>
          <w:color w:val="auto"/>
          <w:sz w:val="24"/>
          <w:szCs w:val="24"/>
          <w:highlight w:val="none"/>
          <w:u w:val="single"/>
          <w:lang w:val="en-US" w:eastAsia="zh-CN"/>
        </w:rPr>
        <w:instrText xml:space="preserve"> HYPERLINK "mailto:604869518@qq.com" </w:instrText>
      </w:r>
      <w:r>
        <w:rPr>
          <w:rFonts w:hint="eastAsia" w:ascii="仿宋_GB2312" w:hAnsi="仿宋_GB2312" w:eastAsia="仿宋_GB2312" w:cs="仿宋_GB2312"/>
          <w:b/>
          <w:bCs/>
          <w:i w:val="0"/>
          <w:iCs w:val="0"/>
          <w:color w:val="auto"/>
          <w:sz w:val="24"/>
          <w:szCs w:val="24"/>
          <w:highlight w:val="none"/>
          <w:u w:val="single"/>
          <w:lang w:val="en-US" w:eastAsia="zh-CN"/>
        </w:rPr>
        <w:fldChar w:fldCharType="separate"/>
      </w:r>
      <w:r>
        <w:rPr>
          <w:rStyle w:val="18"/>
          <w:rFonts w:hint="eastAsia" w:ascii="仿宋_GB2312" w:hAnsi="仿宋_GB2312" w:eastAsia="仿宋_GB2312" w:cs="仿宋_GB2312"/>
          <w:b/>
          <w:bCs/>
          <w:i w:val="0"/>
          <w:iCs w:val="0"/>
          <w:color w:val="auto"/>
          <w:sz w:val="24"/>
          <w:szCs w:val="24"/>
          <w:highlight w:val="none"/>
          <w:lang w:val="en-US" w:eastAsia="zh-CN"/>
        </w:rPr>
        <w:t>604869518@qq.com</w:t>
      </w:r>
      <w:r>
        <w:rPr>
          <w:rFonts w:hint="eastAsia" w:ascii="仿宋_GB2312" w:hAnsi="仿宋_GB2312" w:eastAsia="仿宋_GB2312" w:cs="仿宋_GB2312"/>
          <w:b/>
          <w:bCs/>
          <w:i w:val="0"/>
          <w:iCs w:val="0"/>
          <w:color w:val="auto"/>
          <w:sz w:val="24"/>
          <w:szCs w:val="24"/>
          <w:highlight w:val="none"/>
          <w:u w:val="single"/>
          <w:lang w:val="en-US" w:eastAsia="zh-CN"/>
        </w:rPr>
        <w:fldChar w:fldCharType="end"/>
      </w:r>
      <w:permEnd w:id="76"/>
    </w:p>
    <w:p w14:paraId="17376349">
      <w:pPr>
        <w:spacing w:line="480" w:lineRule="exact"/>
        <w:ind w:firstLine="482" w:firstLineChars="200"/>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云筑网中建系统账款投诉平台：https://ts.yzw.cn</w:t>
      </w:r>
    </w:p>
    <w:p w14:paraId="7BCB4136">
      <w:pPr>
        <w:pStyle w:val="19"/>
        <w:spacing w:line="400" w:lineRule="atLeast"/>
        <w:ind w:firstLine="482" w:firstLineChars="200"/>
        <w:rPr>
          <w:rFonts w:ascii="仿宋_GB2312" w:hAnsi="仿宋_GB2312" w:eastAsia="仿宋_GB2312" w:cs="仿宋_GB2312"/>
          <w:b/>
          <w:bCs/>
          <w:color w:val="000000" w:themeColor="text1"/>
          <w:highlight w:val="none"/>
          <w:u w:val="single"/>
          <w14:textFill>
            <w14:solidFill>
              <w14:schemeClr w14:val="tx1"/>
            </w14:solidFill>
          </w14:textFill>
        </w:rPr>
      </w:pPr>
      <w:r>
        <w:rPr>
          <w:rFonts w:hint="eastAsia" w:ascii="仿宋_GB2312" w:hAnsi="仿宋_GB2312" w:eastAsia="仿宋_GB2312" w:cs="仿宋_GB2312"/>
          <w:b/>
          <w:bCs/>
          <w:color w:val="000000" w:themeColor="text1"/>
          <w:highlight w:val="none"/>
          <w:lang w:val="en-US" w:eastAsia="zh-CN"/>
          <w14:textFill>
            <w14:solidFill>
              <w14:schemeClr w14:val="tx1"/>
            </w14:solidFill>
          </w14:textFill>
        </w:rPr>
        <w:t>10</w:t>
      </w:r>
      <w:r>
        <w:rPr>
          <w:rFonts w:hint="eastAsia" w:ascii="仿宋_GB2312" w:hAnsi="仿宋_GB2312" w:eastAsia="仿宋_GB2312" w:cs="仿宋_GB2312"/>
          <w:b/>
          <w:bCs/>
          <w:color w:val="000000" w:themeColor="text1"/>
          <w:highlight w:val="none"/>
          <w14:textFill>
            <w14:solidFill>
              <w14:schemeClr w14:val="tx1"/>
            </w14:solidFill>
          </w14:textFill>
        </w:rPr>
        <w:t>、其他：</w:t>
      </w:r>
      <w:permStart w:id="77" w:edGrp="everyone"/>
      <w:r>
        <w:rPr>
          <w:rFonts w:hint="eastAsia" w:ascii="仿宋_GB2312" w:hAnsi="仿宋_GB2312" w:eastAsia="仿宋_GB2312" w:cs="仿宋_GB2312"/>
          <w:b/>
          <w:bCs/>
          <w:color w:val="000000" w:themeColor="text1"/>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highlight w:val="none"/>
          <w:u w:val="single"/>
          <w14:textFill>
            <w14:solidFill>
              <w14:schemeClr w14:val="tx1"/>
            </w14:solidFill>
          </w14:textFill>
        </w:rPr>
        <w:t xml:space="preserve">/                  </w:t>
      </w:r>
      <w:permEnd w:id="77"/>
      <w:r>
        <w:rPr>
          <w:rFonts w:hint="eastAsia" w:ascii="仿宋_GB2312" w:hAnsi="仿宋_GB2312" w:eastAsia="仿宋_GB2312" w:cs="仿宋_GB2312"/>
          <w:color w:val="000000" w:themeColor="text1"/>
          <w:highlight w:val="none"/>
          <w14:textFill>
            <w14:solidFill>
              <w14:schemeClr w14:val="tx1"/>
            </w14:solidFill>
          </w14:textFill>
        </w:rPr>
        <w:t>。</w:t>
      </w:r>
    </w:p>
    <w:p w14:paraId="32B3726D">
      <w:pPr>
        <w:pStyle w:val="19"/>
        <w:numPr>
          <w:ilvl w:val="0"/>
          <w:numId w:val="1"/>
        </w:numPr>
        <w:spacing w:before="120" w:beforeLines="50" w:after="120" w:afterLines="50" w:line="400" w:lineRule="atLeast"/>
        <w:ind w:firstLine="482" w:firstLineChars="200"/>
        <w:outlineLvl w:val="0"/>
        <w:rPr>
          <w:rFonts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通知与送达</w:t>
      </w:r>
      <w:bookmarkEnd w:id="13"/>
    </w:p>
    <w:p w14:paraId="75A5E365">
      <w:pPr>
        <w:pStyle w:val="19"/>
        <w:numPr>
          <w:ilvl w:val="0"/>
          <w:numId w:val="6"/>
        </w:numPr>
        <w:spacing w:line="400" w:lineRule="atLeast"/>
        <w:ind w:firstLine="480" w:firstLineChars="200"/>
        <w:jc w:val="both"/>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本合同中涉及合同、文件、律师函、诉讼文书的送达地址或邮箱及法律后果作如下约定：</w:t>
      </w:r>
    </w:p>
    <w:p w14:paraId="3A087741">
      <w:pPr>
        <w:pStyle w:val="19"/>
        <w:spacing w:line="400" w:lineRule="atLeast"/>
        <w:ind w:firstLine="480" w:firstLineChars="200"/>
        <w:jc w:val="both"/>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1.1甲方确认其有效的送达地址为：</w:t>
      </w:r>
      <w:permStart w:id="78" w:edGrp="everyone"/>
      <w:r>
        <w:rPr>
          <w:rFonts w:hint="eastAsia" w:ascii="仿宋_GB2312" w:hAnsi="仿宋_GB2312" w:eastAsia="仿宋_GB2312" w:cs="仿宋_GB2312"/>
          <w:color w:val="000000" w:themeColor="text1"/>
          <w:highlight w:val="none"/>
          <w:u w:val="single"/>
          <w14:textFill>
            <w14:solidFill>
              <w14:schemeClr w14:val="tx1"/>
            </w14:solidFill>
          </w14:textFill>
        </w:rPr>
        <w:t xml:space="preserve"> 广西桂林市阳朔县兴坪镇法院旁中建路桥</w:t>
      </w:r>
      <w:r>
        <w:rPr>
          <w:rFonts w:hint="eastAsia" w:ascii="仿宋_GB2312" w:hAnsi="仿宋_GB2312" w:eastAsia="仿宋_GB2312" w:cs="仿宋_GB2312"/>
          <w:color w:val="000000" w:themeColor="text1"/>
          <w:highlight w:val="none"/>
          <w:u w:val="single"/>
          <w:lang w:val="en-US" w:eastAsia="zh-CN"/>
          <w14:textFill>
            <w14:solidFill>
              <w14:schemeClr w14:val="tx1"/>
            </w14:solidFill>
          </w14:textFill>
        </w:rPr>
        <w:t>兴坪项目部</w:t>
      </w:r>
      <w:r>
        <w:rPr>
          <w:rFonts w:hint="eastAsia" w:ascii="仿宋_GB2312" w:hAnsi="仿宋_GB2312" w:eastAsia="仿宋_GB2312" w:cs="仿宋_GB2312"/>
          <w:color w:val="000000" w:themeColor="text1"/>
          <w:highlight w:val="none"/>
          <w:u w:val="single"/>
          <w14:textFill>
            <w14:solidFill>
              <w14:schemeClr w14:val="tx1"/>
            </w14:solidFill>
          </w14:textFill>
        </w:rPr>
        <w:t xml:space="preserve"> </w:t>
      </w:r>
      <w:permEnd w:id="78"/>
      <w:r>
        <w:rPr>
          <w:rFonts w:hint="eastAsia" w:ascii="仿宋_GB2312" w:hAnsi="仿宋_GB2312" w:eastAsia="仿宋_GB2312" w:cs="仿宋_GB2312"/>
          <w:color w:val="000000" w:themeColor="text1"/>
          <w:highlight w:val="none"/>
          <w14:textFill>
            <w14:solidFill>
              <w14:schemeClr w14:val="tx1"/>
            </w14:solidFill>
          </w14:textFill>
        </w:rPr>
        <w:t>；</w:t>
      </w:r>
    </w:p>
    <w:p w14:paraId="0346B101">
      <w:pPr>
        <w:pStyle w:val="19"/>
        <w:spacing w:line="400" w:lineRule="atLeast"/>
        <w:ind w:firstLine="720" w:firstLineChars="300"/>
        <w:jc w:val="both"/>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联系人及电话：</w:t>
      </w:r>
      <w:permStart w:id="79" w:edGrp="everyone"/>
      <w:r>
        <w:rPr>
          <w:rFonts w:hint="eastAsia" w:ascii="仿宋_GB2312" w:hAnsi="仿宋_GB2312" w:eastAsia="仿宋_GB2312" w:cs="仿宋_GB2312"/>
          <w:color w:val="000000" w:themeColor="text1"/>
          <w:highlight w:val="none"/>
          <w:u w:val="single"/>
          <w:lang w:val="en-US" w:eastAsia="zh-CN"/>
          <w14:textFill>
            <w14:solidFill>
              <w14:schemeClr w14:val="tx1"/>
            </w14:solidFill>
          </w14:textFill>
        </w:rPr>
        <w:t>13144551733</w:t>
      </w:r>
      <w:permEnd w:id="79"/>
      <w:r>
        <w:rPr>
          <w:rFonts w:hint="eastAsia" w:ascii="仿宋_GB2312" w:hAnsi="仿宋_GB2312" w:eastAsia="仿宋_GB2312" w:cs="仿宋_GB2312"/>
          <w:color w:val="000000" w:themeColor="text1"/>
          <w:highlight w:val="none"/>
          <w14:textFill>
            <w14:solidFill>
              <w14:schemeClr w14:val="tx1"/>
            </w14:solidFill>
          </w14:textFill>
        </w:rPr>
        <w:t>；邮箱：</w:t>
      </w:r>
      <w:permStart w:id="80" w:edGrp="everyone"/>
      <w:r>
        <w:rPr>
          <w:rFonts w:hint="eastAsia" w:ascii="仿宋_GB2312" w:hAnsi="仿宋_GB2312" w:eastAsia="仿宋_GB2312" w:cs="仿宋_GB2312"/>
          <w:color w:val="000000" w:themeColor="text1"/>
          <w:highlight w:val="none"/>
          <w:u w:val="single"/>
          <w:lang w:val="en-US" w:eastAsia="zh-CN"/>
          <w14:textFill>
            <w14:solidFill>
              <w14:schemeClr w14:val="tx1"/>
            </w14:solidFill>
          </w14:textFill>
        </w:rPr>
        <w:t>103291001@qq.com</w:t>
      </w:r>
      <w:permEnd w:id="80"/>
      <w:r>
        <w:rPr>
          <w:rFonts w:hint="eastAsia" w:ascii="仿宋_GB2312" w:hAnsi="仿宋_GB2312" w:eastAsia="仿宋_GB2312" w:cs="仿宋_GB2312"/>
          <w:color w:val="000000" w:themeColor="text1"/>
          <w:highlight w:val="none"/>
          <w14:textFill>
            <w14:solidFill>
              <w14:schemeClr w14:val="tx1"/>
            </w14:solidFill>
          </w14:textFill>
        </w:rPr>
        <w:t>；</w:t>
      </w:r>
    </w:p>
    <w:p w14:paraId="7EC347BE">
      <w:pPr>
        <w:pStyle w:val="19"/>
        <w:spacing w:line="400" w:lineRule="atLeast"/>
        <w:ind w:firstLine="480" w:firstLineChars="200"/>
        <w:jc w:val="both"/>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1.2乙方确认其有效的送达地址为：</w:t>
      </w:r>
      <w:permStart w:id="81" w:edGrp="everyone"/>
      <w:r>
        <w:rPr>
          <w:rFonts w:hint="eastAsia" w:ascii="仿宋_GB2312" w:hAnsi="仿宋_GB2312" w:eastAsia="仿宋_GB2312" w:cs="仿宋_GB2312"/>
          <w:color w:val="000000" w:themeColor="text1"/>
          <w:highlight w:val="none"/>
          <w:u w:val="single"/>
          <w14:textFill>
            <w14:solidFill>
              <w14:schemeClr w14:val="tx1"/>
            </w14:solidFill>
          </w14:textFill>
        </w:rPr>
        <w:t xml:space="preserve">      </w:t>
      </w:r>
      <w:permEnd w:id="81"/>
      <w:r>
        <w:rPr>
          <w:rFonts w:hint="eastAsia" w:ascii="仿宋_GB2312" w:hAnsi="仿宋_GB2312" w:eastAsia="仿宋_GB2312" w:cs="仿宋_GB2312"/>
          <w:color w:val="000000" w:themeColor="text1"/>
          <w:highlight w:val="none"/>
          <w14:textFill>
            <w14:solidFill>
              <w14:schemeClr w14:val="tx1"/>
            </w14:solidFill>
          </w14:textFill>
        </w:rPr>
        <w:t>；</w:t>
      </w:r>
    </w:p>
    <w:p w14:paraId="4D55476F">
      <w:pPr>
        <w:pStyle w:val="19"/>
        <w:spacing w:line="400" w:lineRule="atLeast"/>
        <w:ind w:firstLine="720" w:firstLineChars="300"/>
        <w:jc w:val="both"/>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联系人及电话：</w:t>
      </w:r>
      <w:permStart w:id="82" w:edGrp="everyone"/>
      <w:r>
        <w:rPr>
          <w:rFonts w:hint="eastAsia" w:ascii="仿宋_GB2312" w:hAnsi="仿宋_GB2312" w:eastAsia="仿宋_GB2312" w:cs="仿宋_GB2312"/>
          <w:color w:val="000000" w:themeColor="text1"/>
          <w:highlight w:val="none"/>
          <w:u w:val="single"/>
          <w14:textFill>
            <w14:solidFill>
              <w14:schemeClr w14:val="tx1"/>
            </w14:solidFill>
          </w14:textFill>
        </w:rPr>
        <w:t xml:space="preserve">      </w:t>
      </w:r>
      <w:permEnd w:id="82"/>
      <w:r>
        <w:rPr>
          <w:rFonts w:hint="eastAsia" w:ascii="仿宋_GB2312" w:hAnsi="仿宋_GB2312" w:eastAsia="仿宋_GB2312" w:cs="仿宋_GB2312"/>
          <w:color w:val="000000" w:themeColor="text1"/>
          <w:highlight w:val="none"/>
          <w14:textFill>
            <w14:solidFill>
              <w14:schemeClr w14:val="tx1"/>
            </w14:solidFill>
          </w14:textFill>
        </w:rPr>
        <w:t>；邮箱：</w:t>
      </w:r>
      <w:permStart w:id="83" w:edGrp="everyone"/>
      <w:r>
        <w:rPr>
          <w:rFonts w:hint="eastAsia" w:ascii="仿宋_GB2312" w:hAnsi="仿宋_GB2312" w:eastAsia="仿宋_GB2312" w:cs="仿宋_GB2312"/>
          <w:color w:val="000000" w:themeColor="text1"/>
          <w:highlight w:val="none"/>
          <w:u w:val="single"/>
          <w14:textFill>
            <w14:solidFill>
              <w14:schemeClr w14:val="tx1"/>
            </w14:solidFill>
          </w14:textFill>
        </w:rPr>
        <w:t xml:space="preserve">      </w:t>
      </w:r>
      <w:permEnd w:id="83"/>
      <w:r>
        <w:rPr>
          <w:rFonts w:hint="eastAsia" w:ascii="仿宋_GB2312" w:hAnsi="仿宋_GB2312" w:eastAsia="仿宋_GB2312" w:cs="仿宋_GB2312"/>
          <w:color w:val="000000" w:themeColor="text1"/>
          <w:highlight w:val="none"/>
          <w14:textFill>
            <w14:solidFill>
              <w14:schemeClr w14:val="tx1"/>
            </w14:solidFill>
          </w14:textFill>
        </w:rPr>
        <w:t>；</w:t>
      </w:r>
    </w:p>
    <w:p w14:paraId="486B6919">
      <w:pPr>
        <w:pStyle w:val="19"/>
        <w:spacing w:line="400" w:lineRule="atLeast"/>
        <w:ind w:firstLine="480" w:firstLineChars="200"/>
        <w:jc w:val="both"/>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2、双方该送达地址或邮箱适用范围包括双方就合同发生纠纷时的律师函和法律文书的送达，同时包括在争议进入民事诉讼程序（如有）后的一审、二审、再审和执行程序。</w:t>
      </w:r>
    </w:p>
    <w:p w14:paraId="0D8B8720">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3、乙方因提供的送达地址或邮箱不准确、变更后未及时书面告知甲方、其指定的接收人拒绝签收等原因，导致法律文书未能被其实际接收的，视为对乙方送达成功：邮寄送达的，以文件退回之日视为送达之日；直接送达的，送达人当场在送达回证上记明情况之日视为送达之日。</w:t>
      </w:r>
    </w:p>
    <w:p w14:paraId="51A1F837">
      <w:pPr>
        <w:pStyle w:val="19"/>
        <w:numPr>
          <w:ilvl w:val="0"/>
          <w:numId w:val="1"/>
        </w:numPr>
        <w:spacing w:before="120" w:beforeLines="50" w:after="120" w:afterLines="50" w:line="400" w:lineRule="atLeast"/>
        <w:ind w:firstLine="482" w:firstLineChars="200"/>
        <w:outlineLvl w:val="0"/>
        <w:rPr>
          <w:rFonts w:ascii="仿宋_GB2312" w:hAnsi="仿宋_GB2312" w:eastAsia="仿宋_GB2312" w:cs="仿宋_GB2312"/>
          <w:b/>
          <w:bCs/>
          <w:color w:val="000000" w:themeColor="text1"/>
          <w:highlight w:val="none"/>
          <w14:textFill>
            <w14:solidFill>
              <w14:schemeClr w14:val="tx1"/>
            </w14:solidFill>
          </w14:textFill>
        </w:rPr>
      </w:pPr>
      <w:bookmarkStart w:id="14" w:name="_Toc16081"/>
      <w:r>
        <w:rPr>
          <w:rFonts w:hint="eastAsia" w:ascii="仿宋_GB2312" w:hAnsi="仿宋_GB2312" w:eastAsia="仿宋_GB2312" w:cs="仿宋_GB2312"/>
          <w:b/>
          <w:bCs/>
          <w:color w:val="000000" w:themeColor="text1"/>
          <w:highlight w:val="none"/>
          <w14:textFill>
            <w14:solidFill>
              <w14:schemeClr w14:val="tx1"/>
            </w14:solidFill>
          </w14:textFill>
        </w:rPr>
        <w:t>合同生效</w:t>
      </w:r>
      <w:bookmarkEnd w:id="14"/>
    </w:p>
    <w:p w14:paraId="64F21537">
      <w:pPr>
        <w:pStyle w:val="19"/>
        <w:numPr>
          <w:ilvl w:val="0"/>
          <w:numId w:val="7"/>
        </w:numPr>
        <w:spacing w:line="400" w:lineRule="atLeast"/>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本合同签约形式适用第</w:t>
      </w:r>
      <w:permStart w:id="84" w:edGrp="everyone"/>
      <w:r>
        <w:rPr>
          <w:rFonts w:hint="eastAsia" w:ascii="仿宋_GB2312" w:hAnsi="仿宋_GB2312" w:eastAsia="仿宋_GB2312" w:cs="仿宋_GB2312"/>
          <w:color w:val="000000" w:themeColor="text1"/>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highlight w:val="none"/>
          <w:u w:val="single"/>
          <w:lang w:val="en-US" w:eastAsia="zh-CN"/>
          <w14:textFill>
            <w14:solidFill>
              <w14:schemeClr w14:val="tx1"/>
            </w14:solidFill>
          </w14:textFill>
        </w:rPr>
        <w:t>2</w:t>
      </w:r>
      <w:r>
        <w:rPr>
          <w:rFonts w:hint="eastAsia" w:ascii="仿宋_GB2312" w:hAnsi="仿宋_GB2312" w:eastAsia="仿宋_GB2312" w:cs="仿宋_GB2312"/>
          <w:color w:val="000000" w:themeColor="text1"/>
          <w:highlight w:val="none"/>
          <w:u w:val="single"/>
          <w14:textFill>
            <w14:solidFill>
              <w14:schemeClr w14:val="tx1"/>
            </w14:solidFill>
          </w14:textFill>
        </w:rPr>
        <w:t xml:space="preserve"> </w:t>
      </w:r>
      <w:permEnd w:id="84"/>
      <w:r>
        <w:rPr>
          <w:rFonts w:hint="eastAsia" w:ascii="仿宋_GB2312" w:hAnsi="仿宋_GB2312" w:eastAsia="仿宋_GB2312" w:cs="仿宋_GB2312"/>
          <w:color w:val="000000" w:themeColor="text1"/>
          <w:highlight w:val="none"/>
          <w14:textFill>
            <w14:solidFill>
              <w14:schemeClr w14:val="tx1"/>
            </w14:solidFill>
          </w14:textFill>
        </w:rPr>
        <w:t>条；</w:t>
      </w:r>
    </w:p>
    <w:p w14:paraId="65968019">
      <w:pPr>
        <w:pStyle w:val="19"/>
        <w:numPr>
          <w:ilvl w:val="255"/>
          <w:numId w:val="0"/>
        </w:numPr>
        <w:spacing w:line="400" w:lineRule="atLeast"/>
        <w:ind w:firstLine="480" w:firstLineChars="200"/>
        <w:jc w:val="left"/>
        <w:rPr>
          <w:rFonts w:ascii="仿宋_GB2312" w:hAnsi="仿宋_GB2312" w:eastAsia="仿宋_GB2312" w:cs="仿宋_GB2312"/>
          <w:color w:val="000000" w:themeColor="text1"/>
          <w:highlight w:val="none"/>
          <w14:textFill>
            <w14:solidFill>
              <w14:schemeClr w14:val="tx1"/>
            </w14:solidFill>
          </w14:textFill>
        </w:rPr>
      </w:pPr>
      <w:bookmarkStart w:id="15" w:name="_Toc7989"/>
      <w:bookmarkStart w:id="16" w:name="_Toc31827_WPSOffice_Level1"/>
      <w:bookmarkStart w:id="17" w:name="_Toc6851_WPSOffice_Level1"/>
      <w:bookmarkStart w:id="18" w:name="_Toc24331"/>
      <w:bookmarkStart w:id="19" w:name="_Toc15785_WPSOffice_Level1"/>
      <w:r>
        <w:rPr>
          <w:rFonts w:hint="eastAsia" w:ascii="仿宋_GB2312" w:hAnsi="仿宋_GB2312" w:eastAsia="仿宋_GB2312" w:cs="仿宋_GB2312"/>
          <w:color w:val="000000" w:themeColor="text1"/>
          <w:highlight w:val="none"/>
          <w14:textFill>
            <w14:solidFill>
              <w14:schemeClr w14:val="tx1"/>
            </w14:solidFill>
          </w14:textFill>
        </w:rPr>
        <w:t>1.1双方同意通过“E签宝”(网址：https://121.28.96.6:8813/main-index-web)以电子签章的方式签署本合同，本合同自双方加盖电子签章之日起生效。合同生效后，双方均可对本合同进行查阅、下载、打印。下载、打印后的合同可以与“E签宝</w:t>
      </w:r>
      <w:r>
        <w:rPr>
          <w:rFonts w:hint="eastAsia" w:ascii="仿宋_GB2312" w:hAnsi="仿宋_GB2312" w:eastAsia="仿宋_GB2312" w:cs="仿宋_GB2312"/>
          <w:color w:val="000000" w:themeColor="text1"/>
          <w:highlight w:val="none"/>
          <w:lang w:eastAsia="zh-CN"/>
          <w14:textFill>
            <w14:solidFill>
              <w14:schemeClr w14:val="tx1"/>
            </w14:solidFill>
          </w14:textFill>
        </w:rPr>
        <w:t>”</w:t>
      </w:r>
      <w:r>
        <w:rPr>
          <w:rFonts w:hint="eastAsia" w:ascii="仿宋_GB2312" w:hAnsi="仿宋_GB2312" w:eastAsia="仿宋_GB2312" w:cs="仿宋_GB2312"/>
          <w:color w:val="000000" w:themeColor="text1"/>
          <w:highlight w:val="none"/>
          <w14:textFill>
            <w14:solidFill>
              <w14:schemeClr w14:val="tx1"/>
            </w14:solidFill>
          </w14:textFill>
        </w:rPr>
        <w:t>中的电子合同进行比对，如有不同，以“E签宝”中的电子合同为准。甲乙双方使用电子签章方式签署的合同，只有通过验证生效的电子原件具有法律效力，未经电子印章服务平台公司提供书面证明材料的电子合同打印版不能作为法律依据。如因乙方使用不当给甲方造成损失，乙方愿自行承担由此造成的全部经济损失和法律责任。</w:t>
      </w:r>
    </w:p>
    <w:p w14:paraId="67C99E6A">
      <w:pPr>
        <w:pStyle w:val="19"/>
        <w:numPr>
          <w:ilvl w:val="0"/>
          <w:numId w:val="0"/>
        </w:numPr>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1.2双方同意通过加盖物理印章的方式签署本合同，合同自双方盖章后生效，完成合同约定的全部内容且保修期满后即告终止。合同壹式</w:t>
      </w:r>
      <w:permStart w:id="85" w:edGrp="everyone"/>
      <w:r>
        <w:rPr>
          <w:rFonts w:hint="eastAsia" w:ascii="仿宋_GB2312" w:hAnsi="仿宋_GB2312" w:eastAsia="仿宋_GB2312" w:cs="仿宋_GB2312"/>
          <w:color w:val="000000" w:themeColor="text1"/>
          <w:highlight w:val="none"/>
          <w:lang w:val="en-US" w:eastAsia="zh-CN"/>
          <w14:textFill>
            <w14:solidFill>
              <w14:schemeClr w14:val="tx1"/>
            </w14:solidFill>
          </w14:textFill>
        </w:rPr>
        <w:t>捌</w:t>
      </w:r>
      <w:permEnd w:id="85"/>
      <w:r>
        <w:rPr>
          <w:rFonts w:hint="eastAsia" w:ascii="仿宋_GB2312" w:hAnsi="仿宋_GB2312" w:eastAsia="仿宋_GB2312" w:cs="仿宋_GB2312"/>
          <w:color w:val="000000" w:themeColor="text1"/>
          <w:highlight w:val="none"/>
          <w14:textFill>
            <w14:solidFill>
              <w14:schemeClr w14:val="tx1"/>
            </w14:solidFill>
          </w14:textFill>
        </w:rPr>
        <w:t>份，甲方执</w:t>
      </w:r>
      <w:permStart w:id="86" w:edGrp="everyone"/>
      <w:r>
        <w:rPr>
          <w:rFonts w:hint="eastAsia" w:ascii="仿宋_GB2312" w:hAnsi="仿宋_GB2312" w:eastAsia="仿宋_GB2312" w:cs="仿宋_GB2312"/>
          <w:color w:val="000000" w:themeColor="text1"/>
          <w:highlight w:val="none"/>
          <w:lang w:val="en-US" w:eastAsia="zh-CN"/>
          <w14:textFill>
            <w14:solidFill>
              <w14:schemeClr w14:val="tx1"/>
            </w14:solidFill>
          </w14:textFill>
        </w:rPr>
        <w:t>陆</w:t>
      </w:r>
      <w:permEnd w:id="86"/>
      <w:r>
        <w:rPr>
          <w:rFonts w:hint="eastAsia" w:ascii="仿宋_GB2312" w:hAnsi="仿宋_GB2312" w:eastAsia="仿宋_GB2312" w:cs="仿宋_GB2312"/>
          <w:color w:val="000000" w:themeColor="text1"/>
          <w:highlight w:val="none"/>
          <w14:textFill>
            <w14:solidFill>
              <w14:schemeClr w14:val="tx1"/>
            </w14:solidFill>
          </w14:textFill>
        </w:rPr>
        <w:t>份，乙方执</w:t>
      </w:r>
      <w:permStart w:id="87" w:edGrp="everyone"/>
      <w:r>
        <w:rPr>
          <w:rFonts w:hint="eastAsia" w:ascii="仿宋_GB2312" w:hAnsi="仿宋_GB2312" w:eastAsia="仿宋_GB2312" w:cs="仿宋_GB2312"/>
          <w:color w:val="000000" w:themeColor="text1"/>
          <w:highlight w:val="none"/>
          <w:lang w:val="en-US" w:eastAsia="zh-CN"/>
          <w14:textFill>
            <w14:solidFill>
              <w14:schemeClr w14:val="tx1"/>
            </w14:solidFill>
          </w14:textFill>
        </w:rPr>
        <w:t>贰</w:t>
      </w:r>
      <w:permEnd w:id="87"/>
      <w:r>
        <w:rPr>
          <w:rFonts w:hint="eastAsia" w:ascii="仿宋_GB2312" w:hAnsi="仿宋_GB2312" w:eastAsia="仿宋_GB2312" w:cs="仿宋_GB2312"/>
          <w:color w:val="000000" w:themeColor="text1"/>
          <w:highlight w:val="none"/>
          <w14:textFill>
            <w14:solidFill>
              <w14:schemeClr w14:val="tx1"/>
            </w14:solidFill>
          </w14:textFill>
        </w:rPr>
        <w:t>份。</w:t>
      </w:r>
    </w:p>
    <w:p w14:paraId="3FA8ECED">
      <w:pPr>
        <w:spacing w:line="400" w:lineRule="atLeast"/>
        <w:ind w:firstLine="504" w:firstLineChars="200"/>
        <w:jc w:val="left"/>
        <w:rPr>
          <w:rFonts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bCs/>
          <w:color w:val="000000" w:themeColor="text1"/>
          <w:spacing w:val="6"/>
          <w:sz w:val="24"/>
          <w:szCs w:val="24"/>
          <w:highlight w:val="none"/>
          <w14:textFill>
            <w14:solidFill>
              <w14:schemeClr w14:val="tx1"/>
            </w14:solidFill>
          </w14:textFill>
        </w:rPr>
        <w:t>以下无正文</w:t>
      </w:r>
      <w:bookmarkEnd w:id="15"/>
      <w:bookmarkEnd w:id="16"/>
      <w:bookmarkEnd w:id="17"/>
      <w:bookmarkEnd w:id="18"/>
      <w:bookmarkEnd w:id="19"/>
      <w:bookmarkStart w:id="20" w:name="_Toc6163_WPSOffice_Level1"/>
      <w:bookmarkStart w:id="21" w:name="_Toc8898_WPSOffice_Level1"/>
      <w:bookmarkStart w:id="22" w:name="_Toc19595_WPSOffice_Level1"/>
    </w:p>
    <w:p w14:paraId="48856D96">
      <w:pPr>
        <w:spacing w:line="400" w:lineRule="atLeast"/>
        <w:ind w:firstLine="480" w:firstLineChars="200"/>
        <w:rPr>
          <w:rFonts w:ascii="仿宋_GB2312" w:hAnsi="仿宋_GB2312" w:eastAsia="仿宋_GB2312" w:cs="仿宋_GB2312"/>
          <w:color w:val="000000" w:themeColor="text1"/>
          <w:kern w:val="0"/>
          <w:sz w:val="24"/>
          <w:szCs w:val="24"/>
          <w:highlight w:val="none"/>
          <w14:textFill>
            <w14:solidFill>
              <w14:schemeClr w14:val="tx1"/>
            </w14:solidFill>
          </w14:textFill>
        </w:rPr>
      </w:pPr>
      <w:bookmarkStart w:id="23" w:name="_Toc31108"/>
      <w:bookmarkStart w:id="24" w:name="_Toc9256"/>
      <w:bookmarkStart w:id="25" w:name="_Toc7261"/>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附件一 授权委托书</w:t>
      </w:r>
      <w:bookmarkEnd w:id="20"/>
      <w:bookmarkEnd w:id="21"/>
      <w:bookmarkEnd w:id="22"/>
      <w:bookmarkEnd w:id="23"/>
      <w:bookmarkEnd w:id="24"/>
      <w:bookmarkEnd w:id="25"/>
    </w:p>
    <w:p w14:paraId="6ECD0348">
      <w:pPr>
        <w:spacing w:line="400" w:lineRule="atLeast"/>
        <w:ind w:firstLine="480" w:firstLineChars="200"/>
        <w:rPr>
          <w:rFonts w:ascii="仿宋_GB2312" w:hAnsi="仿宋_GB2312" w:eastAsia="仿宋_GB2312" w:cs="仿宋_GB2312"/>
          <w:color w:val="000000" w:themeColor="text1"/>
          <w:kern w:val="0"/>
          <w:sz w:val="24"/>
          <w:szCs w:val="24"/>
          <w:highlight w:val="none"/>
          <w14:textFill>
            <w14:solidFill>
              <w14:schemeClr w14:val="tx1"/>
            </w14:solidFill>
          </w14:textFill>
        </w:rPr>
      </w:pPr>
      <w:bookmarkStart w:id="26" w:name="_Toc5250_WPSOffice_Level1"/>
      <w:bookmarkStart w:id="27" w:name="_Toc7056"/>
      <w:bookmarkStart w:id="28" w:name="_Toc27542"/>
      <w:bookmarkStart w:id="29" w:name="_Toc3383_WPSOffice_Level1"/>
      <w:bookmarkStart w:id="30" w:name="_Toc16133_WPSOffice_Level1"/>
      <w:bookmarkStart w:id="31" w:name="_Toc22539"/>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 xml:space="preserve">附件二 </w:t>
      </w:r>
      <w:bookmarkEnd w:id="26"/>
      <w:bookmarkEnd w:id="27"/>
      <w:bookmarkEnd w:id="28"/>
      <w:bookmarkEnd w:id="29"/>
      <w:bookmarkEnd w:id="30"/>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项目部合规权限告知书</w:t>
      </w:r>
      <w:bookmarkEnd w:id="31"/>
    </w:p>
    <w:p w14:paraId="232A485D">
      <w:pPr>
        <w:spacing w:line="400" w:lineRule="atLeast"/>
        <w:ind w:firstLine="480" w:firstLineChars="200"/>
        <w:rPr>
          <w:rFonts w:ascii="仿宋_GB2312" w:hAnsi="仿宋_GB2312" w:eastAsia="仿宋_GB2312" w:cs="仿宋_GB2312"/>
          <w:color w:val="000000" w:themeColor="text1"/>
          <w:kern w:val="0"/>
          <w:sz w:val="24"/>
          <w:szCs w:val="24"/>
          <w:highlight w:val="none"/>
          <w14:textFill>
            <w14:solidFill>
              <w14:schemeClr w14:val="tx1"/>
            </w14:solidFill>
          </w14:textFill>
        </w:rPr>
      </w:pPr>
      <w:bookmarkStart w:id="32" w:name="_Toc19768_WPSOffice_Level1"/>
      <w:bookmarkStart w:id="33" w:name="_Toc22730_WPSOffice_Level1"/>
      <w:bookmarkStart w:id="34" w:name="_Toc641_WPSOffice_Level1"/>
      <w:bookmarkStart w:id="35" w:name="_Toc660"/>
      <w:bookmarkStart w:id="36" w:name="_Toc28671"/>
      <w:bookmarkStart w:id="37" w:name="_Toc6096"/>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 xml:space="preserve">附件三 </w:t>
      </w:r>
      <w:bookmarkEnd w:id="32"/>
      <w:bookmarkEnd w:id="33"/>
      <w:bookmarkEnd w:id="34"/>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安全管理协议书</w:t>
      </w:r>
      <w:bookmarkEnd w:id="35"/>
      <w:bookmarkEnd w:id="36"/>
      <w:bookmarkEnd w:id="37"/>
    </w:p>
    <w:p w14:paraId="213D0E2F">
      <w:pPr>
        <w:pStyle w:val="19"/>
        <w:spacing w:line="400" w:lineRule="atLeast"/>
        <w:ind w:firstLine="480" w:firstLineChars="200"/>
        <w:rPr>
          <w:rFonts w:hint="eastAsia" w:ascii="仿宋_GB2312" w:hAnsi="仿宋_GB2312" w:eastAsia="仿宋_GB2312" w:cs="仿宋_GB2312"/>
          <w:color w:val="000000" w:themeColor="text1"/>
          <w:highlight w:val="none"/>
          <w14:textFill>
            <w14:solidFill>
              <w14:schemeClr w14:val="tx1"/>
            </w14:solidFill>
          </w14:textFill>
        </w:rPr>
      </w:pPr>
      <w:bookmarkStart w:id="38" w:name="_Toc24584_WPSOffice_Level1"/>
      <w:bookmarkStart w:id="39" w:name="_Toc8260_WPSOffice_Level1"/>
      <w:bookmarkStart w:id="40" w:name="_Toc19161_WPSOffice_Level1"/>
      <w:bookmarkStart w:id="41" w:name="_Toc12124"/>
      <w:bookmarkStart w:id="42" w:name="_Toc6044"/>
      <w:bookmarkStart w:id="43" w:name="_Toc25961"/>
      <w:r>
        <w:rPr>
          <w:rFonts w:hint="eastAsia" w:ascii="仿宋_GB2312" w:hAnsi="仿宋_GB2312" w:eastAsia="仿宋_GB2312" w:cs="仿宋_GB2312"/>
          <w:color w:val="000000" w:themeColor="text1"/>
          <w:highlight w:val="none"/>
          <w14:textFill>
            <w14:solidFill>
              <w14:schemeClr w14:val="tx1"/>
            </w14:solidFill>
          </w14:textFill>
        </w:rPr>
        <w:t xml:space="preserve">附件四 </w:t>
      </w:r>
      <w:bookmarkEnd w:id="38"/>
      <w:bookmarkEnd w:id="39"/>
      <w:bookmarkEnd w:id="40"/>
      <w:r>
        <w:rPr>
          <w:rFonts w:hint="eastAsia" w:ascii="仿宋_GB2312" w:hAnsi="仿宋_GB2312" w:eastAsia="仿宋_GB2312" w:cs="仿宋_GB2312"/>
          <w:color w:val="000000" w:themeColor="text1"/>
          <w:highlight w:val="none"/>
          <w14:textFill>
            <w14:solidFill>
              <w14:schemeClr w14:val="tx1"/>
            </w14:solidFill>
          </w14:textFill>
        </w:rPr>
        <w:t>商品混凝土需方验收人员一览表</w:t>
      </w:r>
      <w:bookmarkEnd w:id="41"/>
      <w:bookmarkEnd w:id="42"/>
    </w:p>
    <w:p w14:paraId="464DB241">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bookmarkStart w:id="44" w:name="_Toc25350"/>
      <w:bookmarkStart w:id="45" w:name="_Toc9919"/>
      <w:r>
        <w:rPr>
          <w:rFonts w:hint="eastAsia" w:ascii="仿宋_GB2312" w:hAnsi="仿宋_GB2312" w:eastAsia="仿宋_GB2312" w:cs="仿宋_GB2312"/>
          <w:color w:val="000000" w:themeColor="text1"/>
          <w:highlight w:val="none"/>
          <w14:textFill>
            <w14:solidFill>
              <w14:schemeClr w14:val="tx1"/>
            </w14:solidFill>
          </w14:textFill>
        </w:rPr>
        <w:t>附件五 廉洁从业共建协议</w:t>
      </w:r>
      <w:bookmarkEnd w:id="44"/>
      <w:bookmarkEnd w:id="45"/>
    </w:p>
    <w:p w14:paraId="30C36CA1">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bookmarkStart w:id="46" w:name="_Toc16394"/>
      <w:bookmarkStart w:id="47" w:name="_Toc7291"/>
      <w:r>
        <w:rPr>
          <w:rFonts w:hint="eastAsia" w:ascii="仿宋_GB2312" w:hAnsi="仿宋_GB2312" w:eastAsia="仿宋_GB2312" w:cs="仿宋_GB2312"/>
          <w:color w:val="000000" w:themeColor="text1"/>
          <w:highlight w:val="none"/>
          <w14:textFill>
            <w14:solidFill>
              <w14:schemeClr w14:val="tx1"/>
            </w14:solidFill>
          </w14:textFill>
        </w:rPr>
        <w:t xml:space="preserve">附件六 </w:t>
      </w:r>
      <w:bookmarkEnd w:id="43"/>
      <w:r>
        <w:rPr>
          <w:rFonts w:hint="eastAsia" w:ascii="仿宋_GB2312" w:hAnsi="仿宋_GB2312" w:eastAsia="仿宋_GB2312" w:cs="仿宋_GB2312"/>
          <w:color w:val="000000" w:themeColor="text1"/>
          <w:highlight w:val="none"/>
          <w14:textFill>
            <w14:solidFill>
              <w14:schemeClr w14:val="tx1"/>
            </w14:solidFill>
          </w14:textFill>
        </w:rPr>
        <w:t>商品混凝土进场验收验证记录表</w:t>
      </w:r>
      <w:bookmarkEnd w:id="46"/>
      <w:bookmarkEnd w:id="47"/>
    </w:p>
    <w:p w14:paraId="30090259">
      <w:pPr>
        <w:pStyle w:val="19"/>
        <w:spacing w:line="400" w:lineRule="atLeast"/>
        <w:ind w:firstLine="480" w:firstLineChars="200"/>
        <w:rPr>
          <w:rFonts w:hint="default" w:ascii="仿宋_GB2312" w:hAnsi="仿宋_GB2312" w:eastAsia="仿宋_GB2312" w:cs="仿宋_GB2312"/>
          <w:color w:val="000000" w:themeColor="text1"/>
          <w:highlight w:val="none"/>
          <w:lang w:val="en-US" w:eastAsia="zh-CN"/>
          <w14:textFill>
            <w14:solidFill>
              <w14:schemeClr w14:val="tx1"/>
            </w14:solidFill>
          </w14:textFill>
        </w:rPr>
      </w:pPr>
      <w:permStart w:id="88" w:edGrp="everyone"/>
      <w:r>
        <w:rPr>
          <w:rFonts w:hint="eastAsia" w:ascii="仿宋_GB2312" w:hAnsi="仿宋_GB2312" w:eastAsia="仿宋_GB2312" w:cs="仿宋_GB2312"/>
          <w:color w:val="000000" w:themeColor="text1"/>
          <w:highlight w:val="none"/>
          <w:lang w:val="en-US" w:eastAsia="zh-CN"/>
          <w14:textFill>
            <w14:solidFill>
              <w14:schemeClr w14:val="tx1"/>
            </w14:solidFill>
          </w14:textFill>
        </w:rPr>
        <w:t xml:space="preserve">               </w:t>
      </w:r>
      <w:permEnd w:id="88"/>
    </w:p>
    <w:p w14:paraId="2AAD7EAC">
      <w:pPr>
        <w:autoSpaceDE w:val="0"/>
        <w:autoSpaceDN w:val="0"/>
        <w:adjustRightInd w:val="0"/>
        <w:spacing w:line="400" w:lineRule="atLeast"/>
        <w:ind w:firstLine="480" w:firstLineChars="200"/>
        <w:rPr>
          <w:rFonts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甲方（盖章）：                         乙方（</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盖</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 xml:space="preserve">章）：      </w:t>
      </w:r>
    </w:p>
    <w:p w14:paraId="3308C9B9">
      <w:pPr>
        <w:autoSpaceDE w:val="0"/>
        <w:autoSpaceDN w:val="0"/>
        <w:adjustRightInd w:val="0"/>
        <w:spacing w:line="400" w:lineRule="atLeast"/>
        <w:ind w:firstLine="480" w:firstLineChars="200"/>
        <w:rPr>
          <w:rFonts w:ascii="仿宋_GB2312" w:hAnsi="仿宋_GB2312" w:eastAsia="仿宋_GB2312" w:cs="仿宋_GB2312"/>
          <w:color w:val="000000" w:themeColor="text1"/>
          <w:kern w:val="0"/>
          <w:sz w:val="24"/>
          <w:szCs w:val="24"/>
          <w:highlight w:val="none"/>
          <w14:textFill>
            <w14:solidFill>
              <w14:schemeClr w14:val="tx1"/>
            </w14:solidFill>
          </w14:textFill>
        </w:rPr>
      </w:pPr>
    </w:p>
    <w:p w14:paraId="63E781E9">
      <w:pPr>
        <w:autoSpaceDE w:val="0"/>
        <w:autoSpaceDN w:val="0"/>
        <w:adjustRightInd w:val="0"/>
        <w:spacing w:line="400" w:lineRule="atLeast"/>
        <w:ind w:firstLine="480" w:firstLineChars="200"/>
        <w:rPr>
          <w:rFonts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法定代表人：                           法定代表人：</w:t>
      </w:r>
    </w:p>
    <w:p w14:paraId="7FBE33AA">
      <w:pPr>
        <w:autoSpaceDE w:val="0"/>
        <w:autoSpaceDN w:val="0"/>
        <w:adjustRightInd w:val="0"/>
        <w:spacing w:line="400" w:lineRule="atLeast"/>
        <w:ind w:firstLine="480" w:firstLineChars="200"/>
        <w:rPr>
          <w:rFonts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 xml:space="preserve">    或                                   </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 xml:space="preserve"> 或</w:t>
      </w:r>
    </w:p>
    <w:p w14:paraId="6CE76309">
      <w:pPr>
        <w:autoSpaceDE w:val="0"/>
        <w:autoSpaceDN w:val="0"/>
        <w:adjustRightInd w:val="0"/>
        <w:spacing w:line="400" w:lineRule="atLeast"/>
        <w:ind w:firstLine="480" w:firstLineChars="200"/>
        <w:rPr>
          <w:rFonts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被</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 xml:space="preserve">委托人：                       </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 xml:space="preserve">    </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被</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委托人：</w:t>
      </w:r>
    </w:p>
    <w:p w14:paraId="7C5A4D8B">
      <w:pPr>
        <w:pStyle w:val="19"/>
        <w:spacing w:line="400" w:lineRule="atLeast"/>
        <w:rPr>
          <w:rFonts w:ascii="仿宋_GB2312" w:hAnsi="仿宋_GB2312" w:eastAsia="仿宋_GB2312" w:cs="仿宋_GB2312"/>
          <w:color w:val="000000" w:themeColor="text1"/>
          <w:highlight w:val="none"/>
          <w14:textFill>
            <w14:solidFill>
              <w14:schemeClr w14:val="tx1"/>
            </w14:solidFill>
          </w14:textFill>
        </w:rPr>
      </w:pPr>
    </w:p>
    <w:p w14:paraId="2F05AE9D">
      <w:pPr>
        <w:rPr>
          <w:rFonts w:ascii="仿宋_GB2312" w:hAnsi="仿宋_GB2312" w:eastAsia="仿宋_GB2312" w:cs="仿宋_GB2312"/>
          <w:color w:val="000000" w:themeColor="text1"/>
          <w:highlight w:val="none"/>
          <w:lang w:val="zh-CN"/>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w:t>
      </w:r>
      <w:r>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t>年</w:t>
      </w: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w:t>
      </w:r>
      <w:r>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t>月</w:t>
      </w: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w:t>
      </w:r>
      <w:r>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t>日</w:t>
      </w: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w:t>
      </w:r>
      <w:r>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t>年</w:t>
      </w: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w:t>
      </w:r>
      <w:r>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t>月</w:t>
      </w: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w:t>
      </w:r>
      <w:r>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t>日</w:t>
      </w:r>
      <w:r>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br w:type="page"/>
      </w:r>
    </w:p>
    <w:p w14:paraId="54766B37">
      <w:pPr>
        <w:autoSpaceDE w:val="0"/>
        <w:autoSpaceDN w:val="0"/>
        <w:adjustRightInd w:val="0"/>
        <w:spacing w:line="400" w:lineRule="exact"/>
        <w:outlineLvl w:val="0"/>
        <w:rPr>
          <w:rFonts w:ascii="仿宋_GB2312" w:hAnsi="仿宋_GB2312" w:eastAsia="仿宋_GB2312" w:cs="仿宋_GB2312"/>
          <w:color w:val="000000" w:themeColor="text1"/>
          <w:kern w:val="0"/>
          <w:sz w:val="30"/>
          <w:szCs w:val="30"/>
          <w:highlight w:val="none"/>
          <w14:textFill>
            <w14:solidFill>
              <w14:schemeClr w14:val="tx1"/>
            </w14:solidFill>
          </w14:textFill>
        </w:rPr>
      </w:pPr>
      <w:bookmarkStart w:id="48" w:name="_Toc13743"/>
      <w:r>
        <w:rPr>
          <w:rFonts w:hint="eastAsia" w:ascii="仿宋_GB2312" w:hAnsi="仿宋_GB2312" w:eastAsia="仿宋_GB2312" w:cs="仿宋_GB2312"/>
          <w:color w:val="000000" w:themeColor="text1"/>
          <w:kern w:val="0"/>
          <w:sz w:val="30"/>
          <w:szCs w:val="30"/>
          <w:highlight w:val="none"/>
          <w14:textFill>
            <w14:solidFill>
              <w14:schemeClr w14:val="tx1"/>
            </w14:solidFill>
          </w14:textFill>
        </w:rPr>
        <w:t>附件一：</w:t>
      </w:r>
      <w:bookmarkEnd w:id="48"/>
    </w:p>
    <w:p w14:paraId="57C33D0B">
      <w:pPr>
        <w:autoSpaceDE w:val="0"/>
        <w:autoSpaceDN w:val="0"/>
        <w:adjustRightInd w:val="0"/>
        <w:spacing w:line="400" w:lineRule="exact"/>
        <w:jc w:val="center"/>
        <w:rPr>
          <w:rFonts w:ascii="仿宋_GB2312" w:hAnsi="仿宋_GB2312" w:eastAsia="仿宋_GB2312" w:cs="仿宋_GB2312"/>
          <w:b/>
          <w:color w:val="000000" w:themeColor="text1"/>
          <w:sz w:val="30"/>
          <w:szCs w:val="30"/>
          <w:highlight w:val="none"/>
          <w14:textFill>
            <w14:solidFill>
              <w14:schemeClr w14:val="tx1"/>
            </w14:solidFill>
          </w14:textFill>
        </w:rPr>
      </w:pPr>
      <w:r>
        <w:rPr>
          <w:rFonts w:hint="eastAsia" w:ascii="仿宋_GB2312" w:hAnsi="仿宋_GB2312" w:eastAsia="仿宋_GB2312" w:cs="仿宋_GB2312"/>
          <w:b/>
          <w:color w:val="000000" w:themeColor="text1"/>
          <w:sz w:val="30"/>
          <w:szCs w:val="30"/>
          <w:highlight w:val="none"/>
          <w14:textFill>
            <w14:solidFill>
              <w14:schemeClr w14:val="tx1"/>
            </w14:solidFill>
          </w14:textFill>
        </w:rPr>
        <w:t>授权委托书</w:t>
      </w:r>
    </w:p>
    <w:p w14:paraId="0B14DA2F">
      <w:pPr>
        <w:autoSpaceDE w:val="0"/>
        <w:autoSpaceDN w:val="0"/>
        <w:adjustRightInd w:val="0"/>
        <w:spacing w:line="400" w:lineRule="exact"/>
        <w:rPr>
          <w:rFonts w:ascii="仿宋_GB2312" w:hAnsi="仿宋_GB2312" w:eastAsia="仿宋_GB2312" w:cs="仿宋_GB2312"/>
          <w:b/>
          <w:color w:val="000000" w:themeColor="text1"/>
          <w:sz w:val="24"/>
          <w:szCs w:val="24"/>
          <w:highlight w:val="none"/>
          <w14:textFill>
            <w14:solidFill>
              <w14:schemeClr w14:val="tx1"/>
            </w14:solidFill>
          </w14:textFill>
        </w:rPr>
      </w:pPr>
    </w:p>
    <w:p w14:paraId="7943E1FF">
      <w:pPr>
        <w:autoSpaceDE w:val="0"/>
        <w:autoSpaceDN w:val="0"/>
        <w:adjustRightInd w:val="0"/>
        <w:spacing w:line="400" w:lineRule="exact"/>
        <w:ind w:firstLine="482" w:firstLineChars="200"/>
        <w:jc w:val="left"/>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本授权委托书声明：</w:t>
      </w:r>
      <w:r>
        <w:rPr>
          <w:rFonts w:hint="eastAsia" w:ascii="仿宋_GB2312" w:hAnsi="仿宋_GB2312" w:eastAsia="仿宋_GB2312" w:cs="仿宋_GB2312"/>
          <w:color w:val="000000" w:themeColor="text1"/>
          <w:sz w:val="24"/>
          <w:szCs w:val="24"/>
          <w:highlight w:val="none"/>
          <w14:textFill>
            <w14:solidFill>
              <w14:schemeClr w14:val="tx1"/>
            </w14:solidFill>
          </w14:textFill>
        </w:rPr>
        <w:t>我</w:t>
      </w:r>
      <w:permStart w:id="89" w:edGrp="everyone"/>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 xml:space="preserve">     </w:t>
      </w:r>
      <w:permEnd w:id="89"/>
      <w:r>
        <w:rPr>
          <w:rFonts w:hint="eastAsia" w:ascii="仿宋_GB2312" w:hAnsi="仿宋_GB2312" w:eastAsia="仿宋_GB2312" w:cs="仿宋_GB2312"/>
          <w:color w:val="000000" w:themeColor="text1"/>
          <w:sz w:val="24"/>
          <w:szCs w:val="24"/>
          <w:highlight w:val="none"/>
          <w14:textFill>
            <w14:solidFill>
              <w14:schemeClr w14:val="tx1"/>
            </w14:solidFill>
          </w14:textFill>
        </w:rPr>
        <w:t>（身份证号：</w:t>
      </w:r>
      <w:permStart w:id="90" w:edGrp="everyone"/>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 xml:space="preserve">      </w:t>
      </w:r>
      <w:permEnd w:id="90"/>
      <w:r>
        <w:rPr>
          <w:rFonts w:hint="eastAsia" w:ascii="仿宋_GB2312" w:hAnsi="仿宋_GB2312" w:eastAsia="仿宋_GB2312" w:cs="仿宋_GB2312"/>
          <w:color w:val="000000" w:themeColor="text1"/>
          <w:sz w:val="24"/>
          <w:szCs w:val="24"/>
          <w:highlight w:val="none"/>
          <w14:textFill>
            <w14:solidFill>
              <w14:schemeClr w14:val="tx1"/>
            </w14:solidFill>
          </w14:textFill>
        </w:rPr>
        <w:t>）系</w:t>
      </w:r>
      <w:permStart w:id="91" w:edGrp="everyone"/>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 xml:space="preserve">      </w:t>
      </w:r>
      <w:permEnd w:id="91"/>
      <w:r>
        <w:rPr>
          <w:rFonts w:hint="eastAsia" w:ascii="仿宋_GB2312" w:hAnsi="仿宋_GB2312" w:eastAsia="仿宋_GB2312" w:cs="仿宋_GB2312"/>
          <w:color w:val="000000" w:themeColor="text1"/>
          <w:sz w:val="24"/>
          <w:szCs w:val="24"/>
          <w:highlight w:val="none"/>
          <w14:textFill>
            <w14:solidFill>
              <w14:schemeClr w14:val="tx1"/>
            </w14:solidFill>
          </w14:textFill>
        </w:rPr>
        <w:t>公司（乙方）的法定代表人，现授权委托</w:t>
      </w:r>
      <w:permStart w:id="92" w:edGrp="everyone"/>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 xml:space="preserve">     </w:t>
      </w:r>
      <w:permEnd w:id="92"/>
      <w:r>
        <w:rPr>
          <w:rFonts w:hint="eastAsia" w:ascii="仿宋_GB2312" w:hAnsi="仿宋_GB2312" w:eastAsia="仿宋_GB2312" w:cs="仿宋_GB2312"/>
          <w:color w:val="000000" w:themeColor="text1"/>
          <w:sz w:val="24"/>
          <w:szCs w:val="24"/>
          <w:highlight w:val="none"/>
          <w14:textFill>
            <w14:solidFill>
              <w14:schemeClr w14:val="tx1"/>
            </w14:solidFill>
          </w14:textFill>
        </w:rPr>
        <w:t>（身份证号：</w:t>
      </w:r>
      <w:permStart w:id="93" w:edGrp="everyone"/>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 xml:space="preserve">      </w:t>
      </w:r>
      <w:permEnd w:id="93"/>
      <w:r>
        <w:rPr>
          <w:rFonts w:hint="eastAsia" w:ascii="仿宋_GB2312" w:hAnsi="仿宋_GB2312" w:eastAsia="仿宋_GB2312" w:cs="仿宋_GB2312"/>
          <w:color w:val="000000" w:themeColor="text1"/>
          <w:sz w:val="24"/>
          <w:szCs w:val="24"/>
          <w:highlight w:val="none"/>
          <w14:textFill>
            <w14:solidFill>
              <w14:schemeClr w14:val="tx1"/>
            </w14:solidFill>
          </w14:textFill>
        </w:rPr>
        <w:t>）为我公司合法的代理人。以本公司的名义负责</w:t>
      </w:r>
      <w:permStart w:id="94" w:edGrp="everyone"/>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 xml:space="preserve">      </w:t>
      </w:r>
      <w:permEnd w:id="94"/>
      <w:r>
        <w:rPr>
          <w:rFonts w:hint="eastAsia" w:ascii="仿宋_GB2312" w:hAnsi="仿宋_GB2312" w:eastAsia="仿宋_GB2312" w:cs="仿宋_GB2312"/>
          <w:color w:val="000000" w:themeColor="text1"/>
          <w:sz w:val="24"/>
          <w:szCs w:val="24"/>
          <w:highlight w:val="none"/>
          <w14:textFill>
            <w14:solidFill>
              <w14:schemeClr w14:val="tx1"/>
            </w14:solidFill>
          </w14:textFill>
        </w:rPr>
        <w:t>项目</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响应</w:t>
      </w:r>
      <w:r>
        <w:rPr>
          <w:rFonts w:hint="eastAsia" w:ascii="仿宋_GB2312" w:hAnsi="仿宋_GB2312" w:eastAsia="仿宋_GB2312" w:cs="仿宋_GB2312"/>
          <w:color w:val="000000" w:themeColor="text1"/>
          <w:sz w:val="24"/>
          <w:szCs w:val="24"/>
          <w:highlight w:val="none"/>
          <w14:textFill>
            <w14:solidFill>
              <w14:schemeClr w14:val="tx1"/>
            </w14:solidFill>
          </w14:textFill>
        </w:rPr>
        <w:t>、合同签署及合同履行等事宜。</w:t>
      </w:r>
    </w:p>
    <w:p w14:paraId="49F73829">
      <w:pPr>
        <w:autoSpaceDE w:val="0"/>
        <w:autoSpaceDN w:val="0"/>
        <w:adjustRightInd w:val="0"/>
        <w:spacing w:line="400" w:lineRule="exact"/>
        <w:ind w:firstLine="480" w:firstLineChars="200"/>
        <w:jc w:val="left"/>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代理人在合同履行过程中所签署的一切文件和处理与之有关的一切事务，包括但不限于签署往来函件、签署会议纪要、货物供应、结算办理、</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货</w:t>
      </w:r>
      <w:r>
        <w:rPr>
          <w:rFonts w:hint="eastAsia" w:ascii="仿宋_GB2312" w:hAnsi="仿宋_GB2312" w:eastAsia="仿宋_GB2312" w:cs="仿宋_GB2312"/>
          <w:color w:val="000000" w:themeColor="text1"/>
          <w:sz w:val="24"/>
          <w:szCs w:val="24"/>
          <w:highlight w:val="none"/>
          <w14:textFill>
            <w14:solidFill>
              <w14:schemeClr w14:val="tx1"/>
            </w14:solidFill>
          </w14:textFill>
        </w:rPr>
        <w:t>款的收取、发票开具等</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处理与此有关的经济事务及函件往来</w:t>
      </w:r>
      <w:r>
        <w:rPr>
          <w:rFonts w:hint="eastAsia" w:ascii="仿宋_GB2312" w:hAnsi="仿宋_GB2312" w:eastAsia="仿宋_GB2312" w:cs="仿宋_GB2312"/>
          <w:color w:val="000000" w:themeColor="text1"/>
          <w:sz w:val="24"/>
          <w:szCs w:val="24"/>
          <w:highlight w:val="none"/>
          <w14:textFill>
            <w14:solidFill>
              <w14:schemeClr w14:val="tx1"/>
            </w14:solidFill>
          </w14:textFill>
        </w:rPr>
        <w:t>均具有法律效力，授权人均予以认可。</w:t>
      </w:r>
    </w:p>
    <w:p w14:paraId="623F45F9">
      <w:pPr>
        <w:keepNext/>
        <w:keepLines/>
        <w:spacing w:line="400" w:lineRule="exact"/>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本授权委托的期限为自</w:t>
      </w:r>
      <w:permStart w:id="95" w:edGrp="everyone"/>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szCs w:val="24"/>
          <w:highlight w:val="none"/>
          <w14:textFill>
            <w14:solidFill>
              <w14:schemeClr w14:val="tx1"/>
            </w14:solidFill>
          </w14:textFill>
        </w:rPr>
        <w:t>年</w:t>
      </w: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szCs w:val="24"/>
          <w:highlight w:val="none"/>
          <w14:textFill>
            <w14:solidFill>
              <w14:schemeClr w14:val="tx1"/>
            </w14:solidFill>
          </w14:textFill>
        </w:rPr>
        <w:t>月</w:t>
      </w: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szCs w:val="24"/>
          <w:highlight w:val="none"/>
          <w14:textFill>
            <w14:solidFill>
              <w14:schemeClr w14:val="tx1"/>
            </w14:solidFill>
          </w14:textFill>
        </w:rPr>
        <w:t>日</w:t>
      </w:r>
      <w:permEnd w:id="95"/>
      <w:r>
        <w:rPr>
          <w:rFonts w:hint="eastAsia" w:ascii="仿宋_GB2312" w:hAnsi="仿宋_GB2312" w:eastAsia="仿宋_GB2312" w:cs="仿宋_GB2312"/>
          <w:color w:val="000000" w:themeColor="text1"/>
          <w:sz w:val="24"/>
          <w:szCs w:val="24"/>
          <w:highlight w:val="none"/>
          <w14:textFill>
            <w14:solidFill>
              <w14:schemeClr w14:val="tx1"/>
            </w14:solidFill>
          </w14:textFill>
        </w:rPr>
        <w:t>至</w:t>
      </w:r>
      <w:permStart w:id="96" w:edGrp="everyone"/>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szCs w:val="24"/>
          <w:highlight w:val="none"/>
          <w14:textFill>
            <w14:solidFill>
              <w14:schemeClr w14:val="tx1"/>
            </w14:solidFill>
          </w14:textFill>
        </w:rPr>
        <w:t>年</w:t>
      </w: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szCs w:val="24"/>
          <w:highlight w:val="none"/>
          <w14:textFill>
            <w14:solidFill>
              <w14:schemeClr w14:val="tx1"/>
            </w14:solidFill>
          </w14:textFill>
        </w:rPr>
        <w:t>月</w:t>
      </w: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szCs w:val="24"/>
          <w:highlight w:val="none"/>
          <w14:textFill>
            <w14:solidFill>
              <w14:schemeClr w14:val="tx1"/>
            </w14:solidFill>
          </w14:textFill>
        </w:rPr>
        <w:t>日</w:t>
      </w:r>
      <w:permEnd w:id="96"/>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p w14:paraId="50AD98CD">
      <w:pPr>
        <w:spacing w:line="400" w:lineRule="exact"/>
        <w:ind w:firstLine="480" w:firstLineChars="200"/>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代理人无转委托权。</w:t>
      </w:r>
    </w:p>
    <w:p w14:paraId="2BAB9600">
      <w:pPr>
        <w:spacing w:line="400" w:lineRule="exact"/>
        <w:ind w:firstLine="480" w:firstLineChars="200"/>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特此授权。</w:t>
      </w:r>
    </w:p>
    <w:p w14:paraId="298828CF">
      <w:pPr>
        <w:spacing w:line="400" w:lineRule="exact"/>
        <w:ind w:firstLine="480" w:firstLineChars="200"/>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委托单位全称（</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盖</w:t>
      </w: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章）：          </w:t>
      </w:r>
    </w:p>
    <w:p w14:paraId="1631078B">
      <w:pPr>
        <w:spacing w:line="400" w:lineRule="exact"/>
        <w:ind w:firstLine="480" w:firstLineChars="200"/>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法定代表人：</w:t>
      </w:r>
    </w:p>
    <w:p w14:paraId="097F6200">
      <w:pPr>
        <w:spacing w:line="400" w:lineRule="exact"/>
        <w:ind w:firstLine="480" w:firstLineChars="200"/>
        <w:jc w:val="right"/>
        <w:rPr>
          <w:rFonts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szCs w:val="24"/>
          <w:highlight w:val="none"/>
          <w14:textFill>
            <w14:solidFill>
              <w14:schemeClr w14:val="tx1"/>
            </w14:solidFill>
          </w14:textFill>
        </w:rPr>
        <w:t>年</w:t>
      </w: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szCs w:val="24"/>
          <w:highlight w:val="none"/>
          <w14:textFill>
            <w14:solidFill>
              <w14:schemeClr w14:val="tx1"/>
            </w14:solidFill>
          </w14:textFill>
        </w:rPr>
        <w:t>月</w:t>
      </w: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日     </w:t>
      </w:r>
      <w:r>
        <w:rPr>
          <w:rFonts w:hint="eastAsia" w:ascii="仿宋_GB2312" w:hAnsi="仿宋_GB2312" w:eastAsia="仿宋_GB2312" w:cs="仿宋_GB2312"/>
          <w:b/>
          <w:color w:val="000000" w:themeColor="text1"/>
          <w:sz w:val="24"/>
          <w:szCs w:val="24"/>
          <w:highlight w:val="none"/>
          <w14:textFill>
            <w14:solidFill>
              <w14:schemeClr w14:val="tx1"/>
            </w14:solidFill>
          </w14:textFill>
        </w:rPr>
        <w:t xml:space="preserve"> </w:t>
      </w:r>
    </w:p>
    <w:p w14:paraId="45199B5D">
      <w:pPr>
        <w:spacing w:before="120" w:beforeLines="50" w:after="120" w:afterLines="50" w:line="400" w:lineRule="exact"/>
        <w:ind w:firstLine="482" w:firstLineChars="200"/>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代理人声明</w:t>
      </w:r>
      <w:r>
        <w:rPr>
          <w:rFonts w:hint="eastAsia" w:ascii="仿宋_GB2312" w:hAnsi="仿宋_GB2312" w:eastAsia="仿宋_GB2312" w:cs="仿宋_GB2312"/>
          <w:color w:val="000000" w:themeColor="text1"/>
          <w:sz w:val="24"/>
          <w:szCs w:val="24"/>
          <w:highlight w:val="none"/>
          <w14:textFill>
            <w14:solidFill>
              <w14:schemeClr w14:val="tx1"/>
            </w14:solidFill>
          </w14:textFill>
        </w:rPr>
        <w:t>：我对以上授权委托事项完全接受，自愿履行。</w:t>
      </w:r>
    </w:p>
    <w:p w14:paraId="028E20C0">
      <w:pPr>
        <w:spacing w:line="400" w:lineRule="exact"/>
        <w:ind w:firstLine="480" w:firstLineChars="200"/>
        <w:jc w:val="center"/>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代理人（本人签字）：</w:t>
      </w:r>
    </w:p>
    <w:p w14:paraId="410CAEEE">
      <w:pPr>
        <w:spacing w:line="400" w:lineRule="exact"/>
        <w:ind w:firstLine="480" w:firstLineChars="200"/>
        <w:jc w:val="right"/>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szCs w:val="24"/>
          <w:highlight w:val="none"/>
          <w14:textFill>
            <w14:solidFill>
              <w14:schemeClr w14:val="tx1"/>
            </w14:solidFill>
          </w14:textFill>
        </w:rPr>
        <w:t>年</w:t>
      </w: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szCs w:val="24"/>
          <w:highlight w:val="none"/>
          <w14:textFill>
            <w14:solidFill>
              <w14:schemeClr w14:val="tx1"/>
            </w14:solidFill>
          </w14:textFill>
        </w:rPr>
        <w:t>月</w:t>
      </w: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szCs w:val="24"/>
          <w:highlight w:val="none"/>
          <w14:textFill>
            <w14:solidFill>
              <w14:schemeClr w14:val="tx1"/>
            </w14:solidFill>
          </w14:textFill>
        </w:rPr>
        <w:t>日</w:t>
      </w:r>
    </w:p>
    <w:tbl>
      <w:tblPr>
        <w:tblStyle w:val="15"/>
        <w:tblpPr w:leftFromText="180" w:rightFromText="180" w:vertAnchor="text" w:horzAnchor="page" w:tblpX="1551" w:tblpY="508"/>
        <w:tblOverlap w:val="never"/>
        <w:tblW w:w="90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0"/>
        <w:gridCol w:w="4560"/>
      </w:tblGrid>
      <w:tr w14:paraId="40214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3" w:hRule="atLeast"/>
        </w:trPr>
        <w:tc>
          <w:tcPr>
            <w:tcW w:w="4470" w:type="dxa"/>
            <w:tcBorders>
              <w:right w:val="single" w:color="000000" w:sz="4" w:space="0"/>
            </w:tcBorders>
            <w:vAlign w:val="center"/>
          </w:tcPr>
          <w:p w14:paraId="3DD6C3EA">
            <w:pPr>
              <w:autoSpaceDE w:val="0"/>
              <w:autoSpaceDN w:val="0"/>
              <w:adjustRightInd w:val="0"/>
              <w:spacing w:line="400" w:lineRule="exact"/>
              <w:jc w:val="center"/>
              <w:rPr>
                <w:rFonts w:ascii="仿宋_GB2312" w:hAnsi="仿宋_GB2312" w:eastAsia="仿宋_GB2312" w:cs="仿宋_GB2312"/>
                <w:color w:val="000000" w:themeColor="text1"/>
                <w:sz w:val="24"/>
                <w:szCs w:val="24"/>
                <w:highlight w:val="none"/>
                <w14:textFill>
                  <w14:solidFill>
                    <w14:schemeClr w14:val="tx1"/>
                  </w14:solidFill>
                </w14:textFill>
              </w:rPr>
            </w:pPr>
            <w:permStart w:id="97" w:edGrp="everyone"/>
          </w:p>
        </w:tc>
        <w:tc>
          <w:tcPr>
            <w:tcW w:w="4560" w:type="dxa"/>
            <w:tcBorders>
              <w:left w:val="single" w:color="000000" w:sz="4" w:space="0"/>
            </w:tcBorders>
            <w:vAlign w:val="center"/>
          </w:tcPr>
          <w:p w14:paraId="6F269A0C">
            <w:pPr>
              <w:autoSpaceDE w:val="0"/>
              <w:autoSpaceDN w:val="0"/>
              <w:adjustRightInd w:val="0"/>
              <w:spacing w:line="400" w:lineRule="exact"/>
              <w:rPr>
                <w:rFonts w:ascii="仿宋_GB2312" w:hAnsi="仿宋_GB2312" w:eastAsia="仿宋_GB2312" w:cs="仿宋_GB2312"/>
                <w:color w:val="000000" w:themeColor="text1"/>
                <w:sz w:val="24"/>
                <w:szCs w:val="24"/>
                <w:highlight w:val="none"/>
                <w:lang w:val="zh-CN"/>
                <w14:textFill>
                  <w14:solidFill>
                    <w14:schemeClr w14:val="tx1"/>
                  </w14:solidFill>
                </w14:textFill>
              </w:rPr>
            </w:pPr>
          </w:p>
        </w:tc>
      </w:tr>
      <w:permEnd w:id="97"/>
    </w:tbl>
    <w:p w14:paraId="018AC2E2">
      <w:pPr>
        <w:spacing w:line="400" w:lineRule="exact"/>
        <w:ind w:firstLine="482" w:firstLineChars="200"/>
        <w:rPr>
          <w:rFonts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u w:val="dash"/>
          <w14:textFill>
            <w14:solidFill>
              <w14:schemeClr w14:val="tx1"/>
            </w14:solidFill>
          </w14:textFill>
        </w:rPr>
        <w:t>代理人身份证复印件粘贴处</w:t>
      </w:r>
      <w:r>
        <w:rPr>
          <w:rFonts w:hint="eastAsia" w:ascii="仿宋_GB2312" w:hAnsi="仿宋_GB2312" w:eastAsia="仿宋_GB2312" w:cs="仿宋_GB2312"/>
          <w:b/>
          <w:color w:val="000000" w:themeColor="text1"/>
          <w:sz w:val="24"/>
          <w:szCs w:val="24"/>
          <w:highlight w:val="none"/>
          <w14:textFill>
            <w14:solidFill>
              <w14:schemeClr w14:val="tx1"/>
            </w14:solidFill>
          </w14:textFill>
        </w:rPr>
        <w:t>：</w:t>
      </w:r>
    </w:p>
    <w:tbl>
      <w:tblPr>
        <w:tblStyle w:val="15"/>
        <w:tblpPr w:leftFromText="180" w:rightFromText="180" w:vertAnchor="text" w:horzAnchor="page" w:tblpX="1551" w:tblpY="3249"/>
        <w:tblOverlap w:val="never"/>
        <w:tblW w:w="90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5"/>
        <w:gridCol w:w="4530"/>
      </w:tblGrid>
      <w:tr w14:paraId="5C460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5" w:hRule="atLeast"/>
        </w:trPr>
        <w:tc>
          <w:tcPr>
            <w:tcW w:w="4485" w:type="dxa"/>
            <w:tcBorders>
              <w:right w:val="single" w:color="000000" w:sz="4" w:space="0"/>
            </w:tcBorders>
            <w:vAlign w:val="center"/>
          </w:tcPr>
          <w:p w14:paraId="66F30E5F">
            <w:pPr>
              <w:autoSpaceDE w:val="0"/>
              <w:autoSpaceDN w:val="0"/>
              <w:adjustRightInd w:val="0"/>
              <w:spacing w:line="400" w:lineRule="exact"/>
              <w:jc w:val="center"/>
              <w:rPr>
                <w:rFonts w:ascii="仿宋_GB2312" w:hAnsi="仿宋_GB2312" w:eastAsia="仿宋_GB2312" w:cs="仿宋_GB2312"/>
                <w:color w:val="000000" w:themeColor="text1"/>
                <w:sz w:val="24"/>
                <w:szCs w:val="24"/>
                <w:highlight w:val="none"/>
                <w14:textFill>
                  <w14:solidFill>
                    <w14:schemeClr w14:val="tx1"/>
                  </w14:solidFill>
                </w14:textFill>
              </w:rPr>
            </w:pPr>
            <w:permStart w:id="98" w:edGrp="everyone"/>
          </w:p>
        </w:tc>
        <w:tc>
          <w:tcPr>
            <w:tcW w:w="4530" w:type="dxa"/>
            <w:tcBorders>
              <w:left w:val="single" w:color="000000" w:sz="4" w:space="0"/>
            </w:tcBorders>
            <w:vAlign w:val="center"/>
          </w:tcPr>
          <w:p w14:paraId="7E7211DB">
            <w:pPr>
              <w:autoSpaceDE w:val="0"/>
              <w:autoSpaceDN w:val="0"/>
              <w:adjustRightInd w:val="0"/>
              <w:spacing w:line="400" w:lineRule="exact"/>
              <w:rPr>
                <w:rFonts w:ascii="仿宋_GB2312" w:hAnsi="仿宋_GB2312" w:eastAsia="仿宋_GB2312" w:cs="仿宋_GB2312"/>
                <w:color w:val="000000" w:themeColor="text1"/>
                <w:sz w:val="24"/>
                <w:szCs w:val="24"/>
                <w:highlight w:val="none"/>
                <w:lang w:val="zh-CN"/>
                <w14:textFill>
                  <w14:solidFill>
                    <w14:schemeClr w14:val="tx1"/>
                  </w14:solidFill>
                </w14:textFill>
              </w:rPr>
            </w:pPr>
          </w:p>
        </w:tc>
      </w:tr>
      <w:permEnd w:id="98"/>
    </w:tbl>
    <w:p w14:paraId="3A1DAA3C">
      <w:pPr>
        <w:spacing w:line="400" w:lineRule="exact"/>
        <w:ind w:firstLine="482" w:firstLineChars="200"/>
        <w:rPr>
          <w:rFonts w:ascii="仿宋_GB2312" w:hAnsi="仿宋_GB2312" w:eastAsia="仿宋_GB2312" w:cs="仿宋_GB2312"/>
          <w:b/>
          <w:color w:val="000000" w:themeColor="text1"/>
          <w:sz w:val="24"/>
          <w:szCs w:val="24"/>
          <w:highlight w:val="none"/>
          <w:u w:val="dash"/>
          <w14:textFill>
            <w14:solidFill>
              <w14:schemeClr w14:val="tx1"/>
            </w14:solidFill>
          </w14:textFill>
        </w:rPr>
      </w:pPr>
      <w:r>
        <w:rPr>
          <w:rFonts w:hint="eastAsia" w:ascii="仿宋_GB2312" w:hAnsi="仿宋_GB2312" w:eastAsia="仿宋_GB2312" w:cs="仿宋_GB2312"/>
          <w:b/>
          <w:color w:val="000000" w:themeColor="text1"/>
          <w:sz w:val="24"/>
          <w:szCs w:val="24"/>
          <w:highlight w:val="none"/>
          <w:u w:val="dash"/>
          <w14:textFill>
            <w14:solidFill>
              <w14:schemeClr w14:val="tx1"/>
            </w14:solidFill>
          </w14:textFill>
        </w:rPr>
        <w:t>法定代表人身份证复印件粘贴处：</w:t>
      </w:r>
    </w:p>
    <w:p w14:paraId="267FFCB1">
      <w:pPr>
        <w:pStyle w:val="19"/>
        <w:spacing w:line="400" w:lineRule="exact"/>
        <w:ind w:firstLine="480" w:firstLineChars="200"/>
        <w:rPr>
          <w:rFonts w:ascii="仿宋_GB2312" w:hAnsi="仿宋_GB2312" w:eastAsia="仿宋_GB2312" w:cs="仿宋_GB2312"/>
          <w:color w:val="000000" w:themeColor="text1"/>
          <w:highlight w:val="none"/>
          <w14:textFill>
            <w14:solidFill>
              <w14:schemeClr w14:val="tx1"/>
            </w14:solidFill>
          </w14:textFill>
        </w:rPr>
        <w:sectPr>
          <w:headerReference r:id="rId9" w:type="default"/>
          <w:footerReference r:id="rId10" w:type="default"/>
          <w:pgSz w:w="11906" w:h="16838"/>
          <w:pgMar w:top="1440" w:right="1800" w:bottom="1440" w:left="1800" w:header="850" w:footer="975" w:gutter="0"/>
          <w:pgNumType w:start="1"/>
          <w:cols w:space="0" w:num="1"/>
          <w:docGrid w:linePitch="312" w:charSpace="0"/>
        </w:sectPr>
      </w:pPr>
    </w:p>
    <w:p w14:paraId="7A0A42B2">
      <w:pPr>
        <w:spacing w:line="400" w:lineRule="exact"/>
        <w:ind w:right="210" w:rightChars="100"/>
        <w:outlineLvl w:val="0"/>
        <w:rPr>
          <w:rFonts w:ascii="仿宋_GB2312" w:hAnsi="仿宋_GB2312" w:eastAsia="仿宋_GB2312" w:cs="仿宋_GB2312"/>
          <w:color w:val="000000" w:themeColor="text1"/>
          <w:sz w:val="30"/>
          <w:szCs w:val="30"/>
          <w:highlight w:val="none"/>
          <w14:textFill>
            <w14:solidFill>
              <w14:schemeClr w14:val="tx1"/>
            </w14:solidFill>
          </w14:textFill>
        </w:rPr>
      </w:pPr>
      <w:bookmarkStart w:id="49" w:name="_Toc4231"/>
      <w:r>
        <w:rPr>
          <w:rFonts w:hint="eastAsia" w:ascii="仿宋_GB2312" w:hAnsi="仿宋_GB2312" w:eastAsia="仿宋_GB2312" w:cs="仿宋_GB2312"/>
          <w:color w:val="000000" w:themeColor="text1"/>
          <w:sz w:val="30"/>
          <w:szCs w:val="30"/>
          <w:highlight w:val="none"/>
          <w14:textFill>
            <w14:solidFill>
              <w14:schemeClr w14:val="tx1"/>
            </w14:solidFill>
          </w14:textFill>
        </w:rPr>
        <w:t>附件二：</w:t>
      </w:r>
      <w:bookmarkEnd w:id="49"/>
    </w:p>
    <w:p w14:paraId="14E385B1">
      <w:pPr>
        <w:spacing w:line="400" w:lineRule="exact"/>
        <w:jc w:val="center"/>
        <w:rPr>
          <w:rFonts w:ascii="仿宋_GB2312" w:hAnsi="仿宋_GB2312" w:eastAsia="仿宋_GB2312" w:cs="仿宋_GB2312"/>
          <w:b/>
          <w:bCs/>
          <w:color w:val="000000" w:themeColor="text1"/>
          <w:sz w:val="30"/>
          <w:szCs w:val="30"/>
          <w:highlight w:val="none"/>
          <w14:textFill>
            <w14:solidFill>
              <w14:schemeClr w14:val="tx1"/>
            </w14:solidFill>
          </w14:textFill>
        </w:rPr>
      </w:pPr>
      <w:r>
        <w:rPr>
          <w:rFonts w:hint="eastAsia" w:ascii="仿宋_GB2312" w:hAnsi="仿宋_GB2312" w:eastAsia="仿宋_GB2312" w:cs="仿宋_GB2312"/>
          <w:b/>
          <w:bCs/>
          <w:color w:val="000000" w:themeColor="text1"/>
          <w:sz w:val="30"/>
          <w:szCs w:val="30"/>
          <w:highlight w:val="none"/>
          <w14:textFill>
            <w14:solidFill>
              <w14:schemeClr w14:val="tx1"/>
            </w14:solidFill>
          </w14:textFill>
        </w:rPr>
        <w:t>项目部合规权限告知书</w:t>
      </w:r>
    </w:p>
    <w:p w14:paraId="649FAF19">
      <w:pPr>
        <w:autoSpaceDE w:val="0"/>
        <w:autoSpaceDN w:val="0"/>
        <w:adjustRightInd w:val="0"/>
        <w:spacing w:before="240" w:beforeLines="100" w:line="400" w:lineRule="exact"/>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t>致：</w:t>
      </w:r>
      <w:permStart w:id="99" w:edGrp="everyone"/>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 xml:space="preserve">            </w:t>
      </w:r>
      <w:permEnd w:id="99"/>
      <w:r>
        <w:rPr>
          <w:rFonts w:hint="eastAsia" w:ascii="仿宋_GB2312" w:hAnsi="仿宋_GB2312" w:eastAsia="仿宋_GB2312" w:cs="仿宋_GB2312"/>
          <w:color w:val="000000" w:themeColor="text1"/>
          <w:sz w:val="24"/>
          <w:szCs w:val="24"/>
          <w:highlight w:val="none"/>
          <w14:textFill>
            <w14:solidFill>
              <w14:schemeClr w14:val="tx1"/>
            </w14:solidFill>
          </w14:textFill>
        </w:rPr>
        <w:t>（乙方全称）</w:t>
      </w:r>
    </w:p>
    <w:p w14:paraId="5D0D3F7A">
      <w:pPr>
        <w:autoSpaceDE w:val="0"/>
        <w:autoSpaceDN w:val="0"/>
        <w:adjustRightInd w:val="0"/>
        <w:spacing w:line="400" w:lineRule="exact"/>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w:t>
      </w:r>
      <w:permStart w:id="100" w:edGrp="everyone"/>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 xml:space="preserve"> </w:t>
      </w:r>
      <w:bookmarkStart w:id="50" w:name="_Hlk126830603"/>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中建路桥集团有限公司</w:t>
      </w:r>
      <w:bookmarkEnd w:id="50"/>
      <w:permEnd w:id="100"/>
      <w:r>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采购方</w:t>
      </w:r>
      <w:r>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t>全称，以下简称本公司），系依法成立并有效存续的公司。现向本公司</w:t>
      </w:r>
      <w:permStart w:id="101" w:edGrp="everyone"/>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 xml:space="preserve">      </w:t>
      </w:r>
      <w:permEnd w:id="101"/>
      <w:r>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t>项目部(以下简称项目部)签发项目部合规权限告知书（以下简称本</w:t>
      </w:r>
      <w:r>
        <w:rPr>
          <w:rFonts w:hint="eastAsia" w:ascii="仿宋_GB2312" w:hAnsi="仿宋_GB2312" w:eastAsia="仿宋_GB2312" w:cs="仿宋_GB2312"/>
          <w:color w:val="000000" w:themeColor="text1"/>
          <w:sz w:val="24"/>
          <w:szCs w:val="24"/>
          <w:highlight w:val="none"/>
          <w14:textFill>
            <w14:solidFill>
              <w14:schemeClr w14:val="tx1"/>
            </w14:solidFill>
          </w14:textFill>
        </w:rPr>
        <w:t>告知</w:t>
      </w:r>
      <w:r>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t>书），项目经理</w:t>
      </w:r>
      <w:permStart w:id="102" w:edGrp="everyone"/>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 xml:space="preserve">      </w:t>
      </w:r>
      <w:permEnd w:id="102"/>
      <w:r>
        <w:rPr>
          <w:rFonts w:hint="eastAsia" w:ascii="仿宋_GB2312" w:hAnsi="仿宋_GB2312" w:eastAsia="仿宋_GB2312" w:cs="仿宋_GB2312"/>
          <w:color w:val="000000" w:themeColor="text1"/>
          <w:sz w:val="24"/>
          <w:szCs w:val="24"/>
          <w:highlight w:val="none"/>
          <w14:textFill>
            <w14:solidFill>
              <w14:schemeClr w14:val="tx1"/>
            </w14:solidFill>
          </w14:textFill>
        </w:rPr>
        <w:t>（身份证号：</w:t>
      </w:r>
      <w:permStart w:id="103" w:edGrp="everyone"/>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 xml:space="preserve">      </w:t>
      </w:r>
      <w:permEnd w:id="103"/>
      <w:r>
        <w:rPr>
          <w:rFonts w:hint="eastAsia" w:ascii="仿宋_GB2312" w:hAnsi="仿宋_GB2312" w:eastAsia="仿宋_GB2312" w:cs="仿宋_GB2312"/>
          <w:color w:val="000000" w:themeColor="text1"/>
          <w:sz w:val="24"/>
          <w:szCs w:val="24"/>
          <w:highlight w:val="none"/>
          <w14:textFill>
            <w14:solidFill>
              <w14:schemeClr w14:val="tx1"/>
            </w14:solidFill>
          </w14:textFill>
        </w:rPr>
        <w:t>）</w:t>
      </w:r>
      <w:r>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t xml:space="preserve">代表本公司行使权限。 </w:t>
      </w:r>
    </w:p>
    <w:p w14:paraId="60490CA7">
      <w:pPr>
        <w:autoSpaceDE w:val="0"/>
        <w:autoSpaceDN w:val="0"/>
        <w:adjustRightInd w:val="0"/>
        <w:spacing w:line="400" w:lineRule="exact"/>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一、</w:t>
      </w:r>
      <w:r>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t>项目部须严格按合同约定行使权利，履行义务。本授权书规定与合同约定相冲突的，以合同约定为准。</w:t>
      </w:r>
    </w:p>
    <w:p w14:paraId="6D773AA2">
      <w:pPr>
        <w:autoSpaceDE w:val="0"/>
        <w:autoSpaceDN w:val="0"/>
        <w:adjustRightInd w:val="0"/>
        <w:spacing w:line="400" w:lineRule="exact"/>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w:t>
      </w:r>
      <w:r>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t>二、项目部行使权限，须由项目经理签字并加盖项目部公章，否则本公司不予认可，亦不承担任何责任。</w:t>
      </w:r>
    </w:p>
    <w:p w14:paraId="12113C22">
      <w:pPr>
        <w:autoSpaceDE w:val="0"/>
        <w:autoSpaceDN w:val="0"/>
        <w:adjustRightInd w:val="0"/>
        <w:spacing w:line="400" w:lineRule="exact"/>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w:t>
      </w:r>
      <w:r>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t>三、项目经理</w:t>
      </w:r>
      <w:r>
        <w:rPr>
          <w:rFonts w:hint="eastAsia" w:ascii="仿宋_GB2312" w:hAnsi="仿宋_GB2312" w:eastAsia="仿宋_GB2312" w:cs="仿宋_GB2312"/>
          <w:color w:val="000000" w:themeColor="text1"/>
          <w:sz w:val="24"/>
          <w:szCs w:val="24"/>
          <w:highlight w:val="none"/>
          <w14:textFill>
            <w14:solidFill>
              <w14:schemeClr w14:val="tx1"/>
            </w14:solidFill>
          </w14:textFill>
        </w:rPr>
        <w:t>不</w:t>
      </w:r>
      <w:r>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t>可将其部分权限以书面形式转授权项目部其他人员，项目部任何内设机构及项目经理</w:t>
      </w:r>
      <w:r>
        <w:rPr>
          <w:rFonts w:hint="eastAsia" w:ascii="仿宋_GB2312" w:hAnsi="仿宋_GB2312" w:eastAsia="仿宋_GB2312" w:cs="仿宋_GB2312"/>
          <w:color w:val="000000" w:themeColor="text1"/>
          <w:sz w:val="24"/>
          <w:szCs w:val="24"/>
          <w:highlight w:val="none"/>
          <w14:textFill>
            <w14:solidFill>
              <w14:schemeClr w14:val="tx1"/>
            </w14:solidFill>
          </w14:textFill>
        </w:rPr>
        <w:t>擅自</w:t>
      </w:r>
      <w:r>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t>转授权人员以任何形式签字、盖章本公司均不予认可，亦不承担任何责任。</w:t>
      </w:r>
    </w:p>
    <w:p w14:paraId="3A3CB1C1">
      <w:pPr>
        <w:autoSpaceDE w:val="0"/>
        <w:autoSpaceDN w:val="0"/>
        <w:adjustRightInd w:val="0"/>
        <w:spacing w:line="400" w:lineRule="exact"/>
        <w:ind w:firstLine="480" w:firstLineChars="200"/>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t>四、项目所有合同、协议等具有权利义务性质的文件均需加盖合同专用章，否则本公司不予认可，亦不承担任何责任。</w:t>
      </w:r>
    </w:p>
    <w:p w14:paraId="457C04F1">
      <w:pPr>
        <w:autoSpaceDE w:val="0"/>
        <w:autoSpaceDN w:val="0"/>
        <w:adjustRightInd w:val="0"/>
        <w:spacing w:line="400" w:lineRule="exact"/>
        <w:ind w:firstLine="480"/>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t>五、凡涉及项目经济性事项，项目部须严格在本授权书规定的权限范围内行使，否则，即使经项目部加盖公章、项目经理签字，本公司亦不予认可，不承担任何责任。</w:t>
      </w:r>
    </w:p>
    <w:p w14:paraId="41D6647F">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1.项目部有权审批如下事项：</w:t>
      </w:r>
    </w:p>
    <w:tbl>
      <w:tblPr>
        <w:tblStyle w:val="15"/>
        <w:tblpPr w:leftFromText="180" w:rightFromText="180" w:vertAnchor="text" w:horzAnchor="margin" w:tblpXSpec="center" w:tblpY="87"/>
        <w:tblOverlap w:val="never"/>
        <w:tblW w:w="90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1209"/>
        <w:gridCol w:w="1974"/>
        <w:gridCol w:w="5117"/>
      </w:tblGrid>
      <w:tr w14:paraId="01D40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23" w:type="dxa"/>
            <w:vAlign w:val="center"/>
          </w:tcPr>
          <w:p w14:paraId="5D82AE6E">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序号</w:t>
            </w:r>
          </w:p>
        </w:tc>
        <w:tc>
          <w:tcPr>
            <w:tcW w:w="1209" w:type="dxa"/>
            <w:vAlign w:val="center"/>
          </w:tcPr>
          <w:p w14:paraId="33EF7F07">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板块</w:t>
            </w:r>
          </w:p>
        </w:tc>
        <w:tc>
          <w:tcPr>
            <w:tcW w:w="1974" w:type="dxa"/>
            <w:vAlign w:val="center"/>
          </w:tcPr>
          <w:p w14:paraId="180DD124">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授权事项</w:t>
            </w:r>
          </w:p>
        </w:tc>
        <w:tc>
          <w:tcPr>
            <w:tcW w:w="5117" w:type="dxa"/>
            <w:vAlign w:val="center"/>
          </w:tcPr>
          <w:p w14:paraId="5D9C7181">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授权权限</w:t>
            </w:r>
          </w:p>
        </w:tc>
      </w:tr>
      <w:tr w14:paraId="7B542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5264620C">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1</w:t>
            </w:r>
          </w:p>
        </w:tc>
        <w:tc>
          <w:tcPr>
            <w:tcW w:w="1209" w:type="dxa"/>
            <w:vMerge w:val="restart"/>
            <w:vAlign w:val="center"/>
          </w:tcPr>
          <w:p w14:paraId="7385B78D">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总包管理</w:t>
            </w:r>
          </w:p>
        </w:tc>
        <w:tc>
          <w:tcPr>
            <w:tcW w:w="1974" w:type="dxa"/>
            <w:vAlign w:val="center"/>
          </w:tcPr>
          <w:p w14:paraId="048A599B">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申请开工</w:t>
            </w:r>
          </w:p>
        </w:tc>
        <w:tc>
          <w:tcPr>
            <w:tcW w:w="5117" w:type="dxa"/>
            <w:vAlign w:val="center"/>
          </w:tcPr>
          <w:p w14:paraId="2FCF9E3A">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有权向建设单位申请开工。</w:t>
            </w:r>
          </w:p>
        </w:tc>
      </w:tr>
      <w:tr w14:paraId="6B93E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1F25DAA8">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2</w:t>
            </w:r>
          </w:p>
        </w:tc>
        <w:tc>
          <w:tcPr>
            <w:tcW w:w="1209" w:type="dxa"/>
            <w:vMerge w:val="continue"/>
            <w:vAlign w:val="center"/>
          </w:tcPr>
          <w:p w14:paraId="1E3E5AD4">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p>
        </w:tc>
        <w:tc>
          <w:tcPr>
            <w:tcW w:w="1974" w:type="dxa"/>
            <w:vAlign w:val="center"/>
          </w:tcPr>
          <w:p w14:paraId="5DB52A4A">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施工方案、施工组织设计</w:t>
            </w:r>
          </w:p>
        </w:tc>
        <w:tc>
          <w:tcPr>
            <w:tcW w:w="5117" w:type="dxa"/>
            <w:vAlign w:val="center"/>
          </w:tcPr>
          <w:p w14:paraId="07292AE6">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施工方案、施工组织设计、技术措施的编制、交底、实施和落实。</w:t>
            </w:r>
          </w:p>
        </w:tc>
      </w:tr>
      <w:tr w14:paraId="482F4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3C4210AB">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3</w:t>
            </w:r>
          </w:p>
        </w:tc>
        <w:tc>
          <w:tcPr>
            <w:tcW w:w="1209" w:type="dxa"/>
            <w:vMerge w:val="continue"/>
            <w:vAlign w:val="center"/>
          </w:tcPr>
          <w:p w14:paraId="45303366">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p>
        </w:tc>
        <w:tc>
          <w:tcPr>
            <w:tcW w:w="1974" w:type="dxa"/>
            <w:vAlign w:val="center"/>
          </w:tcPr>
          <w:p w14:paraId="262C9BEF">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报送工程进度</w:t>
            </w:r>
          </w:p>
        </w:tc>
        <w:tc>
          <w:tcPr>
            <w:tcW w:w="5117" w:type="dxa"/>
            <w:vAlign w:val="center"/>
          </w:tcPr>
          <w:p w14:paraId="0D805D0B">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对外报送工程进度计划及调整。</w:t>
            </w:r>
          </w:p>
        </w:tc>
      </w:tr>
      <w:tr w14:paraId="3748D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59178FDF">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4</w:t>
            </w:r>
          </w:p>
        </w:tc>
        <w:tc>
          <w:tcPr>
            <w:tcW w:w="1209" w:type="dxa"/>
            <w:vMerge w:val="continue"/>
            <w:vAlign w:val="center"/>
          </w:tcPr>
          <w:p w14:paraId="2325CF66">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p>
        </w:tc>
        <w:tc>
          <w:tcPr>
            <w:tcW w:w="1974" w:type="dxa"/>
            <w:vAlign w:val="center"/>
          </w:tcPr>
          <w:p w14:paraId="30A5FE51">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物资需用计划</w:t>
            </w:r>
          </w:p>
        </w:tc>
        <w:tc>
          <w:tcPr>
            <w:tcW w:w="5117" w:type="dxa"/>
            <w:vAlign w:val="center"/>
          </w:tcPr>
          <w:p w14:paraId="42BAB0FA">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有权向建设单位报送物资需用计划（适用于工程所需材料由建设单位提供）。</w:t>
            </w:r>
          </w:p>
        </w:tc>
      </w:tr>
      <w:tr w14:paraId="04BA8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29EACC5C">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5</w:t>
            </w:r>
          </w:p>
        </w:tc>
        <w:tc>
          <w:tcPr>
            <w:tcW w:w="1209" w:type="dxa"/>
            <w:vMerge w:val="continue"/>
            <w:vAlign w:val="center"/>
          </w:tcPr>
          <w:p w14:paraId="56E27294">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p>
        </w:tc>
        <w:tc>
          <w:tcPr>
            <w:tcW w:w="1974" w:type="dxa"/>
            <w:vAlign w:val="center"/>
          </w:tcPr>
          <w:p w14:paraId="59739B24">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甲供材过程及质量问题反馈</w:t>
            </w:r>
          </w:p>
        </w:tc>
        <w:tc>
          <w:tcPr>
            <w:tcW w:w="5117" w:type="dxa"/>
            <w:vAlign w:val="center"/>
          </w:tcPr>
          <w:p w14:paraId="61BA3B7E">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有权就建设单位方供应（控制）的物质，供货过程及质量问题，向建设单位发联系函。</w:t>
            </w:r>
          </w:p>
        </w:tc>
      </w:tr>
      <w:tr w14:paraId="2C909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4E944B8B">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6</w:t>
            </w:r>
          </w:p>
        </w:tc>
        <w:tc>
          <w:tcPr>
            <w:tcW w:w="1209" w:type="dxa"/>
            <w:vMerge w:val="continue"/>
            <w:vAlign w:val="center"/>
          </w:tcPr>
          <w:p w14:paraId="7143584A">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p>
        </w:tc>
        <w:tc>
          <w:tcPr>
            <w:tcW w:w="1974" w:type="dxa"/>
            <w:vAlign w:val="center"/>
          </w:tcPr>
          <w:p w14:paraId="53DD9F79">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废旧物资处理</w:t>
            </w:r>
          </w:p>
        </w:tc>
        <w:tc>
          <w:tcPr>
            <w:tcW w:w="5117" w:type="dxa"/>
            <w:vAlign w:val="center"/>
          </w:tcPr>
          <w:p w14:paraId="41052BD3">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有权按</w:t>
            </w:r>
            <w:r>
              <w:rPr>
                <w:rFonts w:hint="eastAsia" w:ascii="仿宋_GB2312" w:hAnsi="仿宋_GB2312" w:eastAsia="仿宋_GB2312" w:cs="仿宋_GB2312"/>
                <w:b/>
                <w:bCs/>
                <w:color w:val="000000" w:themeColor="text1"/>
                <w:sz w:val="24"/>
                <w:szCs w:val="24"/>
                <w:highlight w:val="none"/>
                <w14:textFill>
                  <w14:solidFill>
                    <w14:schemeClr w14:val="tx1"/>
                  </w14:solidFill>
                </w14:textFill>
              </w:rPr>
              <w:t>集团</w:t>
            </w: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w:t>
            </w:r>
            <w:r>
              <w:rPr>
                <w:rFonts w:hint="eastAsia" w:ascii="仿宋_GB2312" w:hAnsi="仿宋_GB2312" w:eastAsia="仿宋_GB2312" w:cs="仿宋_GB2312"/>
                <w:b/>
                <w:bCs/>
                <w:color w:val="000000" w:themeColor="text1"/>
                <w:sz w:val="24"/>
                <w:szCs w:val="24"/>
                <w:highlight w:val="none"/>
                <w14:textFill>
                  <w14:solidFill>
                    <w14:schemeClr w14:val="tx1"/>
                  </w14:solidFill>
                </w14:textFill>
              </w:rPr>
              <w:t>分子公司</w:t>
            </w: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确定的方案实施处理废旧物资。</w:t>
            </w:r>
          </w:p>
        </w:tc>
      </w:tr>
      <w:tr w14:paraId="7B319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4E0E76FD">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7</w:t>
            </w:r>
          </w:p>
        </w:tc>
        <w:tc>
          <w:tcPr>
            <w:tcW w:w="1209" w:type="dxa"/>
            <w:vMerge w:val="continue"/>
            <w:vAlign w:val="center"/>
          </w:tcPr>
          <w:p w14:paraId="6BECFF21">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p>
        </w:tc>
        <w:tc>
          <w:tcPr>
            <w:tcW w:w="1974" w:type="dxa"/>
            <w:vAlign w:val="center"/>
          </w:tcPr>
          <w:p w14:paraId="3A9BDD0F">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设计变更、签证、索赔</w:t>
            </w:r>
          </w:p>
        </w:tc>
        <w:tc>
          <w:tcPr>
            <w:tcW w:w="5117" w:type="dxa"/>
            <w:vAlign w:val="center"/>
          </w:tcPr>
          <w:p w14:paraId="0138DFE2">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有权向建设单位报送设计变更、签证、索赔报价单</w:t>
            </w:r>
          </w:p>
        </w:tc>
      </w:tr>
      <w:tr w14:paraId="00738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23" w:type="dxa"/>
            <w:vAlign w:val="center"/>
          </w:tcPr>
          <w:p w14:paraId="62EF4D2B">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8</w:t>
            </w:r>
          </w:p>
        </w:tc>
        <w:tc>
          <w:tcPr>
            <w:tcW w:w="1209" w:type="dxa"/>
            <w:vMerge w:val="continue"/>
            <w:vAlign w:val="center"/>
          </w:tcPr>
          <w:p w14:paraId="485105B4">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p>
        </w:tc>
        <w:tc>
          <w:tcPr>
            <w:tcW w:w="1974" w:type="dxa"/>
            <w:vAlign w:val="center"/>
          </w:tcPr>
          <w:p w14:paraId="56ECA641">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对外报量书</w:t>
            </w:r>
          </w:p>
        </w:tc>
        <w:tc>
          <w:tcPr>
            <w:tcW w:w="5117" w:type="dxa"/>
            <w:vAlign w:val="center"/>
          </w:tcPr>
          <w:p w14:paraId="2EE0562B">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有权编制对外报量书并报送甲方审核。</w:t>
            </w:r>
          </w:p>
        </w:tc>
      </w:tr>
      <w:tr w14:paraId="3FEB9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23" w:type="dxa"/>
            <w:vAlign w:val="center"/>
          </w:tcPr>
          <w:p w14:paraId="73E98103">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9</w:t>
            </w:r>
          </w:p>
        </w:tc>
        <w:tc>
          <w:tcPr>
            <w:tcW w:w="1209" w:type="dxa"/>
            <w:vMerge w:val="continue"/>
            <w:vAlign w:val="center"/>
          </w:tcPr>
          <w:p w14:paraId="5EBC0283">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p>
        </w:tc>
        <w:tc>
          <w:tcPr>
            <w:tcW w:w="1974" w:type="dxa"/>
            <w:vAlign w:val="center"/>
          </w:tcPr>
          <w:p w14:paraId="139CFF90">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付款申请</w:t>
            </w:r>
          </w:p>
        </w:tc>
        <w:tc>
          <w:tcPr>
            <w:tcW w:w="5117" w:type="dxa"/>
            <w:vAlign w:val="center"/>
          </w:tcPr>
          <w:p w14:paraId="0C984EF8">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有权向建设单位提出付款申请。</w:t>
            </w:r>
          </w:p>
        </w:tc>
      </w:tr>
      <w:tr w14:paraId="4756B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23" w:type="dxa"/>
            <w:vAlign w:val="center"/>
          </w:tcPr>
          <w:p w14:paraId="25472D4A">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10</w:t>
            </w:r>
          </w:p>
        </w:tc>
        <w:tc>
          <w:tcPr>
            <w:tcW w:w="1209" w:type="dxa"/>
            <w:vMerge w:val="continue"/>
            <w:vAlign w:val="center"/>
          </w:tcPr>
          <w:p w14:paraId="1E5E096B">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p>
        </w:tc>
        <w:tc>
          <w:tcPr>
            <w:tcW w:w="1974" w:type="dxa"/>
            <w:vAlign w:val="center"/>
          </w:tcPr>
          <w:p w14:paraId="30307833">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申请工程竣工验收</w:t>
            </w:r>
          </w:p>
        </w:tc>
        <w:tc>
          <w:tcPr>
            <w:tcW w:w="5117" w:type="dxa"/>
            <w:vAlign w:val="center"/>
          </w:tcPr>
          <w:p w14:paraId="62C27214">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有权报监理单位、建设单位组织验收。验收合格的，有权向建设单位提出竣工验收申请。</w:t>
            </w:r>
          </w:p>
        </w:tc>
      </w:tr>
      <w:tr w14:paraId="23AA2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23" w:type="dxa"/>
            <w:vAlign w:val="center"/>
          </w:tcPr>
          <w:p w14:paraId="3B3610E4">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11</w:t>
            </w:r>
          </w:p>
        </w:tc>
        <w:tc>
          <w:tcPr>
            <w:tcW w:w="1209" w:type="dxa"/>
            <w:vMerge w:val="continue"/>
            <w:vAlign w:val="center"/>
          </w:tcPr>
          <w:p w14:paraId="03A123D0">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p>
        </w:tc>
        <w:tc>
          <w:tcPr>
            <w:tcW w:w="1974" w:type="dxa"/>
            <w:vAlign w:val="center"/>
          </w:tcPr>
          <w:p w14:paraId="18E4B87E">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工程交付</w:t>
            </w:r>
          </w:p>
        </w:tc>
        <w:tc>
          <w:tcPr>
            <w:tcW w:w="5117" w:type="dxa"/>
            <w:vAlign w:val="center"/>
          </w:tcPr>
          <w:p w14:paraId="2CDA4184">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有权组织向建设单位进行交付，办理工程移交单。</w:t>
            </w:r>
          </w:p>
        </w:tc>
      </w:tr>
      <w:tr w14:paraId="0FE78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23" w:type="dxa"/>
            <w:vAlign w:val="center"/>
          </w:tcPr>
          <w:p w14:paraId="007EFE02">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12</w:t>
            </w:r>
          </w:p>
        </w:tc>
        <w:tc>
          <w:tcPr>
            <w:tcW w:w="1209" w:type="dxa"/>
            <w:vMerge w:val="continue"/>
            <w:vAlign w:val="center"/>
          </w:tcPr>
          <w:p w14:paraId="5EF191C6">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p>
        </w:tc>
        <w:tc>
          <w:tcPr>
            <w:tcW w:w="1974" w:type="dxa"/>
            <w:vAlign w:val="center"/>
          </w:tcPr>
          <w:p w14:paraId="0B6AC99B">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撤销保函</w:t>
            </w:r>
          </w:p>
        </w:tc>
        <w:tc>
          <w:tcPr>
            <w:tcW w:w="5117" w:type="dxa"/>
            <w:vAlign w:val="center"/>
          </w:tcPr>
          <w:p w14:paraId="52A41AF5">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有权办理我公司对外开立的保函撤销相关工作。</w:t>
            </w:r>
          </w:p>
        </w:tc>
      </w:tr>
      <w:tr w14:paraId="22B53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23" w:type="dxa"/>
            <w:vAlign w:val="center"/>
          </w:tcPr>
          <w:p w14:paraId="440E0E5A">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13</w:t>
            </w:r>
          </w:p>
        </w:tc>
        <w:tc>
          <w:tcPr>
            <w:tcW w:w="1209" w:type="dxa"/>
            <w:vMerge w:val="continue"/>
            <w:vAlign w:val="center"/>
          </w:tcPr>
          <w:p w14:paraId="40332E4C">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p>
        </w:tc>
        <w:tc>
          <w:tcPr>
            <w:tcW w:w="1974" w:type="dxa"/>
            <w:vAlign w:val="center"/>
          </w:tcPr>
          <w:p w14:paraId="4BAB849C">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递交结算资料</w:t>
            </w:r>
          </w:p>
        </w:tc>
        <w:tc>
          <w:tcPr>
            <w:tcW w:w="5117" w:type="dxa"/>
            <w:vAlign w:val="center"/>
          </w:tcPr>
          <w:p w14:paraId="1B7C7F19">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有权向建设单位递交工程结算书及结算资料。</w:t>
            </w:r>
          </w:p>
        </w:tc>
      </w:tr>
      <w:tr w14:paraId="2CB47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23" w:type="dxa"/>
            <w:vAlign w:val="center"/>
          </w:tcPr>
          <w:p w14:paraId="04DAB5ED">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14</w:t>
            </w:r>
          </w:p>
        </w:tc>
        <w:tc>
          <w:tcPr>
            <w:tcW w:w="1209" w:type="dxa"/>
            <w:vMerge w:val="continue"/>
            <w:vAlign w:val="center"/>
          </w:tcPr>
          <w:p w14:paraId="52D6BFAA">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p>
        </w:tc>
        <w:tc>
          <w:tcPr>
            <w:tcW w:w="1974" w:type="dxa"/>
            <w:vAlign w:val="center"/>
          </w:tcPr>
          <w:p w14:paraId="206107D0">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应收账款对账</w:t>
            </w:r>
          </w:p>
        </w:tc>
        <w:tc>
          <w:tcPr>
            <w:tcW w:w="5117" w:type="dxa"/>
            <w:vAlign w:val="center"/>
          </w:tcPr>
          <w:p w14:paraId="3A49D4E8">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有权与建设单位进行对账，将双方应收（付）账款金额核对一致。</w:t>
            </w:r>
          </w:p>
        </w:tc>
      </w:tr>
      <w:tr w14:paraId="7ACF3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23" w:type="dxa"/>
            <w:vAlign w:val="center"/>
          </w:tcPr>
          <w:p w14:paraId="4DCFE181">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15</w:t>
            </w:r>
          </w:p>
        </w:tc>
        <w:tc>
          <w:tcPr>
            <w:tcW w:w="1209" w:type="dxa"/>
            <w:vMerge w:val="continue"/>
            <w:vAlign w:val="center"/>
          </w:tcPr>
          <w:p w14:paraId="334B8E98">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p>
        </w:tc>
        <w:tc>
          <w:tcPr>
            <w:tcW w:w="1974" w:type="dxa"/>
            <w:vAlign w:val="center"/>
          </w:tcPr>
          <w:p w14:paraId="329EA545">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催款单</w:t>
            </w:r>
          </w:p>
        </w:tc>
        <w:tc>
          <w:tcPr>
            <w:tcW w:w="5117" w:type="dxa"/>
            <w:vAlign w:val="center"/>
          </w:tcPr>
          <w:p w14:paraId="462CD30D">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根据《工程施工合同》有关条款，在存在拖欠工程款时，有权向建设单位发函催收。</w:t>
            </w:r>
          </w:p>
        </w:tc>
      </w:tr>
      <w:tr w14:paraId="00878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23" w:type="dxa"/>
            <w:vAlign w:val="center"/>
          </w:tcPr>
          <w:p w14:paraId="1FB105D2">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16</w:t>
            </w:r>
          </w:p>
        </w:tc>
        <w:tc>
          <w:tcPr>
            <w:tcW w:w="1209" w:type="dxa"/>
            <w:vMerge w:val="restart"/>
            <w:vAlign w:val="center"/>
          </w:tcPr>
          <w:p w14:paraId="2E6CCEFC">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分包(供)管理</w:t>
            </w:r>
          </w:p>
        </w:tc>
        <w:tc>
          <w:tcPr>
            <w:tcW w:w="1974" w:type="dxa"/>
            <w:vAlign w:val="center"/>
          </w:tcPr>
          <w:p w14:paraId="1DD812D0">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分包（</w:t>
            </w:r>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供应</w:t>
            </w: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）合同管理</w:t>
            </w:r>
          </w:p>
        </w:tc>
        <w:tc>
          <w:tcPr>
            <w:tcW w:w="5117" w:type="dxa"/>
            <w:vAlign w:val="center"/>
          </w:tcPr>
          <w:p w14:paraId="0510F957">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有权根据</w:t>
            </w:r>
            <w:r>
              <w:rPr>
                <w:rFonts w:hint="eastAsia" w:ascii="仿宋_GB2312" w:hAnsi="仿宋_GB2312" w:eastAsia="仿宋_GB2312" w:cs="仿宋_GB2312"/>
                <w:b/>
                <w:bCs/>
                <w:color w:val="000000" w:themeColor="text1"/>
                <w:sz w:val="24"/>
                <w:szCs w:val="24"/>
                <w:highlight w:val="none"/>
                <w14:textFill>
                  <w14:solidFill>
                    <w14:schemeClr w14:val="tx1"/>
                  </w14:solidFill>
                </w14:textFill>
              </w:rPr>
              <w:t>集团</w:t>
            </w: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w:t>
            </w:r>
            <w:r>
              <w:rPr>
                <w:rFonts w:hint="eastAsia" w:ascii="仿宋_GB2312" w:hAnsi="仿宋_GB2312" w:eastAsia="仿宋_GB2312" w:cs="仿宋_GB2312"/>
                <w:b/>
                <w:bCs/>
                <w:color w:val="000000" w:themeColor="text1"/>
                <w:sz w:val="24"/>
                <w:szCs w:val="24"/>
                <w:highlight w:val="none"/>
                <w14:textFill>
                  <w14:solidFill>
                    <w14:schemeClr w14:val="tx1"/>
                  </w14:solidFill>
                </w14:textFill>
              </w:rPr>
              <w:t>分子公司</w:t>
            </w: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授权范围进行谈判，均需报</w:t>
            </w:r>
            <w:r>
              <w:rPr>
                <w:rFonts w:hint="eastAsia" w:ascii="仿宋_GB2312" w:hAnsi="仿宋_GB2312" w:eastAsia="仿宋_GB2312" w:cs="仿宋_GB2312"/>
                <w:b/>
                <w:bCs/>
                <w:color w:val="000000" w:themeColor="text1"/>
                <w:sz w:val="24"/>
                <w:szCs w:val="24"/>
                <w:highlight w:val="none"/>
                <w14:textFill>
                  <w14:solidFill>
                    <w14:schemeClr w14:val="tx1"/>
                  </w14:solidFill>
                </w14:textFill>
              </w:rPr>
              <w:t>集团</w:t>
            </w: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/公司审批签约。</w:t>
            </w:r>
          </w:p>
        </w:tc>
      </w:tr>
      <w:tr w14:paraId="73A73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23" w:type="dxa"/>
            <w:vAlign w:val="center"/>
          </w:tcPr>
          <w:p w14:paraId="351BF292">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14:textFill>
                  <w14:solidFill>
                    <w14:schemeClr w14:val="tx1"/>
                  </w14:solidFill>
                </w14:textFill>
              </w:rPr>
              <w:t>17</w:t>
            </w:r>
          </w:p>
        </w:tc>
        <w:tc>
          <w:tcPr>
            <w:tcW w:w="1209" w:type="dxa"/>
            <w:vMerge w:val="continue"/>
            <w:vAlign w:val="center"/>
          </w:tcPr>
          <w:p w14:paraId="34A183C5">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p>
        </w:tc>
        <w:tc>
          <w:tcPr>
            <w:tcW w:w="1974" w:type="dxa"/>
            <w:vAlign w:val="center"/>
          </w:tcPr>
          <w:p w14:paraId="7CFB7DF2">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14:textFill>
                  <w14:solidFill>
                    <w14:schemeClr w14:val="tx1"/>
                  </w14:solidFill>
                </w14:textFill>
              </w:rPr>
              <w:t>合同交底管理</w:t>
            </w:r>
          </w:p>
        </w:tc>
        <w:tc>
          <w:tcPr>
            <w:tcW w:w="5117" w:type="dxa"/>
            <w:vAlign w:val="center"/>
          </w:tcPr>
          <w:p w14:paraId="795F4370">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将相关工程洽商记录、施工图纸及会审记录、设计变更通知书或设计变更图发至乙方，并做书面交底。</w:t>
            </w:r>
          </w:p>
        </w:tc>
      </w:tr>
      <w:tr w14:paraId="3D9C2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23" w:type="dxa"/>
            <w:vAlign w:val="center"/>
          </w:tcPr>
          <w:p w14:paraId="26BB9B42">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1</w:t>
            </w:r>
            <w:r>
              <w:rPr>
                <w:rFonts w:hint="eastAsia" w:ascii="仿宋_GB2312" w:hAnsi="仿宋_GB2312" w:eastAsia="仿宋_GB2312" w:cs="仿宋_GB2312"/>
                <w:b/>
                <w:bCs/>
                <w:color w:val="000000" w:themeColor="text1"/>
                <w:sz w:val="24"/>
                <w:szCs w:val="24"/>
                <w:highlight w:val="none"/>
                <w14:textFill>
                  <w14:solidFill>
                    <w14:schemeClr w14:val="tx1"/>
                  </w14:solidFill>
                </w14:textFill>
              </w:rPr>
              <w:t>8</w:t>
            </w:r>
          </w:p>
        </w:tc>
        <w:tc>
          <w:tcPr>
            <w:tcW w:w="1209" w:type="dxa"/>
            <w:vMerge w:val="continue"/>
            <w:vAlign w:val="center"/>
          </w:tcPr>
          <w:p w14:paraId="349D195F">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p>
        </w:tc>
        <w:tc>
          <w:tcPr>
            <w:tcW w:w="1974" w:type="dxa"/>
            <w:vAlign w:val="center"/>
          </w:tcPr>
          <w:p w14:paraId="1CEF0A46">
            <w:pPr>
              <w:autoSpaceDE w:val="0"/>
              <w:autoSpaceDN w:val="0"/>
              <w:adjustRightInd w:val="0"/>
              <w:spacing w:line="400" w:lineRule="exact"/>
              <w:jc w:val="left"/>
              <w:rPr>
                <w:rFonts w:hint="eastAsia" w:ascii="仿宋_GB2312" w:hAnsi="仿宋_GB2312" w:eastAsia="仿宋_GB2312" w:cs="仿宋_GB2312"/>
                <w:b/>
                <w:bCs/>
                <w:color w:val="FF0000"/>
                <w:sz w:val="24"/>
                <w:szCs w:val="24"/>
                <w:highlight w:val="none"/>
                <w:lang w:val="zh-CN"/>
              </w:rPr>
            </w:pPr>
            <w:r>
              <w:rPr>
                <w:rFonts w:hint="eastAsia" w:ascii="仿宋_GB2312" w:hAnsi="仿宋_GB2312" w:eastAsia="仿宋_GB2312" w:cs="仿宋_GB2312"/>
                <w:b/>
                <w:bCs/>
                <w:sz w:val="24"/>
                <w:szCs w:val="24"/>
                <w:highlight w:val="none"/>
                <w:lang w:val="zh-CN"/>
              </w:rPr>
              <w:t>分包合同签证管理</w:t>
            </w:r>
          </w:p>
        </w:tc>
        <w:tc>
          <w:tcPr>
            <w:tcW w:w="5117" w:type="dxa"/>
            <w:vAlign w:val="center"/>
          </w:tcPr>
          <w:p w14:paraId="17C6B285">
            <w:pPr>
              <w:autoSpaceDE w:val="0"/>
              <w:autoSpaceDN w:val="0"/>
              <w:adjustRightInd w:val="0"/>
              <w:spacing w:line="400" w:lineRule="exact"/>
              <w:jc w:val="left"/>
              <w:rPr>
                <w:rFonts w:hint="eastAsia" w:ascii="仿宋_GB2312" w:hAnsi="仿宋_GB2312" w:eastAsia="仿宋_GB2312" w:cs="仿宋_GB2312"/>
                <w:b/>
                <w:bCs/>
                <w:color w:val="FF0000"/>
                <w:sz w:val="24"/>
                <w:szCs w:val="24"/>
                <w:highlight w:val="none"/>
                <w:lang w:val="zh-CN"/>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分包合同签证接收与初审(单份单项额度2万元以下的经济签证签署至项目经理，单份单项额度2万元以上的经济签证应签署至子企业总经济师。对同一个分包商累计现场签证不得超过10万元，且不得超过分包合同额的5%；结果需报公司/分公司审核，审核后方可作为结算依据）</w:t>
            </w:r>
          </w:p>
        </w:tc>
      </w:tr>
      <w:tr w14:paraId="4CA19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23" w:type="dxa"/>
            <w:vAlign w:val="center"/>
          </w:tcPr>
          <w:p w14:paraId="0DFB8E7B">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1</w:t>
            </w:r>
            <w:r>
              <w:rPr>
                <w:rFonts w:hint="eastAsia" w:ascii="仿宋_GB2312" w:hAnsi="仿宋_GB2312" w:eastAsia="仿宋_GB2312" w:cs="仿宋_GB2312"/>
                <w:b/>
                <w:bCs/>
                <w:color w:val="000000" w:themeColor="text1"/>
                <w:sz w:val="24"/>
                <w:szCs w:val="24"/>
                <w:highlight w:val="none"/>
                <w14:textFill>
                  <w14:solidFill>
                    <w14:schemeClr w14:val="tx1"/>
                  </w14:solidFill>
                </w14:textFill>
              </w:rPr>
              <w:t>9</w:t>
            </w:r>
          </w:p>
        </w:tc>
        <w:tc>
          <w:tcPr>
            <w:tcW w:w="1209" w:type="dxa"/>
            <w:vMerge w:val="continue"/>
            <w:vAlign w:val="center"/>
          </w:tcPr>
          <w:p w14:paraId="1E1C4EBB">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p>
        </w:tc>
        <w:tc>
          <w:tcPr>
            <w:tcW w:w="1974" w:type="dxa"/>
            <w:shd w:val="clear" w:color="auto" w:fill="auto"/>
            <w:vAlign w:val="center"/>
          </w:tcPr>
          <w:p w14:paraId="064B7607">
            <w:pPr>
              <w:autoSpaceDE w:val="0"/>
              <w:autoSpaceDN w:val="0"/>
              <w:adjustRightInd w:val="0"/>
              <w:spacing w:line="400" w:lineRule="exact"/>
              <w:jc w:val="left"/>
              <w:rPr>
                <w:rFonts w:hint="eastAsia" w:ascii="仿宋_GB2312" w:hAnsi="仿宋_GB2312" w:eastAsia="仿宋_GB2312" w:cs="仿宋_GB2312"/>
                <w:b/>
                <w:bCs/>
                <w:sz w:val="24"/>
                <w:szCs w:val="24"/>
                <w:highlight w:val="none"/>
                <w:lang w:val="zh-CN"/>
              </w:rPr>
            </w:pPr>
            <w:r>
              <w:rPr>
                <w:rFonts w:hint="eastAsia" w:ascii="仿宋_GB2312" w:hAnsi="仿宋_GB2312" w:eastAsia="仿宋_GB2312" w:cs="仿宋_GB2312"/>
                <w:b/>
                <w:bCs/>
                <w:sz w:val="24"/>
                <w:szCs w:val="24"/>
                <w:highlight w:val="none"/>
                <w:lang w:val="zh-CN"/>
              </w:rPr>
              <w:t>分包单位进退场</w:t>
            </w:r>
          </w:p>
        </w:tc>
        <w:tc>
          <w:tcPr>
            <w:tcW w:w="5117" w:type="dxa"/>
            <w:shd w:val="clear" w:color="auto" w:fill="auto"/>
            <w:vAlign w:val="center"/>
          </w:tcPr>
          <w:p w14:paraId="256F1771">
            <w:pPr>
              <w:autoSpaceDE w:val="0"/>
              <w:autoSpaceDN w:val="0"/>
              <w:adjustRightInd w:val="0"/>
              <w:spacing w:line="400" w:lineRule="exact"/>
              <w:jc w:val="left"/>
              <w:rPr>
                <w:rFonts w:hint="eastAsia" w:ascii="仿宋_GB2312" w:hAnsi="仿宋_GB2312" w:eastAsia="仿宋_GB2312" w:cs="仿宋_GB2312"/>
                <w:b/>
                <w:bCs/>
                <w:sz w:val="24"/>
                <w:szCs w:val="24"/>
                <w:highlight w:val="none"/>
                <w:lang w:val="zh-CN"/>
              </w:rPr>
            </w:pPr>
            <w:r>
              <w:rPr>
                <w:rFonts w:hint="eastAsia" w:ascii="仿宋_GB2312" w:hAnsi="仿宋_GB2312" w:eastAsia="仿宋_GB2312" w:cs="仿宋_GB2312"/>
                <w:b/>
                <w:bCs/>
                <w:sz w:val="24"/>
                <w:szCs w:val="24"/>
                <w:highlight w:val="none"/>
                <w:lang w:val="zh-CN"/>
              </w:rPr>
              <w:t>有权确认分包人员、机械、材料等施工资源进退场。</w:t>
            </w:r>
          </w:p>
        </w:tc>
      </w:tr>
      <w:tr w14:paraId="34A2D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23" w:type="dxa"/>
            <w:vAlign w:val="center"/>
          </w:tcPr>
          <w:p w14:paraId="384D199B">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14:textFill>
                  <w14:solidFill>
                    <w14:schemeClr w14:val="tx1"/>
                  </w14:solidFill>
                </w14:textFill>
              </w:rPr>
              <w:t>20</w:t>
            </w:r>
          </w:p>
        </w:tc>
        <w:tc>
          <w:tcPr>
            <w:tcW w:w="1209" w:type="dxa"/>
            <w:vMerge w:val="continue"/>
            <w:vAlign w:val="center"/>
          </w:tcPr>
          <w:p w14:paraId="4A8184BD">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p>
        </w:tc>
        <w:tc>
          <w:tcPr>
            <w:tcW w:w="1974" w:type="dxa"/>
            <w:vAlign w:val="center"/>
          </w:tcPr>
          <w:p w14:paraId="73B0D5FB">
            <w:pPr>
              <w:autoSpaceDE w:val="0"/>
              <w:autoSpaceDN w:val="0"/>
              <w:adjustRightInd w:val="0"/>
              <w:spacing w:line="400" w:lineRule="exact"/>
              <w:jc w:val="left"/>
              <w:rPr>
                <w:rFonts w:hint="eastAsia" w:ascii="仿宋_GB2312" w:hAnsi="仿宋_GB2312" w:eastAsia="仿宋_GB2312" w:cs="仿宋_GB2312"/>
                <w:b/>
                <w:bCs/>
                <w:sz w:val="24"/>
                <w:szCs w:val="24"/>
                <w:highlight w:val="none"/>
                <w:lang w:val="zh-CN"/>
              </w:rPr>
            </w:pPr>
            <w:r>
              <w:rPr>
                <w:rFonts w:hint="eastAsia" w:ascii="仿宋_GB2312" w:hAnsi="仿宋_GB2312" w:eastAsia="仿宋_GB2312" w:cs="仿宋_GB2312"/>
                <w:b/>
                <w:bCs/>
                <w:sz w:val="24"/>
                <w:szCs w:val="24"/>
                <w:highlight w:val="none"/>
                <w:lang w:val="zh-CN"/>
              </w:rPr>
              <w:t>劳动力分配计划</w:t>
            </w:r>
          </w:p>
        </w:tc>
        <w:tc>
          <w:tcPr>
            <w:tcW w:w="5117" w:type="dxa"/>
            <w:vAlign w:val="center"/>
          </w:tcPr>
          <w:p w14:paraId="0383620B">
            <w:pPr>
              <w:autoSpaceDE w:val="0"/>
              <w:autoSpaceDN w:val="0"/>
              <w:adjustRightInd w:val="0"/>
              <w:spacing w:line="400" w:lineRule="exact"/>
              <w:jc w:val="left"/>
              <w:rPr>
                <w:rFonts w:hint="eastAsia" w:ascii="仿宋_GB2312" w:hAnsi="仿宋_GB2312" w:eastAsia="仿宋_GB2312" w:cs="仿宋_GB2312"/>
                <w:b/>
                <w:bCs/>
                <w:sz w:val="24"/>
                <w:szCs w:val="24"/>
                <w:highlight w:val="none"/>
                <w:lang w:val="zh-CN"/>
              </w:rPr>
            </w:pPr>
            <w:r>
              <w:rPr>
                <w:rFonts w:hint="eastAsia" w:ascii="仿宋_GB2312" w:hAnsi="仿宋_GB2312" w:eastAsia="仿宋_GB2312" w:cs="仿宋_GB2312"/>
                <w:b/>
                <w:bCs/>
                <w:sz w:val="24"/>
                <w:szCs w:val="24"/>
                <w:highlight w:val="none"/>
                <w:lang w:val="zh-CN"/>
              </w:rPr>
              <w:t>有权要求分包方按要求配置劳动力。</w:t>
            </w:r>
          </w:p>
        </w:tc>
      </w:tr>
      <w:tr w14:paraId="5CDAC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23" w:type="dxa"/>
            <w:vAlign w:val="center"/>
          </w:tcPr>
          <w:p w14:paraId="5A018B83">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2</w:t>
            </w:r>
            <w:r>
              <w:rPr>
                <w:rFonts w:hint="eastAsia" w:ascii="仿宋_GB2312" w:hAnsi="仿宋_GB2312" w:eastAsia="仿宋_GB2312" w:cs="仿宋_GB2312"/>
                <w:b/>
                <w:bCs/>
                <w:color w:val="000000" w:themeColor="text1"/>
                <w:sz w:val="24"/>
                <w:szCs w:val="24"/>
                <w:highlight w:val="none"/>
                <w14:textFill>
                  <w14:solidFill>
                    <w14:schemeClr w14:val="tx1"/>
                  </w14:solidFill>
                </w14:textFill>
              </w:rPr>
              <w:t>1</w:t>
            </w:r>
          </w:p>
        </w:tc>
        <w:tc>
          <w:tcPr>
            <w:tcW w:w="1209" w:type="dxa"/>
            <w:vMerge w:val="continue"/>
            <w:vAlign w:val="center"/>
          </w:tcPr>
          <w:p w14:paraId="3AC0723F">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p>
        </w:tc>
        <w:tc>
          <w:tcPr>
            <w:tcW w:w="1974" w:type="dxa"/>
            <w:vAlign w:val="center"/>
          </w:tcPr>
          <w:p w14:paraId="1B5531AB">
            <w:pPr>
              <w:autoSpaceDE w:val="0"/>
              <w:autoSpaceDN w:val="0"/>
              <w:adjustRightInd w:val="0"/>
              <w:spacing w:line="400" w:lineRule="exact"/>
              <w:jc w:val="left"/>
              <w:rPr>
                <w:rFonts w:hint="eastAsia" w:ascii="仿宋_GB2312" w:hAnsi="仿宋_GB2312" w:eastAsia="仿宋_GB2312" w:cs="仿宋_GB2312"/>
                <w:b/>
                <w:bCs/>
                <w:sz w:val="24"/>
                <w:szCs w:val="24"/>
                <w:highlight w:val="none"/>
                <w:lang w:val="zh-CN"/>
              </w:rPr>
            </w:pPr>
            <w:r>
              <w:rPr>
                <w:rFonts w:hint="eastAsia" w:ascii="仿宋_GB2312" w:hAnsi="仿宋_GB2312" w:eastAsia="仿宋_GB2312" w:cs="仿宋_GB2312"/>
                <w:b/>
                <w:bCs/>
                <w:sz w:val="24"/>
                <w:szCs w:val="24"/>
                <w:highlight w:val="none"/>
                <w:lang w:val="zh-CN"/>
              </w:rPr>
              <w:t>现场零星工程指令</w:t>
            </w:r>
          </w:p>
        </w:tc>
        <w:tc>
          <w:tcPr>
            <w:tcW w:w="5117" w:type="dxa"/>
            <w:vAlign w:val="center"/>
          </w:tcPr>
          <w:p w14:paraId="120A8595">
            <w:pPr>
              <w:autoSpaceDE w:val="0"/>
              <w:autoSpaceDN w:val="0"/>
              <w:adjustRightInd w:val="0"/>
              <w:spacing w:line="400" w:lineRule="exact"/>
              <w:jc w:val="left"/>
              <w:rPr>
                <w:rFonts w:hint="eastAsia" w:ascii="仿宋_GB2312" w:hAnsi="仿宋_GB2312" w:eastAsia="仿宋_GB2312" w:cs="仿宋_GB2312"/>
                <w:b/>
                <w:bCs/>
                <w:sz w:val="24"/>
                <w:szCs w:val="24"/>
                <w:highlight w:val="none"/>
                <w:lang w:val="zh-CN"/>
              </w:rPr>
            </w:pPr>
            <w:r>
              <w:rPr>
                <w:rFonts w:hint="eastAsia" w:ascii="仿宋_GB2312" w:hAnsi="仿宋_GB2312" w:eastAsia="仿宋_GB2312" w:cs="仿宋_GB2312"/>
                <w:b/>
                <w:bCs/>
                <w:sz w:val="24"/>
                <w:szCs w:val="24"/>
                <w:highlight w:val="none"/>
                <w:lang w:val="zh-CN"/>
              </w:rPr>
              <w:t>有权根据需要向分</w:t>
            </w:r>
            <w:r>
              <w:rPr>
                <w:rFonts w:hint="eastAsia" w:ascii="仿宋_GB2312" w:hAnsi="仿宋_GB2312" w:eastAsia="仿宋_GB2312" w:cs="仿宋_GB2312"/>
                <w:b/>
                <w:bCs/>
                <w:sz w:val="24"/>
                <w:szCs w:val="24"/>
                <w:highlight w:val="none"/>
              </w:rPr>
              <w:t>包</w:t>
            </w:r>
            <w:r>
              <w:rPr>
                <w:rFonts w:hint="eastAsia" w:ascii="仿宋_GB2312" w:hAnsi="仿宋_GB2312" w:eastAsia="仿宋_GB2312" w:cs="仿宋_GB2312"/>
                <w:b/>
                <w:bCs/>
                <w:sz w:val="24"/>
                <w:szCs w:val="24"/>
                <w:highlight w:val="none"/>
                <w:lang w:val="zh-CN"/>
              </w:rPr>
              <w:t>方签发现场零星工程指令（金额在2万元以内）。</w:t>
            </w:r>
          </w:p>
        </w:tc>
      </w:tr>
      <w:tr w14:paraId="64445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23" w:type="dxa"/>
            <w:vMerge w:val="restart"/>
            <w:vAlign w:val="center"/>
          </w:tcPr>
          <w:p w14:paraId="77CD7A1C">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2</w:t>
            </w:r>
            <w:r>
              <w:rPr>
                <w:rFonts w:hint="eastAsia" w:ascii="仿宋_GB2312" w:hAnsi="仿宋_GB2312" w:eastAsia="仿宋_GB2312" w:cs="仿宋_GB2312"/>
                <w:b/>
                <w:bCs/>
                <w:color w:val="000000" w:themeColor="text1"/>
                <w:sz w:val="24"/>
                <w:szCs w:val="24"/>
                <w:highlight w:val="none"/>
                <w14:textFill>
                  <w14:solidFill>
                    <w14:schemeClr w14:val="tx1"/>
                  </w14:solidFill>
                </w14:textFill>
              </w:rPr>
              <w:t>2</w:t>
            </w:r>
          </w:p>
        </w:tc>
        <w:tc>
          <w:tcPr>
            <w:tcW w:w="1209" w:type="dxa"/>
            <w:vMerge w:val="continue"/>
            <w:vAlign w:val="center"/>
          </w:tcPr>
          <w:p w14:paraId="0DCA443C">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p>
        </w:tc>
        <w:tc>
          <w:tcPr>
            <w:tcW w:w="1974" w:type="dxa"/>
            <w:vMerge w:val="restart"/>
            <w:vAlign w:val="center"/>
          </w:tcPr>
          <w:p w14:paraId="4725ED6B">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紧急采购、零星物资采购</w:t>
            </w:r>
          </w:p>
        </w:tc>
        <w:tc>
          <w:tcPr>
            <w:tcW w:w="5117" w:type="dxa"/>
            <w:vAlign w:val="center"/>
          </w:tcPr>
          <w:p w14:paraId="1CB205A0">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零星采购：</w:t>
            </w:r>
            <w:r>
              <w:rPr>
                <w:rFonts w:hint="eastAsia" w:ascii="仿宋_GB2312" w:hAnsi="仿宋_GB2312" w:eastAsia="仿宋_GB2312" w:cs="仿宋_GB2312"/>
                <w:b/>
                <w:bCs/>
                <w:sz w:val="24"/>
                <w:szCs w:val="24"/>
                <w:highlight w:val="none"/>
              </w:rPr>
              <w:t>按制度权限、额度审批后采购。</w:t>
            </w:r>
          </w:p>
        </w:tc>
      </w:tr>
      <w:tr w14:paraId="745F2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23" w:type="dxa"/>
            <w:vMerge w:val="continue"/>
            <w:vAlign w:val="center"/>
          </w:tcPr>
          <w:p w14:paraId="1F1E1AD7">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p>
        </w:tc>
        <w:tc>
          <w:tcPr>
            <w:tcW w:w="1209" w:type="dxa"/>
            <w:vMerge w:val="continue"/>
            <w:vAlign w:val="center"/>
          </w:tcPr>
          <w:p w14:paraId="267887FF">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p>
        </w:tc>
        <w:tc>
          <w:tcPr>
            <w:tcW w:w="1974" w:type="dxa"/>
            <w:vMerge w:val="continue"/>
            <w:vAlign w:val="center"/>
          </w:tcPr>
          <w:p w14:paraId="69EED4C4">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p>
        </w:tc>
        <w:tc>
          <w:tcPr>
            <w:tcW w:w="5117" w:type="dxa"/>
            <w:vAlign w:val="center"/>
          </w:tcPr>
          <w:p w14:paraId="1EED54C5">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紧急采购：报公司审核后，项目实施采购。</w:t>
            </w:r>
          </w:p>
        </w:tc>
      </w:tr>
      <w:tr w14:paraId="5EE36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23" w:type="dxa"/>
            <w:vAlign w:val="center"/>
          </w:tcPr>
          <w:p w14:paraId="60B445AA">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2</w:t>
            </w:r>
            <w:r>
              <w:rPr>
                <w:rFonts w:hint="eastAsia" w:ascii="仿宋_GB2312" w:hAnsi="仿宋_GB2312" w:eastAsia="仿宋_GB2312" w:cs="仿宋_GB2312"/>
                <w:b/>
                <w:bCs/>
                <w:color w:val="000000" w:themeColor="text1"/>
                <w:sz w:val="24"/>
                <w:szCs w:val="24"/>
                <w:highlight w:val="none"/>
                <w14:textFill>
                  <w14:solidFill>
                    <w14:schemeClr w14:val="tx1"/>
                  </w14:solidFill>
                </w14:textFill>
              </w:rPr>
              <w:t>3</w:t>
            </w:r>
          </w:p>
        </w:tc>
        <w:tc>
          <w:tcPr>
            <w:tcW w:w="1209" w:type="dxa"/>
            <w:vMerge w:val="continue"/>
            <w:vAlign w:val="center"/>
          </w:tcPr>
          <w:p w14:paraId="13BF5287">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p>
        </w:tc>
        <w:tc>
          <w:tcPr>
            <w:tcW w:w="1974" w:type="dxa"/>
            <w:vAlign w:val="center"/>
          </w:tcPr>
          <w:p w14:paraId="0BEC421B">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材料、料具、设备进退场</w:t>
            </w:r>
          </w:p>
        </w:tc>
        <w:tc>
          <w:tcPr>
            <w:tcW w:w="5117" w:type="dxa"/>
            <w:vAlign w:val="center"/>
          </w:tcPr>
          <w:p w14:paraId="3BE31354">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有权向</w:t>
            </w:r>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供应</w:t>
            </w:r>
            <w:r>
              <w:rPr>
                <w:rFonts w:hint="eastAsia" w:ascii="仿宋_GB2312" w:hAnsi="仿宋_GB2312" w:eastAsia="仿宋_GB2312" w:cs="仿宋_GB2312"/>
                <w:b/>
                <w:bCs/>
                <w:color w:val="000000" w:themeColor="text1"/>
                <w:sz w:val="24"/>
                <w:szCs w:val="24"/>
                <w:highlight w:val="none"/>
                <w14:textFill>
                  <w14:solidFill>
                    <w14:schemeClr w14:val="tx1"/>
                  </w14:solidFill>
                </w14:textFill>
              </w:rPr>
              <w:t>方</w:t>
            </w: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发送物资进退场通知单；有权确认材料、料具、设备及退货材料的进退场单据。</w:t>
            </w:r>
          </w:p>
        </w:tc>
      </w:tr>
      <w:tr w14:paraId="05EF8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23" w:type="dxa"/>
            <w:vAlign w:val="center"/>
          </w:tcPr>
          <w:p w14:paraId="69461E6E">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14:textFill>
                  <w14:solidFill>
                    <w14:schemeClr w14:val="tx1"/>
                  </w14:solidFill>
                </w14:textFill>
              </w:rPr>
              <w:t>24</w:t>
            </w:r>
          </w:p>
        </w:tc>
        <w:tc>
          <w:tcPr>
            <w:tcW w:w="1209" w:type="dxa"/>
            <w:vMerge w:val="continue"/>
            <w:vAlign w:val="center"/>
          </w:tcPr>
          <w:p w14:paraId="46F0C593">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p>
        </w:tc>
        <w:tc>
          <w:tcPr>
            <w:tcW w:w="1974" w:type="dxa"/>
            <w:vAlign w:val="center"/>
          </w:tcPr>
          <w:p w14:paraId="132E1E35">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材料、料具、设备</w:t>
            </w:r>
            <w:r>
              <w:rPr>
                <w:rFonts w:hint="eastAsia" w:ascii="仿宋_GB2312" w:hAnsi="仿宋_GB2312" w:eastAsia="仿宋_GB2312" w:cs="仿宋_GB2312"/>
                <w:b/>
                <w:bCs/>
                <w:color w:val="000000" w:themeColor="text1"/>
                <w:sz w:val="24"/>
                <w:szCs w:val="24"/>
                <w:highlight w:val="none"/>
                <w14:textFill>
                  <w14:solidFill>
                    <w14:schemeClr w14:val="tx1"/>
                  </w14:solidFill>
                </w14:textFill>
              </w:rPr>
              <w:t>检验</w:t>
            </w:r>
          </w:p>
        </w:tc>
        <w:tc>
          <w:tcPr>
            <w:tcW w:w="5117" w:type="dxa"/>
            <w:vAlign w:val="center"/>
          </w:tcPr>
          <w:p w14:paraId="3061448D">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对乙方</w:t>
            </w:r>
            <w:r>
              <w:rPr>
                <w:rFonts w:hint="eastAsia" w:ascii="仿宋_GB2312" w:hAnsi="仿宋_GB2312" w:eastAsia="仿宋_GB2312" w:cs="仿宋_GB2312"/>
                <w:b/>
                <w:bCs/>
                <w:color w:val="000000" w:themeColor="text1"/>
                <w:sz w:val="24"/>
                <w:szCs w:val="24"/>
                <w:highlight w:val="none"/>
                <w14:textFill>
                  <w14:solidFill>
                    <w14:schemeClr w14:val="tx1"/>
                  </w14:solidFill>
                </w14:textFill>
              </w:rPr>
              <w:t>物资</w:t>
            </w: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设备进行检验、试验、检测与计量，联系乙方退货或更换，出具进场设备不合格记录。</w:t>
            </w:r>
          </w:p>
        </w:tc>
      </w:tr>
      <w:tr w14:paraId="3A225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23" w:type="dxa"/>
            <w:vAlign w:val="center"/>
          </w:tcPr>
          <w:p w14:paraId="09613FAA">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2</w:t>
            </w:r>
            <w:r>
              <w:rPr>
                <w:rFonts w:hint="eastAsia" w:ascii="仿宋_GB2312" w:hAnsi="仿宋_GB2312" w:eastAsia="仿宋_GB2312" w:cs="仿宋_GB2312"/>
                <w:b/>
                <w:bCs/>
                <w:color w:val="000000" w:themeColor="text1"/>
                <w:sz w:val="24"/>
                <w:szCs w:val="24"/>
                <w:highlight w:val="none"/>
                <w14:textFill>
                  <w14:solidFill>
                    <w14:schemeClr w14:val="tx1"/>
                  </w14:solidFill>
                </w14:textFill>
              </w:rPr>
              <w:t>5</w:t>
            </w:r>
          </w:p>
        </w:tc>
        <w:tc>
          <w:tcPr>
            <w:tcW w:w="1209" w:type="dxa"/>
            <w:vMerge w:val="continue"/>
            <w:vAlign w:val="center"/>
          </w:tcPr>
          <w:p w14:paraId="2D5D2933">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p>
        </w:tc>
        <w:tc>
          <w:tcPr>
            <w:tcW w:w="1974" w:type="dxa"/>
            <w:vAlign w:val="center"/>
          </w:tcPr>
          <w:p w14:paraId="745FEC71">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物资发放</w:t>
            </w:r>
          </w:p>
        </w:tc>
        <w:tc>
          <w:tcPr>
            <w:tcW w:w="5117" w:type="dxa"/>
            <w:vAlign w:val="center"/>
          </w:tcPr>
          <w:p w14:paraId="403F3E8E">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有权确认有关物资发放的领料单、退货单、混凝土浇灌申请表（不含调拨单）。</w:t>
            </w:r>
          </w:p>
        </w:tc>
      </w:tr>
      <w:tr w14:paraId="695F6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23" w:type="dxa"/>
            <w:vAlign w:val="center"/>
          </w:tcPr>
          <w:p w14:paraId="6F66AB6C">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2</w:t>
            </w:r>
            <w:r>
              <w:rPr>
                <w:rFonts w:hint="eastAsia" w:ascii="仿宋_GB2312" w:hAnsi="仿宋_GB2312" w:eastAsia="仿宋_GB2312" w:cs="仿宋_GB2312"/>
                <w:b/>
                <w:bCs/>
                <w:color w:val="000000" w:themeColor="text1"/>
                <w:sz w:val="24"/>
                <w:szCs w:val="24"/>
                <w:highlight w:val="none"/>
                <w14:textFill>
                  <w14:solidFill>
                    <w14:schemeClr w14:val="tx1"/>
                  </w14:solidFill>
                </w14:textFill>
              </w:rPr>
              <w:t>6</w:t>
            </w:r>
          </w:p>
        </w:tc>
        <w:tc>
          <w:tcPr>
            <w:tcW w:w="1209" w:type="dxa"/>
            <w:vMerge w:val="continue"/>
            <w:vAlign w:val="center"/>
          </w:tcPr>
          <w:p w14:paraId="434FDA54">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p>
        </w:tc>
        <w:tc>
          <w:tcPr>
            <w:tcW w:w="1974" w:type="dxa"/>
            <w:vAlign w:val="center"/>
          </w:tcPr>
          <w:p w14:paraId="53FE9B7A">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履约整改通知</w:t>
            </w:r>
          </w:p>
        </w:tc>
        <w:tc>
          <w:tcPr>
            <w:tcW w:w="5117" w:type="dxa"/>
            <w:vAlign w:val="center"/>
          </w:tcPr>
          <w:p w14:paraId="2A209F3D">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对</w:t>
            </w:r>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乙</w:t>
            </w: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方工程项目的履约情况进行监控和核查，发现问题后，有权通知要求</w:t>
            </w:r>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乙</w:t>
            </w: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方进行整改。</w:t>
            </w:r>
          </w:p>
        </w:tc>
      </w:tr>
      <w:tr w14:paraId="716A0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23" w:type="dxa"/>
            <w:vAlign w:val="center"/>
          </w:tcPr>
          <w:p w14:paraId="2C23BCB9">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2</w:t>
            </w:r>
            <w:r>
              <w:rPr>
                <w:rFonts w:hint="eastAsia" w:ascii="仿宋_GB2312" w:hAnsi="仿宋_GB2312" w:eastAsia="仿宋_GB2312" w:cs="仿宋_GB2312"/>
                <w:b/>
                <w:bCs/>
                <w:color w:val="000000" w:themeColor="text1"/>
                <w:sz w:val="24"/>
                <w:szCs w:val="24"/>
                <w:highlight w:val="none"/>
                <w14:textFill>
                  <w14:solidFill>
                    <w14:schemeClr w14:val="tx1"/>
                  </w14:solidFill>
                </w14:textFill>
              </w:rPr>
              <w:t>7</w:t>
            </w:r>
          </w:p>
        </w:tc>
        <w:tc>
          <w:tcPr>
            <w:tcW w:w="1209" w:type="dxa"/>
            <w:vMerge w:val="continue"/>
            <w:vAlign w:val="center"/>
          </w:tcPr>
          <w:p w14:paraId="0A8456F6">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p>
        </w:tc>
        <w:tc>
          <w:tcPr>
            <w:tcW w:w="1974" w:type="dxa"/>
            <w:vAlign w:val="center"/>
          </w:tcPr>
          <w:p w14:paraId="1990F6F7">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乙</w:t>
            </w: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方处罚</w:t>
            </w:r>
          </w:p>
        </w:tc>
        <w:tc>
          <w:tcPr>
            <w:tcW w:w="5117" w:type="dxa"/>
            <w:vAlign w:val="center"/>
          </w:tcPr>
          <w:p w14:paraId="44227FDB">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有权根据合同约定对不服从管理或违约的</w:t>
            </w:r>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乙</w:t>
            </w: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方作出处罚的决定。</w:t>
            </w:r>
          </w:p>
        </w:tc>
      </w:tr>
      <w:tr w14:paraId="7CD29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23" w:type="dxa"/>
            <w:vAlign w:val="center"/>
          </w:tcPr>
          <w:p w14:paraId="4E3E250A">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14:textFill>
                  <w14:solidFill>
                    <w14:schemeClr w14:val="tx1"/>
                  </w14:solidFill>
                </w14:textFill>
              </w:rPr>
              <w:t>28</w:t>
            </w:r>
          </w:p>
        </w:tc>
        <w:tc>
          <w:tcPr>
            <w:tcW w:w="1209" w:type="dxa"/>
            <w:vMerge w:val="continue"/>
            <w:vAlign w:val="center"/>
          </w:tcPr>
          <w:p w14:paraId="1A1DDCE3">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p>
        </w:tc>
        <w:tc>
          <w:tcPr>
            <w:tcW w:w="1974" w:type="dxa"/>
            <w:vAlign w:val="center"/>
          </w:tcPr>
          <w:p w14:paraId="550CA950">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14:textFill>
                  <w14:solidFill>
                    <w14:schemeClr w14:val="tx1"/>
                  </w14:solidFill>
                </w14:textFill>
              </w:rPr>
              <w:t>结算初步办理</w:t>
            </w:r>
          </w:p>
        </w:tc>
        <w:tc>
          <w:tcPr>
            <w:tcW w:w="5117" w:type="dxa"/>
            <w:vAlign w:val="center"/>
          </w:tcPr>
          <w:p w14:paraId="6585936C">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初步编制结算单提交甲方</w:t>
            </w:r>
            <w:r>
              <w:rPr>
                <w:rFonts w:hint="eastAsia" w:ascii="仿宋_GB2312" w:hAnsi="仿宋_GB2312" w:eastAsia="仿宋_GB2312" w:cs="仿宋_GB2312"/>
                <w:b/>
                <w:bCs/>
                <w:color w:val="000000" w:themeColor="text1"/>
                <w:sz w:val="24"/>
                <w:szCs w:val="24"/>
                <w:highlight w:val="none"/>
                <w14:textFill>
                  <w14:solidFill>
                    <w14:schemeClr w14:val="tx1"/>
                  </w14:solidFill>
                </w14:textFill>
              </w:rPr>
              <w:t>分子公司/集团</w:t>
            </w: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确认。</w:t>
            </w:r>
          </w:p>
        </w:tc>
      </w:tr>
      <w:tr w14:paraId="44A22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23" w:type="dxa"/>
            <w:vAlign w:val="center"/>
          </w:tcPr>
          <w:p w14:paraId="2C6AC0D8">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2</w:t>
            </w:r>
            <w:r>
              <w:rPr>
                <w:rFonts w:hint="eastAsia" w:ascii="仿宋_GB2312" w:hAnsi="仿宋_GB2312" w:eastAsia="仿宋_GB2312" w:cs="仿宋_GB2312"/>
                <w:b/>
                <w:bCs/>
                <w:color w:val="000000" w:themeColor="text1"/>
                <w:sz w:val="24"/>
                <w:szCs w:val="24"/>
                <w:highlight w:val="none"/>
                <w14:textFill>
                  <w14:solidFill>
                    <w14:schemeClr w14:val="tx1"/>
                  </w14:solidFill>
                </w14:textFill>
              </w:rPr>
              <w:t>9</w:t>
            </w:r>
          </w:p>
        </w:tc>
        <w:tc>
          <w:tcPr>
            <w:tcW w:w="1209" w:type="dxa"/>
            <w:vMerge w:val="continue"/>
            <w:vAlign w:val="center"/>
          </w:tcPr>
          <w:p w14:paraId="703E88BC">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p>
        </w:tc>
        <w:tc>
          <w:tcPr>
            <w:tcW w:w="1974" w:type="dxa"/>
            <w:vAlign w:val="center"/>
          </w:tcPr>
          <w:p w14:paraId="03D21578">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乙</w:t>
            </w: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方结算扣款</w:t>
            </w:r>
          </w:p>
        </w:tc>
        <w:tc>
          <w:tcPr>
            <w:tcW w:w="5117" w:type="dxa"/>
            <w:vAlign w:val="center"/>
          </w:tcPr>
          <w:p w14:paraId="06A7342D">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有权在中间结算和最终结算时扣除</w:t>
            </w:r>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乙</w:t>
            </w: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方应扣款项（包括但不限于</w:t>
            </w:r>
            <w:r>
              <w:rPr>
                <w:rFonts w:hint="eastAsia" w:ascii="仿宋_GB2312" w:hAnsi="仿宋_GB2312" w:eastAsia="仿宋_GB2312" w:cs="仿宋_GB2312"/>
                <w:b/>
                <w:bCs/>
                <w:color w:val="000000" w:themeColor="text1"/>
                <w:sz w:val="24"/>
                <w:szCs w:val="24"/>
                <w:highlight w:val="none"/>
                <w14:textFill>
                  <w14:solidFill>
                    <w14:schemeClr w14:val="tx1"/>
                  </w14:solidFill>
                </w14:textFill>
              </w:rPr>
              <w:t>质保金、</w:t>
            </w: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委托采购材料扣款、料具、机械租赁费扣款、项目现场管理费用扣款、临建费、维修费扣款、规费分摊扣款、水电费、罚款及税金扣款等）。</w:t>
            </w:r>
          </w:p>
        </w:tc>
      </w:tr>
      <w:tr w14:paraId="24440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23" w:type="dxa"/>
            <w:vAlign w:val="center"/>
          </w:tcPr>
          <w:p w14:paraId="7CB54F7B">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14:textFill>
                  <w14:solidFill>
                    <w14:schemeClr w14:val="tx1"/>
                  </w14:solidFill>
                </w14:textFill>
              </w:rPr>
              <w:t>30</w:t>
            </w:r>
          </w:p>
        </w:tc>
        <w:tc>
          <w:tcPr>
            <w:tcW w:w="1209" w:type="dxa"/>
            <w:vMerge w:val="restart"/>
            <w:vAlign w:val="center"/>
          </w:tcPr>
          <w:p w14:paraId="68F023B9">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安全管理</w:t>
            </w:r>
          </w:p>
        </w:tc>
        <w:tc>
          <w:tcPr>
            <w:tcW w:w="1974" w:type="dxa"/>
            <w:vAlign w:val="center"/>
          </w:tcPr>
          <w:p w14:paraId="7C934EAB">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事故现场秩序维护</w:t>
            </w:r>
          </w:p>
        </w:tc>
        <w:tc>
          <w:tcPr>
            <w:tcW w:w="5117" w:type="dxa"/>
            <w:vAlign w:val="center"/>
          </w:tcPr>
          <w:p w14:paraId="2FE42FC9">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有权维护安全事故现场秩序。涉及赔偿的，赔偿数额确定需经</w:t>
            </w:r>
            <w:r>
              <w:rPr>
                <w:rFonts w:hint="eastAsia" w:ascii="仿宋_GB2312" w:hAnsi="仿宋_GB2312" w:eastAsia="仿宋_GB2312" w:cs="仿宋_GB2312"/>
                <w:b/>
                <w:bCs/>
                <w:color w:val="000000" w:themeColor="text1"/>
                <w:sz w:val="24"/>
                <w:szCs w:val="24"/>
                <w:highlight w:val="none"/>
                <w14:textFill>
                  <w14:solidFill>
                    <w14:schemeClr w14:val="tx1"/>
                  </w14:solidFill>
                </w14:textFill>
              </w:rPr>
              <w:t>分子公司</w:t>
            </w: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审批（不含安全事故责任认定及赔偿）。</w:t>
            </w:r>
          </w:p>
        </w:tc>
      </w:tr>
      <w:tr w14:paraId="19020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23" w:type="dxa"/>
            <w:vAlign w:val="center"/>
          </w:tcPr>
          <w:p w14:paraId="780BD571">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14:textFill>
                  <w14:solidFill>
                    <w14:schemeClr w14:val="tx1"/>
                  </w14:solidFill>
                </w14:textFill>
              </w:rPr>
              <w:t>31</w:t>
            </w:r>
          </w:p>
        </w:tc>
        <w:tc>
          <w:tcPr>
            <w:tcW w:w="1209" w:type="dxa"/>
            <w:vMerge w:val="continue"/>
            <w:vAlign w:val="center"/>
          </w:tcPr>
          <w:p w14:paraId="693E78A9">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p>
        </w:tc>
        <w:tc>
          <w:tcPr>
            <w:tcW w:w="1974" w:type="dxa"/>
            <w:vAlign w:val="center"/>
          </w:tcPr>
          <w:p w14:paraId="2BE6B32F">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安全事故处理方案</w:t>
            </w:r>
          </w:p>
        </w:tc>
        <w:tc>
          <w:tcPr>
            <w:tcW w:w="5117" w:type="dxa"/>
            <w:vAlign w:val="center"/>
          </w:tcPr>
          <w:p w14:paraId="4ED5C633">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发生安全事故后，有权启动应急预案。</w:t>
            </w:r>
          </w:p>
        </w:tc>
      </w:tr>
      <w:tr w14:paraId="36E10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23" w:type="dxa"/>
            <w:vAlign w:val="center"/>
          </w:tcPr>
          <w:p w14:paraId="75E1F1B0">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14:textFill>
                  <w14:solidFill>
                    <w14:schemeClr w14:val="tx1"/>
                  </w14:solidFill>
                </w14:textFill>
              </w:rPr>
              <w:t>32</w:t>
            </w:r>
          </w:p>
        </w:tc>
        <w:tc>
          <w:tcPr>
            <w:tcW w:w="1209" w:type="dxa"/>
            <w:vMerge w:val="continue"/>
            <w:vAlign w:val="center"/>
          </w:tcPr>
          <w:p w14:paraId="5C8F1C30">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p>
        </w:tc>
        <w:tc>
          <w:tcPr>
            <w:tcW w:w="1974" w:type="dxa"/>
            <w:vAlign w:val="center"/>
          </w:tcPr>
          <w:p w14:paraId="12D688FC">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安全</w:t>
            </w:r>
            <w:r>
              <w:rPr>
                <w:rFonts w:hint="eastAsia" w:ascii="仿宋_GB2312" w:hAnsi="仿宋_GB2312" w:eastAsia="仿宋_GB2312" w:cs="仿宋_GB2312"/>
                <w:b/>
                <w:bCs/>
                <w:color w:val="000000" w:themeColor="text1"/>
                <w:sz w:val="24"/>
                <w:szCs w:val="24"/>
                <w:highlight w:val="none"/>
                <w14:textFill>
                  <w14:solidFill>
                    <w14:schemeClr w14:val="tx1"/>
                  </w14:solidFill>
                </w14:textFill>
              </w:rPr>
              <w:t>整改</w:t>
            </w:r>
          </w:p>
        </w:tc>
        <w:tc>
          <w:tcPr>
            <w:tcW w:w="5117" w:type="dxa"/>
            <w:vAlign w:val="center"/>
          </w:tcPr>
          <w:p w14:paraId="0A44212F">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对存在的安全生产隐患，下达《安全隐患整改通知书》</w:t>
            </w:r>
          </w:p>
          <w:p w14:paraId="48EA1237">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对存在重大安全生产隐患，下达《安全隐患局部停工整改令》</w:t>
            </w:r>
          </w:p>
        </w:tc>
      </w:tr>
      <w:tr w14:paraId="74EC9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23" w:type="dxa"/>
            <w:vAlign w:val="center"/>
          </w:tcPr>
          <w:p w14:paraId="5D07CC5E">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14:textFill>
                  <w14:solidFill>
                    <w14:schemeClr w14:val="tx1"/>
                  </w14:solidFill>
                </w14:textFill>
              </w:rPr>
              <w:t>33</w:t>
            </w:r>
          </w:p>
        </w:tc>
        <w:tc>
          <w:tcPr>
            <w:tcW w:w="1209" w:type="dxa"/>
            <w:vMerge w:val="restart"/>
            <w:vAlign w:val="center"/>
          </w:tcPr>
          <w:p w14:paraId="261ACE59">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质量管理</w:t>
            </w:r>
          </w:p>
        </w:tc>
        <w:tc>
          <w:tcPr>
            <w:tcW w:w="1974" w:type="dxa"/>
            <w:vAlign w:val="center"/>
          </w:tcPr>
          <w:p w14:paraId="335A17B4">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质量验收</w:t>
            </w:r>
          </w:p>
        </w:tc>
        <w:tc>
          <w:tcPr>
            <w:tcW w:w="5117" w:type="dxa"/>
            <w:vAlign w:val="center"/>
          </w:tcPr>
          <w:p w14:paraId="007F8649">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有权组织实施质量验收工作。</w:t>
            </w:r>
          </w:p>
        </w:tc>
      </w:tr>
      <w:tr w14:paraId="080AF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23" w:type="dxa"/>
            <w:vAlign w:val="center"/>
          </w:tcPr>
          <w:p w14:paraId="327FA922">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3</w:t>
            </w:r>
            <w:r>
              <w:rPr>
                <w:rFonts w:hint="eastAsia" w:ascii="仿宋_GB2312" w:hAnsi="仿宋_GB2312" w:eastAsia="仿宋_GB2312" w:cs="仿宋_GB2312"/>
                <w:b/>
                <w:bCs/>
                <w:color w:val="000000" w:themeColor="text1"/>
                <w:sz w:val="24"/>
                <w:szCs w:val="24"/>
                <w:highlight w:val="none"/>
                <w14:textFill>
                  <w14:solidFill>
                    <w14:schemeClr w14:val="tx1"/>
                  </w14:solidFill>
                </w14:textFill>
              </w:rPr>
              <w:t>4</w:t>
            </w:r>
          </w:p>
        </w:tc>
        <w:tc>
          <w:tcPr>
            <w:tcW w:w="1209" w:type="dxa"/>
            <w:vMerge w:val="continue"/>
            <w:vAlign w:val="center"/>
          </w:tcPr>
          <w:p w14:paraId="021FCA4D">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p>
        </w:tc>
        <w:tc>
          <w:tcPr>
            <w:tcW w:w="1974" w:type="dxa"/>
            <w:vAlign w:val="center"/>
          </w:tcPr>
          <w:p w14:paraId="505CA689">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质量事故应急措施</w:t>
            </w:r>
          </w:p>
        </w:tc>
        <w:tc>
          <w:tcPr>
            <w:tcW w:w="5117" w:type="dxa"/>
            <w:vAlign w:val="center"/>
          </w:tcPr>
          <w:p w14:paraId="559EDC4C">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质量事故发生后，有权立即采取措施防止事故扩大（1小时内上报</w:t>
            </w:r>
            <w:r>
              <w:rPr>
                <w:rFonts w:hint="eastAsia" w:ascii="仿宋_GB2312" w:hAnsi="仿宋_GB2312" w:eastAsia="仿宋_GB2312" w:cs="仿宋_GB2312"/>
                <w:b/>
                <w:bCs/>
                <w:color w:val="000000" w:themeColor="text1"/>
                <w:sz w:val="24"/>
                <w:szCs w:val="24"/>
                <w:highlight w:val="none"/>
                <w14:textFill>
                  <w14:solidFill>
                    <w14:schemeClr w14:val="tx1"/>
                  </w14:solidFill>
                </w14:textFill>
              </w:rPr>
              <w:t>分子公司</w:t>
            </w: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w:t>
            </w:r>
          </w:p>
        </w:tc>
      </w:tr>
      <w:tr w14:paraId="1B7FF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23" w:type="dxa"/>
            <w:vAlign w:val="center"/>
          </w:tcPr>
          <w:p w14:paraId="76E8C22D">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3</w:t>
            </w:r>
            <w:r>
              <w:rPr>
                <w:rFonts w:hint="eastAsia" w:ascii="仿宋_GB2312" w:hAnsi="仿宋_GB2312" w:eastAsia="仿宋_GB2312" w:cs="仿宋_GB2312"/>
                <w:b/>
                <w:bCs/>
                <w:color w:val="000000" w:themeColor="text1"/>
                <w:sz w:val="24"/>
                <w:szCs w:val="24"/>
                <w:highlight w:val="none"/>
                <w14:textFill>
                  <w14:solidFill>
                    <w14:schemeClr w14:val="tx1"/>
                  </w14:solidFill>
                </w14:textFill>
              </w:rPr>
              <w:t>5</w:t>
            </w:r>
          </w:p>
        </w:tc>
        <w:tc>
          <w:tcPr>
            <w:tcW w:w="1209" w:type="dxa"/>
            <w:vMerge w:val="continue"/>
            <w:vAlign w:val="center"/>
          </w:tcPr>
          <w:p w14:paraId="4DF29CCD">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p>
        </w:tc>
        <w:tc>
          <w:tcPr>
            <w:tcW w:w="1974" w:type="dxa"/>
            <w:vAlign w:val="center"/>
          </w:tcPr>
          <w:p w14:paraId="591BE585">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质量事故处理方案</w:t>
            </w:r>
          </w:p>
        </w:tc>
        <w:tc>
          <w:tcPr>
            <w:tcW w:w="5117" w:type="dxa"/>
            <w:vAlign w:val="center"/>
          </w:tcPr>
          <w:p w14:paraId="47E24C0D">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有权按照</w:t>
            </w:r>
            <w:r>
              <w:rPr>
                <w:rFonts w:hint="eastAsia" w:ascii="仿宋_GB2312" w:hAnsi="仿宋_GB2312" w:eastAsia="仿宋_GB2312" w:cs="仿宋_GB2312"/>
                <w:b/>
                <w:bCs/>
                <w:color w:val="000000" w:themeColor="text1"/>
                <w:sz w:val="24"/>
                <w:szCs w:val="24"/>
                <w:highlight w:val="none"/>
                <w14:textFill>
                  <w14:solidFill>
                    <w14:schemeClr w14:val="tx1"/>
                  </w14:solidFill>
                </w14:textFill>
              </w:rPr>
              <w:t>集团</w:t>
            </w: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w:t>
            </w:r>
            <w:r>
              <w:rPr>
                <w:rFonts w:hint="eastAsia" w:ascii="仿宋_GB2312" w:hAnsi="仿宋_GB2312" w:eastAsia="仿宋_GB2312" w:cs="仿宋_GB2312"/>
                <w:b/>
                <w:bCs/>
                <w:color w:val="000000" w:themeColor="text1"/>
                <w:sz w:val="24"/>
                <w:szCs w:val="24"/>
                <w:highlight w:val="none"/>
                <w14:textFill>
                  <w14:solidFill>
                    <w14:schemeClr w14:val="tx1"/>
                  </w14:solidFill>
                </w14:textFill>
              </w:rPr>
              <w:t>分子公司</w:t>
            </w: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制定质量事故处理方案处理事故相关事宜。</w:t>
            </w:r>
          </w:p>
        </w:tc>
      </w:tr>
      <w:tr w14:paraId="54523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23" w:type="dxa"/>
            <w:vAlign w:val="center"/>
          </w:tcPr>
          <w:p w14:paraId="1B5045BE">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3</w:t>
            </w:r>
            <w:r>
              <w:rPr>
                <w:rFonts w:hint="eastAsia" w:ascii="仿宋_GB2312" w:hAnsi="仿宋_GB2312" w:eastAsia="仿宋_GB2312" w:cs="仿宋_GB2312"/>
                <w:b/>
                <w:bCs/>
                <w:color w:val="000000" w:themeColor="text1"/>
                <w:sz w:val="24"/>
                <w:szCs w:val="24"/>
                <w:highlight w:val="none"/>
                <w14:textFill>
                  <w14:solidFill>
                    <w14:schemeClr w14:val="tx1"/>
                  </w14:solidFill>
                </w14:textFill>
              </w:rPr>
              <w:t>6</w:t>
            </w:r>
          </w:p>
        </w:tc>
        <w:tc>
          <w:tcPr>
            <w:tcW w:w="1209" w:type="dxa"/>
            <w:vAlign w:val="center"/>
          </w:tcPr>
          <w:p w14:paraId="31A6C6EB">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环境管理</w:t>
            </w:r>
          </w:p>
        </w:tc>
        <w:tc>
          <w:tcPr>
            <w:tcW w:w="1974" w:type="dxa"/>
            <w:vAlign w:val="center"/>
          </w:tcPr>
          <w:p w14:paraId="6A14B6B7">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环境污染事故应急措施</w:t>
            </w:r>
          </w:p>
        </w:tc>
        <w:tc>
          <w:tcPr>
            <w:tcW w:w="5117" w:type="dxa"/>
            <w:vAlign w:val="center"/>
          </w:tcPr>
          <w:p w14:paraId="6783864B">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环境污染事故发生后，有权立即采取措施防止事故扩大（1小时内上报分</w:t>
            </w:r>
            <w:r>
              <w:rPr>
                <w:rFonts w:hint="eastAsia" w:ascii="仿宋_GB2312" w:hAnsi="仿宋_GB2312" w:eastAsia="仿宋_GB2312" w:cs="仿宋_GB2312"/>
                <w:b/>
                <w:bCs/>
                <w:color w:val="000000" w:themeColor="text1"/>
                <w:sz w:val="24"/>
                <w:szCs w:val="24"/>
                <w:highlight w:val="none"/>
                <w14:textFill>
                  <w14:solidFill>
                    <w14:schemeClr w14:val="tx1"/>
                  </w14:solidFill>
                </w14:textFill>
              </w:rPr>
              <w:t>子</w:t>
            </w: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公司）。</w:t>
            </w:r>
          </w:p>
        </w:tc>
      </w:tr>
      <w:tr w14:paraId="03FB9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23" w:type="dxa"/>
            <w:vAlign w:val="center"/>
          </w:tcPr>
          <w:p w14:paraId="3B516B43">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3</w:t>
            </w:r>
            <w:r>
              <w:rPr>
                <w:rFonts w:hint="eastAsia" w:ascii="仿宋_GB2312" w:hAnsi="仿宋_GB2312" w:eastAsia="仿宋_GB2312" w:cs="仿宋_GB2312"/>
                <w:b/>
                <w:bCs/>
                <w:color w:val="000000" w:themeColor="text1"/>
                <w:sz w:val="24"/>
                <w:szCs w:val="24"/>
                <w:highlight w:val="none"/>
                <w14:textFill>
                  <w14:solidFill>
                    <w14:schemeClr w14:val="tx1"/>
                  </w14:solidFill>
                </w14:textFill>
              </w:rPr>
              <w:t>7</w:t>
            </w:r>
          </w:p>
        </w:tc>
        <w:tc>
          <w:tcPr>
            <w:tcW w:w="1209" w:type="dxa"/>
            <w:vMerge w:val="restart"/>
            <w:vAlign w:val="center"/>
          </w:tcPr>
          <w:p w14:paraId="14E8B22D">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维保管理</w:t>
            </w:r>
          </w:p>
        </w:tc>
        <w:tc>
          <w:tcPr>
            <w:tcW w:w="1974" w:type="dxa"/>
            <w:vAlign w:val="center"/>
          </w:tcPr>
          <w:p w14:paraId="597BBDDC">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维修整改通知</w:t>
            </w:r>
          </w:p>
        </w:tc>
        <w:tc>
          <w:tcPr>
            <w:tcW w:w="5117" w:type="dxa"/>
            <w:vAlign w:val="center"/>
          </w:tcPr>
          <w:p w14:paraId="3843C326">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有权向</w:t>
            </w:r>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乙</w:t>
            </w: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方发送维修整改通知。</w:t>
            </w:r>
          </w:p>
        </w:tc>
      </w:tr>
      <w:tr w14:paraId="360D9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23" w:type="dxa"/>
            <w:vAlign w:val="center"/>
          </w:tcPr>
          <w:p w14:paraId="1CBB5954">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3</w:t>
            </w:r>
            <w:r>
              <w:rPr>
                <w:rFonts w:hint="eastAsia" w:ascii="仿宋_GB2312" w:hAnsi="仿宋_GB2312" w:eastAsia="仿宋_GB2312" w:cs="仿宋_GB2312"/>
                <w:b/>
                <w:bCs/>
                <w:color w:val="000000" w:themeColor="text1"/>
                <w:sz w:val="24"/>
                <w:szCs w:val="24"/>
                <w:highlight w:val="none"/>
                <w14:textFill>
                  <w14:solidFill>
                    <w14:schemeClr w14:val="tx1"/>
                  </w14:solidFill>
                </w14:textFill>
              </w:rPr>
              <w:t>8</w:t>
            </w:r>
          </w:p>
        </w:tc>
        <w:tc>
          <w:tcPr>
            <w:tcW w:w="1209" w:type="dxa"/>
            <w:vMerge w:val="continue"/>
            <w:vAlign w:val="center"/>
          </w:tcPr>
          <w:p w14:paraId="647781C5">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p>
        </w:tc>
        <w:tc>
          <w:tcPr>
            <w:tcW w:w="1974" w:type="dxa"/>
            <w:vAlign w:val="center"/>
          </w:tcPr>
          <w:p w14:paraId="48BBFD37">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协商维修方案</w:t>
            </w:r>
          </w:p>
        </w:tc>
        <w:tc>
          <w:tcPr>
            <w:tcW w:w="5117" w:type="dxa"/>
            <w:vAlign w:val="center"/>
          </w:tcPr>
          <w:p w14:paraId="773B7950">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对存在的质量问题有权与建设单位协商维修方案。</w:t>
            </w:r>
          </w:p>
        </w:tc>
      </w:tr>
      <w:tr w14:paraId="04ACB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23" w:type="dxa"/>
            <w:vAlign w:val="center"/>
          </w:tcPr>
          <w:p w14:paraId="53410304">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3</w:t>
            </w:r>
            <w:r>
              <w:rPr>
                <w:rFonts w:hint="eastAsia" w:ascii="仿宋_GB2312" w:hAnsi="仿宋_GB2312" w:eastAsia="仿宋_GB2312" w:cs="仿宋_GB2312"/>
                <w:b/>
                <w:bCs/>
                <w:color w:val="000000" w:themeColor="text1"/>
                <w:sz w:val="24"/>
                <w:szCs w:val="24"/>
                <w:highlight w:val="none"/>
                <w14:textFill>
                  <w14:solidFill>
                    <w14:schemeClr w14:val="tx1"/>
                  </w14:solidFill>
                </w14:textFill>
              </w:rPr>
              <w:t>9</w:t>
            </w:r>
          </w:p>
        </w:tc>
        <w:tc>
          <w:tcPr>
            <w:tcW w:w="1209" w:type="dxa"/>
            <w:vMerge w:val="continue"/>
            <w:vAlign w:val="center"/>
          </w:tcPr>
          <w:p w14:paraId="57E9A5C8">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p>
        </w:tc>
        <w:tc>
          <w:tcPr>
            <w:tcW w:w="1974" w:type="dxa"/>
            <w:vAlign w:val="center"/>
          </w:tcPr>
          <w:p w14:paraId="35E6B234">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组织维修</w:t>
            </w:r>
          </w:p>
        </w:tc>
        <w:tc>
          <w:tcPr>
            <w:tcW w:w="5117" w:type="dxa"/>
            <w:vAlign w:val="center"/>
          </w:tcPr>
          <w:p w14:paraId="11A6E7FA">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有权向建设单位报送维修登记单、维修任务书。</w:t>
            </w:r>
          </w:p>
        </w:tc>
      </w:tr>
      <w:tr w14:paraId="79197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23" w:type="dxa"/>
            <w:vAlign w:val="center"/>
          </w:tcPr>
          <w:p w14:paraId="26EFA595">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14:textFill>
                  <w14:solidFill>
                    <w14:schemeClr w14:val="tx1"/>
                  </w14:solidFill>
                </w14:textFill>
              </w:rPr>
              <w:t>40</w:t>
            </w:r>
          </w:p>
        </w:tc>
        <w:tc>
          <w:tcPr>
            <w:tcW w:w="1209" w:type="dxa"/>
            <w:vMerge w:val="continue"/>
            <w:vAlign w:val="center"/>
          </w:tcPr>
          <w:p w14:paraId="3EF2447C">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p>
        </w:tc>
        <w:tc>
          <w:tcPr>
            <w:tcW w:w="1974" w:type="dxa"/>
            <w:vAlign w:val="center"/>
          </w:tcPr>
          <w:p w14:paraId="2F167DE9">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维修验收</w:t>
            </w:r>
          </w:p>
        </w:tc>
        <w:tc>
          <w:tcPr>
            <w:tcW w:w="5117" w:type="dxa"/>
            <w:vAlign w:val="center"/>
          </w:tcPr>
          <w:p w14:paraId="5945BBDB">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有权组织建设单位对保修工作进行验收、有权组织对</w:t>
            </w:r>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乙方</w:t>
            </w: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的维修验收。</w:t>
            </w:r>
          </w:p>
        </w:tc>
      </w:tr>
      <w:tr w14:paraId="76271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23" w:type="dxa"/>
            <w:vAlign w:val="center"/>
          </w:tcPr>
          <w:p w14:paraId="1FA3B0EC">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14:textFill>
                  <w14:solidFill>
                    <w14:schemeClr w14:val="tx1"/>
                  </w14:solidFill>
                </w14:textFill>
              </w:rPr>
              <w:t>41</w:t>
            </w:r>
          </w:p>
        </w:tc>
        <w:tc>
          <w:tcPr>
            <w:tcW w:w="1209" w:type="dxa"/>
            <w:vMerge w:val="restart"/>
            <w:vAlign w:val="center"/>
          </w:tcPr>
          <w:p w14:paraId="265459A0">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催收清欠</w:t>
            </w:r>
          </w:p>
        </w:tc>
        <w:tc>
          <w:tcPr>
            <w:tcW w:w="1974" w:type="dxa"/>
            <w:vAlign w:val="center"/>
          </w:tcPr>
          <w:p w14:paraId="09CBBB22">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质保金到期催付</w:t>
            </w:r>
          </w:p>
        </w:tc>
        <w:tc>
          <w:tcPr>
            <w:tcW w:w="5117" w:type="dxa"/>
            <w:vAlign w:val="center"/>
          </w:tcPr>
          <w:p w14:paraId="4738E887">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有权向建设单位发《保修期满通知书》。</w:t>
            </w:r>
          </w:p>
        </w:tc>
      </w:tr>
      <w:tr w14:paraId="080A1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23" w:type="dxa"/>
            <w:vAlign w:val="center"/>
          </w:tcPr>
          <w:p w14:paraId="4B21A91F">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14:textFill>
                  <w14:solidFill>
                    <w14:schemeClr w14:val="tx1"/>
                  </w14:solidFill>
                </w14:textFill>
              </w:rPr>
              <w:t>42</w:t>
            </w:r>
          </w:p>
        </w:tc>
        <w:tc>
          <w:tcPr>
            <w:tcW w:w="1209" w:type="dxa"/>
            <w:vMerge w:val="continue"/>
            <w:vAlign w:val="center"/>
          </w:tcPr>
          <w:p w14:paraId="0B8E86D1">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p>
        </w:tc>
        <w:tc>
          <w:tcPr>
            <w:tcW w:w="1974" w:type="dxa"/>
            <w:vAlign w:val="center"/>
          </w:tcPr>
          <w:p w14:paraId="1F884A47">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其他到期应付款催付</w:t>
            </w:r>
          </w:p>
        </w:tc>
        <w:tc>
          <w:tcPr>
            <w:tcW w:w="5117" w:type="dxa"/>
            <w:vAlign w:val="center"/>
          </w:tcPr>
          <w:p w14:paraId="42EC1BC6">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有权向建设单位发催款函。</w:t>
            </w:r>
          </w:p>
        </w:tc>
      </w:tr>
      <w:tr w14:paraId="6C1BA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23" w:type="dxa"/>
            <w:vAlign w:val="center"/>
          </w:tcPr>
          <w:p w14:paraId="5A865DBD">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14:textFill>
                  <w14:solidFill>
                    <w14:schemeClr w14:val="tx1"/>
                  </w14:solidFill>
                </w14:textFill>
              </w:rPr>
              <w:t>43</w:t>
            </w:r>
          </w:p>
        </w:tc>
        <w:tc>
          <w:tcPr>
            <w:tcW w:w="1209" w:type="dxa"/>
            <w:vAlign w:val="center"/>
          </w:tcPr>
          <w:p w14:paraId="51E6CCED">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往来函件</w:t>
            </w:r>
          </w:p>
        </w:tc>
        <w:tc>
          <w:tcPr>
            <w:tcW w:w="1974" w:type="dxa"/>
            <w:vAlign w:val="center"/>
          </w:tcPr>
          <w:p w14:paraId="312175C4">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工程往来函件</w:t>
            </w:r>
          </w:p>
        </w:tc>
        <w:tc>
          <w:tcPr>
            <w:tcW w:w="5117" w:type="dxa"/>
            <w:vAlign w:val="center"/>
          </w:tcPr>
          <w:p w14:paraId="7FE7B93C">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有权报送或接收项目工程联系函（如图纸会审、技术核定、设计变更通知等）。</w:t>
            </w:r>
          </w:p>
        </w:tc>
      </w:tr>
    </w:tbl>
    <w:p w14:paraId="069C9C9C">
      <w:pPr>
        <w:numPr>
          <w:ilvl w:val="0"/>
          <w:numId w:val="8"/>
        </w:numPr>
        <w:autoSpaceDE w:val="0"/>
        <w:autoSpaceDN w:val="0"/>
        <w:adjustRightInd w:val="0"/>
        <w:spacing w:line="400" w:lineRule="exact"/>
        <w:rPr>
          <w:rFonts w:hint="eastAsia" w:ascii="仿宋_GB2312" w:hAnsi="仿宋_GB2312" w:eastAsia="仿宋_GB2312" w:cs="仿宋_GB2312"/>
          <w:b/>
          <w:bCs/>
          <w:color w:val="000000" w:themeColor="text1"/>
          <w:sz w:val="24"/>
          <w:szCs w:val="24"/>
          <w:highlight w:val="none"/>
          <w14:textFill>
            <w14:solidFill>
              <w14:schemeClr w14:val="tx1"/>
            </w14:solidFill>
          </w14:textFill>
        </w:rPr>
      </w:pPr>
      <w:bookmarkStart w:id="51" w:name="_Hlk126826460"/>
      <w:r>
        <w:rPr>
          <w:rFonts w:hint="eastAsia" w:ascii="仿宋_GB2312" w:hAnsi="仿宋_GB2312" w:eastAsia="仿宋_GB2312" w:cs="仿宋_GB2312"/>
          <w:b/>
          <w:bCs/>
          <w:color w:val="000000" w:themeColor="text1"/>
          <w:sz w:val="24"/>
          <w:szCs w:val="24"/>
          <w:highlight w:val="none"/>
          <w14:textFill>
            <w14:solidFill>
              <w14:schemeClr w14:val="tx1"/>
            </w14:solidFill>
          </w14:textFill>
        </w:rPr>
        <w:t>项目部无权审批以下事项：</w:t>
      </w:r>
    </w:p>
    <w:bookmarkEnd w:id="51"/>
    <w:tbl>
      <w:tblPr>
        <w:tblStyle w:val="15"/>
        <w:tblW w:w="9184" w:type="dxa"/>
        <w:jc w:val="center"/>
        <w:tblBorders>
          <w:top w:val="none" w:color="auto" w:sz="4" w:space="0"/>
          <w:left w:val="none" w:color="auto" w:sz="4" w:space="0"/>
          <w:bottom w:val="none" w:color="auto" w:sz="4" w:space="0"/>
          <w:right w:val="single" w:color="auto" w:sz="4" w:space="0"/>
          <w:insideH w:val="none" w:color="auto" w:sz="4" w:space="0"/>
          <w:insideV w:val="none" w:color="auto" w:sz="4" w:space="0"/>
        </w:tblBorders>
        <w:tblLayout w:type="fixed"/>
        <w:tblCellMar>
          <w:top w:w="0" w:type="dxa"/>
          <w:left w:w="108" w:type="dxa"/>
          <w:bottom w:w="0" w:type="dxa"/>
          <w:right w:w="108" w:type="dxa"/>
        </w:tblCellMar>
      </w:tblPr>
      <w:tblGrid>
        <w:gridCol w:w="733"/>
        <w:gridCol w:w="8451"/>
      </w:tblGrid>
      <w:tr w14:paraId="43E598AD">
        <w:tblPrEx>
          <w:tblCellMar>
            <w:top w:w="0" w:type="dxa"/>
            <w:left w:w="108" w:type="dxa"/>
            <w:bottom w:w="0" w:type="dxa"/>
            <w:right w:w="108" w:type="dxa"/>
          </w:tblCellMar>
        </w:tblPrEx>
        <w:trPr>
          <w:cantSplit/>
          <w:trHeight w:val="510" w:hRule="exact"/>
          <w:jc w:val="center"/>
        </w:trPr>
        <w:tc>
          <w:tcPr>
            <w:tcW w:w="733" w:type="dxa"/>
            <w:tcBorders>
              <w:top w:val="single" w:color="auto" w:sz="4" w:space="0"/>
              <w:left w:val="single" w:color="auto" w:sz="4" w:space="0"/>
              <w:bottom w:val="single" w:color="auto" w:sz="4" w:space="0"/>
              <w:right w:val="single" w:color="auto" w:sz="4" w:space="0"/>
            </w:tcBorders>
            <w:vAlign w:val="center"/>
          </w:tcPr>
          <w:p w14:paraId="608672A4">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bookmarkStart w:id="52" w:name="_Hlk127195047"/>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序号</w:t>
            </w:r>
          </w:p>
        </w:tc>
        <w:tc>
          <w:tcPr>
            <w:tcW w:w="8451" w:type="dxa"/>
            <w:tcBorders>
              <w:top w:val="single" w:color="auto" w:sz="4" w:space="0"/>
              <w:left w:val="single" w:color="auto" w:sz="4" w:space="0"/>
              <w:bottom w:val="single" w:color="auto" w:sz="4" w:space="0"/>
              <w:right w:val="single" w:color="auto" w:sz="4" w:space="0"/>
            </w:tcBorders>
            <w:vAlign w:val="center"/>
          </w:tcPr>
          <w:p w14:paraId="4076C193">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t>禁止性事项</w:t>
            </w:r>
          </w:p>
        </w:tc>
      </w:tr>
      <w:tr w14:paraId="4139B6A6">
        <w:tblPrEx>
          <w:tblBorders>
            <w:top w:val="none" w:color="auto" w:sz="4" w:space="0"/>
            <w:left w:val="none" w:color="auto" w:sz="4" w:space="0"/>
            <w:bottom w:val="non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cantSplit/>
          <w:trHeight w:val="454"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14:paraId="58EEC760">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14:textFill>
                  <w14:solidFill>
                    <w14:schemeClr w14:val="tx1"/>
                  </w14:solidFill>
                </w14:textFill>
              </w:rPr>
              <w:t>1</w:t>
            </w:r>
          </w:p>
        </w:tc>
        <w:tc>
          <w:tcPr>
            <w:tcW w:w="8451" w:type="dxa"/>
            <w:tcBorders>
              <w:top w:val="single" w:color="auto" w:sz="4" w:space="0"/>
              <w:left w:val="single" w:color="auto" w:sz="4" w:space="0"/>
              <w:bottom w:val="single" w:color="auto" w:sz="4" w:space="0"/>
              <w:right w:val="single" w:color="auto" w:sz="4" w:space="0"/>
            </w:tcBorders>
            <w:vAlign w:val="center"/>
          </w:tcPr>
          <w:p w14:paraId="7D4F6194">
            <w:pPr>
              <w:widowControl/>
              <w:jc w:val="left"/>
              <w:rPr>
                <w:rFonts w:hint="eastAsia" w:ascii="仿宋_GB2312" w:hAnsi="仿宋_GB2312" w:eastAsia="仿宋_GB2312" w:cs="仿宋_GB2312"/>
                <w:b/>
                <w:bCs/>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t>签署（或变更）各类经济类合同（包含但不限于总承包合同及其补充协议、专业分包合同、劳务分包合同、物资设备料具采购、租赁合同、设备安装拆除合同、技术咨询合同等各类合同）。</w:t>
            </w:r>
          </w:p>
        </w:tc>
      </w:tr>
      <w:tr w14:paraId="03627F43">
        <w:tblPrEx>
          <w:tblBorders>
            <w:top w:val="none" w:color="auto" w:sz="4" w:space="0"/>
            <w:left w:val="none" w:color="auto" w:sz="4" w:space="0"/>
            <w:bottom w:val="non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cantSplit/>
          <w:trHeight w:val="454"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14:paraId="5DD06AF0">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14:textFill>
                  <w14:solidFill>
                    <w14:schemeClr w14:val="tx1"/>
                  </w14:solidFill>
                </w14:textFill>
              </w:rPr>
              <w:t>2</w:t>
            </w:r>
          </w:p>
        </w:tc>
        <w:tc>
          <w:tcPr>
            <w:tcW w:w="8451" w:type="dxa"/>
            <w:tcBorders>
              <w:top w:val="single" w:color="auto" w:sz="4" w:space="0"/>
              <w:left w:val="single" w:color="auto" w:sz="4" w:space="0"/>
              <w:bottom w:val="single" w:color="auto" w:sz="4" w:space="0"/>
              <w:right w:val="single" w:color="auto" w:sz="4" w:space="0"/>
            </w:tcBorders>
            <w:vAlign w:val="center"/>
          </w:tcPr>
          <w:p w14:paraId="52730A9D">
            <w:pPr>
              <w:widowControl/>
              <w:jc w:val="left"/>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t>未经分子公司/集团书面批准擅自购买材料、设备。</w:t>
            </w:r>
          </w:p>
        </w:tc>
      </w:tr>
      <w:tr w14:paraId="36542098">
        <w:tblPrEx>
          <w:tblBorders>
            <w:top w:val="none" w:color="auto" w:sz="4" w:space="0"/>
            <w:left w:val="none" w:color="auto" w:sz="4" w:space="0"/>
            <w:bottom w:val="non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cantSplit/>
          <w:trHeight w:val="454"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14:paraId="088BFB51">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14:textFill>
                  <w14:solidFill>
                    <w14:schemeClr w14:val="tx1"/>
                  </w14:solidFill>
                </w14:textFill>
              </w:rPr>
              <w:t>3</w:t>
            </w:r>
          </w:p>
        </w:tc>
        <w:tc>
          <w:tcPr>
            <w:tcW w:w="8451" w:type="dxa"/>
            <w:tcBorders>
              <w:top w:val="single" w:color="auto" w:sz="4" w:space="0"/>
              <w:left w:val="single" w:color="auto" w:sz="4" w:space="0"/>
              <w:bottom w:val="single" w:color="auto" w:sz="4" w:space="0"/>
              <w:right w:val="single" w:color="auto" w:sz="4" w:space="0"/>
            </w:tcBorders>
            <w:vAlign w:val="center"/>
          </w:tcPr>
          <w:p w14:paraId="6638712A">
            <w:pPr>
              <w:widowControl/>
              <w:jc w:val="left"/>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t>放弃或限制行使工程项目优先受偿权、签署</w:t>
            </w:r>
            <w:r>
              <w:rPr>
                <w:rFonts w:hint="eastAsia" w:ascii="仿宋_GB2312" w:hAnsi="仿宋_GB2312" w:eastAsia="仿宋_GB2312" w:cs="仿宋_GB2312"/>
                <w:b/>
                <w:bCs/>
                <w:color w:val="000000" w:themeColor="text1"/>
                <w:kern w:val="0"/>
                <w:sz w:val="24"/>
                <w:szCs w:val="24"/>
                <w:highlight w:val="none"/>
                <w:lang w:val="zh-CN"/>
                <w14:textFill>
                  <w14:solidFill>
                    <w14:schemeClr w14:val="tx1"/>
                  </w14:solidFill>
                </w14:textFill>
              </w:rPr>
              <w:t>代他人清偿债务的文件，签署任何放弃债权的文件</w:t>
            </w:r>
            <w: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t>。</w:t>
            </w:r>
          </w:p>
        </w:tc>
      </w:tr>
      <w:tr w14:paraId="4C2A7866">
        <w:tblPrEx>
          <w:tblBorders>
            <w:top w:val="none" w:color="auto" w:sz="4" w:space="0"/>
            <w:left w:val="none" w:color="auto" w:sz="4" w:space="0"/>
            <w:bottom w:val="non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cantSplit/>
          <w:trHeight w:val="454"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14:paraId="58D4A6DF">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14:textFill>
                  <w14:solidFill>
                    <w14:schemeClr w14:val="tx1"/>
                  </w14:solidFill>
                </w14:textFill>
              </w:rPr>
              <w:t>4</w:t>
            </w:r>
          </w:p>
        </w:tc>
        <w:tc>
          <w:tcPr>
            <w:tcW w:w="8451" w:type="dxa"/>
            <w:tcBorders>
              <w:top w:val="single" w:color="auto" w:sz="4" w:space="0"/>
              <w:left w:val="single" w:color="auto" w:sz="4" w:space="0"/>
              <w:bottom w:val="single" w:color="auto" w:sz="4" w:space="0"/>
              <w:right w:val="single" w:color="auto" w:sz="4" w:space="0"/>
            </w:tcBorders>
            <w:vAlign w:val="center"/>
          </w:tcPr>
          <w:p w14:paraId="6E894788">
            <w:pPr>
              <w:widowControl/>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t>进行银行贷款等融资活动</w:t>
            </w:r>
          </w:p>
        </w:tc>
      </w:tr>
      <w:tr w14:paraId="786A9302">
        <w:tblPrEx>
          <w:tblBorders>
            <w:top w:val="none" w:color="auto" w:sz="4" w:space="0"/>
            <w:left w:val="none" w:color="auto" w:sz="4" w:space="0"/>
            <w:bottom w:val="non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cantSplit/>
          <w:trHeight w:val="454"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14:paraId="0CE4634C">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14:textFill>
                  <w14:solidFill>
                    <w14:schemeClr w14:val="tx1"/>
                  </w14:solidFill>
                </w14:textFill>
              </w:rPr>
              <w:t>5</w:t>
            </w:r>
          </w:p>
        </w:tc>
        <w:tc>
          <w:tcPr>
            <w:tcW w:w="8451" w:type="dxa"/>
            <w:tcBorders>
              <w:top w:val="single" w:color="auto" w:sz="4" w:space="0"/>
              <w:left w:val="single" w:color="auto" w:sz="4" w:space="0"/>
              <w:bottom w:val="single" w:color="auto" w:sz="4" w:space="0"/>
              <w:right w:val="single" w:color="auto" w:sz="4" w:space="0"/>
            </w:tcBorders>
            <w:vAlign w:val="center"/>
          </w:tcPr>
          <w:p w14:paraId="1E9BEC26">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14:textFill>
                  <w14:solidFill>
                    <w14:schemeClr w14:val="tx1"/>
                  </w14:solidFill>
                </w14:textFill>
              </w:rPr>
              <w:t>对外提供担保、出具欠条、签订还款协议、签订调价协议、各类保证书、承诺书。</w:t>
            </w:r>
          </w:p>
        </w:tc>
      </w:tr>
      <w:tr w14:paraId="7705FDD7">
        <w:tblPrEx>
          <w:tblBorders>
            <w:top w:val="none" w:color="auto" w:sz="4" w:space="0"/>
            <w:left w:val="none" w:color="auto" w:sz="4" w:space="0"/>
            <w:bottom w:val="non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cantSplit/>
          <w:trHeight w:val="454"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14:paraId="7B1A9378">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14:textFill>
                  <w14:solidFill>
                    <w14:schemeClr w14:val="tx1"/>
                  </w14:solidFill>
                </w14:textFill>
              </w:rPr>
              <w:t>6</w:t>
            </w:r>
          </w:p>
        </w:tc>
        <w:tc>
          <w:tcPr>
            <w:tcW w:w="8451" w:type="dxa"/>
            <w:tcBorders>
              <w:top w:val="single" w:color="auto" w:sz="4" w:space="0"/>
              <w:left w:val="single" w:color="auto" w:sz="4" w:space="0"/>
              <w:bottom w:val="single" w:color="auto" w:sz="4" w:space="0"/>
              <w:right w:val="single" w:color="auto" w:sz="4" w:space="0"/>
            </w:tcBorders>
            <w:vAlign w:val="center"/>
          </w:tcPr>
          <w:p w14:paraId="4FA83714">
            <w:pPr>
              <w:widowControl/>
              <w:jc w:val="left"/>
              <w:rPr>
                <w:rFonts w:hint="eastAsia" w:ascii="仿宋_GB2312" w:hAnsi="仿宋_GB2312" w:eastAsia="仿宋_GB2312" w:cs="仿宋_GB2312"/>
                <w:b/>
                <w:bCs/>
                <w:color w:val="000000" w:themeColor="text1"/>
                <w:sz w:val="24"/>
                <w:szCs w:val="24"/>
                <w:highlight w:val="none"/>
                <w14:textFill>
                  <w14:solidFill>
                    <w14:schemeClr w14:val="tx1"/>
                  </w14:solidFill>
                </w14:textFill>
              </w:rPr>
            </w:pPr>
            <w: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t>对外开立各类保函</w:t>
            </w:r>
          </w:p>
        </w:tc>
      </w:tr>
      <w:tr w14:paraId="767C7E0A">
        <w:tblPrEx>
          <w:tblBorders>
            <w:top w:val="none" w:color="auto" w:sz="4" w:space="0"/>
            <w:left w:val="none" w:color="auto" w:sz="4" w:space="0"/>
            <w:bottom w:val="non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cantSplit/>
          <w:trHeight w:val="454"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14:paraId="1F09ECFF">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14:textFill>
                  <w14:solidFill>
                    <w14:schemeClr w14:val="tx1"/>
                  </w14:solidFill>
                </w14:textFill>
              </w:rPr>
              <w:t>7</w:t>
            </w:r>
          </w:p>
        </w:tc>
        <w:tc>
          <w:tcPr>
            <w:tcW w:w="8451" w:type="dxa"/>
            <w:tcBorders>
              <w:top w:val="single" w:color="auto" w:sz="4" w:space="0"/>
              <w:left w:val="single" w:color="auto" w:sz="4" w:space="0"/>
              <w:bottom w:val="single" w:color="auto" w:sz="4" w:space="0"/>
              <w:right w:val="single" w:color="auto" w:sz="4" w:space="0"/>
            </w:tcBorders>
            <w:vAlign w:val="center"/>
          </w:tcPr>
          <w:p w14:paraId="2E21DD10">
            <w:pPr>
              <w:widowControl/>
              <w:jc w:val="left"/>
              <w:rPr>
                <w:rFonts w:hint="eastAsia" w:ascii="仿宋_GB2312" w:hAnsi="仿宋_GB2312" w:eastAsia="仿宋_GB2312" w:cs="仿宋_GB2312"/>
                <w:b/>
                <w:bCs/>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t>对外拆借资金，以甲方、甲方子企业或甲方项目部名义对外借款。</w:t>
            </w:r>
          </w:p>
        </w:tc>
      </w:tr>
      <w:tr w14:paraId="1E238BA9">
        <w:tblPrEx>
          <w:tblBorders>
            <w:top w:val="none" w:color="auto" w:sz="4" w:space="0"/>
            <w:left w:val="none" w:color="auto" w:sz="4" w:space="0"/>
            <w:bottom w:val="non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cantSplit/>
          <w:trHeight w:val="454"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14:paraId="69CBA310">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14:textFill>
                  <w14:solidFill>
                    <w14:schemeClr w14:val="tx1"/>
                  </w14:solidFill>
                </w14:textFill>
              </w:rPr>
              <w:t>8</w:t>
            </w:r>
          </w:p>
        </w:tc>
        <w:tc>
          <w:tcPr>
            <w:tcW w:w="8451" w:type="dxa"/>
            <w:tcBorders>
              <w:top w:val="single" w:color="auto" w:sz="4" w:space="0"/>
              <w:left w:val="single" w:color="auto" w:sz="4" w:space="0"/>
              <w:bottom w:val="single" w:color="auto" w:sz="4" w:space="0"/>
              <w:right w:val="single" w:color="auto" w:sz="4" w:space="0"/>
            </w:tcBorders>
            <w:vAlign w:val="center"/>
          </w:tcPr>
          <w:p w14:paraId="3D26A844">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14:textFill>
                  <w14:solidFill>
                    <w14:schemeClr w14:val="tx1"/>
                  </w14:solidFill>
                </w14:textFill>
              </w:rPr>
              <w:t>私设小金库，坐支现金。</w:t>
            </w:r>
          </w:p>
        </w:tc>
      </w:tr>
      <w:tr w14:paraId="63CDCA6C">
        <w:tblPrEx>
          <w:tblBorders>
            <w:top w:val="none" w:color="auto" w:sz="4" w:space="0"/>
            <w:left w:val="none" w:color="auto" w:sz="4" w:space="0"/>
            <w:bottom w:val="non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cantSplit/>
          <w:trHeight w:val="454"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14:paraId="21226AA6">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14:textFill>
                  <w14:solidFill>
                    <w14:schemeClr w14:val="tx1"/>
                  </w14:solidFill>
                </w14:textFill>
              </w:rPr>
              <w:t>9</w:t>
            </w:r>
          </w:p>
        </w:tc>
        <w:tc>
          <w:tcPr>
            <w:tcW w:w="8451" w:type="dxa"/>
            <w:tcBorders>
              <w:top w:val="single" w:color="auto" w:sz="4" w:space="0"/>
              <w:left w:val="single" w:color="auto" w:sz="4" w:space="0"/>
              <w:bottom w:val="single" w:color="auto" w:sz="4" w:space="0"/>
              <w:right w:val="single" w:color="auto" w:sz="4" w:space="0"/>
            </w:tcBorders>
            <w:vAlign w:val="center"/>
          </w:tcPr>
          <w:p w14:paraId="04BD107D">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14:textFill>
                  <w14:solidFill>
                    <w14:schemeClr w14:val="tx1"/>
                  </w14:solidFill>
                </w14:textFill>
              </w:rPr>
              <w:t>超出本综合授权书权限的分包（</w:t>
            </w:r>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供应</w:t>
            </w:r>
            <w:r>
              <w:rPr>
                <w:rFonts w:hint="eastAsia" w:ascii="仿宋_GB2312" w:hAnsi="仿宋_GB2312" w:eastAsia="仿宋_GB2312" w:cs="仿宋_GB2312"/>
                <w:b/>
                <w:bCs/>
                <w:color w:val="000000" w:themeColor="text1"/>
                <w:sz w:val="24"/>
                <w:szCs w:val="24"/>
                <w:highlight w:val="none"/>
                <w14:textFill>
                  <w14:solidFill>
                    <w14:schemeClr w14:val="tx1"/>
                  </w14:solidFill>
                </w14:textFill>
              </w:rPr>
              <w:t>）合同签证办理。</w:t>
            </w:r>
          </w:p>
        </w:tc>
      </w:tr>
      <w:tr w14:paraId="348BA250">
        <w:tblPrEx>
          <w:tblBorders>
            <w:top w:val="none" w:color="auto" w:sz="4" w:space="0"/>
            <w:left w:val="none" w:color="auto" w:sz="4" w:space="0"/>
            <w:bottom w:val="non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cantSplit/>
          <w:trHeight w:val="454"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14:paraId="2BD403C5">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14:textFill>
                  <w14:solidFill>
                    <w14:schemeClr w14:val="tx1"/>
                  </w14:solidFill>
                </w14:textFill>
              </w:rPr>
              <w:t>10</w:t>
            </w:r>
          </w:p>
        </w:tc>
        <w:tc>
          <w:tcPr>
            <w:tcW w:w="8451" w:type="dxa"/>
            <w:tcBorders>
              <w:top w:val="single" w:color="auto" w:sz="4" w:space="0"/>
              <w:left w:val="single" w:color="auto" w:sz="4" w:space="0"/>
              <w:bottom w:val="single" w:color="auto" w:sz="4" w:space="0"/>
              <w:right w:val="single" w:color="auto" w:sz="4" w:space="0"/>
            </w:tcBorders>
            <w:vAlign w:val="center"/>
          </w:tcPr>
          <w:p w14:paraId="7D34FFC2">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14:textFill>
                  <w14:solidFill>
                    <w14:schemeClr w14:val="tx1"/>
                  </w14:solidFill>
                </w14:textFill>
              </w:rPr>
              <w:t>确认总包结算、确认分包合同结算（含甲指分包）。</w:t>
            </w:r>
          </w:p>
        </w:tc>
      </w:tr>
      <w:tr w14:paraId="5EE55C47">
        <w:tblPrEx>
          <w:tblBorders>
            <w:top w:val="none" w:color="auto" w:sz="4" w:space="0"/>
            <w:left w:val="none" w:color="auto" w:sz="4" w:space="0"/>
            <w:bottom w:val="non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cantSplit/>
          <w:trHeight w:val="454"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14:paraId="511DE34C">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14:textFill>
                  <w14:solidFill>
                    <w14:schemeClr w14:val="tx1"/>
                  </w14:solidFill>
                </w14:textFill>
              </w:rPr>
              <w:t>11</w:t>
            </w:r>
          </w:p>
        </w:tc>
        <w:tc>
          <w:tcPr>
            <w:tcW w:w="8451" w:type="dxa"/>
            <w:tcBorders>
              <w:top w:val="single" w:color="auto" w:sz="4" w:space="0"/>
              <w:left w:val="single" w:color="auto" w:sz="4" w:space="0"/>
              <w:bottom w:val="single" w:color="auto" w:sz="4" w:space="0"/>
              <w:right w:val="single" w:color="auto" w:sz="4" w:space="0"/>
            </w:tcBorders>
            <w:vAlign w:val="center"/>
          </w:tcPr>
          <w:p w14:paraId="6EF04ACA">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14:textFill>
                  <w14:solidFill>
                    <w14:schemeClr w14:val="tx1"/>
                  </w14:solidFill>
                </w14:textFill>
              </w:rPr>
              <w:t>确认材料、设备、料具结算及赔偿（含零星材料、甲供材）。</w:t>
            </w:r>
          </w:p>
        </w:tc>
      </w:tr>
      <w:tr w14:paraId="06C5AFEA">
        <w:tblPrEx>
          <w:tblBorders>
            <w:top w:val="none" w:color="auto" w:sz="4" w:space="0"/>
            <w:left w:val="none" w:color="auto" w:sz="4" w:space="0"/>
            <w:bottom w:val="non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cantSplit/>
          <w:trHeight w:val="454"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14:paraId="11D596FF">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14:textFill>
                  <w14:solidFill>
                    <w14:schemeClr w14:val="tx1"/>
                  </w14:solidFill>
                </w14:textFill>
              </w:rPr>
              <w:t>12</w:t>
            </w:r>
          </w:p>
        </w:tc>
        <w:tc>
          <w:tcPr>
            <w:tcW w:w="8451" w:type="dxa"/>
            <w:tcBorders>
              <w:top w:val="single" w:color="auto" w:sz="4" w:space="0"/>
              <w:left w:val="single" w:color="auto" w:sz="4" w:space="0"/>
              <w:bottom w:val="single" w:color="auto" w:sz="4" w:space="0"/>
              <w:right w:val="single" w:color="auto" w:sz="4" w:space="0"/>
            </w:tcBorders>
            <w:vAlign w:val="center"/>
          </w:tcPr>
          <w:p w14:paraId="218F37CB">
            <w:pPr>
              <w:widowControl/>
              <w:jc w:val="left"/>
              <w:rPr>
                <w:rFonts w:hint="eastAsia" w:ascii="仿宋_GB2312" w:hAnsi="仿宋_GB2312" w:eastAsia="仿宋_GB2312" w:cs="仿宋_GB2312"/>
                <w:b/>
                <w:bCs/>
                <w:color w:val="000000" w:themeColor="text1"/>
                <w:sz w:val="24"/>
                <w:szCs w:val="24"/>
                <w:highlight w:val="none"/>
                <w14:textFill>
                  <w14:solidFill>
                    <w14:schemeClr w14:val="tx1"/>
                  </w14:solidFill>
                </w14:textFill>
              </w:rPr>
            </w:pPr>
            <w: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t>设立或变更劳动关系（包括签订劳动合同、确认劳动关系等）</w:t>
            </w:r>
          </w:p>
        </w:tc>
      </w:tr>
      <w:tr w14:paraId="4D84DB49">
        <w:tblPrEx>
          <w:tblBorders>
            <w:top w:val="none" w:color="auto" w:sz="4" w:space="0"/>
            <w:left w:val="none" w:color="auto" w:sz="4" w:space="0"/>
            <w:bottom w:val="non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cantSplit/>
          <w:trHeight w:val="454"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14:paraId="1279B5AB">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14:textFill>
                  <w14:solidFill>
                    <w14:schemeClr w14:val="tx1"/>
                  </w14:solidFill>
                </w14:textFill>
              </w:rPr>
              <w:t>13</w:t>
            </w:r>
          </w:p>
        </w:tc>
        <w:tc>
          <w:tcPr>
            <w:tcW w:w="8451" w:type="dxa"/>
            <w:tcBorders>
              <w:top w:val="single" w:color="auto" w:sz="4" w:space="0"/>
              <w:left w:val="single" w:color="auto" w:sz="4" w:space="0"/>
              <w:bottom w:val="single" w:color="auto" w:sz="4" w:space="0"/>
              <w:right w:val="single" w:color="auto" w:sz="4" w:space="0"/>
            </w:tcBorders>
            <w:vAlign w:val="center"/>
          </w:tcPr>
          <w:p w14:paraId="31D553D9">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14:textFill>
                  <w14:solidFill>
                    <w14:schemeClr w14:val="tx1"/>
                  </w14:solidFill>
                </w14:textFill>
              </w:rPr>
              <w:t>向工伤认定机构提交工伤认定申请或确认工伤事故。</w:t>
            </w:r>
          </w:p>
        </w:tc>
      </w:tr>
      <w:tr w14:paraId="6E0533D9">
        <w:tblPrEx>
          <w:tblBorders>
            <w:top w:val="none" w:color="auto" w:sz="4" w:space="0"/>
            <w:left w:val="none" w:color="auto" w:sz="4" w:space="0"/>
            <w:bottom w:val="non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cantSplit/>
          <w:trHeight w:val="454"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14:paraId="0767AE6F">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14:textFill>
                  <w14:solidFill>
                    <w14:schemeClr w14:val="tx1"/>
                  </w14:solidFill>
                </w14:textFill>
              </w:rPr>
              <w:t>14</w:t>
            </w:r>
          </w:p>
        </w:tc>
        <w:tc>
          <w:tcPr>
            <w:tcW w:w="8451" w:type="dxa"/>
            <w:tcBorders>
              <w:top w:val="single" w:color="auto" w:sz="4" w:space="0"/>
              <w:left w:val="single" w:color="auto" w:sz="4" w:space="0"/>
              <w:bottom w:val="single" w:color="auto" w:sz="4" w:space="0"/>
              <w:right w:val="single" w:color="auto" w:sz="4" w:space="0"/>
            </w:tcBorders>
            <w:vAlign w:val="center"/>
          </w:tcPr>
          <w:p w14:paraId="76E41C6D">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14:textFill>
                  <w14:solidFill>
                    <w14:schemeClr w14:val="tx1"/>
                  </w14:solidFill>
                </w14:textFill>
              </w:rPr>
              <w:t>确认第三方维修费用。</w:t>
            </w:r>
          </w:p>
        </w:tc>
      </w:tr>
      <w:tr w14:paraId="545553DF">
        <w:tblPrEx>
          <w:tblBorders>
            <w:top w:val="none" w:color="auto" w:sz="4" w:space="0"/>
            <w:left w:val="none" w:color="auto" w:sz="4" w:space="0"/>
            <w:bottom w:val="non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cantSplit/>
          <w:trHeight w:val="454"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14:paraId="1DCFF586">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14:textFill>
                  <w14:solidFill>
                    <w14:schemeClr w14:val="tx1"/>
                  </w14:solidFill>
                </w14:textFill>
              </w:rPr>
              <w:t>15</w:t>
            </w:r>
          </w:p>
        </w:tc>
        <w:tc>
          <w:tcPr>
            <w:tcW w:w="8451" w:type="dxa"/>
            <w:tcBorders>
              <w:top w:val="single" w:color="auto" w:sz="4" w:space="0"/>
              <w:left w:val="single" w:color="auto" w:sz="4" w:space="0"/>
              <w:bottom w:val="single" w:color="auto" w:sz="4" w:space="0"/>
              <w:right w:val="single" w:color="auto" w:sz="4" w:space="0"/>
            </w:tcBorders>
            <w:vAlign w:val="center"/>
          </w:tcPr>
          <w:p w14:paraId="2A73602B">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14:textFill>
                  <w14:solidFill>
                    <w14:schemeClr w14:val="tx1"/>
                  </w14:solidFill>
                </w14:textFill>
              </w:rPr>
              <w:t>决定废旧物资处理方案。</w:t>
            </w:r>
          </w:p>
        </w:tc>
      </w:tr>
      <w:tr w14:paraId="15B8670B">
        <w:tblPrEx>
          <w:tblBorders>
            <w:top w:val="none" w:color="auto" w:sz="4" w:space="0"/>
            <w:left w:val="none" w:color="auto" w:sz="4" w:space="0"/>
            <w:bottom w:val="non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cantSplit/>
          <w:trHeight w:val="454"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14:paraId="6A8B1B27">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14:textFill>
                  <w14:solidFill>
                    <w14:schemeClr w14:val="tx1"/>
                  </w14:solidFill>
                </w14:textFill>
              </w:rPr>
              <w:t>16</w:t>
            </w:r>
          </w:p>
        </w:tc>
        <w:tc>
          <w:tcPr>
            <w:tcW w:w="8451" w:type="dxa"/>
            <w:tcBorders>
              <w:top w:val="single" w:color="auto" w:sz="4" w:space="0"/>
              <w:left w:val="single" w:color="auto" w:sz="4" w:space="0"/>
              <w:bottom w:val="single" w:color="auto" w:sz="4" w:space="0"/>
              <w:right w:val="single" w:color="auto" w:sz="4" w:space="0"/>
            </w:tcBorders>
            <w:vAlign w:val="center"/>
          </w:tcPr>
          <w:p w14:paraId="32523B16">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14:textFill>
                  <w14:solidFill>
                    <w14:schemeClr w14:val="tx1"/>
                  </w14:solidFill>
                </w14:textFill>
              </w:rPr>
              <w:t>分包</w:t>
            </w:r>
            <w:r>
              <w:rPr>
                <w:rFonts w:hint="eastAsia" w:ascii="仿宋_GB2312" w:hAnsi="仿宋_GB2312" w:eastAsia="仿宋_GB2312" w:cs="仿宋_GB2312"/>
                <w:b/>
                <w:bCs/>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供应</w:t>
            </w:r>
            <w:r>
              <w:rPr>
                <w:rFonts w:hint="eastAsia" w:ascii="仿宋_GB2312" w:hAnsi="仿宋_GB2312" w:eastAsia="仿宋_GB2312" w:cs="仿宋_GB2312"/>
                <w:b/>
                <w:bCs/>
                <w:color w:val="000000" w:themeColor="text1"/>
                <w:sz w:val="24"/>
                <w:szCs w:val="24"/>
                <w:highlight w:val="none"/>
                <w14:textFill>
                  <w14:solidFill>
                    <w14:schemeClr w14:val="tx1"/>
                  </w14:solidFill>
                </w14:textFill>
              </w:rPr>
              <w:t>合同涨价、奖励、补偿、增加合同外的工作范围、变更分包</w:t>
            </w:r>
            <w:r>
              <w:rPr>
                <w:rFonts w:hint="eastAsia" w:ascii="仿宋_GB2312" w:hAnsi="仿宋_GB2312" w:eastAsia="仿宋_GB2312" w:cs="仿宋_GB2312"/>
                <w:b/>
                <w:bCs/>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供应</w:t>
            </w:r>
            <w:r>
              <w:rPr>
                <w:rFonts w:hint="eastAsia" w:ascii="仿宋_GB2312" w:hAnsi="仿宋_GB2312" w:eastAsia="仿宋_GB2312" w:cs="仿宋_GB2312"/>
                <w:b/>
                <w:bCs/>
                <w:color w:val="000000" w:themeColor="text1"/>
                <w:sz w:val="24"/>
                <w:szCs w:val="24"/>
                <w:highlight w:val="none"/>
                <w14:textFill>
                  <w14:solidFill>
                    <w14:schemeClr w14:val="tx1"/>
                  </w14:solidFill>
                </w14:textFill>
              </w:rPr>
              <w:t>合同模式。</w:t>
            </w:r>
          </w:p>
        </w:tc>
      </w:tr>
      <w:tr w14:paraId="5524E6F4">
        <w:tblPrEx>
          <w:tblBorders>
            <w:top w:val="none" w:color="auto" w:sz="4" w:space="0"/>
            <w:left w:val="none" w:color="auto" w:sz="4" w:space="0"/>
            <w:bottom w:val="non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cantSplit/>
          <w:trHeight w:val="454"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14:paraId="7F5E8543">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14:textFill>
                  <w14:solidFill>
                    <w14:schemeClr w14:val="tx1"/>
                  </w14:solidFill>
                </w14:textFill>
              </w:rPr>
              <w:t>17</w:t>
            </w:r>
          </w:p>
        </w:tc>
        <w:tc>
          <w:tcPr>
            <w:tcW w:w="8451" w:type="dxa"/>
            <w:tcBorders>
              <w:top w:val="single" w:color="auto" w:sz="4" w:space="0"/>
              <w:left w:val="single" w:color="auto" w:sz="4" w:space="0"/>
              <w:bottom w:val="single" w:color="auto" w:sz="4" w:space="0"/>
              <w:right w:val="single" w:color="auto" w:sz="4" w:space="0"/>
            </w:tcBorders>
            <w:vAlign w:val="center"/>
          </w:tcPr>
          <w:p w14:paraId="5E1121E2">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14:textFill>
                  <w14:solidFill>
                    <w14:schemeClr w14:val="tx1"/>
                  </w14:solidFill>
                </w14:textFill>
              </w:rPr>
              <w:t>危险性较大的分部分项工程安全施工方案。</w:t>
            </w:r>
          </w:p>
        </w:tc>
      </w:tr>
      <w:tr w14:paraId="0E776C3A">
        <w:tblPrEx>
          <w:tblBorders>
            <w:top w:val="none" w:color="auto" w:sz="4" w:space="0"/>
            <w:left w:val="none" w:color="auto" w:sz="4" w:space="0"/>
            <w:bottom w:val="non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cantSplit/>
          <w:trHeight w:val="454"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14:paraId="19722D86">
            <w:pPr>
              <w:autoSpaceDE w:val="0"/>
              <w:autoSpaceDN w:val="0"/>
              <w:adjustRightInd w:val="0"/>
              <w:spacing w:line="400" w:lineRule="exact"/>
              <w:jc w:val="center"/>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14:textFill>
                  <w14:solidFill>
                    <w14:schemeClr w14:val="tx1"/>
                  </w14:solidFill>
                </w14:textFill>
              </w:rPr>
              <w:t>18</w:t>
            </w:r>
          </w:p>
        </w:tc>
        <w:tc>
          <w:tcPr>
            <w:tcW w:w="8451" w:type="dxa"/>
            <w:tcBorders>
              <w:top w:val="single" w:color="auto" w:sz="4" w:space="0"/>
              <w:left w:val="single" w:color="auto" w:sz="4" w:space="0"/>
              <w:bottom w:val="single" w:color="auto" w:sz="4" w:space="0"/>
              <w:right w:val="single" w:color="auto" w:sz="4" w:space="0"/>
            </w:tcBorders>
            <w:vAlign w:val="center"/>
          </w:tcPr>
          <w:p w14:paraId="27D84D0A">
            <w:pPr>
              <w:autoSpaceDE w:val="0"/>
              <w:autoSpaceDN w:val="0"/>
              <w:adjustRightInd w:val="0"/>
              <w:spacing w:line="400" w:lineRule="exact"/>
              <w:jc w:val="left"/>
              <w:rPr>
                <w:rFonts w:hint="eastAsia" w:ascii="仿宋_GB2312" w:hAnsi="仿宋_GB2312" w:eastAsia="仿宋_GB2312" w:cs="仿宋_GB2312"/>
                <w:b/>
                <w:bCs/>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14:textFill>
                  <w14:solidFill>
                    <w14:schemeClr w14:val="tx1"/>
                  </w14:solidFill>
                </w14:textFill>
              </w:rPr>
              <w:t>接收诉讼法律文书、处理人民法院协助执行通知或参加仲裁、诉讼。</w:t>
            </w:r>
          </w:p>
        </w:tc>
      </w:tr>
      <w:bookmarkEnd w:id="52"/>
    </w:tbl>
    <w:p w14:paraId="0EA0B9D4">
      <w:pPr>
        <w:numPr>
          <w:ilvl w:val="0"/>
          <w:numId w:val="9"/>
        </w:numPr>
        <w:autoSpaceDE w:val="0"/>
        <w:autoSpaceDN w:val="0"/>
        <w:adjustRightInd w:val="0"/>
        <w:spacing w:line="400" w:lineRule="exact"/>
        <w:rPr>
          <w:rFonts w:ascii="仿宋_GB2312" w:hAnsi="仿宋_GB2312" w:eastAsia="仿宋_GB2312" w:cs="仿宋_GB2312"/>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t>若项目经理发生变更，则由新委任的项目经理承继。</w:t>
      </w:r>
    </w:p>
    <w:p w14:paraId="0B317154">
      <w:pPr>
        <w:numPr>
          <w:ilvl w:val="0"/>
          <w:numId w:val="9"/>
        </w:numPr>
        <w:autoSpaceDE w:val="0"/>
        <w:autoSpaceDN w:val="0"/>
        <w:adjustRightInd w:val="0"/>
        <w:spacing w:line="400" w:lineRule="exact"/>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t>本授权书未明确的事项执行本公司有关规章制度。</w:t>
      </w:r>
    </w:p>
    <w:p w14:paraId="758FC656">
      <w:pPr>
        <w:numPr>
          <w:ilvl w:val="0"/>
          <w:numId w:val="9"/>
        </w:numPr>
        <w:autoSpaceDE w:val="0"/>
        <w:autoSpaceDN w:val="0"/>
        <w:adjustRightInd w:val="0"/>
        <w:spacing w:line="400" w:lineRule="exact"/>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t>本授权书经本公司加盖合同专用章后生效。本公司有权随时变更或撤销本授权书，并书面告知贵司。</w:t>
      </w:r>
    </w:p>
    <w:p w14:paraId="4705AAA5">
      <w:pPr>
        <w:autoSpaceDE w:val="0"/>
        <w:autoSpaceDN w:val="0"/>
        <w:adjustRightInd w:val="0"/>
        <w:spacing w:line="400" w:lineRule="exact"/>
        <w:ind w:firstLine="480"/>
        <w:rPr>
          <w:rFonts w:hint="eastAsia" w:ascii="仿宋_GB2312" w:hAnsi="仿宋_GB2312" w:eastAsia="仿宋_GB2312" w:cs="仿宋_GB2312"/>
          <w:color w:val="000000" w:themeColor="text1"/>
          <w:sz w:val="24"/>
          <w:szCs w:val="24"/>
          <w:highlight w:val="none"/>
          <w14:textFill>
            <w14:solidFill>
              <w14:schemeClr w14:val="tx1"/>
            </w14:solidFill>
          </w14:textFill>
        </w:rPr>
      </w:pPr>
    </w:p>
    <w:p w14:paraId="3F70515C">
      <w:pPr>
        <w:autoSpaceDE w:val="0"/>
        <w:autoSpaceDN w:val="0"/>
        <w:adjustRightInd w:val="0"/>
        <w:spacing w:line="400" w:lineRule="exact"/>
        <w:ind w:firstLine="480"/>
        <w:rPr>
          <w:rFonts w:hint="eastAsia" w:ascii="仿宋_GB2312" w:hAnsi="仿宋_GB2312" w:eastAsia="仿宋_GB2312" w:cs="仿宋_GB2312"/>
          <w:color w:val="000000" w:themeColor="text1"/>
          <w:sz w:val="24"/>
          <w:szCs w:val="24"/>
          <w:highlight w:val="none"/>
          <w14:textFill>
            <w14:solidFill>
              <w14:schemeClr w14:val="tx1"/>
            </w14:solidFill>
          </w14:textFill>
        </w:rPr>
      </w:pPr>
    </w:p>
    <w:p w14:paraId="52EE12F5">
      <w:pPr>
        <w:autoSpaceDE w:val="0"/>
        <w:autoSpaceDN w:val="0"/>
        <w:adjustRightInd w:val="0"/>
        <w:spacing w:line="400" w:lineRule="exact"/>
        <w:ind w:firstLine="48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w:t>
      </w:r>
    </w:p>
    <w:p w14:paraId="125A275C">
      <w:pPr>
        <w:autoSpaceDE w:val="0"/>
        <w:autoSpaceDN w:val="0"/>
        <w:adjustRightInd w:val="0"/>
        <w:spacing w:line="400" w:lineRule="exact"/>
        <w:ind w:firstLine="5040" w:firstLineChars="21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授权单位（盖章）：</w:t>
      </w:r>
    </w:p>
    <w:p w14:paraId="27A4AC8C">
      <w:pPr>
        <w:autoSpaceDE w:val="0"/>
        <w:autoSpaceDN w:val="0"/>
        <w:adjustRightInd w:val="0"/>
        <w:spacing w:line="400" w:lineRule="atLeast"/>
        <w:ind w:firstLine="480" w:firstLineChars="200"/>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bCs/>
          <w:color w:val="000000" w:themeColor="text1"/>
          <w:sz w:val="24"/>
          <w:szCs w:val="24"/>
          <w:highlight w:val="none"/>
          <w14:textFill>
            <w14:solidFill>
              <w14:schemeClr w14:val="tx1"/>
            </w14:solidFill>
          </w14:textFill>
        </w:rPr>
        <w:t xml:space="preserve">                 </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 xml:space="preserve">                          法定代表人：</w:t>
      </w:r>
    </w:p>
    <w:p w14:paraId="737C2C35">
      <w:pPr>
        <w:autoSpaceDE w:val="0"/>
        <w:autoSpaceDN w:val="0"/>
        <w:adjustRightInd w:val="0"/>
        <w:spacing w:line="400" w:lineRule="atLeast"/>
        <w:ind w:firstLine="480" w:firstLineChars="200"/>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 xml:space="preserve">                                               或</w:t>
      </w:r>
    </w:p>
    <w:p w14:paraId="7DB8D3AD">
      <w:pPr>
        <w:autoSpaceDE w:val="0"/>
        <w:autoSpaceDN w:val="0"/>
        <w:adjustRightInd w:val="0"/>
        <w:spacing w:line="400" w:lineRule="atLeast"/>
        <w:ind w:firstLine="6000" w:firstLineChars="2500"/>
        <w:rPr>
          <w:rFonts w:hint="eastAsia" w:ascii="仿宋_GB2312" w:hAnsi="仿宋_GB2312" w:eastAsia="仿宋_GB2312" w:cs="仿宋_GB2312"/>
          <w:bCs/>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被委托人：</w:t>
      </w:r>
      <w:r>
        <w:rPr>
          <w:rFonts w:hint="eastAsia" w:ascii="仿宋_GB2312" w:hAnsi="仿宋_GB2312" w:eastAsia="仿宋_GB2312" w:cs="仿宋_GB2312"/>
          <w:bCs/>
          <w:color w:val="000000" w:themeColor="text1"/>
          <w:sz w:val="24"/>
          <w:szCs w:val="24"/>
          <w:highlight w:val="none"/>
          <w14:textFill>
            <w14:solidFill>
              <w14:schemeClr w14:val="tx1"/>
            </w14:solidFill>
          </w14:textFill>
        </w:rPr>
        <w:t xml:space="preserve">           </w:t>
      </w:r>
    </w:p>
    <w:p w14:paraId="369D9FBD">
      <w:pPr>
        <w:autoSpaceDE w:val="0"/>
        <w:autoSpaceDN w:val="0"/>
        <w:adjustRightInd w:val="0"/>
        <w:spacing w:line="400" w:lineRule="exact"/>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w:t>
      </w:r>
      <w:r>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t>签署日期：</w:t>
      </w: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w:t>
      </w:r>
      <w:r>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t>年</w:t>
      </w: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w:t>
      </w:r>
      <w:r>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t>月</w:t>
      </w: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w:t>
      </w:r>
      <w:r>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t>日</w:t>
      </w:r>
    </w:p>
    <w:p w14:paraId="5805F44B">
      <w:pPr>
        <w:autoSpaceDE w:val="0"/>
        <w:autoSpaceDN w:val="0"/>
        <w:adjustRightInd w:val="0"/>
        <w:spacing w:line="400" w:lineRule="exact"/>
        <w:ind w:firstLine="48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乙方</w:t>
      </w:r>
      <w:r>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t>确认：我司已完全理解并清楚贵司对</w:t>
      </w: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项目部及项目经理的授权范围，并严格遵照执行。超出贵司授权范围的行为属于无权代理行为，对贵司无效，贵司不承担任何法律责任。我司将谨慎审查相关文件的签署主体资格和权限，对于无权代理人签署的相关文件，应及时与贵司核实。      </w:t>
      </w:r>
    </w:p>
    <w:p w14:paraId="7779CAE4">
      <w:pPr>
        <w:spacing w:line="400" w:lineRule="exact"/>
        <w:ind w:right="210" w:rightChars="1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乙方（公章）：           </w:t>
      </w:r>
    </w:p>
    <w:p w14:paraId="16699161">
      <w:pPr>
        <w:autoSpaceDE w:val="0"/>
        <w:autoSpaceDN w:val="0"/>
        <w:adjustRightInd w:val="0"/>
        <w:spacing w:line="400" w:lineRule="atLeast"/>
        <w:ind w:firstLine="1680" w:firstLineChars="700"/>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 xml:space="preserve">                             法定代表人：</w:t>
      </w:r>
    </w:p>
    <w:p w14:paraId="6AFAF626">
      <w:pPr>
        <w:autoSpaceDE w:val="0"/>
        <w:autoSpaceDN w:val="0"/>
        <w:adjustRightInd w:val="0"/>
        <w:spacing w:line="400" w:lineRule="atLeast"/>
        <w:ind w:firstLine="480" w:firstLineChars="200"/>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 xml:space="preserve">                                          或</w:t>
      </w:r>
    </w:p>
    <w:p w14:paraId="38C20DAF">
      <w:pPr>
        <w:autoSpaceDE w:val="0"/>
        <w:autoSpaceDN w:val="0"/>
        <w:adjustRightInd w:val="0"/>
        <w:spacing w:line="400" w:lineRule="atLeast"/>
        <w:ind w:firstLine="1920" w:firstLineChars="800"/>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 xml:space="preserve">                            被委托人：</w:t>
      </w:r>
    </w:p>
    <w:p w14:paraId="0793D269">
      <w:pPr>
        <w:autoSpaceDE w:val="0"/>
        <w:autoSpaceDN w:val="0"/>
        <w:adjustRightInd w:val="0"/>
        <w:spacing w:line="400" w:lineRule="exact"/>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w:t>
      </w:r>
      <w:r>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t>签署日期：</w:t>
      </w: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w:t>
      </w:r>
      <w:r>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t>年</w:t>
      </w: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w:t>
      </w:r>
      <w:r>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t>月</w:t>
      </w: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w:t>
      </w:r>
      <w:r>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t>日</w:t>
      </w:r>
    </w:p>
    <w:p w14:paraId="19BD60A6">
      <w:pPr>
        <w:autoSpaceDE w:val="0"/>
        <w:autoSpaceDN w:val="0"/>
        <w:adjustRightInd w:val="0"/>
        <w:spacing w:line="400" w:lineRule="exact"/>
        <w:rPr>
          <w:rFonts w:ascii="仿宋_GB2312" w:hAnsi="仿宋_GB2312" w:eastAsia="仿宋_GB2312" w:cs="仿宋_GB2312"/>
          <w:color w:val="000000" w:themeColor="text1"/>
          <w:sz w:val="24"/>
          <w:szCs w:val="24"/>
          <w:highlight w:val="none"/>
          <w:lang w:val="zh-CN"/>
          <w14:textFill>
            <w14:solidFill>
              <w14:schemeClr w14:val="tx1"/>
            </w14:solidFill>
          </w14:textFill>
        </w:rPr>
      </w:pPr>
    </w:p>
    <w:p w14:paraId="23AC021C">
      <w:pPr>
        <w:spacing w:line="400" w:lineRule="exact"/>
        <w:ind w:right="210" w:rightChars="100"/>
        <w:outlineLvl w:val="0"/>
        <w:rPr>
          <w:rFonts w:hint="eastAsia" w:ascii="仿宋_GB2312" w:hAnsi="仿宋_GB2312" w:eastAsia="仿宋_GB2312" w:cs="仿宋_GB2312"/>
          <w:color w:val="000000" w:themeColor="text1"/>
          <w:sz w:val="30"/>
          <w:szCs w:val="30"/>
          <w:highlight w:val="none"/>
          <w14:textFill>
            <w14:solidFill>
              <w14:schemeClr w14:val="tx1"/>
            </w14:solidFill>
          </w14:textFill>
        </w:rPr>
        <w:sectPr>
          <w:footerReference r:id="rId11" w:type="default"/>
          <w:pgSz w:w="11906" w:h="16838"/>
          <w:pgMar w:top="1440" w:right="1800" w:bottom="1440" w:left="1800" w:header="850" w:footer="975" w:gutter="0"/>
          <w:cols w:space="0" w:num="1"/>
          <w:docGrid w:linePitch="312" w:charSpace="0"/>
        </w:sectPr>
      </w:pPr>
      <w:bookmarkStart w:id="53" w:name="_Toc26388"/>
    </w:p>
    <w:p w14:paraId="568AE916">
      <w:pPr>
        <w:spacing w:line="400" w:lineRule="exact"/>
        <w:ind w:right="210" w:rightChars="100"/>
        <w:outlineLvl w:val="0"/>
        <w:rPr>
          <w:rFonts w:ascii="仿宋_GB2312" w:hAnsi="仿宋_GB2312" w:eastAsia="仿宋_GB2312" w:cs="仿宋_GB2312"/>
          <w:color w:val="000000" w:themeColor="text1"/>
          <w:sz w:val="30"/>
          <w:szCs w:val="30"/>
          <w:highlight w:val="none"/>
          <w14:textFill>
            <w14:solidFill>
              <w14:schemeClr w14:val="tx1"/>
            </w14:solidFill>
          </w14:textFill>
        </w:rPr>
      </w:pPr>
      <w:r>
        <w:rPr>
          <w:rFonts w:hint="eastAsia" w:ascii="仿宋_GB2312" w:hAnsi="仿宋_GB2312" w:eastAsia="仿宋_GB2312" w:cs="仿宋_GB2312"/>
          <w:color w:val="000000" w:themeColor="text1"/>
          <w:sz w:val="30"/>
          <w:szCs w:val="30"/>
          <w:highlight w:val="none"/>
          <w14:textFill>
            <w14:solidFill>
              <w14:schemeClr w14:val="tx1"/>
            </w14:solidFill>
          </w14:textFill>
        </w:rPr>
        <w:t>附件三：</w:t>
      </w:r>
      <w:bookmarkEnd w:id="53"/>
    </w:p>
    <w:p w14:paraId="3F059D16">
      <w:pPr>
        <w:spacing w:line="400" w:lineRule="exact"/>
        <w:jc w:val="center"/>
        <w:rPr>
          <w:rFonts w:ascii="仿宋_GB2312" w:hAnsi="仿宋_GB2312" w:eastAsia="仿宋_GB2312" w:cs="仿宋_GB2312"/>
          <w:b/>
          <w:color w:val="000000" w:themeColor="text1"/>
          <w:sz w:val="30"/>
          <w:szCs w:val="30"/>
          <w:highlight w:val="none"/>
          <w14:textFill>
            <w14:solidFill>
              <w14:schemeClr w14:val="tx1"/>
            </w14:solidFill>
          </w14:textFill>
        </w:rPr>
      </w:pPr>
      <w:r>
        <w:rPr>
          <w:rFonts w:hint="eastAsia" w:ascii="仿宋_GB2312" w:hAnsi="仿宋_GB2312" w:eastAsia="仿宋_GB2312" w:cs="仿宋_GB2312"/>
          <w:b/>
          <w:color w:val="000000" w:themeColor="text1"/>
          <w:sz w:val="30"/>
          <w:szCs w:val="30"/>
          <w:highlight w:val="none"/>
          <w14:textFill>
            <w14:solidFill>
              <w14:schemeClr w14:val="tx1"/>
            </w14:solidFill>
          </w14:textFill>
        </w:rPr>
        <w:t>安全管理协议书</w:t>
      </w:r>
    </w:p>
    <w:p w14:paraId="4F8E616A">
      <w:pPr>
        <w:wordWrap w:val="0"/>
        <w:spacing w:line="400" w:lineRule="exact"/>
        <w:jc w:val="right"/>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w:t>
      </w:r>
    </w:p>
    <w:p w14:paraId="19CFF0A0">
      <w:pPr>
        <w:spacing w:line="400" w:lineRule="exact"/>
        <w:rPr>
          <w:rFonts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甲方：</w:t>
      </w:r>
      <w:permStart w:id="104" w:edGrp="everyone"/>
      <w:bookmarkStart w:id="54" w:name="_Hlk126826529"/>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中建</w:t>
      </w:r>
      <w:r>
        <w:rPr>
          <w:rFonts w:hint="eastAsia" w:ascii="仿宋_GB2312" w:hAnsi="仿宋_GB2312" w:eastAsia="仿宋_GB2312" w:cs="仿宋_GB2312"/>
          <w:color w:val="000000" w:themeColor="text1"/>
          <w:sz w:val="24"/>
          <w:szCs w:val="24"/>
          <w:highlight w:val="none"/>
          <w:u w:val="single"/>
          <w:lang w:val="en-US" w:eastAsia="zh-CN"/>
          <w14:textFill>
            <w14:solidFill>
              <w14:schemeClr w14:val="tx1"/>
            </w14:solidFill>
          </w14:textFill>
        </w:rPr>
        <w:t>路桥</w:t>
      </w: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集团有限公司</w:t>
      </w:r>
      <w:bookmarkEnd w:id="54"/>
      <w:r>
        <w:rPr>
          <w:rFonts w:hint="eastAsia" w:ascii="仿宋_GB2312" w:hAnsi="仿宋_GB2312" w:eastAsia="仿宋_GB2312" w:cs="仿宋_GB2312"/>
          <w:color w:val="000000" w:themeColor="text1"/>
          <w:sz w:val="24"/>
          <w:szCs w:val="24"/>
          <w:highlight w:val="none"/>
          <w:u w:val="single"/>
          <w:lang w:val="en-US" w:eastAsia="zh-CN"/>
          <w14:textFill>
            <w14:solidFill>
              <w14:schemeClr w14:val="tx1"/>
            </w14:solidFill>
          </w14:textFill>
        </w:rPr>
        <w:t xml:space="preserve">   </w:t>
      </w:r>
      <w:permEnd w:id="104"/>
      <w:r>
        <w:rPr>
          <w:rFonts w:hint="eastAsia" w:ascii="仿宋_GB2312" w:hAnsi="仿宋_GB2312" w:eastAsia="仿宋_GB2312" w:cs="仿宋_GB2312"/>
          <w:color w:val="000000" w:themeColor="text1"/>
          <w:sz w:val="24"/>
          <w:szCs w:val="24"/>
          <w:highlight w:val="none"/>
          <w:u w:val="single"/>
          <w:lang w:val="en-US" w:eastAsia="zh-CN"/>
          <w14:textFill>
            <w14:solidFill>
              <w14:schemeClr w14:val="tx1"/>
            </w14:solidFill>
          </w14:textFill>
        </w:rPr>
        <w:t xml:space="preserve"> </w:t>
      </w:r>
      <w:r>
        <w:rPr>
          <w:rFonts w:hint="eastAsia" w:ascii="仿宋_GB2312" w:hAnsi="仿宋_GB2312" w:eastAsia="仿宋_GB2312" w:cs="仿宋_GB2312"/>
          <w:b/>
          <w:color w:val="000000" w:themeColor="text1"/>
          <w:sz w:val="24"/>
          <w:szCs w:val="24"/>
          <w:highlight w:val="none"/>
          <w14:textFill>
            <w14:solidFill>
              <w14:schemeClr w14:val="tx1"/>
            </w14:solidFill>
          </w14:textFill>
        </w:rPr>
        <w:t xml:space="preserve"> </w:t>
      </w:r>
    </w:p>
    <w:p w14:paraId="1D3F9636">
      <w:pPr>
        <w:spacing w:line="400" w:lineRule="exact"/>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乙方：</w:t>
      </w:r>
      <w:permStart w:id="105" w:edGrp="everyone"/>
      <w:r>
        <w:rPr>
          <w:rFonts w:hint="eastAsia" w:ascii="仿宋_GB2312" w:hAnsi="仿宋_GB2312" w:eastAsia="仿宋_GB2312" w:cs="仿宋_GB2312"/>
          <w:b/>
          <w:color w:val="000000" w:themeColor="text1"/>
          <w:sz w:val="24"/>
          <w:szCs w:val="24"/>
          <w:highlight w:val="none"/>
          <w:u w:val="single"/>
          <w14:textFill>
            <w14:solidFill>
              <w14:schemeClr w14:val="tx1"/>
            </w14:solidFill>
          </w14:textFill>
        </w:rPr>
        <w:t xml:space="preserve">                       </w:t>
      </w:r>
      <w:permEnd w:id="105"/>
      <w:r>
        <w:rPr>
          <w:rFonts w:hint="eastAsia" w:ascii="仿宋_GB2312" w:hAnsi="仿宋_GB2312" w:eastAsia="仿宋_GB2312" w:cs="仿宋_GB2312"/>
          <w:b/>
          <w:color w:val="000000" w:themeColor="text1"/>
          <w:sz w:val="24"/>
          <w:szCs w:val="24"/>
          <w:highlight w:val="none"/>
          <w:u w:val="single"/>
          <w14:textFill>
            <w14:solidFill>
              <w14:schemeClr w14:val="tx1"/>
            </w14:solidFill>
          </w14:textFill>
        </w:rPr>
        <w:t xml:space="preserve"> </w:t>
      </w:r>
    </w:p>
    <w:p w14:paraId="2E7690F4">
      <w:pPr>
        <w:pStyle w:val="11"/>
        <w:tabs>
          <w:tab w:val="left" w:pos="2100"/>
        </w:tabs>
        <w:spacing w:line="400" w:lineRule="exact"/>
        <w:ind w:right="210" w:rightChars="100" w:firstLine="432"/>
        <w:rPr>
          <w:rFonts w:hAnsi="仿宋_GB2312" w:cs="仿宋_GB2312"/>
          <w:color w:val="000000" w:themeColor="text1"/>
          <w:sz w:val="24"/>
          <w:highlight w:val="none"/>
          <w14:textFill>
            <w14:solidFill>
              <w14:schemeClr w14:val="tx1"/>
            </w14:solidFill>
          </w14:textFill>
        </w:rPr>
      </w:pPr>
      <w:r>
        <w:rPr>
          <w:rFonts w:hint="eastAsia" w:hAnsi="仿宋_GB2312" w:cs="仿宋_GB2312"/>
          <w:color w:val="000000" w:themeColor="text1"/>
          <w:sz w:val="24"/>
          <w:highlight w:val="none"/>
          <w14:textFill>
            <w14:solidFill>
              <w14:schemeClr w14:val="tx1"/>
            </w14:solidFill>
          </w14:textFill>
        </w:rPr>
        <w:t xml:space="preserve">根据《中华人民共和国民法典》、《安全生产法》及有关法律规定，遵循平等、自愿、公平和诚实信用的原则，双方就合同范围内且在项目部施工现场范围内安全事项协商一致，订立本合同并共同遵守。 </w:t>
      </w:r>
    </w:p>
    <w:p w14:paraId="21DFD4E1">
      <w:pPr>
        <w:snapToGrid w:val="0"/>
        <w:spacing w:line="400" w:lineRule="exact"/>
        <w:ind w:firstLine="555"/>
        <w:rPr>
          <w:rFonts w:ascii="仿宋_GB2312" w:hAnsi="仿宋_GB2312" w:eastAsia="仿宋_GB2312" w:cs="仿宋_GB2312"/>
          <w:b/>
          <w:bCs/>
          <w:color w:val="000000" w:themeColor="text1"/>
          <w:sz w:val="24"/>
          <w:szCs w:val="24"/>
          <w:highlight w:val="none"/>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14:textFill>
            <w14:solidFill>
              <w14:schemeClr w14:val="tx1"/>
            </w14:solidFill>
          </w14:textFill>
        </w:rPr>
        <w:t xml:space="preserve">第一条 共同约定  </w:t>
      </w:r>
    </w:p>
    <w:p w14:paraId="05B0686C">
      <w:pPr>
        <w:snapToGrid w:val="0"/>
        <w:spacing w:line="400" w:lineRule="exact"/>
        <w:ind w:firstLine="556"/>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双方应共同遵守《安全生产法》、《中华人民共和国建筑法》、《建设工程安全生产管理条例》、《房屋建筑和市政基础设施工程分包管理办法》《安全生产许可证条例》等一系列有关安全生产的法律法规，严格执行建设部标准</w:t>
      </w:r>
      <w:permStart w:id="106" w:edGrp="everyone"/>
      <w:r>
        <w:rPr>
          <w:rFonts w:hint="eastAsia" w:ascii="仿宋_GB2312" w:hAnsi="仿宋_GB2312" w:eastAsia="仿宋_GB2312" w:cs="仿宋_GB2312"/>
          <w:color w:val="000000" w:themeColor="text1"/>
          <w:sz w:val="24"/>
          <w:szCs w:val="24"/>
          <w:highlight w:val="none"/>
          <w14:textFill>
            <w14:solidFill>
              <w14:schemeClr w14:val="tx1"/>
            </w14:solidFill>
          </w14:textFill>
        </w:rPr>
        <w:t>JGJ59—2011《建筑安全施工检查标准》</w:t>
      </w:r>
      <w:permEnd w:id="106"/>
      <w:r>
        <w:rPr>
          <w:rFonts w:hint="eastAsia" w:ascii="仿宋_GB2312" w:hAnsi="仿宋_GB2312" w:eastAsia="仿宋_GB2312" w:cs="仿宋_GB2312"/>
          <w:color w:val="000000" w:themeColor="text1"/>
          <w:sz w:val="24"/>
          <w:szCs w:val="24"/>
          <w:highlight w:val="none"/>
          <w14:textFill>
            <w14:solidFill>
              <w14:schemeClr w14:val="tx1"/>
            </w14:solidFill>
          </w14:textFill>
        </w:rPr>
        <w:t>等一系列标准规程及</w:t>
      </w:r>
      <w:permStart w:id="107" w:edGrp="everyone"/>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 xml:space="preserve">      </w:t>
      </w:r>
      <w:permEnd w:id="107"/>
      <w:r>
        <w:rPr>
          <w:rFonts w:hint="eastAsia" w:ascii="仿宋_GB2312" w:hAnsi="仿宋_GB2312" w:eastAsia="仿宋_GB2312" w:cs="仿宋_GB2312"/>
          <w:color w:val="000000" w:themeColor="text1"/>
          <w:sz w:val="24"/>
          <w:szCs w:val="24"/>
          <w:highlight w:val="none"/>
          <w14:textFill>
            <w14:solidFill>
              <w14:schemeClr w14:val="tx1"/>
            </w14:solidFill>
          </w14:textFill>
        </w:rPr>
        <w:t>市有关安全生产的规章制度。</w:t>
      </w:r>
    </w:p>
    <w:p w14:paraId="513746D1">
      <w:pPr>
        <w:snapToGrid w:val="0"/>
        <w:spacing w:line="400" w:lineRule="exact"/>
        <w:ind w:firstLine="556"/>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2、双方应共同遵守</w:t>
      </w:r>
      <w:permStart w:id="108" w:edGrp="everyone"/>
      <w:r>
        <w:rPr>
          <w:rFonts w:hint="eastAsia" w:ascii="仿宋_GB2312" w:hAnsi="仿宋_GB2312" w:eastAsia="仿宋_GB2312" w:cs="仿宋_GB2312"/>
          <w:color w:val="000000" w:themeColor="text1"/>
          <w:sz w:val="24"/>
          <w:szCs w:val="24"/>
          <w:highlight w:val="none"/>
          <w:u w:val="single"/>
          <w:lang w:eastAsia="zh-CN"/>
          <w14:textFill>
            <w14:solidFill>
              <w14:schemeClr w14:val="tx1"/>
            </w14:solidFill>
          </w14:textFill>
        </w:rPr>
        <w:t>中建集团</w:t>
      </w: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、中建交通</w:t>
      </w:r>
      <w:r>
        <w:rPr>
          <w:rFonts w:hint="eastAsia" w:ascii="仿宋_GB2312" w:hAnsi="仿宋_GB2312" w:eastAsia="仿宋_GB2312" w:cs="仿宋_GB2312"/>
          <w:color w:val="000000" w:themeColor="text1"/>
          <w:sz w:val="24"/>
          <w:szCs w:val="24"/>
          <w:highlight w:val="none"/>
          <w:u w:val="singl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u w:val="single"/>
          <w:lang w:val="en-US" w:eastAsia="zh-CN"/>
          <w14:textFill>
            <w14:solidFill>
              <w14:schemeClr w14:val="tx1"/>
            </w14:solidFill>
          </w14:textFill>
        </w:rPr>
        <w:t>中建路桥</w:t>
      </w:r>
      <w:permEnd w:id="108"/>
      <w:r>
        <w:rPr>
          <w:rFonts w:hint="eastAsia" w:ascii="仿宋_GB2312" w:hAnsi="仿宋_GB2312" w:eastAsia="仿宋_GB2312" w:cs="仿宋_GB2312"/>
          <w:color w:val="000000" w:themeColor="text1"/>
          <w:sz w:val="24"/>
          <w:szCs w:val="24"/>
          <w:highlight w:val="none"/>
          <w14:textFill>
            <w14:solidFill>
              <w14:schemeClr w14:val="tx1"/>
            </w14:solidFill>
          </w14:textFill>
        </w:rPr>
        <w:t>等系列安全生产规章制度。贯彻执行项目职业健康安全和环境管理体系的各项要求。</w:t>
      </w:r>
    </w:p>
    <w:p w14:paraId="5A5D363D">
      <w:pPr>
        <w:snapToGrid w:val="0"/>
        <w:spacing w:line="400" w:lineRule="exact"/>
        <w:ind w:firstLine="556"/>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3、安全文明施工管理目标、指标：以项目部总包单位制定的为准。</w:t>
      </w:r>
    </w:p>
    <w:p w14:paraId="4F7B1EA4">
      <w:pPr>
        <w:snapToGrid w:val="0"/>
        <w:spacing w:line="400" w:lineRule="exact"/>
        <w:ind w:firstLine="556"/>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4、在甲方施工区域以外场所安全工作及发生的不良后果由乙方自行承担。</w:t>
      </w:r>
    </w:p>
    <w:p w14:paraId="4222D184">
      <w:pPr>
        <w:pStyle w:val="19"/>
        <w:spacing w:line="400" w:lineRule="exact"/>
        <w:ind w:firstLine="482" w:firstLineChars="200"/>
        <w:rPr>
          <w:rFonts w:ascii="仿宋_GB2312" w:hAnsi="仿宋_GB2312" w:eastAsia="仿宋_GB2312" w:cs="仿宋_GB2312"/>
          <w:b/>
          <w:bCs/>
          <w:color w:val="000000" w:themeColor="text1"/>
          <w:kern w:val="2"/>
          <w:highlight w:val="none"/>
          <w14:textFill>
            <w14:solidFill>
              <w14:schemeClr w14:val="tx1"/>
            </w14:solidFill>
          </w14:textFill>
        </w:rPr>
      </w:pPr>
      <w:r>
        <w:rPr>
          <w:rFonts w:hint="eastAsia" w:ascii="仿宋_GB2312" w:hAnsi="仿宋_GB2312" w:eastAsia="仿宋_GB2312" w:cs="仿宋_GB2312"/>
          <w:b/>
          <w:bCs/>
          <w:color w:val="000000" w:themeColor="text1"/>
          <w:kern w:val="2"/>
          <w:highlight w:val="none"/>
          <w14:textFill>
            <w14:solidFill>
              <w14:schemeClr w14:val="tx1"/>
            </w14:solidFill>
          </w14:textFill>
        </w:rPr>
        <w:t>第二条 环境与职业健康安全</w:t>
      </w:r>
    </w:p>
    <w:p w14:paraId="40FFCBEC">
      <w:pPr>
        <w:snapToGrid w:val="0"/>
        <w:spacing w:line="400" w:lineRule="exact"/>
        <w:ind w:firstLine="556"/>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1、乙方车辆及材料在运输途中及到达甲方现场后应遵守国家和地方现行的有关环境保护、职业健康安全的法律、法规和其他要求。</w:t>
      </w:r>
    </w:p>
    <w:p w14:paraId="4D6F32B6">
      <w:pPr>
        <w:snapToGrid w:val="0"/>
        <w:spacing w:line="400" w:lineRule="exact"/>
        <w:ind w:firstLine="556"/>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2、乙方需遵守《道路交通安全法》，应当给负责运送货物的车辆办理交强险及商业保险，否则发生的人员伤亡事故或货物毁损由责任方承担，与甲方无关。</w:t>
      </w:r>
    </w:p>
    <w:p w14:paraId="7EB81231">
      <w:pPr>
        <w:snapToGrid w:val="0"/>
        <w:spacing w:line="400" w:lineRule="exact"/>
        <w:ind w:firstLine="556"/>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乙方货物到达指定堆场或仓库等甲方指定地点，装卸、运输过程中的人员、机械、车辆安全，应按国家及地方规定办理相关手续。如因运载车辆事故、卸货等原因导致的乙方及任何第三方的人身伤害及经济损失均由乙方负责，并补偿甲方及其他方因此造成的损失。</w:t>
      </w:r>
    </w:p>
    <w:p w14:paraId="05A11E39">
      <w:pPr>
        <w:snapToGrid w:val="0"/>
        <w:spacing w:line="400" w:lineRule="exact"/>
        <w:ind w:firstLine="556"/>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4、乙方到施工现场的人员必须佩戴安全帽，穿戴整洁，严禁吸烟和大声喧哗，遵守需方项目的规章制度，否则将按需方有关制度处罚。</w:t>
      </w:r>
    </w:p>
    <w:p w14:paraId="4D487442">
      <w:pPr>
        <w:snapToGrid w:val="0"/>
        <w:spacing w:line="400" w:lineRule="exact"/>
        <w:ind w:firstLine="556"/>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5、由于非甲方的任何第三方原因导致乙方人员伤亡及财产损害均由乙方承担相应损失。</w:t>
      </w:r>
    </w:p>
    <w:p w14:paraId="73A7C35F">
      <w:pPr>
        <w:spacing w:line="400" w:lineRule="exact"/>
        <w:jc w:val="left"/>
        <w:rPr>
          <w:rFonts w:ascii="仿宋_GB2312" w:hAnsi="仿宋_GB2312" w:eastAsia="仿宋_GB2312" w:cs="仿宋_GB2312"/>
          <w:b/>
          <w:bCs/>
          <w:color w:val="000000" w:themeColor="text1"/>
          <w:sz w:val="24"/>
          <w:szCs w:val="24"/>
          <w:highlight w:val="none"/>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14:textFill>
            <w14:solidFill>
              <w14:schemeClr w14:val="tx1"/>
            </w14:solidFill>
          </w14:textFill>
        </w:rPr>
        <w:t xml:space="preserve">    第三条 甲方的安全责任、权利和义务  </w:t>
      </w:r>
    </w:p>
    <w:p w14:paraId="3C5F9C79">
      <w:pPr>
        <w:snapToGrid w:val="0"/>
        <w:spacing w:line="400" w:lineRule="exact"/>
        <w:ind w:firstLine="555"/>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1、甲方在现场履行管理、监督职责，认真履行第一条共同约定的内容，对乙方在进入总包施工现场的施工安全进行监督、指导、检查。 </w:t>
      </w:r>
    </w:p>
    <w:p w14:paraId="6EB6F619">
      <w:pPr>
        <w:snapToGrid w:val="0"/>
        <w:spacing w:line="400" w:lineRule="exact"/>
        <w:ind w:firstLine="555"/>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2、对乙方安排生产、运输任务的同时，对按照规定程序审批的施工组织设计进行书面安全技术交底，并办理交底双方签字手续（如有）。 </w:t>
      </w:r>
    </w:p>
    <w:p w14:paraId="7381D2AC">
      <w:pPr>
        <w:snapToGrid w:val="0"/>
        <w:spacing w:line="400" w:lineRule="exact"/>
        <w:ind w:firstLine="555"/>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3、在合同中约定由甲方向使用单位提供的安全防护设施，应完整齐全，并且符合安全要求，并整改乙方提出的不安全问题。</w:t>
      </w:r>
    </w:p>
    <w:p w14:paraId="1E0F8F3E">
      <w:pPr>
        <w:snapToGrid w:val="0"/>
        <w:spacing w:line="400" w:lineRule="exact"/>
        <w:ind w:firstLine="555"/>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4、有权制止乙方的违章作业，对重大违章行为有权责令其停工整顿；对于乙方的违章行为，甲方有进行安全违约处罚的权利；因乙方责任造成防护设施、防护用品等损坏、改变或遗失，或者环境破坏，可要求乙方赔偿或恢复。 </w:t>
      </w:r>
    </w:p>
    <w:p w14:paraId="23A00FD0">
      <w:pPr>
        <w:snapToGrid w:val="0"/>
        <w:spacing w:line="400" w:lineRule="exact"/>
        <w:ind w:firstLine="555"/>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5、对安全素质差、不服从安全生产管理的人员责令其限期退场，造成的工期损失、经济损失由乙方承担。对不执行规章制度的人员，可视情节轻重，按照项目奖罚制度进行安全违约处罚。</w:t>
      </w:r>
    </w:p>
    <w:p w14:paraId="06356ED6">
      <w:pPr>
        <w:snapToGrid w:val="0"/>
        <w:spacing w:line="400" w:lineRule="exact"/>
        <w:ind w:firstLine="555"/>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6、对达不到规定的安全生产条件、存在重大安全隐患或发生安全事故，可要求乙方限期退场，或者中止合同，造成项目工期损失、经济损失由乙方承担。</w:t>
      </w:r>
    </w:p>
    <w:p w14:paraId="591D27A4">
      <w:pPr>
        <w:snapToGrid w:val="0"/>
        <w:spacing w:line="400" w:lineRule="exact"/>
        <w:ind w:firstLine="555"/>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7、按照规定要求对乙方自有的材料和自带（含租赁）施工机具、起重 吊装设备、运输车辆等进行安全生产监督检查，有权拒绝乙方不合格产品进场（已进场的限期退场）。</w:t>
      </w:r>
    </w:p>
    <w:p w14:paraId="42996E37">
      <w:pPr>
        <w:snapToGrid w:val="0"/>
        <w:spacing w:line="400" w:lineRule="exact"/>
        <w:ind w:firstLine="555"/>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8、</w:t>
      </w:r>
      <w:r>
        <w:rPr>
          <w:rFonts w:hint="eastAsia" w:ascii="仿宋_GB2312" w:hAnsi="仿宋_GB2312" w:eastAsia="仿宋_GB2312" w:cs="仿宋_GB2312"/>
          <w:color w:val="000000" w:themeColor="text1"/>
          <w:sz w:val="24"/>
          <w:szCs w:val="24"/>
          <w:highlight w:val="none"/>
          <w14:textFill>
            <w14:solidFill>
              <w14:schemeClr w14:val="tx1"/>
            </w14:solidFill>
          </w14:textFill>
        </w:rPr>
        <w:t>与安全生产关系直接的大型设备、特种设备、安全设施设备、防护用品进场时，项目安全生产监督管理部门应参与验收，验收合格签字后方可进场。</w:t>
      </w:r>
    </w:p>
    <w:p w14:paraId="20072C4B">
      <w:pPr>
        <w:spacing w:line="400" w:lineRule="exact"/>
        <w:jc w:val="left"/>
        <w:rPr>
          <w:rFonts w:ascii="仿宋_GB2312" w:hAnsi="仿宋_GB2312" w:eastAsia="仿宋_GB2312" w:cs="仿宋_GB2312"/>
          <w:b/>
          <w:bCs/>
          <w:color w:val="000000" w:themeColor="text1"/>
          <w:sz w:val="24"/>
          <w:szCs w:val="24"/>
          <w:highlight w:val="none"/>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14:textFill>
            <w14:solidFill>
              <w14:schemeClr w14:val="tx1"/>
            </w14:solidFill>
          </w14:textFill>
        </w:rPr>
        <w:t xml:space="preserve">    第四条 乙方的安全责任、权利和义务  </w:t>
      </w:r>
    </w:p>
    <w:p w14:paraId="394F3723">
      <w:pPr>
        <w:snapToGrid w:val="0"/>
        <w:spacing w:line="400" w:lineRule="exact"/>
        <w:ind w:firstLine="480" w:firstLineChars="200"/>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1、乙方应认真履行第一条共同约定的内容，接受甲方的监督、检查工作。</w:t>
      </w:r>
    </w:p>
    <w:p w14:paraId="4BC4E61E">
      <w:pPr>
        <w:snapToGrid w:val="0"/>
        <w:spacing w:line="400" w:lineRule="exact"/>
        <w:ind w:firstLine="480" w:firstLineChars="200"/>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2、乙方应具备所供货物的运输资质或证照，不得跨资质承运相应货物。若乙方委托第三方单位承运相应货物，不解除乙方应承担本合同项下的义务和责任。</w:t>
      </w:r>
    </w:p>
    <w:p w14:paraId="259E1395">
      <w:pPr>
        <w:snapToGrid w:val="0"/>
        <w:spacing w:line="400" w:lineRule="exact"/>
        <w:ind w:firstLine="480" w:firstLineChars="200"/>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乙方运输前对货物性质、形状充分认识并制定相应运输措施，必要情况下准备运输防护用品及货物运输应急用品。如有特定需求运输超大、超重、异形等道路通行规定以外的货物，应按照设计文件提示等采用特定的运输方式并制定安全防范措施。</w:t>
      </w:r>
    </w:p>
    <w:p w14:paraId="2B9C685D">
      <w:pPr>
        <w:snapToGrid w:val="0"/>
        <w:spacing w:line="400" w:lineRule="exact"/>
        <w:ind w:firstLine="480" w:firstLineChars="200"/>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负责本单位特种作业人员、运输车辆司机、起重吊装作业司机指挥等人的培训、考核和取证，必须做到进入施工现场的人员持证上岗。进入施工现场作业要有专人在现场履行管理职责，并对未认真履行职责的后果负责。</w:t>
      </w:r>
    </w:p>
    <w:p w14:paraId="48C7FDD7">
      <w:pPr>
        <w:snapToGrid w:val="0"/>
        <w:spacing w:line="400" w:lineRule="exact"/>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5、对本单位员工进行安全三级教育，进行安全技术交底，交底报甲方备案。保证进场人员符合相关要求，身体情况能适应本行业工作，熟悉现场一般安全规定及本工种安全操作规程，并进行进场岗前教育，未经过培训教育的工人不得安排进行现场工作；</w:t>
      </w:r>
    </w:p>
    <w:p w14:paraId="1F734CC9">
      <w:pPr>
        <w:snapToGrid w:val="0"/>
        <w:spacing w:line="400" w:lineRule="exact"/>
        <w:ind w:firstLine="453"/>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6、不得违章指挥，或强令工人冒险作业，也不能强迫工人连续长时间作业，更不能进入指定禁区及非本工作作业区域。不得私自翻越防护，攀爬架体、私自接电等违章作业行为，不得在高处危险作业和各种提升机械的垂直下方穿行或停留（如：吊篮、电梯笼）。 </w:t>
      </w:r>
    </w:p>
    <w:p w14:paraId="1BA266E3">
      <w:pPr>
        <w:snapToGrid w:val="0"/>
        <w:spacing w:line="400" w:lineRule="exact"/>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7、对甲方所提供的安全设施不能保证安全施工时，应及时提出，也可拒绝施工；在施工中不得未经甲方现场负责人同意私自拆除安全防护设施。 </w:t>
      </w:r>
    </w:p>
    <w:p w14:paraId="189D40C6">
      <w:pPr>
        <w:spacing w:line="400" w:lineRule="exact"/>
        <w:ind w:firstLine="480" w:firstLineChars="200"/>
        <w:jc w:val="left"/>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8、乙方自备的设备及工具必须保证环保、性能良好、各安全装置齐全灵敏有效。进工地前必须报项目监督试机，验收并填写验收表，达不到环保和</w:t>
      </w:r>
      <w:permStart w:id="109" w:edGrp="everyone"/>
      <w:r>
        <w:rPr>
          <w:rFonts w:hint="eastAsia" w:ascii="仿宋_GB2312" w:hAnsi="仿宋_GB2312" w:eastAsia="仿宋_GB2312" w:cs="仿宋_GB2312"/>
          <w:color w:val="000000" w:themeColor="text1"/>
          <w:sz w:val="24"/>
          <w:szCs w:val="24"/>
          <w:highlight w:val="none"/>
          <w14:textFill>
            <w14:solidFill>
              <w14:schemeClr w14:val="tx1"/>
            </w14:solidFill>
          </w14:textFill>
        </w:rPr>
        <w:t>《JGJ59—2011》标准</w:t>
      </w:r>
      <w:permEnd w:id="109"/>
      <w:r>
        <w:rPr>
          <w:rFonts w:hint="eastAsia" w:ascii="仿宋_GB2312" w:hAnsi="仿宋_GB2312" w:eastAsia="仿宋_GB2312" w:cs="仿宋_GB2312"/>
          <w:color w:val="000000" w:themeColor="text1"/>
          <w:sz w:val="24"/>
          <w:szCs w:val="24"/>
          <w:highlight w:val="none"/>
          <w14:textFill>
            <w14:solidFill>
              <w14:schemeClr w14:val="tx1"/>
            </w14:solidFill>
          </w14:textFill>
        </w:rPr>
        <w:t>的设备及工具严禁在工地使用。</w:t>
      </w:r>
    </w:p>
    <w:p w14:paraId="71D526E8">
      <w:pPr>
        <w:spacing w:line="400" w:lineRule="exact"/>
        <w:ind w:firstLine="480" w:firstLineChars="200"/>
        <w:jc w:val="left"/>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9、乙方自带设备或工具必须相匹配的质量合格的电缆线，并自备符合当地主管部门要求的末级标准配电箱。</w:t>
      </w:r>
    </w:p>
    <w:p w14:paraId="171E7E47">
      <w:pPr>
        <w:snapToGrid w:val="0"/>
        <w:spacing w:line="400" w:lineRule="exact"/>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10、必须按规定提取和使用安全技术措施经费，为作业人员提供符合国家标准或行业标准的劳动防护用品，并督促、教育作业人员按照使用规则佩戴、使用。 </w:t>
      </w:r>
    </w:p>
    <w:p w14:paraId="6C21A177">
      <w:pPr>
        <w:snapToGrid w:val="0"/>
        <w:spacing w:line="400" w:lineRule="exact"/>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11、对甲方人员违章指挥或者可能危及人身安全、财产损失的指挥，乙方有权拒绝。 </w:t>
      </w:r>
    </w:p>
    <w:p w14:paraId="4C0F2461">
      <w:pPr>
        <w:snapToGrid w:val="0"/>
        <w:spacing w:line="400" w:lineRule="exact"/>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12、不得进行违反安全法律和其他、安全生产规章制度的行为。</w:t>
      </w:r>
    </w:p>
    <w:p w14:paraId="7B0A75E0">
      <w:pPr>
        <w:snapToGrid w:val="0"/>
        <w:spacing w:line="400" w:lineRule="exact"/>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13、乙方对供应的材料在甲方施工场地外运输过程发生的安全事故承担全部责任，不得向甲方提出索赔要求。</w:t>
      </w:r>
    </w:p>
    <w:p w14:paraId="70E9902E">
      <w:pPr>
        <w:spacing w:line="400" w:lineRule="exact"/>
        <w:jc w:val="left"/>
        <w:rPr>
          <w:rFonts w:ascii="仿宋_GB2312" w:hAnsi="仿宋_GB2312" w:eastAsia="仿宋_GB2312" w:cs="仿宋_GB2312"/>
          <w:color w:val="000000" w:themeColor="text1"/>
          <w:sz w:val="24"/>
          <w:szCs w:val="24"/>
          <w:highlight w:val="none"/>
          <w:shd w:val="clear" w:color="auto" w:fill="FF0000"/>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14、乙方对因自身原因发生的安全事故承担全部责任。由于乙方原因而引发的被当地有关部门处罚的各类事件，乙方承担相应罚款、工期损失及经济损失；</w:t>
      </w:r>
    </w:p>
    <w:p w14:paraId="1BAA9AAF">
      <w:pPr>
        <w:spacing w:line="400" w:lineRule="exact"/>
        <w:jc w:val="left"/>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15、在施工现场发生事故时，应积极抢救伤员，保护事故现场，防止事故扩大，按甲方要求提供事故有关资料，并配合调查。</w:t>
      </w:r>
    </w:p>
    <w:p w14:paraId="6538F096">
      <w:pPr>
        <w:spacing w:line="400" w:lineRule="exact"/>
        <w:jc w:val="left"/>
        <w:rPr>
          <w:rFonts w:ascii="仿宋_GB2312" w:hAnsi="仿宋_GB2312" w:eastAsia="仿宋_GB2312" w:cs="仿宋_GB2312"/>
          <w:b/>
          <w:bCs/>
          <w:color w:val="000000" w:themeColor="text1"/>
          <w:sz w:val="24"/>
          <w:szCs w:val="24"/>
          <w:highlight w:val="none"/>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14:textFill>
            <w14:solidFill>
              <w14:schemeClr w14:val="tx1"/>
            </w14:solidFill>
          </w14:textFill>
        </w:rPr>
        <w:t xml:space="preserve">    第五条 事故处理 </w:t>
      </w:r>
    </w:p>
    <w:p w14:paraId="3C8BC43B">
      <w:pPr>
        <w:snapToGrid w:val="0"/>
        <w:spacing w:line="400" w:lineRule="exact"/>
        <w:ind w:firstLine="555"/>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若发生事故应立即启动事故应急预案，采取有效措施组织抢救，防止事故扩大，减少人员伤亡和财产损失，同时应按《生产安全事故报告和调查处理条例》(493号令)的规定进行事故处理及上报。乙方应及时将事故情况向甲方上报，不得迟报、漏报、谎报或瞒报。</w:t>
      </w:r>
    </w:p>
    <w:p w14:paraId="3B40A1A9">
      <w:pPr>
        <w:snapToGrid w:val="0"/>
        <w:spacing w:line="400" w:lineRule="exact"/>
        <w:ind w:firstLine="555"/>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2、在施工现场内发生重伤或死亡事故，由甲方主管部门牵头，乙方为主，甲乙双方共同参加，按照规定报告有关部门进行调查，查清事故原因，分清事故责任，提出对事故责任者的处理意见。 </w:t>
      </w:r>
    </w:p>
    <w:p w14:paraId="3EFAB0A7">
      <w:pPr>
        <w:snapToGrid w:val="0"/>
        <w:spacing w:line="400" w:lineRule="exact"/>
        <w:ind w:firstLine="555"/>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3、由于没有认真履行安全责任，造成重大伤亡事故，情节严重的主要直接责任者，已触及国家刑律，应提请有关部门进行调查处理。 </w:t>
      </w:r>
    </w:p>
    <w:p w14:paraId="7C1A00F9">
      <w:pPr>
        <w:snapToGrid w:val="0"/>
        <w:spacing w:line="400" w:lineRule="exact"/>
        <w:ind w:firstLine="555"/>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4、对不认真履行本合同，违章指挥、违章作业、冒险进入施工禁区及损坏安全防护设施、不按规定进行安全技术交底及组织施工，造成伤亡事故的，应由事故责任方承担罚款及一切经济损失和责任。 </w:t>
      </w:r>
    </w:p>
    <w:p w14:paraId="01561AC3">
      <w:pPr>
        <w:snapToGrid w:val="0"/>
        <w:spacing w:line="400" w:lineRule="exact"/>
        <w:ind w:firstLine="555"/>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5、由于甲方主要责任造成的伤亡事故，乙方有权要求甲方进行经济赔偿。由于乙方主要责任造成的伤亡事故，甲方有权要求乙方承担违约责任。</w:t>
      </w:r>
    </w:p>
    <w:p w14:paraId="33B39853">
      <w:pPr>
        <w:snapToGrid w:val="0"/>
        <w:spacing w:line="400" w:lineRule="exact"/>
        <w:ind w:firstLine="555"/>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6、由于第三方责任导致乙方人员伤亡，及由于乙方责任导致第三方人员伤亡，由乙方负责并处理。</w:t>
      </w:r>
    </w:p>
    <w:p w14:paraId="4C8CC395">
      <w:pPr>
        <w:snapToGrid w:val="0"/>
        <w:spacing w:line="400" w:lineRule="exact"/>
        <w:ind w:firstLine="555"/>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7、对乙方因自身原因发生的安全事故，如因工人自身误操作、违章作业、冒险进入施工禁区、损坏安全设施、乙方不按规定对工人进行安全交底、班前活动等等，所造成的或主要责任在乙方的伤害事故，所发生的一切责任及费用由乙方承担。</w:t>
      </w:r>
    </w:p>
    <w:p w14:paraId="09BBC189">
      <w:pPr>
        <w:snapToGrid w:val="0"/>
        <w:spacing w:line="400" w:lineRule="exact"/>
        <w:ind w:firstLine="555"/>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8、乙方积极配合甲方做好事故的善后处理工作，若伤亡人员为乙方雇佣、招录人员，乙方应及时负责伤亡人员及家属的接待善后工作，因此发生的医疗费、护理费、赔偿费等费用由乙方先垫付，最后由事故责任方一次性承担，因未积极配合甲方对事故进行善后处理而产生的一切法律责任及经济处罚由乙方自负。</w:t>
      </w:r>
    </w:p>
    <w:p w14:paraId="2C9D85AB">
      <w:pPr>
        <w:spacing w:line="400" w:lineRule="exact"/>
        <w:ind w:firstLine="516" w:firstLineChars="214"/>
        <w:jc w:val="left"/>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14:textFill>
            <w14:solidFill>
              <w14:schemeClr w14:val="tx1"/>
            </w14:solidFill>
          </w14:textFill>
        </w:rPr>
        <w:t>第六条</w:t>
      </w: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本合同生效条件与主合同相同。</w:t>
      </w:r>
    </w:p>
    <w:p w14:paraId="44090C12">
      <w:pPr>
        <w:spacing w:line="400" w:lineRule="exact"/>
        <w:rPr>
          <w:rFonts w:ascii="仿宋_GB2312" w:hAnsi="仿宋_GB2312" w:eastAsia="仿宋_GB2312" w:cs="仿宋_GB2312"/>
          <w:color w:val="000000" w:themeColor="text1"/>
          <w:sz w:val="24"/>
          <w:szCs w:val="24"/>
          <w:highlight w:val="none"/>
          <w14:textFill>
            <w14:solidFill>
              <w14:schemeClr w14:val="tx1"/>
            </w14:solidFill>
          </w14:textFill>
        </w:rPr>
      </w:pPr>
    </w:p>
    <w:p w14:paraId="1E0C4EC5">
      <w:pPr>
        <w:spacing w:line="400" w:lineRule="exact"/>
        <w:ind w:firstLine="570"/>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w:t>
      </w:r>
      <w:bookmarkStart w:id="55" w:name="_Hlk127203185"/>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甲方（盖章）：                        </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szCs w:val="24"/>
          <w:highlight w:val="none"/>
          <w14:textFill>
            <w14:solidFill>
              <w14:schemeClr w14:val="tx1"/>
            </w14:solidFill>
          </w14:textFill>
        </w:rPr>
        <w:t>乙方（</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盖</w:t>
      </w: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章）：       </w:t>
      </w:r>
    </w:p>
    <w:p w14:paraId="4C688D06">
      <w:pPr>
        <w:autoSpaceDE w:val="0"/>
        <w:autoSpaceDN w:val="0"/>
        <w:adjustRightInd w:val="0"/>
        <w:spacing w:line="400" w:lineRule="atLeast"/>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pPr>
    </w:p>
    <w:p w14:paraId="095BB014">
      <w:pPr>
        <w:autoSpaceDE w:val="0"/>
        <w:autoSpaceDN w:val="0"/>
        <w:adjustRightInd w:val="0"/>
        <w:spacing w:line="400" w:lineRule="atLeast"/>
        <w:ind w:firstLine="960" w:firstLineChars="400"/>
        <w:rPr>
          <w:rFonts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法定代表人：                           法定代表人：</w:t>
      </w:r>
    </w:p>
    <w:p w14:paraId="153301FA">
      <w:pPr>
        <w:autoSpaceDE w:val="0"/>
        <w:autoSpaceDN w:val="0"/>
        <w:adjustRightInd w:val="0"/>
        <w:spacing w:line="400" w:lineRule="atLeast"/>
        <w:ind w:firstLine="480" w:firstLineChars="200"/>
        <w:rPr>
          <w:rFonts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 xml:space="preserve">    </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 xml:space="preserve">或                                   </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 xml:space="preserve"> 或</w:t>
      </w:r>
    </w:p>
    <w:p w14:paraId="78BC952C">
      <w:pPr>
        <w:autoSpaceDE w:val="0"/>
        <w:autoSpaceDN w:val="0"/>
        <w:adjustRightInd w:val="0"/>
        <w:spacing w:line="400" w:lineRule="atLeast"/>
        <w:ind w:firstLine="1200" w:firstLineChars="500"/>
        <w:rPr>
          <w:rFonts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被</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 xml:space="preserve">委托人：                           </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被</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委托人：</w:t>
      </w:r>
    </w:p>
    <w:p w14:paraId="1B7CFA03">
      <w:pPr>
        <w:spacing w:line="400" w:lineRule="exact"/>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年  月  日    </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年  月  日 </w:t>
      </w:r>
    </w:p>
    <w:p w14:paraId="6324C020">
      <w:pPr>
        <w:spacing w:line="400" w:lineRule="exact"/>
        <w:ind w:firstLine="5040" w:firstLineChars="2100"/>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w:t>
      </w:r>
      <w:bookmarkEnd w:id="55"/>
    </w:p>
    <w:p w14:paraId="527659E6">
      <w:pPr>
        <w:spacing w:line="400" w:lineRule="atLeast"/>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br w:type="page"/>
      </w:r>
    </w:p>
    <w:p w14:paraId="471E578E">
      <w:pPr>
        <w:spacing w:before="120" w:after="120"/>
        <w:ind w:left="-850" w:firstLine="521"/>
        <w:outlineLvl w:val="0"/>
        <w:rPr>
          <w:rFonts w:hint="eastAsia" w:ascii="仿宋_GB2312" w:hAnsi="仿宋_GB2312" w:eastAsia="仿宋_GB2312" w:cs="仿宋_GB2312"/>
          <w:color w:val="000000" w:themeColor="text1"/>
          <w:sz w:val="30"/>
          <w:szCs w:val="30"/>
          <w:highlight w:val="none"/>
          <w14:textFill>
            <w14:solidFill>
              <w14:schemeClr w14:val="tx1"/>
            </w14:solidFill>
          </w14:textFill>
        </w:rPr>
      </w:pPr>
      <w:bookmarkStart w:id="56" w:name="_Toc24289"/>
      <w:r>
        <w:rPr>
          <w:rFonts w:hint="eastAsia" w:ascii="仿宋_GB2312" w:hAnsi="仿宋_GB2312" w:eastAsia="仿宋_GB2312" w:cs="仿宋_GB2312"/>
          <w:color w:val="000000" w:themeColor="text1"/>
          <w:sz w:val="30"/>
          <w:szCs w:val="30"/>
          <w:highlight w:val="none"/>
          <w14:textFill>
            <w14:solidFill>
              <w14:schemeClr w14:val="tx1"/>
            </w14:solidFill>
          </w14:textFill>
        </w:rPr>
        <w:t>附件四:</w:t>
      </w:r>
      <w:bookmarkEnd w:id="56"/>
      <w:r>
        <w:rPr>
          <w:rFonts w:hint="eastAsia" w:ascii="仿宋_GB2312" w:hAnsi="仿宋_GB2312" w:eastAsia="仿宋_GB2312" w:cs="仿宋_GB2312"/>
          <w:color w:val="000000" w:themeColor="text1"/>
          <w:sz w:val="30"/>
          <w:szCs w:val="30"/>
          <w:highlight w:val="none"/>
          <w14:textFill>
            <w14:solidFill>
              <w14:schemeClr w14:val="tx1"/>
            </w14:solidFill>
          </w14:textFill>
        </w:rPr>
        <w:t xml:space="preserve">   </w:t>
      </w:r>
    </w:p>
    <w:p w14:paraId="44732A8C">
      <w:pPr>
        <w:spacing w:before="120" w:after="120"/>
        <w:ind w:left="-850" w:firstLine="521"/>
        <w:jc w:val="center"/>
        <w:outlineLvl w:val="0"/>
        <w:rPr>
          <w:rFonts w:ascii="仿宋_GB2312" w:hAnsi="仿宋_GB2312" w:eastAsia="仿宋_GB2312" w:cs="仿宋_GB2312"/>
          <w:b/>
          <w:color w:val="000000" w:themeColor="text1"/>
          <w:sz w:val="30"/>
          <w:szCs w:val="30"/>
          <w:highlight w:val="none"/>
          <w14:textFill>
            <w14:solidFill>
              <w14:schemeClr w14:val="tx1"/>
            </w14:solidFill>
          </w14:textFill>
        </w:rPr>
      </w:pPr>
      <w:r>
        <w:rPr>
          <w:rFonts w:hint="eastAsia" w:ascii="仿宋_GB2312" w:hAnsi="仿宋_GB2312" w:eastAsia="仿宋_GB2312" w:cs="仿宋_GB2312"/>
          <w:b/>
          <w:color w:val="000000" w:themeColor="text1"/>
          <w:sz w:val="30"/>
          <w:szCs w:val="30"/>
          <w:highlight w:val="none"/>
          <w14:textFill>
            <w14:solidFill>
              <w14:schemeClr w14:val="tx1"/>
            </w14:solidFill>
          </w14:textFill>
        </w:rPr>
        <w:t>商品混凝土需方</w:t>
      </w:r>
      <w:r>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t>（</w:t>
      </w:r>
      <w:r>
        <w:rPr>
          <w:rFonts w:hint="eastAsia" w:ascii="仿宋_GB2312" w:hAnsi="仿宋_GB2312" w:eastAsia="仿宋_GB2312" w:cs="仿宋_GB2312"/>
          <w:b/>
          <w:color w:val="000000" w:themeColor="text1"/>
          <w:sz w:val="30"/>
          <w:szCs w:val="30"/>
          <w:highlight w:val="none"/>
          <w:lang w:val="en-US" w:eastAsia="zh-CN"/>
          <w14:textFill>
            <w14:solidFill>
              <w14:schemeClr w14:val="tx1"/>
            </w14:solidFill>
          </w14:textFill>
        </w:rPr>
        <w:t>甲方</w:t>
      </w:r>
      <w:r>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t>）</w:t>
      </w:r>
      <w:r>
        <w:rPr>
          <w:rFonts w:hint="eastAsia" w:ascii="仿宋_GB2312" w:hAnsi="仿宋_GB2312" w:eastAsia="仿宋_GB2312" w:cs="仿宋_GB2312"/>
          <w:b/>
          <w:color w:val="000000" w:themeColor="text1"/>
          <w:sz w:val="30"/>
          <w:szCs w:val="30"/>
          <w:highlight w:val="none"/>
          <w14:textFill>
            <w14:solidFill>
              <w14:schemeClr w14:val="tx1"/>
            </w14:solidFill>
          </w14:textFill>
        </w:rPr>
        <w:t>验收人员一览表</w:t>
      </w:r>
    </w:p>
    <w:p w14:paraId="788C8022">
      <w:pPr>
        <w:pStyle w:val="19"/>
        <w:rPr>
          <w:rFonts w:ascii="仿宋_GB2312" w:hAnsi="仿宋_GB2312" w:eastAsia="仿宋_GB2312" w:cs="仿宋_GB2312"/>
          <w:color w:val="000000" w:themeColor="text1"/>
          <w:highlight w:val="none"/>
          <w14:textFill>
            <w14:solidFill>
              <w14:schemeClr w14:val="tx1"/>
            </w14:solidFill>
          </w14:textFill>
        </w:rPr>
      </w:pPr>
    </w:p>
    <w:p w14:paraId="08831A38">
      <w:pPr>
        <w:spacing w:before="120" w:after="120" w:line="480" w:lineRule="auto"/>
        <w:ind w:left="-283"/>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permStart w:id="110" w:edGrp="everyone"/>
      <w:r>
        <w:rPr>
          <w:rFonts w:hint="eastAsia" w:ascii="仿宋_GB2312" w:hAnsi="仿宋_GB2312" w:eastAsia="仿宋_GB2312" w:cs="仿宋_GB2312"/>
          <w:color w:val="000000" w:themeColor="text1"/>
          <w:sz w:val="24"/>
          <w:highlight w:val="none"/>
          <w14:textFill>
            <w14:solidFill>
              <w14:schemeClr w14:val="tx1"/>
            </w14:solidFill>
          </w14:textFill>
        </w:rPr>
        <w:t xml:space="preserve">项目名称：         </w:t>
      </w:r>
    </w:p>
    <w:p w14:paraId="2A00907E">
      <w:pPr>
        <w:spacing w:before="120" w:after="120" w:line="480" w:lineRule="auto"/>
        <w:ind w:left="439" w:hanging="722"/>
        <w:rPr>
          <w:rFonts w:ascii="仿宋_GB2312" w:hAnsi="仿宋_GB2312" w:eastAsia="仿宋_GB2312" w:cs="仿宋_GB2312"/>
          <w:color w:val="000000" w:themeColor="text1"/>
          <w:sz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 验收人：                               联系电话 ：          </w:t>
      </w:r>
    </w:p>
    <w:p w14:paraId="580BD919">
      <w:pPr>
        <w:spacing w:before="120" w:after="120" w:line="480" w:lineRule="auto"/>
        <w:ind w:left="439" w:hanging="722"/>
        <w:rPr>
          <w:rFonts w:ascii="仿宋_GB2312" w:hAnsi="仿宋_GB2312" w:eastAsia="仿宋_GB2312" w:cs="仿宋_GB2312"/>
          <w:color w:val="000000" w:themeColor="text1"/>
          <w:sz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 验收人：                               联系电话 ：          </w:t>
      </w:r>
    </w:p>
    <w:p w14:paraId="00C45645">
      <w:pPr>
        <w:spacing w:before="120" w:after="120" w:line="480" w:lineRule="auto"/>
        <w:ind w:left="439" w:hanging="722"/>
        <w:rPr>
          <w:rFonts w:ascii="仿宋_GB2312" w:hAnsi="仿宋_GB2312" w:eastAsia="仿宋_GB2312" w:cs="仿宋_GB2312"/>
          <w:color w:val="000000" w:themeColor="text1"/>
          <w:sz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 验收人：                               联系电话 ：           </w:t>
      </w:r>
    </w:p>
    <w:p w14:paraId="5058B19C">
      <w:pPr>
        <w:spacing w:before="120" w:after="120" w:line="480" w:lineRule="auto"/>
        <w:ind w:left="439" w:hanging="722"/>
        <w:rPr>
          <w:rFonts w:ascii="仿宋_GB2312" w:hAnsi="仿宋_GB2312" w:eastAsia="仿宋_GB2312" w:cs="仿宋_GB2312"/>
          <w:color w:val="000000" w:themeColor="text1"/>
          <w:sz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 验收人：                               联系电话 ：           </w:t>
      </w:r>
    </w:p>
    <w:p w14:paraId="072BAAA2">
      <w:pPr>
        <w:spacing w:before="120" w:after="120" w:line="480" w:lineRule="auto"/>
        <w:ind w:left="439" w:hanging="722"/>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 验收人无法联系时请致电：         </w:t>
      </w:r>
    </w:p>
    <w:p w14:paraId="515D719A">
      <w:pPr>
        <w:spacing w:before="120" w:after="120" w:line="480" w:lineRule="auto"/>
        <w:ind w:left="439" w:hanging="722"/>
        <w:rPr>
          <w:rFonts w:ascii="仿宋_GB2312" w:hAnsi="仿宋_GB2312" w:eastAsia="仿宋_GB2312" w:cs="仿宋_GB2312"/>
          <w:color w:val="000000" w:themeColor="text1"/>
          <w:sz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 项目生产经理：                         联系电话 ：            </w:t>
      </w:r>
    </w:p>
    <w:p w14:paraId="5AE56734">
      <w:pPr>
        <w:spacing w:before="120" w:after="120" w:line="480" w:lineRule="auto"/>
        <w:ind w:left="801" w:hanging="1084"/>
        <w:rPr>
          <w:rFonts w:ascii="仿宋_GB2312" w:hAnsi="仿宋_GB2312" w:eastAsia="仿宋_GB2312" w:cs="仿宋_GB2312"/>
          <w:color w:val="000000" w:themeColor="text1"/>
          <w:sz w:val="24"/>
          <w:highlight w:val="none"/>
          <w:u w:val="single"/>
          <w14:textFill>
            <w14:solidFill>
              <w14:schemeClr w14:val="tx1"/>
            </w14:solidFill>
          </w14:textFill>
        </w:rPr>
      </w:pPr>
      <w:r>
        <w:rPr>
          <w:rFonts w:hint="eastAsia" w:ascii="仿宋_GB2312" w:hAnsi="仿宋_GB2312" w:eastAsia="仿宋_GB2312" w:cs="仿宋_GB2312"/>
          <w:color w:val="000000" w:themeColor="text1"/>
          <w:spacing w:val="60"/>
          <w:sz w:val="24"/>
          <w:highlight w:val="none"/>
          <w14:textFill>
            <w14:solidFill>
              <w14:schemeClr w14:val="tx1"/>
            </w14:solidFill>
          </w14:textFill>
        </w:rPr>
        <w:t xml:space="preserve"> 项目经理</w:t>
      </w:r>
      <w:r>
        <w:rPr>
          <w:rFonts w:hint="eastAsia" w:ascii="仿宋_GB2312" w:hAnsi="仿宋_GB2312" w:eastAsia="仿宋_GB2312" w:cs="仿宋_GB2312"/>
          <w:color w:val="000000" w:themeColor="text1"/>
          <w:spacing w:val="40"/>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联系电话 ：            </w:t>
      </w:r>
    </w:p>
    <w:p w14:paraId="52382378">
      <w:pPr>
        <w:spacing w:before="120" w:after="120" w:line="480" w:lineRule="auto"/>
        <w:ind w:left="439" w:hanging="722"/>
        <w:rPr>
          <w:rFonts w:ascii="仿宋_GB2312" w:hAnsi="仿宋_GB2312" w:eastAsia="仿宋_GB2312" w:cs="仿宋_GB2312"/>
          <w:color w:val="000000" w:themeColor="text1"/>
          <w:sz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 子企业物资设备部经理：                 联系电话 ：   </w:t>
      </w:r>
      <w:permEnd w:id="110"/>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p>
    <w:p w14:paraId="4414C585">
      <w:pPr>
        <w:spacing w:before="120" w:after="120" w:line="480" w:lineRule="auto"/>
        <w:jc w:val="left"/>
        <w:rPr>
          <w:rFonts w:ascii="仿宋_GB2312" w:hAnsi="仿宋_GB2312" w:eastAsia="仿宋_GB2312" w:cs="仿宋_GB2312"/>
          <w:color w:val="000000" w:themeColor="text1"/>
          <w:sz w:val="24"/>
          <w:highlight w:val="none"/>
          <w14:textFill>
            <w14:solidFill>
              <w14:schemeClr w14:val="tx1"/>
            </w14:solidFill>
          </w14:textFill>
        </w:rPr>
      </w:pPr>
    </w:p>
    <w:p w14:paraId="55ED1C2B">
      <w:pPr>
        <w:spacing w:line="400" w:lineRule="exact"/>
        <w:ind w:firstLine="570"/>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w:t>
      </w:r>
    </w:p>
    <w:p w14:paraId="2A2B0AF9">
      <w:pPr>
        <w:spacing w:line="400" w:lineRule="exact"/>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br w:type="page"/>
      </w:r>
    </w:p>
    <w:p w14:paraId="2236EE9A">
      <w:pPr>
        <w:spacing w:line="400" w:lineRule="exact"/>
        <w:ind w:right="210" w:rightChars="100"/>
        <w:outlineLvl w:val="0"/>
        <w:rPr>
          <w:rFonts w:ascii="仿宋_GB2312" w:hAnsi="仿宋_GB2312" w:eastAsia="仿宋_GB2312" w:cs="仿宋_GB2312"/>
          <w:color w:val="000000" w:themeColor="text1"/>
          <w:sz w:val="30"/>
          <w:szCs w:val="30"/>
          <w:highlight w:val="none"/>
          <w14:textFill>
            <w14:solidFill>
              <w14:schemeClr w14:val="tx1"/>
            </w14:solidFill>
          </w14:textFill>
        </w:rPr>
      </w:pPr>
      <w:bookmarkStart w:id="57" w:name="_Toc13072"/>
      <w:bookmarkStart w:id="58" w:name="_Toc9726"/>
      <w:r>
        <w:rPr>
          <w:rFonts w:hint="eastAsia" w:ascii="仿宋_GB2312" w:hAnsi="仿宋_GB2312" w:eastAsia="仿宋_GB2312" w:cs="仿宋_GB2312"/>
          <w:color w:val="000000" w:themeColor="text1"/>
          <w:sz w:val="30"/>
          <w:szCs w:val="30"/>
          <w:highlight w:val="none"/>
          <w14:textFill>
            <w14:solidFill>
              <w14:schemeClr w14:val="tx1"/>
            </w14:solidFill>
          </w14:textFill>
        </w:rPr>
        <w:t>附件五：</w:t>
      </w:r>
      <w:bookmarkEnd w:id="57"/>
      <w:bookmarkEnd w:id="58"/>
    </w:p>
    <w:p w14:paraId="0120061F">
      <w:pPr>
        <w:spacing w:line="400" w:lineRule="exact"/>
        <w:jc w:val="center"/>
        <w:rPr>
          <w:rFonts w:ascii="仿宋_GB2312" w:hAnsi="仿宋_GB2312" w:eastAsia="仿宋_GB2312" w:cs="仿宋_GB2312"/>
          <w:color w:val="000000" w:themeColor="text1"/>
          <w:sz w:val="30"/>
          <w:szCs w:val="30"/>
          <w:highlight w:val="none"/>
          <w14:textFill>
            <w14:solidFill>
              <w14:schemeClr w14:val="tx1"/>
            </w14:solidFill>
          </w14:textFill>
        </w:rPr>
      </w:pPr>
      <w:bookmarkStart w:id="59" w:name="_Toc16461"/>
      <w:r>
        <w:rPr>
          <w:rFonts w:hint="eastAsia" w:ascii="仿宋_GB2312" w:hAnsi="仿宋_GB2312" w:eastAsia="仿宋_GB2312" w:cs="仿宋_GB2312"/>
          <w:b/>
          <w:color w:val="000000" w:themeColor="text1"/>
          <w:sz w:val="30"/>
          <w:szCs w:val="30"/>
          <w:highlight w:val="none"/>
          <w14:textFill>
            <w14:solidFill>
              <w14:schemeClr w14:val="tx1"/>
            </w14:solidFill>
          </w14:textFill>
        </w:rPr>
        <w:t>廉洁从业共建协议</w:t>
      </w:r>
      <w:bookmarkEnd w:id="59"/>
    </w:p>
    <w:p w14:paraId="76AF9201">
      <w:pPr>
        <w:spacing w:line="460" w:lineRule="exact"/>
        <w:ind w:firstLine="480" w:firstLineChars="200"/>
        <w:rPr>
          <w:rFonts w:ascii="仿宋_GB2312" w:hAnsi="宋体" w:eastAsia="仿宋_GB2312"/>
          <w:color w:val="000000" w:themeColor="text1"/>
          <w:sz w:val="24"/>
          <w:szCs w:val="24"/>
          <w:highlight w:val="none"/>
          <w14:textFill>
            <w14:solidFill>
              <w14:schemeClr w14:val="tx1"/>
            </w14:solidFill>
          </w14:textFill>
        </w:rPr>
      </w:pPr>
      <w:r>
        <w:rPr>
          <w:rFonts w:hint="eastAsia" w:ascii="仿宋_GB2312" w:hAnsi="宋体" w:eastAsia="仿宋_GB2312"/>
          <w:color w:val="000000" w:themeColor="text1"/>
          <w:sz w:val="24"/>
          <w:szCs w:val="24"/>
          <w:highlight w:val="none"/>
          <w14:textFill>
            <w14:solidFill>
              <w14:schemeClr w14:val="tx1"/>
            </w14:solidFill>
          </w14:textFill>
        </w:rPr>
        <w:t>甲方：</w:t>
      </w:r>
      <w:bookmarkStart w:id="60" w:name="_Hlk127190139"/>
      <w:permStart w:id="111" w:edGrp="everyone"/>
      <w:r>
        <w:rPr>
          <w:rFonts w:hint="eastAsia" w:ascii="仿宋_GB2312" w:hAnsi="宋体" w:eastAsia="仿宋_GB2312"/>
          <w:color w:val="000000" w:themeColor="text1"/>
          <w:sz w:val="24"/>
          <w:szCs w:val="24"/>
          <w:highlight w:val="none"/>
          <w:u w:val="single"/>
          <w14:textFill>
            <w14:solidFill>
              <w14:schemeClr w14:val="tx1"/>
            </w14:solidFill>
          </w14:textFill>
        </w:rPr>
        <w:t>中建</w:t>
      </w:r>
      <w:r>
        <w:rPr>
          <w:rFonts w:hint="eastAsia" w:ascii="仿宋_GB2312" w:hAnsi="宋体" w:eastAsia="仿宋_GB2312"/>
          <w:color w:val="000000" w:themeColor="text1"/>
          <w:sz w:val="24"/>
          <w:szCs w:val="24"/>
          <w:highlight w:val="none"/>
          <w:u w:val="single"/>
          <w:lang w:val="en-US" w:eastAsia="zh-CN"/>
          <w14:textFill>
            <w14:solidFill>
              <w14:schemeClr w14:val="tx1"/>
            </w14:solidFill>
          </w14:textFill>
        </w:rPr>
        <w:t>路桥</w:t>
      </w:r>
      <w:r>
        <w:rPr>
          <w:rFonts w:hint="eastAsia" w:ascii="仿宋_GB2312" w:hAnsi="宋体" w:eastAsia="仿宋_GB2312"/>
          <w:color w:val="000000" w:themeColor="text1"/>
          <w:sz w:val="24"/>
          <w:szCs w:val="24"/>
          <w:highlight w:val="none"/>
          <w:u w:val="single"/>
          <w14:textFill>
            <w14:solidFill>
              <w14:schemeClr w14:val="tx1"/>
            </w14:solidFill>
          </w14:textFill>
        </w:rPr>
        <w:t>集团有限公司</w:t>
      </w:r>
      <w:bookmarkEnd w:id="60"/>
      <w:r>
        <w:rPr>
          <w:rFonts w:hint="eastAsia" w:ascii="仿宋_GB2312" w:hAnsi="宋体" w:eastAsia="仿宋_GB2312"/>
          <w:color w:val="000000" w:themeColor="text1"/>
          <w:sz w:val="24"/>
          <w:szCs w:val="24"/>
          <w:highlight w:val="none"/>
          <w:u w:val="single"/>
          <w:lang w:val="en-US" w:eastAsia="zh-CN"/>
          <w14:textFill>
            <w14:solidFill>
              <w14:schemeClr w14:val="tx1"/>
            </w14:solidFill>
          </w14:textFill>
        </w:rPr>
        <w:t xml:space="preserve">桂林分公司    </w:t>
      </w:r>
      <w:permEnd w:id="111"/>
      <w:r>
        <w:rPr>
          <w:rFonts w:hint="eastAsia" w:ascii="仿宋_GB2312" w:hAnsi="宋体" w:eastAsia="仿宋_GB2312"/>
          <w:color w:val="000000" w:themeColor="text1"/>
          <w:sz w:val="24"/>
          <w:szCs w:val="24"/>
          <w:highlight w:val="none"/>
          <w:u w:val="single"/>
          <w14:textFill>
            <w14:solidFill>
              <w14:schemeClr w14:val="tx1"/>
            </w14:solidFill>
          </w14:textFill>
        </w:rPr>
        <w:t xml:space="preserve"> </w:t>
      </w:r>
    </w:p>
    <w:p w14:paraId="6013B18A">
      <w:pPr>
        <w:spacing w:line="460" w:lineRule="exact"/>
        <w:ind w:firstLine="480" w:firstLineChars="200"/>
        <w:rPr>
          <w:rFonts w:ascii="仿宋_GB2312" w:hAnsi="宋体" w:eastAsia="仿宋_GB2312"/>
          <w:color w:val="000000" w:themeColor="text1"/>
          <w:sz w:val="24"/>
          <w:szCs w:val="24"/>
          <w:highlight w:val="none"/>
          <w14:textFill>
            <w14:solidFill>
              <w14:schemeClr w14:val="tx1"/>
            </w14:solidFill>
          </w14:textFill>
        </w:rPr>
      </w:pPr>
      <w:r>
        <w:rPr>
          <w:rFonts w:hint="eastAsia" w:ascii="仿宋_GB2312" w:hAnsi="宋体" w:eastAsia="仿宋_GB2312"/>
          <w:color w:val="000000" w:themeColor="text1"/>
          <w:sz w:val="24"/>
          <w:szCs w:val="24"/>
          <w:highlight w:val="none"/>
          <w14:textFill>
            <w14:solidFill>
              <w14:schemeClr w14:val="tx1"/>
            </w14:solidFill>
          </w14:textFill>
        </w:rPr>
        <w:t>乙方：</w:t>
      </w:r>
      <w:permStart w:id="112" w:edGrp="everyone"/>
      <w:r>
        <w:rPr>
          <w:rFonts w:hint="eastAsia" w:ascii="仿宋_GB2312" w:hAnsi="宋体" w:eastAsia="仿宋_GB2312"/>
          <w:color w:val="000000" w:themeColor="text1"/>
          <w:sz w:val="24"/>
          <w:szCs w:val="24"/>
          <w:highlight w:val="none"/>
          <w:u w:val="single"/>
          <w14:textFill>
            <w14:solidFill>
              <w14:schemeClr w14:val="tx1"/>
            </w14:solidFill>
          </w14:textFill>
        </w:rPr>
        <w:t xml:space="preserve">            </w:t>
      </w:r>
      <w:r>
        <w:rPr>
          <w:rFonts w:ascii="仿宋_GB2312" w:hAnsi="宋体" w:eastAsia="仿宋_GB2312"/>
          <w:color w:val="000000" w:themeColor="text1"/>
          <w:sz w:val="24"/>
          <w:szCs w:val="24"/>
          <w:highlight w:val="none"/>
          <w:u w:val="single"/>
          <w14:textFill>
            <w14:solidFill>
              <w14:schemeClr w14:val="tx1"/>
            </w14:solidFill>
          </w14:textFill>
        </w:rPr>
        <w:t xml:space="preserve">    </w:t>
      </w:r>
      <w:r>
        <w:rPr>
          <w:rFonts w:hint="eastAsia" w:ascii="仿宋_GB2312" w:hAnsi="宋体" w:eastAsia="仿宋_GB2312"/>
          <w:color w:val="000000" w:themeColor="text1"/>
          <w:sz w:val="24"/>
          <w:szCs w:val="24"/>
          <w:highlight w:val="none"/>
          <w:u w:val="single"/>
          <w14:textFill>
            <w14:solidFill>
              <w14:schemeClr w14:val="tx1"/>
            </w14:solidFill>
          </w14:textFill>
        </w:rPr>
        <w:t xml:space="preserve">        </w:t>
      </w:r>
      <w:permEnd w:id="112"/>
      <w:r>
        <w:rPr>
          <w:rFonts w:hint="eastAsia" w:ascii="仿宋_GB2312" w:hAnsi="宋体" w:eastAsia="仿宋_GB2312"/>
          <w:color w:val="000000" w:themeColor="text1"/>
          <w:sz w:val="24"/>
          <w:szCs w:val="24"/>
          <w:highlight w:val="none"/>
          <w:u w:val="single"/>
          <w14:textFill>
            <w14:solidFill>
              <w14:schemeClr w14:val="tx1"/>
            </w14:solidFill>
          </w14:textFill>
        </w:rPr>
        <w:t xml:space="preserve"> </w:t>
      </w:r>
    </w:p>
    <w:p w14:paraId="39D033C3">
      <w:pPr>
        <w:widowControl/>
        <w:spacing w:line="400" w:lineRule="exact"/>
        <w:ind w:firstLine="480" w:firstLineChars="200"/>
        <w:rPr>
          <w:rFonts w:ascii="仿宋_GB2312" w:hAnsi="宋体" w:eastAsia="仿宋_GB2312" w:cs="宋体"/>
          <w:color w:val="000000" w:themeColor="text1"/>
          <w:kern w:val="0"/>
          <w:sz w:val="24"/>
          <w:szCs w:val="24"/>
          <w:highlight w:val="none"/>
          <w14:textFill>
            <w14:solidFill>
              <w14:schemeClr w14:val="tx1"/>
            </w14:solidFill>
          </w14:textFill>
        </w:rPr>
      </w:pPr>
      <w:r>
        <w:rPr>
          <w:rFonts w:hint="eastAsia" w:ascii="仿宋_GB2312" w:hAnsi="宋体" w:eastAsia="仿宋_GB2312" w:cs="宋体"/>
          <w:color w:val="000000" w:themeColor="text1"/>
          <w:kern w:val="0"/>
          <w:sz w:val="24"/>
          <w:szCs w:val="24"/>
          <w:highlight w:val="none"/>
          <w14:textFill>
            <w14:solidFill>
              <w14:schemeClr w14:val="tx1"/>
            </w14:solidFill>
          </w14:textFill>
        </w:rPr>
        <w:t>为加强建设工程廉政建设，规范建设工程各项活动中甲方、乙方双方的行为，防止谋取不正当利益的违法违纪现象的发生，保护国家、集体和当事人的合法权益，根据国家有关工程建设的法律法规和廉政建设的有关规定，订立本廉政责任书。</w:t>
      </w:r>
    </w:p>
    <w:p w14:paraId="6AD5AEAF">
      <w:pPr>
        <w:widowControl/>
        <w:spacing w:line="400" w:lineRule="exact"/>
        <w:ind w:firstLine="480" w:firstLineChars="200"/>
        <w:rPr>
          <w:rFonts w:ascii="仿宋_GB2312" w:hAnsi="宋体" w:eastAsia="仿宋_GB2312" w:cs="宋体"/>
          <w:color w:val="000000" w:themeColor="text1"/>
          <w:kern w:val="0"/>
          <w:sz w:val="24"/>
          <w:szCs w:val="24"/>
          <w:highlight w:val="none"/>
          <w14:textFill>
            <w14:solidFill>
              <w14:schemeClr w14:val="tx1"/>
            </w14:solidFill>
          </w14:textFill>
        </w:rPr>
      </w:pPr>
      <w:bookmarkStart w:id="61" w:name="_Toc300671949"/>
      <w:r>
        <w:rPr>
          <w:rFonts w:hint="eastAsia" w:ascii="仿宋_GB2312" w:hAnsi="宋体" w:eastAsia="仿宋_GB2312" w:cs="宋体"/>
          <w:color w:val="000000" w:themeColor="text1"/>
          <w:kern w:val="0"/>
          <w:sz w:val="24"/>
          <w:szCs w:val="24"/>
          <w:highlight w:val="none"/>
          <w14:textFill>
            <w14:solidFill>
              <w14:schemeClr w14:val="tx1"/>
            </w14:solidFill>
          </w14:textFill>
        </w:rPr>
        <w:t>一、双方的责任</w:t>
      </w:r>
      <w:bookmarkEnd w:id="61"/>
    </w:p>
    <w:p w14:paraId="36E7497C">
      <w:pPr>
        <w:widowControl/>
        <w:spacing w:line="400" w:lineRule="exact"/>
        <w:ind w:firstLine="480" w:firstLineChars="200"/>
        <w:rPr>
          <w:rFonts w:ascii="仿宋_GB2312" w:hAnsi="宋体" w:eastAsia="仿宋_GB2312" w:cs="宋体"/>
          <w:color w:val="000000" w:themeColor="text1"/>
          <w:kern w:val="0"/>
          <w:sz w:val="24"/>
          <w:szCs w:val="24"/>
          <w:highlight w:val="none"/>
          <w14:textFill>
            <w14:solidFill>
              <w14:schemeClr w14:val="tx1"/>
            </w14:solidFill>
          </w14:textFill>
        </w:rPr>
      </w:pPr>
      <w:r>
        <w:rPr>
          <w:rFonts w:hint="eastAsia" w:ascii="仿宋_GB2312" w:hAnsi="宋体" w:eastAsia="仿宋_GB2312" w:cs="宋体"/>
          <w:color w:val="000000" w:themeColor="text1"/>
          <w:kern w:val="0"/>
          <w:sz w:val="24"/>
          <w:szCs w:val="24"/>
          <w:highlight w:val="none"/>
          <w14:textFill>
            <w14:solidFill>
              <w14:schemeClr w14:val="tx1"/>
            </w14:solidFill>
          </w14:textFill>
        </w:rPr>
        <w:t>1.1应严格遵守国家关于建设工程的有关法律、法规，相关政策，以及廉政建设的各项规定。</w:t>
      </w:r>
    </w:p>
    <w:p w14:paraId="33F0FB08">
      <w:pPr>
        <w:widowControl/>
        <w:spacing w:line="400" w:lineRule="exact"/>
        <w:ind w:firstLine="480" w:firstLineChars="200"/>
        <w:rPr>
          <w:rFonts w:ascii="仿宋_GB2312" w:hAnsi="宋体" w:eastAsia="仿宋_GB2312" w:cs="宋体"/>
          <w:color w:val="000000" w:themeColor="text1"/>
          <w:kern w:val="0"/>
          <w:sz w:val="24"/>
          <w:szCs w:val="24"/>
          <w:highlight w:val="none"/>
          <w14:textFill>
            <w14:solidFill>
              <w14:schemeClr w14:val="tx1"/>
            </w14:solidFill>
          </w14:textFill>
        </w:rPr>
      </w:pPr>
      <w:r>
        <w:rPr>
          <w:rFonts w:hint="eastAsia" w:ascii="仿宋_GB2312" w:hAnsi="宋体" w:eastAsia="仿宋_GB2312" w:cs="宋体"/>
          <w:color w:val="000000" w:themeColor="text1"/>
          <w:kern w:val="0"/>
          <w:sz w:val="24"/>
          <w:szCs w:val="24"/>
          <w:highlight w:val="none"/>
          <w14:textFill>
            <w14:solidFill>
              <w14:schemeClr w14:val="tx1"/>
            </w14:solidFill>
          </w14:textFill>
        </w:rPr>
        <w:t>1.2严格执行建设工程合同文件，自觉按合同办事。</w:t>
      </w:r>
    </w:p>
    <w:p w14:paraId="3E6124BE">
      <w:pPr>
        <w:widowControl/>
        <w:spacing w:line="400" w:lineRule="exact"/>
        <w:ind w:firstLine="480" w:firstLineChars="200"/>
        <w:rPr>
          <w:rFonts w:ascii="仿宋_GB2312" w:hAnsi="宋体" w:eastAsia="仿宋_GB2312" w:cs="宋体"/>
          <w:color w:val="000000" w:themeColor="text1"/>
          <w:kern w:val="0"/>
          <w:sz w:val="24"/>
          <w:szCs w:val="24"/>
          <w:highlight w:val="none"/>
          <w14:textFill>
            <w14:solidFill>
              <w14:schemeClr w14:val="tx1"/>
            </w14:solidFill>
          </w14:textFill>
        </w:rPr>
      </w:pPr>
      <w:r>
        <w:rPr>
          <w:rFonts w:hint="eastAsia" w:ascii="仿宋_GB2312" w:hAnsi="宋体" w:eastAsia="仿宋_GB2312" w:cs="宋体"/>
          <w:color w:val="000000" w:themeColor="text1"/>
          <w:kern w:val="0"/>
          <w:sz w:val="24"/>
          <w:szCs w:val="24"/>
          <w:highlight w:val="none"/>
          <w14:textFill>
            <w14:solidFill>
              <w14:schemeClr w14:val="tx1"/>
            </w14:solidFill>
          </w14:textFill>
        </w:rPr>
        <w:t>1.3各项活动必须坚持公开、公平、公正、诚信、透明的原则(除法律法规另有规定者外)，不得为获取不正当的利益，损害国家、集体和对方利益，不得违反建设工程管理的规章制度。</w:t>
      </w:r>
    </w:p>
    <w:p w14:paraId="3963134B">
      <w:pPr>
        <w:widowControl/>
        <w:spacing w:line="400" w:lineRule="exact"/>
        <w:ind w:firstLine="480" w:firstLineChars="200"/>
        <w:rPr>
          <w:rFonts w:ascii="仿宋_GB2312" w:hAnsi="宋体" w:eastAsia="仿宋_GB2312" w:cs="宋体"/>
          <w:color w:val="000000" w:themeColor="text1"/>
          <w:kern w:val="0"/>
          <w:sz w:val="24"/>
          <w:szCs w:val="24"/>
          <w:highlight w:val="none"/>
          <w14:textFill>
            <w14:solidFill>
              <w14:schemeClr w14:val="tx1"/>
            </w14:solidFill>
          </w14:textFill>
        </w:rPr>
      </w:pPr>
      <w:bookmarkStart w:id="62" w:name="_Hlk127535665"/>
      <w:r>
        <w:rPr>
          <w:rFonts w:hint="eastAsia" w:ascii="仿宋_GB2312" w:hAnsi="宋体" w:eastAsia="仿宋_GB2312" w:cs="宋体"/>
          <w:color w:val="000000" w:themeColor="text1"/>
          <w:kern w:val="0"/>
          <w:sz w:val="24"/>
          <w:szCs w:val="24"/>
          <w:highlight w:val="none"/>
          <w14:textFill>
            <w14:solidFill>
              <w14:schemeClr w14:val="tx1"/>
            </w14:solidFill>
          </w14:textFill>
        </w:rPr>
        <w:t>1.4发现双方在业务活动中有违规、违纪、违法行为的，应及时提醒对方，情节严重的，如实进行举报，一经查实，严肃处理。</w:t>
      </w:r>
    </w:p>
    <w:bookmarkEnd w:id="62"/>
    <w:p w14:paraId="6F3272D4">
      <w:pPr>
        <w:widowControl/>
        <w:spacing w:line="400" w:lineRule="exact"/>
        <w:ind w:firstLine="480" w:firstLineChars="200"/>
        <w:rPr>
          <w:rFonts w:ascii="仿宋_GB2312" w:hAnsi="宋体" w:eastAsia="仿宋_GB2312" w:cs="宋体"/>
          <w:color w:val="000000" w:themeColor="text1"/>
          <w:kern w:val="0"/>
          <w:sz w:val="24"/>
          <w:szCs w:val="24"/>
          <w:highlight w:val="none"/>
          <w14:textFill>
            <w14:solidFill>
              <w14:schemeClr w14:val="tx1"/>
            </w14:solidFill>
          </w14:textFill>
        </w:rPr>
      </w:pPr>
      <w:bookmarkStart w:id="63" w:name="_Toc300671950"/>
      <w:r>
        <w:rPr>
          <w:rFonts w:hint="eastAsia" w:ascii="仿宋_GB2312" w:hAnsi="宋体" w:eastAsia="仿宋_GB2312" w:cs="宋体"/>
          <w:color w:val="000000" w:themeColor="text1"/>
          <w:kern w:val="0"/>
          <w:sz w:val="24"/>
          <w:szCs w:val="24"/>
          <w:highlight w:val="none"/>
          <w14:textFill>
            <w14:solidFill>
              <w14:schemeClr w14:val="tx1"/>
            </w14:solidFill>
          </w14:textFill>
        </w:rPr>
        <w:t>二、甲方责任</w:t>
      </w:r>
      <w:bookmarkEnd w:id="63"/>
    </w:p>
    <w:p w14:paraId="2E616BCE">
      <w:pPr>
        <w:widowControl/>
        <w:spacing w:line="400" w:lineRule="exact"/>
        <w:ind w:firstLine="480" w:firstLineChars="200"/>
        <w:rPr>
          <w:rFonts w:ascii="仿宋_GB2312" w:hAnsi="宋体" w:eastAsia="仿宋_GB2312" w:cs="宋体"/>
          <w:color w:val="000000" w:themeColor="text1"/>
          <w:kern w:val="0"/>
          <w:sz w:val="24"/>
          <w:szCs w:val="24"/>
          <w:highlight w:val="none"/>
          <w14:textFill>
            <w14:solidFill>
              <w14:schemeClr w14:val="tx1"/>
            </w14:solidFill>
          </w14:textFill>
        </w:rPr>
      </w:pPr>
      <w:r>
        <w:rPr>
          <w:rFonts w:hint="eastAsia" w:ascii="仿宋_GB2312" w:hAnsi="宋体" w:eastAsia="仿宋_GB2312" w:cs="宋体"/>
          <w:color w:val="000000" w:themeColor="text1"/>
          <w:kern w:val="0"/>
          <w:sz w:val="24"/>
          <w:szCs w:val="24"/>
          <w:highlight w:val="none"/>
          <w14:textFill>
            <w14:solidFill>
              <w14:schemeClr w14:val="tx1"/>
            </w14:solidFill>
          </w14:textFill>
        </w:rPr>
        <w:t>甲方相关人员和从事该建设工程项目的工作人员，在工程建设的事前、事中、事后应遵守以下规定：</w:t>
      </w:r>
    </w:p>
    <w:p w14:paraId="0D6162E6">
      <w:pPr>
        <w:widowControl/>
        <w:spacing w:line="400" w:lineRule="exact"/>
        <w:ind w:firstLine="480" w:firstLineChars="200"/>
        <w:rPr>
          <w:rFonts w:ascii="仿宋_GB2312" w:hAnsi="宋体" w:eastAsia="仿宋_GB2312" w:cs="宋体"/>
          <w:color w:val="000000" w:themeColor="text1"/>
          <w:kern w:val="0"/>
          <w:sz w:val="24"/>
          <w:szCs w:val="24"/>
          <w:highlight w:val="none"/>
          <w14:textFill>
            <w14:solidFill>
              <w14:schemeClr w14:val="tx1"/>
            </w14:solidFill>
          </w14:textFill>
        </w:rPr>
      </w:pPr>
      <w:r>
        <w:rPr>
          <w:rFonts w:hint="eastAsia" w:ascii="仿宋_GB2312" w:hAnsi="宋体" w:eastAsia="仿宋_GB2312" w:cs="宋体"/>
          <w:color w:val="000000" w:themeColor="text1"/>
          <w:kern w:val="0"/>
          <w:sz w:val="24"/>
          <w:szCs w:val="24"/>
          <w:highlight w:val="none"/>
          <w14:textFill>
            <w14:solidFill>
              <w14:schemeClr w14:val="tx1"/>
            </w14:solidFill>
          </w14:textFill>
        </w:rPr>
        <w:t>2.1按照甲方的</w:t>
      </w:r>
      <w:r>
        <w:rPr>
          <w:rFonts w:hint="eastAsia" w:ascii="仿宋_GB2312" w:hAnsi="宋体" w:eastAsia="仿宋_GB2312" w:cs="宋体"/>
          <w:color w:val="000000" w:themeColor="text1"/>
          <w:kern w:val="0"/>
          <w:sz w:val="24"/>
          <w:szCs w:val="24"/>
          <w:highlight w:val="none"/>
          <w:lang w:val="en-US" w:eastAsia="zh-CN"/>
          <w14:textFill>
            <w14:solidFill>
              <w14:schemeClr w14:val="tx1"/>
            </w14:solidFill>
          </w14:textFill>
        </w:rPr>
        <w:t>采购</w:t>
      </w:r>
      <w:r>
        <w:rPr>
          <w:rFonts w:hint="eastAsia" w:ascii="仿宋_GB2312" w:hAnsi="宋体" w:eastAsia="仿宋_GB2312" w:cs="宋体"/>
          <w:color w:val="000000" w:themeColor="text1"/>
          <w:kern w:val="0"/>
          <w:sz w:val="24"/>
          <w:szCs w:val="24"/>
          <w:highlight w:val="none"/>
          <w14:textFill>
            <w14:solidFill>
              <w14:schemeClr w14:val="tx1"/>
            </w14:solidFill>
          </w14:textFill>
        </w:rPr>
        <w:t>程序确定供应商，确保公正、公平对待所有合作方；不得在</w:t>
      </w:r>
      <w:r>
        <w:rPr>
          <w:rFonts w:hint="eastAsia" w:ascii="仿宋_GB2312" w:hAnsi="宋体" w:eastAsia="仿宋_GB2312" w:cs="宋体"/>
          <w:color w:val="000000" w:themeColor="text1"/>
          <w:kern w:val="0"/>
          <w:sz w:val="24"/>
          <w:szCs w:val="24"/>
          <w:highlight w:val="none"/>
          <w:lang w:val="en-US" w:eastAsia="zh-CN"/>
          <w14:textFill>
            <w14:solidFill>
              <w14:schemeClr w14:val="tx1"/>
            </w14:solidFill>
          </w14:textFill>
        </w:rPr>
        <w:t>采购</w:t>
      </w:r>
      <w:r>
        <w:rPr>
          <w:rFonts w:hint="eastAsia" w:ascii="仿宋_GB2312" w:hAnsi="宋体" w:eastAsia="仿宋_GB2312" w:cs="宋体"/>
          <w:color w:val="000000" w:themeColor="text1"/>
          <w:kern w:val="0"/>
          <w:sz w:val="24"/>
          <w:szCs w:val="24"/>
          <w:highlight w:val="none"/>
          <w14:textFill>
            <w14:solidFill>
              <w14:schemeClr w14:val="tx1"/>
            </w14:solidFill>
          </w14:textFill>
        </w:rPr>
        <w:t>文件中有针对性地故意设定条件，以不公正的方法确定供应商；</w:t>
      </w:r>
    </w:p>
    <w:p w14:paraId="67EBED0F">
      <w:pPr>
        <w:widowControl/>
        <w:spacing w:line="400" w:lineRule="exact"/>
        <w:ind w:firstLine="480" w:firstLineChars="200"/>
        <w:rPr>
          <w:rFonts w:ascii="仿宋_GB2312" w:hAnsi="宋体" w:eastAsia="仿宋_GB2312" w:cs="宋体"/>
          <w:color w:val="000000" w:themeColor="text1"/>
          <w:kern w:val="0"/>
          <w:sz w:val="24"/>
          <w:szCs w:val="24"/>
          <w:highlight w:val="none"/>
          <w14:textFill>
            <w14:solidFill>
              <w14:schemeClr w14:val="tx1"/>
            </w14:solidFill>
          </w14:textFill>
        </w:rPr>
      </w:pPr>
      <w:r>
        <w:rPr>
          <w:rFonts w:hint="eastAsia" w:ascii="仿宋_GB2312" w:hAnsi="宋体" w:eastAsia="仿宋_GB2312" w:cs="宋体"/>
          <w:color w:val="000000" w:themeColor="text1"/>
          <w:kern w:val="0"/>
          <w:sz w:val="24"/>
          <w:szCs w:val="24"/>
          <w:highlight w:val="none"/>
          <w14:textFill>
            <w14:solidFill>
              <w14:schemeClr w14:val="tx1"/>
            </w14:solidFill>
          </w14:textFill>
        </w:rPr>
        <w:t>2.2</w:t>
      </w:r>
      <w:r>
        <w:rPr>
          <w:rFonts w:hint="eastAsia" w:ascii="仿宋_GB2312" w:hAnsi="宋体" w:eastAsia="仿宋_GB2312"/>
          <w:color w:val="000000" w:themeColor="text1"/>
          <w:sz w:val="24"/>
          <w:szCs w:val="24"/>
          <w:highlight w:val="none"/>
          <w14:textFill>
            <w14:solidFill>
              <w14:schemeClr w14:val="tx1"/>
            </w14:solidFill>
          </w14:textFill>
        </w:rPr>
        <w:t>按照甲方的项目管理流程办理乙方的各项业务（现场签证、验收、结算、付款等），对乙方员工的吃拿卡要行为坚决制止，如甲方员工出现上述情况以索贿论；</w:t>
      </w:r>
    </w:p>
    <w:p w14:paraId="4CD022A6">
      <w:pPr>
        <w:widowControl/>
        <w:spacing w:line="400" w:lineRule="exact"/>
        <w:ind w:firstLine="480" w:firstLineChars="200"/>
        <w:rPr>
          <w:rFonts w:ascii="仿宋_GB2312" w:hAnsi="宋体" w:eastAsia="仿宋_GB2312"/>
          <w:color w:val="000000" w:themeColor="text1"/>
          <w:sz w:val="24"/>
          <w:szCs w:val="24"/>
          <w:highlight w:val="none"/>
          <w14:textFill>
            <w14:solidFill>
              <w14:schemeClr w14:val="tx1"/>
            </w14:solidFill>
          </w14:textFill>
        </w:rPr>
      </w:pPr>
      <w:r>
        <w:rPr>
          <w:rFonts w:hint="eastAsia" w:ascii="仿宋_GB2312" w:hAnsi="宋体" w:eastAsia="仿宋_GB2312" w:cs="宋体"/>
          <w:color w:val="000000" w:themeColor="text1"/>
          <w:kern w:val="0"/>
          <w:sz w:val="24"/>
          <w:szCs w:val="24"/>
          <w:highlight w:val="none"/>
          <w14:textFill>
            <w14:solidFill>
              <w14:schemeClr w14:val="tx1"/>
            </w14:solidFill>
          </w14:textFill>
        </w:rPr>
        <w:t>2.3</w:t>
      </w:r>
      <w:r>
        <w:rPr>
          <w:rFonts w:hint="eastAsia" w:ascii="仿宋_GB2312" w:hAnsi="宋体" w:eastAsia="仿宋_GB2312"/>
          <w:color w:val="000000" w:themeColor="text1"/>
          <w:sz w:val="24"/>
          <w:szCs w:val="24"/>
          <w:highlight w:val="none"/>
          <w14:textFill>
            <w14:solidFill>
              <w14:schemeClr w14:val="tx1"/>
            </w14:solidFill>
          </w14:textFill>
        </w:rPr>
        <w:t>不安排己方员工的亲友在乙方工作；</w:t>
      </w:r>
    </w:p>
    <w:p w14:paraId="1F5CC345">
      <w:pPr>
        <w:widowControl/>
        <w:spacing w:line="400" w:lineRule="exact"/>
        <w:ind w:firstLine="480" w:firstLineChars="200"/>
        <w:rPr>
          <w:color w:val="000000" w:themeColor="text1"/>
          <w:sz w:val="24"/>
          <w:szCs w:val="24"/>
          <w:highlight w:val="none"/>
          <w14:textFill>
            <w14:solidFill>
              <w14:schemeClr w14:val="tx1"/>
            </w14:solidFill>
          </w14:textFill>
        </w:rPr>
      </w:pPr>
      <w:r>
        <w:rPr>
          <w:rFonts w:hint="eastAsia" w:ascii="仿宋_GB2312" w:hAnsi="宋体" w:eastAsia="仿宋_GB2312" w:cs="宋体"/>
          <w:color w:val="000000" w:themeColor="text1"/>
          <w:kern w:val="0"/>
          <w:sz w:val="24"/>
          <w:szCs w:val="24"/>
          <w:highlight w:val="none"/>
          <w14:textFill>
            <w14:solidFill>
              <w14:schemeClr w14:val="tx1"/>
            </w14:solidFill>
          </w14:textFill>
        </w:rPr>
        <w:t>2.4</w:t>
      </w:r>
      <w:r>
        <w:rPr>
          <w:rFonts w:hint="eastAsia" w:ascii="仿宋_GB2312" w:hAnsi="宋体" w:eastAsia="仿宋_GB2312"/>
          <w:color w:val="000000" w:themeColor="text1"/>
          <w:sz w:val="24"/>
          <w:szCs w:val="24"/>
          <w:highlight w:val="none"/>
          <w14:textFill>
            <w14:solidFill>
              <w14:schemeClr w14:val="tx1"/>
            </w14:solidFill>
          </w14:textFill>
        </w:rPr>
        <w:t>不得以任何理由向乙方推荐分包单位，不得要求乙方购买合同规定外的材料和设备；</w:t>
      </w:r>
    </w:p>
    <w:p w14:paraId="579C82EA">
      <w:pPr>
        <w:widowControl/>
        <w:spacing w:line="400" w:lineRule="exact"/>
        <w:ind w:firstLine="480" w:firstLineChars="200"/>
        <w:rPr>
          <w:rFonts w:ascii="仿宋_GB2312" w:hAnsi="宋体" w:eastAsia="仿宋_GB2312" w:cs="宋体"/>
          <w:color w:val="000000" w:themeColor="text1"/>
          <w:kern w:val="0"/>
          <w:sz w:val="24"/>
          <w:szCs w:val="24"/>
          <w:highlight w:val="none"/>
          <w14:textFill>
            <w14:solidFill>
              <w14:schemeClr w14:val="tx1"/>
            </w14:solidFill>
          </w14:textFill>
        </w:rPr>
      </w:pPr>
      <w:r>
        <w:rPr>
          <w:rFonts w:hint="eastAsia" w:ascii="仿宋_GB2312" w:hAnsi="宋体" w:eastAsia="仿宋_GB2312" w:cs="宋体"/>
          <w:color w:val="000000" w:themeColor="text1"/>
          <w:kern w:val="0"/>
          <w:sz w:val="24"/>
          <w:szCs w:val="24"/>
          <w:highlight w:val="none"/>
          <w14:textFill>
            <w14:solidFill>
              <w14:schemeClr w14:val="tx1"/>
            </w14:solidFill>
          </w14:textFill>
        </w:rPr>
        <w:t>2.5不得向乙方和相关单位索要或接受回扣、礼金、有价证券、贵重物品和好处费、感谢费等。</w:t>
      </w:r>
    </w:p>
    <w:p w14:paraId="321A39FC">
      <w:pPr>
        <w:widowControl/>
        <w:spacing w:line="400" w:lineRule="exact"/>
        <w:ind w:firstLine="480" w:firstLineChars="200"/>
        <w:rPr>
          <w:rFonts w:ascii="仿宋_GB2312" w:hAnsi="宋体" w:eastAsia="仿宋_GB2312" w:cs="宋体"/>
          <w:color w:val="000000" w:themeColor="text1"/>
          <w:kern w:val="0"/>
          <w:sz w:val="24"/>
          <w:szCs w:val="24"/>
          <w:highlight w:val="none"/>
          <w14:textFill>
            <w14:solidFill>
              <w14:schemeClr w14:val="tx1"/>
            </w14:solidFill>
          </w14:textFill>
        </w:rPr>
      </w:pPr>
      <w:r>
        <w:rPr>
          <w:rFonts w:hint="eastAsia" w:ascii="仿宋_GB2312" w:hAnsi="宋体" w:eastAsia="仿宋_GB2312" w:cs="宋体"/>
          <w:color w:val="000000" w:themeColor="text1"/>
          <w:kern w:val="0"/>
          <w:sz w:val="24"/>
          <w:szCs w:val="24"/>
          <w:highlight w:val="none"/>
          <w14:textFill>
            <w14:solidFill>
              <w14:schemeClr w14:val="tx1"/>
            </w14:solidFill>
          </w14:textFill>
        </w:rPr>
        <w:t>2.6不得在乙方和相关单位报销任何应由业主方或个人支付的费用。</w:t>
      </w:r>
    </w:p>
    <w:p w14:paraId="75C7EE52">
      <w:pPr>
        <w:widowControl/>
        <w:spacing w:line="400" w:lineRule="exact"/>
        <w:ind w:firstLine="480" w:firstLineChars="200"/>
        <w:rPr>
          <w:rFonts w:ascii="仿宋_GB2312" w:hAnsi="宋体" w:eastAsia="仿宋_GB2312" w:cs="宋体"/>
          <w:color w:val="000000" w:themeColor="text1"/>
          <w:kern w:val="0"/>
          <w:sz w:val="24"/>
          <w:szCs w:val="24"/>
          <w:highlight w:val="none"/>
          <w14:textFill>
            <w14:solidFill>
              <w14:schemeClr w14:val="tx1"/>
            </w14:solidFill>
          </w14:textFill>
        </w:rPr>
      </w:pPr>
      <w:r>
        <w:rPr>
          <w:rFonts w:hint="eastAsia" w:ascii="仿宋_GB2312" w:hAnsi="宋体" w:eastAsia="仿宋_GB2312" w:cs="宋体"/>
          <w:color w:val="000000" w:themeColor="text1"/>
          <w:kern w:val="0"/>
          <w:sz w:val="24"/>
          <w:szCs w:val="24"/>
          <w:highlight w:val="none"/>
          <w14:textFill>
            <w14:solidFill>
              <w14:schemeClr w14:val="tx1"/>
            </w14:solidFill>
          </w14:textFill>
        </w:rPr>
        <w:t>2.7不得要求、暗示或接受乙方和相关单位为个人装修住房、婚丧嫁娶、配偶子女的工作安排以及出国(境)、旅游等提供方便。</w:t>
      </w:r>
    </w:p>
    <w:p w14:paraId="357464F8">
      <w:pPr>
        <w:widowControl/>
        <w:spacing w:line="400" w:lineRule="exact"/>
        <w:ind w:firstLine="480" w:firstLineChars="200"/>
        <w:rPr>
          <w:rFonts w:ascii="仿宋_GB2312" w:hAnsi="宋体" w:eastAsia="仿宋_GB2312" w:cs="宋体"/>
          <w:color w:val="000000" w:themeColor="text1"/>
          <w:kern w:val="0"/>
          <w:sz w:val="24"/>
          <w:szCs w:val="24"/>
          <w:highlight w:val="none"/>
          <w14:textFill>
            <w14:solidFill>
              <w14:schemeClr w14:val="tx1"/>
            </w14:solidFill>
          </w14:textFill>
        </w:rPr>
      </w:pPr>
      <w:r>
        <w:rPr>
          <w:rFonts w:hint="eastAsia" w:ascii="仿宋_GB2312" w:hAnsi="宋体" w:eastAsia="仿宋_GB2312" w:cs="宋体"/>
          <w:color w:val="000000" w:themeColor="text1"/>
          <w:kern w:val="0"/>
          <w:sz w:val="24"/>
          <w:szCs w:val="24"/>
          <w:highlight w:val="none"/>
          <w14:textFill>
            <w14:solidFill>
              <w14:schemeClr w14:val="tx1"/>
            </w14:solidFill>
          </w14:textFill>
        </w:rPr>
        <w:t>2.8不得参加有可能影响公正执行公务的乙方和相关单位的宴请、健身、娱乐等活动。</w:t>
      </w:r>
    </w:p>
    <w:p w14:paraId="72075F17">
      <w:pPr>
        <w:widowControl/>
        <w:spacing w:line="400" w:lineRule="exact"/>
        <w:ind w:firstLine="480" w:firstLineChars="200"/>
        <w:rPr>
          <w:rFonts w:ascii="仿宋_GB2312" w:hAnsi="宋体" w:eastAsia="仿宋_GB2312" w:cs="宋体"/>
          <w:color w:val="000000" w:themeColor="text1"/>
          <w:kern w:val="0"/>
          <w:sz w:val="24"/>
          <w:szCs w:val="24"/>
          <w:highlight w:val="none"/>
          <w14:textFill>
            <w14:solidFill>
              <w14:schemeClr w14:val="tx1"/>
            </w14:solidFill>
          </w14:textFill>
        </w:rPr>
      </w:pPr>
      <w:bookmarkStart w:id="64" w:name="_Toc300671951"/>
      <w:r>
        <w:rPr>
          <w:rFonts w:hint="eastAsia" w:ascii="仿宋_GB2312" w:hAnsi="宋体" w:eastAsia="仿宋_GB2312" w:cs="宋体"/>
          <w:color w:val="000000" w:themeColor="text1"/>
          <w:kern w:val="0"/>
          <w:sz w:val="24"/>
          <w:szCs w:val="24"/>
          <w:highlight w:val="none"/>
          <w14:textFill>
            <w14:solidFill>
              <w14:schemeClr w14:val="tx1"/>
            </w14:solidFill>
          </w14:textFill>
        </w:rPr>
        <w:t>三、乙方责任</w:t>
      </w:r>
      <w:bookmarkEnd w:id="64"/>
    </w:p>
    <w:p w14:paraId="0A0EC484">
      <w:pPr>
        <w:widowControl/>
        <w:spacing w:line="400" w:lineRule="exact"/>
        <w:ind w:firstLine="480" w:firstLineChars="200"/>
        <w:rPr>
          <w:rFonts w:ascii="仿宋_GB2312" w:hAnsi="宋体" w:eastAsia="仿宋_GB2312" w:cs="宋体"/>
          <w:color w:val="000000" w:themeColor="text1"/>
          <w:kern w:val="0"/>
          <w:sz w:val="24"/>
          <w:szCs w:val="24"/>
          <w:highlight w:val="none"/>
          <w14:textFill>
            <w14:solidFill>
              <w14:schemeClr w14:val="tx1"/>
            </w14:solidFill>
          </w14:textFill>
        </w:rPr>
      </w:pPr>
      <w:r>
        <w:rPr>
          <w:rFonts w:hint="eastAsia" w:ascii="仿宋_GB2312" w:hAnsi="宋体" w:eastAsia="仿宋_GB2312" w:cs="宋体"/>
          <w:color w:val="000000" w:themeColor="text1"/>
          <w:kern w:val="0"/>
          <w:sz w:val="24"/>
          <w:szCs w:val="24"/>
          <w:highlight w:val="none"/>
          <w14:textFill>
            <w14:solidFill>
              <w14:schemeClr w14:val="tx1"/>
            </w14:solidFill>
          </w14:textFill>
        </w:rPr>
        <w:t>应与甲方保持正常的业务交往，按照有关法律法规和程序开展业务工作，严格执行工程建设的有关方针、政策，执行工程建设强制性标准，并遵守以下规定：</w:t>
      </w:r>
    </w:p>
    <w:p w14:paraId="47604ED4">
      <w:pPr>
        <w:spacing w:line="400" w:lineRule="exact"/>
        <w:ind w:firstLine="480" w:firstLineChars="200"/>
        <w:rPr>
          <w:rFonts w:ascii="仿宋_GB2312" w:hAnsi="宋体" w:eastAsia="仿宋_GB2312"/>
          <w:color w:val="000000" w:themeColor="text1"/>
          <w:sz w:val="24"/>
          <w:szCs w:val="24"/>
          <w:highlight w:val="none"/>
          <w14:textFill>
            <w14:solidFill>
              <w14:schemeClr w14:val="tx1"/>
            </w14:solidFill>
          </w14:textFill>
        </w:rPr>
      </w:pPr>
      <w:r>
        <w:rPr>
          <w:rFonts w:hint="eastAsia" w:ascii="仿宋_GB2312" w:eastAsia="仿宋_GB2312" w:cs="宋体"/>
          <w:color w:val="000000" w:themeColor="text1"/>
          <w:kern w:val="0"/>
          <w:sz w:val="24"/>
          <w:szCs w:val="24"/>
          <w:highlight w:val="none"/>
          <w14:textFill>
            <w14:solidFill>
              <w14:schemeClr w14:val="tx1"/>
            </w14:solidFill>
          </w14:textFill>
        </w:rPr>
        <w:t>3.1</w:t>
      </w:r>
      <w:r>
        <w:rPr>
          <w:rFonts w:hint="eastAsia" w:ascii="仿宋_GB2312" w:hAnsi="宋体" w:eastAsia="仿宋_GB2312"/>
          <w:color w:val="000000" w:themeColor="text1"/>
          <w:sz w:val="24"/>
          <w:szCs w:val="24"/>
          <w:highlight w:val="none"/>
          <w14:textFill>
            <w14:solidFill>
              <w14:schemeClr w14:val="tx1"/>
            </w14:solidFill>
          </w14:textFill>
        </w:rPr>
        <w:t>根据自己的实力参与甲方的</w:t>
      </w:r>
      <w:r>
        <w:rPr>
          <w:rFonts w:hint="eastAsia" w:ascii="仿宋_GB2312" w:hAnsi="宋体" w:eastAsia="仿宋_GB2312"/>
          <w:color w:val="000000" w:themeColor="text1"/>
          <w:sz w:val="24"/>
          <w:szCs w:val="24"/>
          <w:highlight w:val="none"/>
          <w:lang w:val="en-US" w:eastAsia="zh-CN"/>
          <w14:textFill>
            <w14:solidFill>
              <w14:schemeClr w14:val="tx1"/>
            </w14:solidFill>
          </w14:textFill>
        </w:rPr>
        <w:t>采购事项</w:t>
      </w:r>
      <w:r>
        <w:rPr>
          <w:rFonts w:hint="eastAsia" w:ascii="仿宋_GB2312" w:hAnsi="宋体" w:eastAsia="仿宋_GB2312"/>
          <w:color w:val="000000" w:themeColor="text1"/>
          <w:sz w:val="24"/>
          <w:szCs w:val="24"/>
          <w:highlight w:val="none"/>
          <w14:textFill>
            <w14:solidFill>
              <w14:schemeClr w14:val="tx1"/>
            </w14:solidFill>
          </w14:textFill>
        </w:rPr>
        <w:t>，遵守甲方的管理制度；不得在</w:t>
      </w:r>
      <w:r>
        <w:rPr>
          <w:rFonts w:hint="eastAsia" w:ascii="仿宋_GB2312" w:hAnsi="宋体" w:eastAsia="仿宋_GB2312"/>
          <w:color w:val="000000" w:themeColor="text1"/>
          <w:sz w:val="24"/>
          <w:szCs w:val="24"/>
          <w:highlight w:val="none"/>
          <w:lang w:val="en-US" w:eastAsia="zh-CN"/>
          <w14:textFill>
            <w14:solidFill>
              <w14:schemeClr w14:val="tx1"/>
            </w14:solidFill>
          </w14:textFill>
        </w:rPr>
        <w:t>采购</w:t>
      </w:r>
      <w:r>
        <w:rPr>
          <w:rFonts w:hint="eastAsia" w:ascii="仿宋_GB2312" w:hAnsi="宋体" w:eastAsia="仿宋_GB2312"/>
          <w:color w:val="000000" w:themeColor="text1"/>
          <w:sz w:val="24"/>
          <w:szCs w:val="24"/>
          <w:highlight w:val="none"/>
          <w14:textFill>
            <w14:solidFill>
              <w14:schemeClr w14:val="tx1"/>
            </w14:solidFill>
          </w14:textFill>
        </w:rPr>
        <w:t>之前或过程中，以不正当手段谋求</w:t>
      </w:r>
      <w:r>
        <w:rPr>
          <w:rFonts w:hint="eastAsia" w:ascii="仿宋_GB2312" w:hAnsi="宋体" w:eastAsia="仿宋_GB2312"/>
          <w:color w:val="000000" w:themeColor="text1"/>
          <w:sz w:val="24"/>
          <w:szCs w:val="24"/>
          <w:highlight w:val="none"/>
          <w:lang w:val="en-US" w:eastAsia="zh-CN"/>
          <w14:textFill>
            <w14:solidFill>
              <w14:schemeClr w14:val="tx1"/>
            </w14:solidFill>
          </w14:textFill>
        </w:rPr>
        <w:t>成交</w:t>
      </w:r>
      <w:r>
        <w:rPr>
          <w:rFonts w:hint="eastAsia" w:ascii="仿宋_GB2312" w:hAnsi="宋体" w:eastAsia="仿宋_GB2312"/>
          <w:color w:val="000000" w:themeColor="text1"/>
          <w:sz w:val="24"/>
          <w:szCs w:val="24"/>
          <w:highlight w:val="none"/>
          <w14:textFill>
            <w14:solidFill>
              <w14:schemeClr w14:val="tx1"/>
            </w14:solidFill>
          </w14:textFill>
        </w:rPr>
        <w:t>。</w:t>
      </w:r>
    </w:p>
    <w:p w14:paraId="1F65F061">
      <w:pPr>
        <w:spacing w:line="400" w:lineRule="exact"/>
        <w:ind w:firstLine="480" w:firstLineChars="200"/>
        <w:rPr>
          <w:rFonts w:ascii="仿宋_GB2312" w:eastAsia="仿宋_GB2312" w:cs="宋体"/>
          <w:color w:val="000000" w:themeColor="text1"/>
          <w:kern w:val="0"/>
          <w:sz w:val="24"/>
          <w:szCs w:val="24"/>
          <w:highlight w:val="none"/>
          <w14:textFill>
            <w14:solidFill>
              <w14:schemeClr w14:val="tx1"/>
            </w14:solidFill>
          </w14:textFill>
        </w:rPr>
      </w:pPr>
      <w:r>
        <w:rPr>
          <w:rFonts w:hint="eastAsia" w:ascii="仿宋_GB2312" w:eastAsia="仿宋_GB2312" w:cs="宋体"/>
          <w:color w:val="000000" w:themeColor="text1"/>
          <w:kern w:val="0"/>
          <w:sz w:val="24"/>
          <w:szCs w:val="24"/>
          <w:highlight w:val="none"/>
          <w14:textFill>
            <w14:solidFill>
              <w14:schemeClr w14:val="tx1"/>
            </w14:solidFill>
          </w14:textFill>
        </w:rPr>
        <w:t>3.2不得向甲方员工及其亲属输送任何个人利益以寻求合作机会，不得为甲方人员配偶、子女及特定关系人安排工作、谋取不正当利益或提供各类方便。</w:t>
      </w:r>
    </w:p>
    <w:p w14:paraId="7FBDB8E6">
      <w:pPr>
        <w:spacing w:line="400" w:lineRule="exact"/>
        <w:ind w:firstLine="480" w:firstLineChars="200"/>
        <w:rPr>
          <w:rFonts w:ascii="仿宋_GB2312" w:eastAsia="仿宋_GB2312" w:cs="宋体"/>
          <w:color w:val="000000" w:themeColor="text1"/>
          <w:kern w:val="0"/>
          <w:sz w:val="24"/>
          <w:szCs w:val="24"/>
          <w:highlight w:val="none"/>
          <w14:textFill>
            <w14:solidFill>
              <w14:schemeClr w14:val="tx1"/>
            </w14:solidFill>
          </w14:textFill>
        </w:rPr>
      </w:pPr>
      <w:r>
        <w:rPr>
          <w:rFonts w:hint="eastAsia" w:ascii="仿宋_GB2312" w:eastAsia="仿宋_GB2312" w:cs="宋体"/>
          <w:color w:val="000000" w:themeColor="text1"/>
          <w:kern w:val="0"/>
          <w:sz w:val="24"/>
          <w:szCs w:val="24"/>
          <w:highlight w:val="none"/>
          <w14:textFill>
            <w14:solidFill>
              <w14:schemeClr w14:val="tx1"/>
            </w14:solidFill>
          </w14:textFill>
        </w:rPr>
        <w:t>3.3不得以任何理由为甲方和相关单位报销应由对方或个人支付的费用，包括出差期间的交通费和住宿费等。</w:t>
      </w:r>
    </w:p>
    <w:p w14:paraId="2A57B9D2">
      <w:pPr>
        <w:spacing w:line="400" w:lineRule="exact"/>
        <w:ind w:firstLine="480" w:firstLineChars="200"/>
        <w:rPr>
          <w:rFonts w:ascii="仿宋_GB2312" w:eastAsia="仿宋_GB2312" w:cs="宋体"/>
          <w:color w:val="000000" w:themeColor="text1"/>
          <w:kern w:val="0"/>
          <w:sz w:val="24"/>
          <w:szCs w:val="24"/>
          <w:highlight w:val="none"/>
          <w14:textFill>
            <w14:solidFill>
              <w14:schemeClr w14:val="tx1"/>
            </w14:solidFill>
          </w14:textFill>
        </w:rPr>
      </w:pPr>
      <w:r>
        <w:rPr>
          <w:rFonts w:hint="eastAsia" w:ascii="仿宋_GB2312" w:eastAsia="仿宋_GB2312" w:cs="宋体"/>
          <w:color w:val="000000" w:themeColor="text1"/>
          <w:kern w:val="0"/>
          <w:sz w:val="24"/>
          <w:szCs w:val="24"/>
          <w:highlight w:val="none"/>
          <w14:textFill>
            <w14:solidFill>
              <w14:schemeClr w14:val="tx1"/>
            </w14:solidFill>
          </w14:textFill>
        </w:rPr>
        <w:t>3.4不得以甲方员工及其亲属的家庭装修、婚丧嫁娶、出国留学等事宜为由进行提供资金及物资资助等行贿行为。</w:t>
      </w:r>
    </w:p>
    <w:p w14:paraId="561427F8">
      <w:pPr>
        <w:spacing w:line="400" w:lineRule="exact"/>
        <w:ind w:firstLine="480" w:firstLineChars="200"/>
        <w:rPr>
          <w:rFonts w:ascii="仿宋_GB2312" w:eastAsia="仿宋_GB2312" w:cs="宋体"/>
          <w:color w:val="000000" w:themeColor="text1"/>
          <w:kern w:val="0"/>
          <w:sz w:val="24"/>
          <w:szCs w:val="24"/>
          <w:highlight w:val="none"/>
          <w14:textFill>
            <w14:solidFill>
              <w14:schemeClr w14:val="tx1"/>
            </w14:solidFill>
          </w14:textFill>
        </w:rPr>
      </w:pPr>
      <w:r>
        <w:rPr>
          <w:rFonts w:ascii="仿宋_GB2312" w:eastAsia="仿宋_GB2312" w:cs="宋体"/>
          <w:color w:val="000000" w:themeColor="text1"/>
          <w:kern w:val="0"/>
          <w:sz w:val="24"/>
          <w:szCs w:val="24"/>
          <w:highlight w:val="none"/>
          <w14:textFill>
            <w14:solidFill>
              <w14:schemeClr w14:val="tx1"/>
            </w14:solidFill>
          </w14:textFill>
        </w:rPr>
        <w:t>3.5</w:t>
      </w:r>
      <w:r>
        <w:rPr>
          <w:rFonts w:hint="eastAsia" w:ascii="仿宋_GB2312" w:eastAsia="仿宋_GB2312" w:cs="宋体"/>
          <w:color w:val="000000" w:themeColor="text1"/>
          <w:kern w:val="0"/>
          <w:sz w:val="24"/>
          <w:szCs w:val="24"/>
          <w:highlight w:val="none"/>
          <w14:textFill>
            <w14:solidFill>
              <w14:schemeClr w14:val="tx1"/>
            </w14:solidFill>
          </w14:textFill>
        </w:rPr>
        <w:t>不得向甲方员工提供礼品、礼金、贵重物品或消费卡、会员卡、礼品券等虚拟电子礼品，严禁快递送礼。</w:t>
      </w:r>
    </w:p>
    <w:p w14:paraId="3C738C57">
      <w:pPr>
        <w:spacing w:line="400" w:lineRule="exact"/>
        <w:ind w:firstLine="480" w:firstLineChars="200"/>
        <w:rPr>
          <w:rFonts w:ascii="仿宋_GB2312" w:eastAsia="仿宋_GB2312" w:cs="宋体"/>
          <w:color w:val="000000" w:themeColor="text1"/>
          <w:kern w:val="0"/>
          <w:sz w:val="24"/>
          <w:szCs w:val="24"/>
          <w:highlight w:val="none"/>
          <w14:textFill>
            <w14:solidFill>
              <w14:schemeClr w14:val="tx1"/>
            </w14:solidFill>
          </w14:textFill>
        </w:rPr>
      </w:pPr>
      <w:r>
        <w:rPr>
          <w:rFonts w:hint="eastAsia" w:ascii="仿宋_GB2312" w:eastAsia="仿宋_GB2312" w:cs="宋体"/>
          <w:color w:val="000000" w:themeColor="text1"/>
          <w:kern w:val="0"/>
          <w:sz w:val="24"/>
          <w:szCs w:val="24"/>
          <w:highlight w:val="none"/>
          <w14:textFill>
            <w14:solidFill>
              <w14:schemeClr w14:val="tx1"/>
            </w14:solidFill>
          </w14:textFill>
        </w:rPr>
        <w:t>3.</w:t>
      </w:r>
      <w:r>
        <w:rPr>
          <w:rFonts w:ascii="仿宋_GB2312" w:eastAsia="仿宋_GB2312" w:cs="宋体"/>
          <w:color w:val="000000" w:themeColor="text1"/>
          <w:kern w:val="0"/>
          <w:sz w:val="24"/>
          <w:szCs w:val="24"/>
          <w:highlight w:val="none"/>
          <w14:textFill>
            <w14:solidFill>
              <w14:schemeClr w14:val="tx1"/>
            </w14:solidFill>
          </w14:textFill>
        </w:rPr>
        <w:t>6</w:t>
      </w:r>
      <w:r>
        <w:rPr>
          <w:rFonts w:hint="eastAsia" w:ascii="仿宋_GB2312" w:eastAsia="仿宋_GB2312" w:cs="宋体"/>
          <w:color w:val="000000" w:themeColor="text1"/>
          <w:kern w:val="0"/>
          <w:sz w:val="24"/>
          <w:szCs w:val="24"/>
          <w:highlight w:val="none"/>
          <w14:textFill>
            <w14:solidFill>
              <w14:schemeClr w14:val="tx1"/>
            </w14:solidFill>
          </w14:textFill>
        </w:rPr>
        <w:t>不得以任何理由为甲方、相关单位或个人组织有可能影响公正执行公务的宴请、健身、娱乐等活动。</w:t>
      </w:r>
    </w:p>
    <w:p w14:paraId="4183C2AC">
      <w:pPr>
        <w:spacing w:line="400" w:lineRule="exact"/>
        <w:ind w:firstLine="480" w:firstLineChars="200"/>
        <w:rPr>
          <w:rFonts w:ascii="仿宋_GB2312" w:eastAsia="仿宋_GB2312" w:cs="宋体"/>
          <w:color w:val="000000" w:themeColor="text1"/>
          <w:kern w:val="0"/>
          <w:sz w:val="24"/>
          <w:szCs w:val="24"/>
          <w:highlight w:val="none"/>
          <w14:textFill>
            <w14:solidFill>
              <w14:schemeClr w14:val="tx1"/>
            </w14:solidFill>
          </w14:textFill>
        </w:rPr>
      </w:pPr>
      <w:r>
        <w:rPr>
          <w:rFonts w:ascii="仿宋_GB2312" w:eastAsia="仿宋_GB2312" w:cs="宋体"/>
          <w:color w:val="000000" w:themeColor="text1"/>
          <w:kern w:val="0"/>
          <w:sz w:val="24"/>
          <w:szCs w:val="24"/>
          <w:highlight w:val="none"/>
          <w14:textFill>
            <w14:solidFill>
              <w14:schemeClr w14:val="tx1"/>
            </w14:solidFill>
          </w14:textFill>
        </w:rPr>
        <w:t>3.7</w:t>
      </w:r>
      <w:r>
        <w:rPr>
          <w:rFonts w:hint="eastAsia" w:ascii="仿宋_GB2312" w:eastAsia="仿宋_GB2312" w:cs="宋体"/>
          <w:color w:val="000000" w:themeColor="text1"/>
          <w:kern w:val="0"/>
          <w:sz w:val="24"/>
          <w:szCs w:val="24"/>
          <w:highlight w:val="none"/>
          <w14:textFill>
            <w14:solidFill>
              <w14:schemeClr w14:val="tx1"/>
            </w14:solidFill>
          </w14:textFill>
        </w:rPr>
        <w:t>不得与甲方员工就合同条款中的利益条款进行私下协商或达成默契。</w:t>
      </w:r>
    </w:p>
    <w:p w14:paraId="057BD8A0">
      <w:pPr>
        <w:spacing w:line="400" w:lineRule="exact"/>
        <w:ind w:firstLine="480" w:firstLineChars="200"/>
        <w:rPr>
          <w:rFonts w:ascii="仿宋_GB2312" w:eastAsia="仿宋_GB2312" w:cs="宋体"/>
          <w:color w:val="000000" w:themeColor="text1"/>
          <w:kern w:val="0"/>
          <w:sz w:val="24"/>
          <w:szCs w:val="24"/>
          <w:highlight w:val="none"/>
          <w14:textFill>
            <w14:solidFill>
              <w14:schemeClr w14:val="tx1"/>
            </w14:solidFill>
          </w14:textFill>
        </w:rPr>
      </w:pPr>
      <w:r>
        <w:rPr>
          <w:rFonts w:hint="eastAsia" w:ascii="仿宋_GB2312" w:eastAsia="仿宋_GB2312" w:cs="宋体"/>
          <w:color w:val="000000" w:themeColor="text1"/>
          <w:kern w:val="0"/>
          <w:sz w:val="24"/>
          <w:szCs w:val="24"/>
          <w:highlight w:val="none"/>
          <w14:textFill>
            <w14:solidFill>
              <w14:schemeClr w14:val="tx1"/>
            </w14:solidFill>
          </w14:textFill>
        </w:rPr>
        <w:t>3</w:t>
      </w:r>
      <w:r>
        <w:rPr>
          <w:rFonts w:ascii="仿宋_GB2312" w:eastAsia="仿宋_GB2312" w:cs="宋体"/>
          <w:color w:val="000000" w:themeColor="text1"/>
          <w:kern w:val="0"/>
          <w:sz w:val="24"/>
          <w:szCs w:val="24"/>
          <w:highlight w:val="none"/>
          <w14:textFill>
            <w14:solidFill>
              <w14:schemeClr w14:val="tx1"/>
            </w14:solidFill>
          </w14:textFill>
        </w:rPr>
        <w:t>.8</w:t>
      </w:r>
      <w:r>
        <w:rPr>
          <w:rFonts w:hint="eastAsia" w:ascii="仿宋_GB2312" w:eastAsia="仿宋_GB2312" w:cs="宋体"/>
          <w:color w:val="000000" w:themeColor="text1"/>
          <w:kern w:val="0"/>
          <w:sz w:val="24"/>
          <w:szCs w:val="24"/>
          <w:highlight w:val="none"/>
          <w14:textFill>
            <w14:solidFill>
              <w14:schemeClr w14:val="tx1"/>
            </w14:solidFill>
          </w14:textFill>
        </w:rPr>
        <w:t>不得安排甲方员工及其亲属从事合资或合股经营行为，不向甲方打探商业秘密或提供兼职报酬。</w:t>
      </w:r>
    </w:p>
    <w:p w14:paraId="01011D60">
      <w:pPr>
        <w:spacing w:line="400" w:lineRule="exact"/>
        <w:ind w:firstLine="480" w:firstLineChars="200"/>
        <w:rPr>
          <w:rFonts w:ascii="仿宋_GB2312" w:eastAsia="仿宋_GB2312" w:cs="宋体"/>
          <w:color w:val="000000" w:themeColor="text1"/>
          <w:kern w:val="0"/>
          <w:sz w:val="24"/>
          <w:szCs w:val="24"/>
          <w:highlight w:val="none"/>
          <w14:textFill>
            <w14:solidFill>
              <w14:schemeClr w14:val="tx1"/>
            </w14:solidFill>
          </w14:textFill>
        </w:rPr>
      </w:pPr>
      <w:r>
        <w:rPr>
          <w:rFonts w:ascii="仿宋_GB2312" w:eastAsia="仿宋_GB2312" w:cs="宋体"/>
          <w:color w:val="000000" w:themeColor="text1"/>
          <w:kern w:val="0"/>
          <w:sz w:val="24"/>
          <w:szCs w:val="24"/>
          <w:highlight w:val="none"/>
          <w14:textFill>
            <w14:solidFill>
              <w14:schemeClr w14:val="tx1"/>
            </w14:solidFill>
          </w14:textFill>
        </w:rPr>
        <w:t>3.9</w:t>
      </w:r>
      <w:r>
        <w:rPr>
          <w:rFonts w:hint="eastAsia" w:ascii="仿宋_GB2312" w:eastAsia="仿宋_GB2312" w:cs="宋体"/>
          <w:color w:val="000000" w:themeColor="text1"/>
          <w:kern w:val="0"/>
          <w:sz w:val="24"/>
          <w:szCs w:val="24"/>
          <w:highlight w:val="none"/>
          <w14:textFill>
            <w14:solidFill>
              <w14:schemeClr w14:val="tx1"/>
            </w14:solidFill>
          </w14:textFill>
        </w:rPr>
        <w:t>不在甲方人员进行市场调研、商务洽谈等期间违规提供公务接待。</w:t>
      </w:r>
    </w:p>
    <w:p w14:paraId="19C19B7C">
      <w:pPr>
        <w:spacing w:line="400" w:lineRule="exact"/>
        <w:ind w:firstLine="480" w:firstLineChars="200"/>
        <w:rPr>
          <w:rFonts w:ascii="仿宋_GB2312" w:eastAsia="仿宋_GB2312" w:cs="宋体"/>
          <w:color w:val="000000" w:themeColor="text1"/>
          <w:kern w:val="0"/>
          <w:sz w:val="24"/>
          <w:szCs w:val="24"/>
          <w:highlight w:val="none"/>
          <w14:textFill>
            <w14:solidFill>
              <w14:schemeClr w14:val="tx1"/>
            </w14:solidFill>
          </w14:textFill>
        </w:rPr>
      </w:pPr>
      <w:r>
        <w:rPr>
          <w:rFonts w:ascii="仿宋_GB2312" w:eastAsia="仿宋_GB2312" w:cs="宋体"/>
          <w:color w:val="000000" w:themeColor="text1"/>
          <w:kern w:val="0"/>
          <w:sz w:val="24"/>
          <w:szCs w:val="24"/>
          <w:highlight w:val="none"/>
          <w14:textFill>
            <w14:solidFill>
              <w14:schemeClr w14:val="tx1"/>
            </w14:solidFill>
          </w14:textFill>
        </w:rPr>
        <w:t>3.10</w:t>
      </w:r>
      <w:r>
        <w:rPr>
          <w:rFonts w:hint="eastAsia" w:ascii="仿宋_GB2312" w:eastAsia="仿宋_GB2312" w:cs="宋体"/>
          <w:color w:val="000000" w:themeColor="text1"/>
          <w:kern w:val="0"/>
          <w:sz w:val="24"/>
          <w:szCs w:val="24"/>
          <w:highlight w:val="none"/>
          <w14:textFill>
            <w14:solidFill>
              <w14:schemeClr w14:val="tx1"/>
            </w14:solidFill>
          </w14:textFill>
        </w:rPr>
        <w:t>对甲方员工违反本协议的行为及时向甲方的上级监督部门报告。</w:t>
      </w:r>
    </w:p>
    <w:p w14:paraId="143216D3">
      <w:pPr>
        <w:widowControl/>
        <w:spacing w:line="400" w:lineRule="exact"/>
        <w:ind w:firstLine="480" w:firstLineChars="200"/>
        <w:rPr>
          <w:rFonts w:ascii="仿宋_GB2312" w:hAnsi="宋体" w:eastAsia="仿宋_GB2312" w:cs="宋体"/>
          <w:color w:val="000000" w:themeColor="text1"/>
          <w:kern w:val="0"/>
          <w:sz w:val="24"/>
          <w:szCs w:val="24"/>
          <w:highlight w:val="none"/>
          <w14:textFill>
            <w14:solidFill>
              <w14:schemeClr w14:val="tx1"/>
            </w14:solidFill>
          </w14:textFill>
        </w:rPr>
      </w:pPr>
      <w:bookmarkStart w:id="65" w:name="_Toc300671952"/>
      <w:r>
        <w:rPr>
          <w:rFonts w:hint="eastAsia" w:ascii="仿宋_GB2312" w:hAnsi="宋体" w:eastAsia="仿宋_GB2312" w:cs="宋体"/>
          <w:color w:val="000000" w:themeColor="text1"/>
          <w:kern w:val="0"/>
          <w:sz w:val="24"/>
          <w:szCs w:val="24"/>
          <w:highlight w:val="none"/>
          <w14:textFill>
            <w14:solidFill>
              <w14:schemeClr w14:val="tx1"/>
            </w14:solidFill>
          </w14:textFill>
        </w:rPr>
        <w:t>四、违约责任</w:t>
      </w:r>
      <w:bookmarkEnd w:id="65"/>
    </w:p>
    <w:p w14:paraId="6667E863">
      <w:pPr>
        <w:widowControl/>
        <w:spacing w:line="400" w:lineRule="exact"/>
        <w:ind w:firstLine="480" w:firstLineChars="200"/>
        <w:rPr>
          <w:rFonts w:ascii="仿宋_GB2312" w:hAnsi="宋体" w:eastAsia="仿宋_GB2312" w:cs="宋体"/>
          <w:color w:val="000000" w:themeColor="text1"/>
          <w:kern w:val="0"/>
          <w:sz w:val="24"/>
          <w:szCs w:val="24"/>
          <w:highlight w:val="none"/>
          <w14:textFill>
            <w14:solidFill>
              <w14:schemeClr w14:val="tx1"/>
            </w14:solidFill>
          </w14:textFill>
        </w:rPr>
      </w:pPr>
      <w:r>
        <w:rPr>
          <w:rFonts w:hint="eastAsia" w:ascii="仿宋_GB2312" w:hAnsi="宋体" w:eastAsia="仿宋_GB2312" w:cs="宋体"/>
          <w:color w:val="000000" w:themeColor="text1"/>
          <w:kern w:val="0"/>
          <w:sz w:val="24"/>
          <w:szCs w:val="24"/>
          <w:highlight w:val="none"/>
          <w14:textFill>
            <w14:solidFill>
              <w14:schemeClr w14:val="tx1"/>
            </w14:solidFill>
          </w14:textFill>
        </w:rPr>
        <w:t>4.1甲方工作人员有违反本责任书第一、二条责任行为的，依据有关法律及甲方《员工守则》，提交甲方纪检部门进行处理。</w:t>
      </w:r>
    </w:p>
    <w:p w14:paraId="16C901F3">
      <w:pPr>
        <w:widowControl/>
        <w:spacing w:line="400" w:lineRule="exact"/>
        <w:ind w:firstLine="480" w:firstLineChars="200"/>
        <w:rPr>
          <w:rFonts w:ascii="仿宋_GB2312" w:hAnsi="宋体" w:eastAsia="仿宋_GB2312" w:cs="宋体"/>
          <w:color w:val="000000" w:themeColor="text1"/>
          <w:kern w:val="0"/>
          <w:sz w:val="24"/>
          <w:szCs w:val="24"/>
          <w:highlight w:val="none"/>
          <w14:textFill>
            <w14:solidFill>
              <w14:schemeClr w14:val="tx1"/>
            </w14:solidFill>
          </w14:textFill>
        </w:rPr>
      </w:pPr>
      <w:r>
        <w:rPr>
          <w:rFonts w:hint="eastAsia" w:ascii="仿宋_GB2312" w:hAnsi="宋体" w:eastAsia="仿宋_GB2312" w:cs="宋体"/>
          <w:color w:val="000000" w:themeColor="text1"/>
          <w:kern w:val="0"/>
          <w:sz w:val="24"/>
          <w:szCs w:val="24"/>
          <w:highlight w:val="none"/>
          <w14:textFill>
            <w14:solidFill>
              <w14:schemeClr w14:val="tx1"/>
            </w14:solidFill>
          </w14:textFill>
        </w:rPr>
        <w:t>4.2乙方工作人员有违反本责任书第一、三条责任行为的，依据有关法律法规处理；向甲方行贿或给甲方单位造成经济损失的，按照受贿金额或损失金额的5-10倍进行处罚</w:t>
      </w:r>
      <w:r>
        <w:rPr>
          <w:rFonts w:hint="eastAsia" w:ascii="仿宋_GB2312" w:hAnsi="宋体" w:eastAsia="仿宋_GB2312"/>
          <w:color w:val="000000" w:themeColor="text1"/>
          <w:sz w:val="24"/>
          <w:szCs w:val="24"/>
          <w:highlight w:val="none"/>
          <w14:textFill>
            <w14:solidFill>
              <w14:schemeClr w14:val="tx1"/>
            </w14:solidFill>
          </w14:textFill>
        </w:rPr>
        <w:t>，立即清除出场，终止合同执行，给甲方造成经济损失的应予以赔偿，同时纳入供应商黑名单；如乙方和甲方的员工勾结虚增结算款，则按照虚增款项的5倍扣减乙方应结算的款项；如发现乙方接受甲方人员要求安排甲方人员亲友在乙方工作，违者除令被安插人员在两天内退出外，并对责任人按每人每次1000元给予</w:t>
      </w:r>
      <w:r>
        <w:rPr>
          <w:rFonts w:hint="eastAsia" w:ascii="仿宋_GB2312" w:hAnsi="宋体" w:eastAsia="仿宋_GB2312" w:cs="Times New Roman"/>
          <w:color w:val="000000" w:themeColor="text1"/>
          <w:sz w:val="24"/>
          <w:szCs w:val="24"/>
          <w:highlight w:val="none"/>
          <w14:textFill>
            <w14:solidFill>
              <w14:schemeClr w14:val="tx1"/>
            </w14:solidFill>
          </w14:textFill>
        </w:rPr>
        <w:t>罚款。</w:t>
      </w:r>
    </w:p>
    <w:p w14:paraId="61703CB8">
      <w:pPr>
        <w:widowControl/>
        <w:spacing w:line="400" w:lineRule="exact"/>
        <w:ind w:firstLine="480" w:firstLineChars="200"/>
        <w:rPr>
          <w:rFonts w:ascii="仿宋_GB2312" w:hAnsi="宋体" w:eastAsia="仿宋_GB2312" w:cs="宋体"/>
          <w:color w:val="000000" w:themeColor="text1"/>
          <w:kern w:val="0"/>
          <w:sz w:val="24"/>
          <w:szCs w:val="24"/>
          <w:highlight w:val="none"/>
          <w14:textFill>
            <w14:solidFill>
              <w14:schemeClr w14:val="tx1"/>
            </w14:solidFill>
          </w14:textFill>
        </w:rPr>
      </w:pPr>
      <w:r>
        <w:rPr>
          <w:rFonts w:hint="eastAsia" w:ascii="仿宋_GB2312" w:hAnsi="宋体" w:eastAsia="仿宋_GB2312" w:cs="宋体"/>
          <w:color w:val="000000" w:themeColor="text1"/>
          <w:kern w:val="0"/>
          <w:sz w:val="24"/>
          <w:szCs w:val="24"/>
          <w:highlight w:val="none"/>
          <w14:textFill>
            <w14:solidFill>
              <w14:schemeClr w14:val="tx1"/>
            </w14:solidFill>
          </w14:textFill>
        </w:rPr>
        <w:t>4.3甲方工作人员不得接受可能影响公正执行公务的礼金（包括各种有价证券）、礼品馈赠。因各种原因未能拒收的，一律上交所属部门并登记。</w:t>
      </w:r>
    </w:p>
    <w:p w14:paraId="128B5E75">
      <w:pPr>
        <w:spacing w:line="400" w:lineRule="exact"/>
        <w:ind w:firstLine="480" w:firstLineChars="200"/>
        <w:rPr>
          <w:rFonts w:ascii="仿宋_GB2312" w:hAnsi="宋体" w:eastAsia="仿宋_GB2312"/>
          <w:color w:val="000000" w:themeColor="text1"/>
          <w:sz w:val="24"/>
          <w:szCs w:val="24"/>
          <w:highlight w:val="none"/>
          <w14:textFill>
            <w14:solidFill>
              <w14:schemeClr w14:val="tx1"/>
            </w14:solidFill>
          </w14:textFill>
        </w:rPr>
      </w:pPr>
      <w:r>
        <w:rPr>
          <w:rFonts w:hint="eastAsia" w:ascii="仿宋_GB2312" w:hAnsi="宋体" w:eastAsia="仿宋_GB2312"/>
          <w:color w:val="000000" w:themeColor="text1"/>
          <w:sz w:val="24"/>
          <w:szCs w:val="24"/>
          <w:highlight w:val="none"/>
          <w14:textFill>
            <w14:solidFill>
              <w14:schemeClr w14:val="tx1"/>
            </w14:solidFill>
          </w14:textFill>
        </w:rPr>
        <w:t>4.4</w:t>
      </w:r>
      <w:r>
        <w:rPr>
          <w:rFonts w:hint="eastAsia" w:ascii="仿宋_GB2312" w:hAnsi="宋体" w:eastAsia="仿宋_GB2312" w:cs="宋体"/>
          <w:color w:val="000000" w:themeColor="text1"/>
          <w:kern w:val="0"/>
          <w:sz w:val="24"/>
          <w:szCs w:val="24"/>
          <w:highlight w:val="none"/>
          <w14:textFill>
            <w14:solidFill>
              <w14:schemeClr w14:val="tx1"/>
            </w14:solidFill>
          </w14:textFill>
        </w:rPr>
        <w:t>甲乙双方必须认真履行本协议，遵纪守法，相互监督，密切配合，共同搞好廉政建设。双方</w:t>
      </w:r>
      <w:r>
        <w:rPr>
          <w:rFonts w:hint="eastAsia" w:ascii="仿宋_GB2312" w:hAnsi="宋体" w:eastAsia="仿宋_GB2312"/>
          <w:color w:val="000000" w:themeColor="text1"/>
          <w:sz w:val="24"/>
          <w:szCs w:val="24"/>
          <w:highlight w:val="none"/>
          <w14:textFill>
            <w14:solidFill>
              <w14:schemeClr w14:val="tx1"/>
            </w14:solidFill>
          </w14:textFill>
        </w:rPr>
        <w:t>认可甲方建立不诚信合作方黑名单制度，如乙方发生向甲方员工的行贿行为、乙方和甲方的员工勾结虚增结算款项的行为，则该乙方进入甲方不诚信合作方黑名单，</w:t>
      </w:r>
      <w:r>
        <w:rPr>
          <w:rFonts w:hint="eastAsia" w:ascii="仿宋_GB2312" w:hAnsi="宋体" w:eastAsia="仿宋_GB2312" w:cs="宋体"/>
          <w:color w:val="000000" w:themeColor="text1"/>
          <w:kern w:val="0"/>
          <w:sz w:val="24"/>
          <w:szCs w:val="24"/>
          <w:highlight w:val="none"/>
          <w14:textFill>
            <w14:solidFill>
              <w14:schemeClr w14:val="tx1"/>
            </w14:solidFill>
          </w14:textFill>
        </w:rPr>
        <w:t>触犯刑律的，移交司法机关处理。</w:t>
      </w:r>
    </w:p>
    <w:p w14:paraId="30F3E4DB">
      <w:pPr>
        <w:widowControl/>
        <w:spacing w:line="400" w:lineRule="exact"/>
        <w:ind w:firstLine="480" w:firstLineChars="200"/>
        <w:rPr>
          <w:rFonts w:ascii="仿宋_GB2312" w:hAnsi="宋体" w:eastAsia="仿宋_GB2312" w:cs="宋体"/>
          <w:color w:val="000000" w:themeColor="text1"/>
          <w:kern w:val="0"/>
          <w:sz w:val="24"/>
          <w:szCs w:val="24"/>
          <w:highlight w:val="none"/>
          <w14:textFill>
            <w14:solidFill>
              <w14:schemeClr w14:val="tx1"/>
            </w14:solidFill>
          </w14:textFill>
        </w:rPr>
      </w:pPr>
      <w:r>
        <w:rPr>
          <w:rFonts w:hint="eastAsia" w:ascii="仿宋_GB2312" w:hAnsi="宋体" w:eastAsia="仿宋_GB2312" w:cs="宋体"/>
          <w:color w:val="000000" w:themeColor="text1"/>
          <w:kern w:val="0"/>
          <w:sz w:val="24"/>
          <w:szCs w:val="24"/>
          <w:highlight w:val="none"/>
          <w14:textFill>
            <w14:solidFill>
              <w14:schemeClr w14:val="tx1"/>
            </w14:solidFill>
          </w14:textFill>
        </w:rPr>
        <w:t>4.5本责任书作为主合同的组成部分，与本合同具有同等法律效力。生效条件与主合同相同。</w:t>
      </w:r>
    </w:p>
    <w:p w14:paraId="7DB55BF6">
      <w:pPr>
        <w:widowControl/>
        <w:spacing w:line="400" w:lineRule="exact"/>
        <w:ind w:firstLine="480" w:firstLineChars="200"/>
        <w:rPr>
          <w:rFonts w:hint="eastAsia" w:ascii="仿宋_GB2312" w:hAnsi="宋体" w:eastAsia="仿宋_GB2312" w:cs="宋体"/>
          <w:color w:val="000000" w:themeColor="text1"/>
          <w:kern w:val="0"/>
          <w:sz w:val="24"/>
          <w:szCs w:val="24"/>
          <w:highlight w:val="none"/>
          <w14:textFill>
            <w14:solidFill>
              <w14:schemeClr w14:val="tx1"/>
            </w14:solidFill>
          </w14:textFill>
        </w:rPr>
      </w:pPr>
      <w:r>
        <w:rPr>
          <w:rFonts w:hint="eastAsia" w:ascii="仿宋_GB2312" w:hAnsi="宋体" w:eastAsia="仿宋_GB2312" w:cs="宋体"/>
          <w:color w:val="000000" w:themeColor="text1"/>
          <w:kern w:val="0"/>
          <w:sz w:val="24"/>
          <w:szCs w:val="24"/>
          <w:highlight w:val="none"/>
          <w14:textFill>
            <w14:solidFill>
              <w14:schemeClr w14:val="tx1"/>
            </w14:solidFill>
          </w14:textFill>
        </w:rPr>
        <w:t>五、监督举报渠道</w:t>
      </w:r>
    </w:p>
    <w:p w14:paraId="68229878">
      <w:pPr>
        <w:widowControl/>
        <w:spacing w:line="400" w:lineRule="exact"/>
        <w:ind w:firstLine="480" w:firstLineChars="200"/>
        <w:rPr>
          <w:rFonts w:hint="eastAsia" w:ascii="仿宋_GB2312" w:hAnsi="宋体" w:eastAsia="仿宋_GB2312" w:cs="宋体"/>
          <w:color w:val="000000" w:themeColor="text1"/>
          <w:kern w:val="0"/>
          <w:sz w:val="24"/>
          <w:szCs w:val="24"/>
          <w:highlight w:val="none"/>
          <w14:textFill>
            <w14:solidFill>
              <w14:schemeClr w14:val="tx1"/>
            </w14:solidFill>
          </w14:textFill>
        </w:rPr>
      </w:pPr>
      <w:r>
        <w:rPr>
          <w:rFonts w:hint="eastAsia" w:ascii="仿宋_GB2312" w:hAnsi="宋体" w:eastAsia="仿宋_GB2312" w:cs="宋体"/>
          <w:color w:val="000000" w:themeColor="text1"/>
          <w:kern w:val="0"/>
          <w:sz w:val="24"/>
          <w:szCs w:val="24"/>
          <w:highlight w:val="none"/>
          <w14:textFill>
            <w14:solidFill>
              <w14:schemeClr w14:val="tx1"/>
            </w14:solidFill>
          </w14:textFill>
        </w:rPr>
        <w:t>5.1信访办公室</w:t>
      </w:r>
    </w:p>
    <w:p w14:paraId="6DEB5C96">
      <w:pPr>
        <w:widowControl/>
        <w:spacing w:line="400" w:lineRule="exact"/>
        <w:ind w:firstLine="480" w:firstLineChars="200"/>
        <w:rPr>
          <w:rFonts w:hint="eastAsia" w:ascii="仿宋_GB2312" w:hAnsi="宋体" w:eastAsia="仿宋_GB2312" w:cs="宋体"/>
          <w:color w:val="000000" w:themeColor="text1"/>
          <w:kern w:val="0"/>
          <w:sz w:val="24"/>
          <w:szCs w:val="24"/>
          <w:highlight w:val="none"/>
          <w14:textFill>
            <w14:solidFill>
              <w14:schemeClr w14:val="tx1"/>
            </w14:solidFill>
          </w14:textFill>
        </w:rPr>
      </w:pPr>
      <w:r>
        <w:rPr>
          <w:rFonts w:hint="eastAsia" w:ascii="仿宋_GB2312" w:hAnsi="宋体" w:eastAsia="仿宋_GB2312" w:cs="宋体"/>
          <w:color w:val="000000" w:themeColor="text1"/>
          <w:kern w:val="0"/>
          <w:sz w:val="24"/>
          <w:szCs w:val="24"/>
          <w:highlight w:val="none"/>
          <w14:textFill>
            <w14:solidFill>
              <w14:schemeClr w14:val="tx1"/>
            </w14:solidFill>
          </w14:textFill>
        </w:rPr>
        <w:t>来信地址：石家庄市建设南大街38号中建路桥集团有限公司信访办公室（收）</w:t>
      </w:r>
    </w:p>
    <w:p w14:paraId="651C8BAE">
      <w:pPr>
        <w:widowControl/>
        <w:spacing w:line="400" w:lineRule="exact"/>
        <w:ind w:firstLine="480" w:firstLineChars="200"/>
        <w:rPr>
          <w:rFonts w:hint="eastAsia" w:ascii="仿宋_GB2312" w:hAnsi="宋体" w:eastAsia="仿宋_GB2312" w:cs="宋体"/>
          <w:color w:val="000000" w:themeColor="text1"/>
          <w:kern w:val="0"/>
          <w:sz w:val="24"/>
          <w:szCs w:val="24"/>
          <w:highlight w:val="none"/>
          <w14:textFill>
            <w14:solidFill>
              <w14:schemeClr w14:val="tx1"/>
            </w14:solidFill>
          </w14:textFill>
        </w:rPr>
      </w:pPr>
      <w:r>
        <w:rPr>
          <w:rFonts w:hint="eastAsia" w:ascii="仿宋_GB2312" w:hAnsi="宋体" w:eastAsia="仿宋_GB2312" w:cs="宋体"/>
          <w:color w:val="000000" w:themeColor="text1"/>
          <w:kern w:val="0"/>
          <w:sz w:val="24"/>
          <w:szCs w:val="24"/>
          <w:highlight w:val="none"/>
          <w14:textFill>
            <w14:solidFill>
              <w14:schemeClr w14:val="tx1"/>
            </w14:solidFill>
          </w14:textFill>
        </w:rPr>
        <w:t>邮编：050011</w:t>
      </w:r>
    </w:p>
    <w:p w14:paraId="156F4C67">
      <w:pPr>
        <w:widowControl/>
        <w:spacing w:line="400" w:lineRule="exact"/>
        <w:ind w:firstLine="480" w:firstLineChars="200"/>
        <w:rPr>
          <w:rFonts w:hint="eastAsia" w:ascii="仿宋_GB2312" w:hAnsi="宋体" w:eastAsia="仿宋_GB2312" w:cs="宋体"/>
          <w:color w:val="000000" w:themeColor="text1"/>
          <w:kern w:val="0"/>
          <w:sz w:val="24"/>
          <w:szCs w:val="24"/>
          <w:highlight w:val="none"/>
          <w14:textFill>
            <w14:solidFill>
              <w14:schemeClr w14:val="tx1"/>
            </w14:solidFill>
          </w14:textFill>
        </w:rPr>
      </w:pPr>
      <w:r>
        <w:rPr>
          <w:rFonts w:hint="eastAsia" w:ascii="仿宋_GB2312" w:hAnsi="宋体" w:eastAsia="仿宋_GB2312" w:cs="宋体"/>
          <w:color w:val="000000" w:themeColor="text1"/>
          <w:kern w:val="0"/>
          <w:sz w:val="24"/>
          <w:szCs w:val="24"/>
          <w:highlight w:val="none"/>
          <w14:textFill>
            <w14:solidFill>
              <w14:schemeClr w14:val="tx1"/>
            </w14:solidFill>
          </w14:textFill>
        </w:rPr>
        <w:t>电话：0311-66538159</w:t>
      </w:r>
    </w:p>
    <w:p w14:paraId="79F90D21">
      <w:pPr>
        <w:widowControl/>
        <w:spacing w:line="400" w:lineRule="exact"/>
        <w:ind w:firstLine="480" w:firstLineChars="200"/>
        <w:rPr>
          <w:rFonts w:hint="eastAsia" w:ascii="仿宋_GB2312" w:hAnsi="宋体" w:eastAsia="仿宋_GB2312" w:cs="宋体"/>
          <w:color w:val="000000" w:themeColor="text1"/>
          <w:kern w:val="0"/>
          <w:sz w:val="24"/>
          <w:szCs w:val="24"/>
          <w:highlight w:val="none"/>
          <w14:textFill>
            <w14:solidFill>
              <w14:schemeClr w14:val="tx1"/>
            </w14:solidFill>
          </w14:textFill>
        </w:rPr>
      </w:pPr>
      <w:r>
        <w:rPr>
          <w:rFonts w:hint="eastAsia" w:ascii="仿宋_GB2312" w:hAnsi="宋体" w:eastAsia="仿宋_GB2312" w:cs="宋体"/>
          <w:color w:val="000000" w:themeColor="text1"/>
          <w:kern w:val="0"/>
          <w:sz w:val="24"/>
          <w:szCs w:val="24"/>
          <w:highlight w:val="none"/>
          <w14:textFill>
            <w14:solidFill>
              <w14:schemeClr w14:val="tx1"/>
            </w14:solidFill>
          </w14:textFill>
        </w:rPr>
        <w:t>电子邮箱：sinorbbg@cscec.com</w:t>
      </w:r>
    </w:p>
    <w:p w14:paraId="3372FB7D">
      <w:pPr>
        <w:widowControl/>
        <w:spacing w:line="400" w:lineRule="exact"/>
        <w:ind w:firstLine="480" w:firstLineChars="200"/>
        <w:rPr>
          <w:rFonts w:hint="eastAsia" w:ascii="仿宋_GB2312" w:hAnsi="宋体" w:eastAsia="仿宋_GB2312" w:cs="宋体"/>
          <w:color w:val="000000" w:themeColor="text1"/>
          <w:kern w:val="0"/>
          <w:sz w:val="24"/>
          <w:szCs w:val="24"/>
          <w:highlight w:val="none"/>
          <w14:textFill>
            <w14:solidFill>
              <w14:schemeClr w14:val="tx1"/>
            </w14:solidFill>
          </w14:textFill>
        </w:rPr>
      </w:pPr>
      <w:r>
        <w:rPr>
          <w:rFonts w:hint="eastAsia" w:ascii="仿宋_GB2312" w:hAnsi="宋体" w:eastAsia="仿宋_GB2312" w:cs="宋体"/>
          <w:color w:val="000000" w:themeColor="text1"/>
          <w:kern w:val="0"/>
          <w:sz w:val="24"/>
          <w:szCs w:val="24"/>
          <w:highlight w:val="none"/>
          <w14:textFill>
            <w14:solidFill>
              <w14:schemeClr w14:val="tx1"/>
            </w14:solidFill>
          </w14:textFill>
        </w:rPr>
        <w:t>5.2纪检监督工作部</w:t>
      </w:r>
    </w:p>
    <w:p w14:paraId="48712F79">
      <w:pPr>
        <w:widowControl/>
        <w:spacing w:line="400" w:lineRule="exact"/>
        <w:ind w:firstLine="480" w:firstLineChars="200"/>
        <w:rPr>
          <w:rFonts w:hint="eastAsia" w:ascii="仿宋_GB2312" w:hAnsi="宋体" w:eastAsia="仿宋_GB2312" w:cs="宋体"/>
          <w:color w:val="000000" w:themeColor="text1"/>
          <w:kern w:val="0"/>
          <w:sz w:val="24"/>
          <w:szCs w:val="24"/>
          <w:highlight w:val="none"/>
          <w14:textFill>
            <w14:solidFill>
              <w14:schemeClr w14:val="tx1"/>
            </w14:solidFill>
          </w14:textFill>
        </w:rPr>
      </w:pPr>
      <w:r>
        <w:rPr>
          <w:rFonts w:hint="eastAsia" w:ascii="仿宋_GB2312" w:hAnsi="宋体" w:eastAsia="仿宋_GB2312" w:cs="宋体"/>
          <w:color w:val="000000" w:themeColor="text1"/>
          <w:kern w:val="0"/>
          <w:sz w:val="24"/>
          <w:szCs w:val="24"/>
          <w:highlight w:val="none"/>
          <w14:textFill>
            <w14:solidFill>
              <w14:schemeClr w14:val="tx1"/>
            </w14:solidFill>
          </w14:textFill>
        </w:rPr>
        <w:t>来信地址：石家庄市建设南大街38号中建路桥集团有限公司纪检监督工作部（收）</w:t>
      </w:r>
    </w:p>
    <w:p w14:paraId="21774485">
      <w:pPr>
        <w:widowControl/>
        <w:spacing w:line="400" w:lineRule="exact"/>
        <w:ind w:firstLine="480" w:firstLineChars="200"/>
        <w:rPr>
          <w:rFonts w:hint="eastAsia" w:ascii="仿宋_GB2312" w:hAnsi="宋体" w:eastAsia="仿宋_GB2312" w:cs="宋体"/>
          <w:color w:val="000000" w:themeColor="text1"/>
          <w:kern w:val="0"/>
          <w:sz w:val="24"/>
          <w:szCs w:val="24"/>
          <w:highlight w:val="none"/>
          <w14:textFill>
            <w14:solidFill>
              <w14:schemeClr w14:val="tx1"/>
            </w14:solidFill>
          </w14:textFill>
        </w:rPr>
      </w:pPr>
      <w:r>
        <w:rPr>
          <w:rFonts w:hint="eastAsia" w:ascii="仿宋_GB2312" w:hAnsi="宋体" w:eastAsia="仿宋_GB2312" w:cs="宋体"/>
          <w:color w:val="000000" w:themeColor="text1"/>
          <w:kern w:val="0"/>
          <w:sz w:val="24"/>
          <w:szCs w:val="24"/>
          <w:highlight w:val="none"/>
          <w14:textFill>
            <w14:solidFill>
              <w14:schemeClr w14:val="tx1"/>
            </w14:solidFill>
          </w14:textFill>
        </w:rPr>
        <w:t>邮编：050011</w:t>
      </w:r>
    </w:p>
    <w:p w14:paraId="006CAAF7">
      <w:pPr>
        <w:widowControl/>
        <w:spacing w:line="400" w:lineRule="exact"/>
        <w:ind w:firstLine="480" w:firstLineChars="200"/>
        <w:rPr>
          <w:rFonts w:hint="eastAsia" w:ascii="仿宋_GB2312" w:hAnsi="宋体" w:eastAsia="仿宋_GB2312" w:cs="宋体"/>
          <w:color w:val="000000" w:themeColor="text1"/>
          <w:kern w:val="0"/>
          <w:sz w:val="24"/>
          <w:szCs w:val="24"/>
          <w:highlight w:val="none"/>
          <w14:textFill>
            <w14:solidFill>
              <w14:schemeClr w14:val="tx1"/>
            </w14:solidFill>
          </w14:textFill>
        </w:rPr>
      </w:pPr>
      <w:r>
        <w:rPr>
          <w:rFonts w:hint="eastAsia" w:ascii="仿宋_GB2312" w:hAnsi="宋体" w:eastAsia="仿宋_GB2312" w:cs="宋体"/>
          <w:color w:val="000000" w:themeColor="text1"/>
          <w:kern w:val="0"/>
          <w:sz w:val="24"/>
          <w:szCs w:val="24"/>
          <w:highlight w:val="none"/>
          <w14:textFill>
            <w14:solidFill>
              <w14:schemeClr w14:val="tx1"/>
            </w14:solidFill>
          </w14:textFill>
        </w:rPr>
        <w:t>电话：0311-66538173</w:t>
      </w:r>
    </w:p>
    <w:p w14:paraId="417A90BF">
      <w:pPr>
        <w:widowControl/>
        <w:spacing w:line="400" w:lineRule="exact"/>
        <w:ind w:firstLine="480" w:firstLineChars="200"/>
        <w:rPr>
          <w:rFonts w:hint="eastAsia" w:ascii="仿宋_GB2312" w:hAnsi="宋体" w:eastAsia="仿宋_GB2312" w:cs="宋体"/>
          <w:color w:val="000000" w:themeColor="text1"/>
          <w:kern w:val="0"/>
          <w:sz w:val="24"/>
          <w:szCs w:val="24"/>
          <w:highlight w:val="none"/>
          <w14:textFill>
            <w14:solidFill>
              <w14:schemeClr w14:val="tx1"/>
            </w14:solidFill>
          </w14:textFill>
        </w:rPr>
      </w:pPr>
      <w:r>
        <w:rPr>
          <w:rFonts w:hint="eastAsia" w:ascii="仿宋_GB2312" w:hAnsi="宋体" w:eastAsia="仿宋_GB2312" w:cs="宋体"/>
          <w:color w:val="000000" w:themeColor="text1"/>
          <w:kern w:val="0"/>
          <w:sz w:val="24"/>
          <w:szCs w:val="24"/>
          <w:highlight w:val="none"/>
          <w14:textFill>
            <w14:solidFill>
              <w14:schemeClr w14:val="tx1"/>
            </w14:solidFill>
          </w14:textFill>
        </w:rPr>
        <w:t>电子邮箱：sinorbjc@cscec.com</w:t>
      </w:r>
    </w:p>
    <w:p w14:paraId="55D626A3">
      <w:pPr>
        <w:widowControl/>
        <w:spacing w:line="400" w:lineRule="exact"/>
        <w:ind w:firstLine="480" w:firstLineChars="200"/>
        <w:rPr>
          <w:rFonts w:ascii="仿宋_GB2312" w:hAnsi="宋体" w:eastAsia="仿宋_GB2312" w:cs="宋体"/>
          <w:color w:val="000000" w:themeColor="text1"/>
          <w:kern w:val="0"/>
          <w:sz w:val="24"/>
          <w:szCs w:val="24"/>
          <w:highlight w:val="none"/>
          <w14:textFill>
            <w14:solidFill>
              <w14:schemeClr w14:val="tx1"/>
            </w14:solidFill>
          </w14:textFill>
        </w:rPr>
      </w:pPr>
      <w:r>
        <w:rPr>
          <w:rFonts w:hint="eastAsia" w:ascii="仿宋_GB2312" w:hAnsi="宋体" w:eastAsia="仿宋_GB2312" w:cs="宋体"/>
          <w:color w:val="000000" w:themeColor="text1"/>
          <w:kern w:val="0"/>
          <w:sz w:val="24"/>
          <w:szCs w:val="24"/>
          <w:highlight w:val="none"/>
          <w:lang w:val="en-US" w:eastAsia="zh-CN"/>
          <w14:textFill>
            <w14:solidFill>
              <w14:schemeClr w14:val="tx1"/>
            </w14:solidFill>
          </w14:textFill>
        </w:rPr>
        <w:t>六</w:t>
      </w:r>
      <w:r>
        <w:rPr>
          <w:rFonts w:hint="eastAsia" w:ascii="仿宋_GB2312" w:hAnsi="宋体" w:eastAsia="仿宋_GB2312" w:cs="宋体"/>
          <w:color w:val="000000" w:themeColor="text1"/>
          <w:kern w:val="0"/>
          <w:sz w:val="24"/>
          <w:szCs w:val="24"/>
          <w:highlight w:val="none"/>
          <w14:textFill>
            <w14:solidFill>
              <w14:schemeClr w14:val="tx1"/>
            </w14:solidFill>
          </w14:textFill>
        </w:rPr>
        <w:t>、责任书有效期</w:t>
      </w:r>
    </w:p>
    <w:p w14:paraId="6C86980C">
      <w:pPr>
        <w:widowControl/>
        <w:spacing w:line="400" w:lineRule="exact"/>
        <w:ind w:firstLine="480" w:firstLineChars="200"/>
        <w:rPr>
          <w:rFonts w:ascii="仿宋_GB2312" w:hAnsi="宋体" w:eastAsia="仿宋_GB2312" w:cs="宋体"/>
          <w:color w:val="000000" w:themeColor="text1"/>
          <w:kern w:val="0"/>
          <w:sz w:val="24"/>
          <w:szCs w:val="24"/>
          <w:highlight w:val="none"/>
          <w14:textFill>
            <w14:solidFill>
              <w14:schemeClr w14:val="tx1"/>
            </w14:solidFill>
          </w14:textFill>
        </w:rPr>
      </w:pPr>
      <w:r>
        <w:rPr>
          <w:rFonts w:hint="eastAsia" w:ascii="仿宋_GB2312" w:hAnsi="宋体" w:eastAsia="仿宋_GB2312" w:cs="宋体"/>
          <w:color w:val="000000" w:themeColor="text1"/>
          <w:kern w:val="0"/>
          <w:sz w:val="24"/>
          <w:szCs w:val="24"/>
          <w:highlight w:val="none"/>
          <w14:textFill>
            <w14:solidFill>
              <w14:schemeClr w14:val="tx1"/>
            </w14:solidFill>
          </w14:textFill>
        </w:rPr>
        <w:t>本责任书的有效期为双方签署之日起至该工程项目竣工验收合格时止。</w:t>
      </w:r>
    </w:p>
    <w:p w14:paraId="765AD897">
      <w:pPr>
        <w:pStyle w:val="19"/>
        <w:spacing w:line="400" w:lineRule="exact"/>
        <w:rPr>
          <w:rFonts w:ascii="仿宋_GB2312" w:hAnsi="仿宋_GB2312" w:eastAsia="仿宋_GB2312" w:cs="仿宋_GB2312"/>
          <w:bCs/>
          <w:color w:val="000000" w:themeColor="text1"/>
          <w:highlight w:val="none"/>
          <w14:textFill>
            <w14:solidFill>
              <w14:schemeClr w14:val="tx1"/>
            </w14:solidFill>
          </w14:textFill>
        </w:rPr>
      </w:pPr>
    </w:p>
    <w:p w14:paraId="579E3387">
      <w:pPr>
        <w:spacing w:line="400" w:lineRule="exact"/>
        <w:ind w:firstLine="570"/>
        <w:rPr>
          <w:rFonts w:ascii="仿宋_GB2312" w:hAnsi="仿宋_GB2312" w:eastAsia="仿宋_GB2312" w:cs="仿宋_GB2312"/>
          <w:color w:val="000000" w:themeColor="text1"/>
          <w:sz w:val="24"/>
          <w:szCs w:val="24"/>
          <w:highlight w:val="none"/>
          <w14:textFill>
            <w14:solidFill>
              <w14:schemeClr w14:val="tx1"/>
            </w14:solidFill>
          </w14:textFill>
        </w:rPr>
      </w:pPr>
      <w:bookmarkStart w:id="66" w:name="_Hlk127200928"/>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甲方（盖章）：                        </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szCs w:val="24"/>
          <w:highlight w:val="none"/>
          <w14:textFill>
            <w14:solidFill>
              <w14:schemeClr w14:val="tx1"/>
            </w14:solidFill>
          </w14:textFill>
        </w:rPr>
        <w:t>乙方（</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盖</w:t>
      </w: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章）：                    </w:t>
      </w:r>
    </w:p>
    <w:p w14:paraId="3CD9F9ED">
      <w:pPr>
        <w:autoSpaceDE w:val="0"/>
        <w:autoSpaceDN w:val="0"/>
        <w:adjustRightInd w:val="0"/>
        <w:spacing w:line="400" w:lineRule="atLeast"/>
        <w:ind w:firstLine="720" w:firstLineChars="300"/>
        <w:rPr>
          <w:rFonts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 xml:space="preserve"> </w:t>
      </w:r>
      <w:bookmarkEnd w:id="66"/>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法定代表人：                           法定代表人：</w:t>
      </w:r>
    </w:p>
    <w:p w14:paraId="6253B1A7">
      <w:pPr>
        <w:autoSpaceDE w:val="0"/>
        <w:autoSpaceDN w:val="0"/>
        <w:adjustRightInd w:val="0"/>
        <w:spacing w:line="400" w:lineRule="atLeast"/>
        <w:ind w:firstLine="480" w:firstLineChars="200"/>
        <w:rPr>
          <w:rFonts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 xml:space="preserve">   </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 xml:space="preserve"> 或                                   </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 xml:space="preserve"> 或</w:t>
      </w:r>
    </w:p>
    <w:p w14:paraId="7E34205D">
      <w:pPr>
        <w:autoSpaceDE w:val="0"/>
        <w:autoSpaceDN w:val="0"/>
        <w:adjustRightInd w:val="0"/>
        <w:spacing w:line="400" w:lineRule="atLeast"/>
        <w:ind w:firstLine="720" w:firstLineChars="300"/>
        <w:rPr>
          <w:rFonts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被</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 xml:space="preserve">委托人：                           </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 xml:space="preserve">   被</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委托人：</w:t>
      </w:r>
    </w:p>
    <w:p w14:paraId="05D36F92">
      <w:pPr>
        <w:spacing w:line="400" w:lineRule="exact"/>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年  月  日    </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年  月  日 </w:t>
      </w:r>
    </w:p>
    <w:p w14:paraId="79FC7439">
      <w:pPr>
        <w:spacing w:line="400" w:lineRule="exact"/>
        <w:ind w:firstLine="5040" w:firstLineChars="2100"/>
        <w:rPr>
          <w:rFonts w:ascii="仿宋_GB2312" w:hAnsi="仿宋_GB2312" w:eastAsia="仿宋_GB2312" w:cs="仿宋_GB2312"/>
          <w:bCs/>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w:t>
      </w:r>
    </w:p>
    <w:p w14:paraId="59EB4A8D">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sectPr>
          <w:pgSz w:w="11906" w:h="16838"/>
          <w:pgMar w:top="1440" w:right="1800" w:bottom="1440" w:left="1800" w:header="850" w:footer="975" w:gutter="0"/>
          <w:cols w:space="0" w:num="1"/>
          <w:docGrid w:linePitch="312" w:charSpace="0"/>
        </w:sectPr>
      </w:pPr>
    </w:p>
    <w:p w14:paraId="1985E097">
      <w:pPr>
        <w:spacing w:before="120" w:after="120"/>
        <w:outlineLvl w:val="0"/>
        <w:rPr>
          <w:rFonts w:ascii="仿宋_GB2312" w:hAnsi="仿宋_GB2312" w:eastAsia="仿宋_GB2312" w:cs="仿宋_GB2312"/>
          <w:color w:val="000000" w:themeColor="text1"/>
          <w:sz w:val="30"/>
          <w:szCs w:val="30"/>
          <w:highlight w:val="none"/>
          <w14:textFill>
            <w14:solidFill>
              <w14:schemeClr w14:val="tx1"/>
            </w14:solidFill>
          </w14:textFill>
        </w:rPr>
      </w:pPr>
      <w:bookmarkStart w:id="67" w:name="_Toc14827"/>
      <w:r>
        <w:rPr>
          <w:rFonts w:hint="eastAsia" w:ascii="仿宋_GB2312" w:hAnsi="仿宋_GB2312" w:eastAsia="仿宋_GB2312" w:cs="仿宋_GB2312"/>
          <w:color w:val="000000" w:themeColor="text1"/>
          <w:sz w:val="30"/>
          <w:szCs w:val="30"/>
          <w:highlight w:val="none"/>
          <w14:textFill>
            <w14:solidFill>
              <w14:schemeClr w14:val="tx1"/>
            </w14:solidFill>
          </w14:textFill>
        </w:rPr>
        <w:t>附件六：</w:t>
      </w:r>
      <w:bookmarkEnd w:id="67"/>
    </w:p>
    <w:p w14:paraId="3A101E7A">
      <w:pPr>
        <w:spacing w:before="120" w:after="120"/>
        <w:jc w:val="center"/>
        <w:rPr>
          <w:rFonts w:ascii="仿宋_GB2312" w:hAnsi="仿宋_GB2312" w:eastAsia="仿宋_GB2312" w:cs="仿宋_GB2312"/>
          <w:color w:val="000000" w:themeColor="text1"/>
          <w:sz w:val="30"/>
          <w:szCs w:val="30"/>
          <w:highlight w:val="none"/>
          <w14:textFill>
            <w14:solidFill>
              <w14:schemeClr w14:val="tx1"/>
            </w14:solidFill>
          </w14:textFill>
        </w:rPr>
      </w:pPr>
      <w:r>
        <w:rPr>
          <w:rFonts w:hint="eastAsia" w:ascii="仿宋_GB2312" w:hAnsi="仿宋_GB2312" w:eastAsia="仿宋_GB2312" w:cs="仿宋_GB2312"/>
          <w:b/>
          <w:color w:val="000000" w:themeColor="text1"/>
          <w:sz w:val="30"/>
          <w:szCs w:val="30"/>
          <w:highlight w:val="none"/>
          <w14:textFill>
            <w14:solidFill>
              <w14:schemeClr w14:val="tx1"/>
            </w14:solidFill>
          </w14:textFill>
        </w:rPr>
        <w:t>商品混凝土进场验收验证记录表</w:t>
      </w:r>
    </w:p>
    <w:p w14:paraId="4D579C03">
      <w:pPr>
        <w:spacing w:before="120" w:after="120"/>
        <w:ind w:left="-422" w:firstLine="600"/>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项目名称：                                    供货单位：                              浇筑部位：       </w:t>
      </w:r>
    </w:p>
    <w:tbl>
      <w:tblPr>
        <w:tblStyle w:val="15"/>
        <w:tblW w:w="14803" w:type="dxa"/>
        <w:tblInd w:w="-317" w:type="dxa"/>
        <w:tblLayout w:type="fixed"/>
        <w:tblCellMar>
          <w:top w:w="0" w:type="dxa"/>
          <w:left w:w="108" w:type="dxa"/>
          <w:bottom w:w="0" w:type="dxa"/>
          <w:right w:w="108" w:type="dxa"/>
        </w:tblCellMar>
      </w:tblPr>
      <w:tblGrid>
        <w:gridCol w:w="533"/>
        <w:gridCol w:w="767"/>
        <w:gridCol w:w="845"/>
        <w:gridCol w:w="628"/>
        <w:gridCol w:w="629"/>
        <w:gridCol w:w="880"/>
        <w:gridCol w:w="880"/>
        <w:gridCol w:w="880"/>
        <w:gridCol w:w="881"/>
        <w:gridCol w:w="880"/>
        <w:gridCol w:w="880"/>
        <w:gridCol w:w="826"/>
        <w:gridCol w:w="1174"/>
        <w:gridCol w:w="1080"/>
        <w:gridCol w:w="879"/>
        <w:gridCol w:w="1007"/>
        <w:gridCol w:w="1154"/>
      </w:tblGrid>
      <w:tr w14:paraId="04BC2EF3">
        <w:tblPrEx>
          <w:tblCellMar>
            <w:top w:w="0" w:type="dxa"/>
            <w:left w:w="108" w:type="dxa"/>
            <w:bottom w:w="0" w:type="dxa"/>
            <w:right w:w="108" w:type="dxa"/>
          </w:tblCellMar>
        </w:tblPrEx>
        <w:tc>
          <w:tcPr>
            <w:tcW w:w="533"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87B17A0">
            <w:pPr>
              <w:spacing w:before="120" w:after="120"/>
              <w:jc w:val="center"/>
              <w:rPr>
                <w:rFonts w:ascii="仿宋_GB2312" w:hAnsi="仿宋_GB2312" w:eastAsia="仿宋_GB2312" w:cs="仿宋_GB2312"/>
                <w:color w:val="000000" w:themeColor="text1"/>
                <w:position w:val="-40"/>
                <w:sz w:val="24"/>
                <w:szCs w:val="24"/>
                <w:highlight w:val="none"/>
                <w14:textFill>
                  <w14:solidFill>
                    <w14:schemeClr w14:val="tx1"/>
                  </w14:solidFill>
                </w14:textFill>
              </w:rPr>
            </w:pPr>
            <w:permStart w:id="113" w:edGrp="everyone"/>
            <w:r>
              <w:rPr>
                <w:rFonts w:hint="eastAsia" w:ascii="仿宋_GB2312" w:hAnsi="仿宋_GB2312" w:eastAsia="仿宋_GB2312" w:cs="仿宋_GB2312"/>
                <w:color w:val="000000" w:themeColor="text1"/>
                <w:position w:val="-40"/>
                <w:sz w:val="24"/>
                <w:szCs w:val="24"/>
                <w:highlight w:val="none"/>
                <w14:textFill>
                  <w14:solidFill>
                    <w14:schemeClr w14:val="tx1"/>
                  </w14:solidFill>
                </w14:textFill>
              </w:rPr>
              <w:t>序</w:t>
            </w:r>
          </w:p>
          <w:p w14:paraId="1F8C11C2">
            <w:pPr>
              <w:spacing w:before="120" w:after="120"/>
              <w:jc w:val="center"/>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position w:val="-40"/>
                <w:sz w:val="24"/>
                <w:szCs w:val="24"/>
                <w:highlight w:val="none"/>
                <w14:textFill>
                  <w14:solidFill>
                    <w14:schemeClr w14:val="tx1"/>
                  </w14:solidFill>
                </w14:textFill>
              </w:rPr>
              <w:t>号</w:t>
            </w:r>
          </w:p>
        </w:tc>
        <w:tc>
          <w:tcPr>
            <w:tcW w:w="767"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BE0D312">
            <w:pPr>
              <w:spacing w:before="120" w:after="120"/>
              <w:jc w:val="center"/>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position w:val="-40"/>
                <w:sz w:val="24"/>
                <w:szCs w:val="24"/>
                <w:highlight w:val="none"/>
                <w14:textFill>
                  <w14:solidFill>
                    <w14:schemeClr w14:val="tx1"/>
                  </w14:solidFill>
                </w14:textFill>
              </w:rPr>
              <w:t>进场日期</w:t>
            </w:r>
          </w:p>
        </w:tc>
        <w:tc>
          <w:tcPr>
            <w:tcW w:w="845"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0D12009">
            <w:pPr>
              <w:spacing w:before="120" w:after="120"/>
              <w:ind w:right="-817"/>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position w:val="-60"/>
                <w:sz w:val="24"/>
                <w:szCs w:val="24"/>
                <w:highlight w:val="none"/>
                <w14:textFill>
                  <w14:solidFill>
                    <w14:schemeClr w14:val="tx1"/>
                  </w14:solidFill>
                </w14:textFill>
              </w:rPr>
              <w:t>车牌号</w:t>
            </w:r>
          </w:p>
        </w:tc>
        <w:tc>
          <w:tcPr>
            <w:tcW w:w="628"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E583855">
            <w:pPr>
              <w:spacing w:before="120" w:after="120"/>
              <w:ind w:right="-817"/>
              <w:rPr>
                <w:rFonts w:ascii="仿宋_GB2312" w:hAnsi="仿宋_GB2312" w:eastAsia="仿宋_GB2312" w:cs="仿宋_GB2312"/>
                <w:color w:val="000000" w:themeColor="text1"/>
                <w:position w:val="-40"/>
                <w:sz w:val="24"/>
                <w:szCs w:val="24"/>
                <w:highlight w:val="none"/>
                <w14:textFill>
                  <w14:solidFill>
                    <w14:schemeClr w14:val="tx1"/>
                  </w14:solidFill>
                </w14:textFill>
              </w:rPr>
            </w:pPr>
            <w:r>
              <w:rPr>
                <w:rFonts w:hint="eastAsia" w:ascii="仿宋_GB2312" w:hAnsi="仿宋_GB2312" w:eastAsia="仿宋_GB2312" w:cs="仿宋_GB2312"/>
                <w:color w:val="000000" w:themeColor="text1"/>
                <w:position w:val="-40"/>
                <w:sz w:val="24"/>
                <w:szCs w:val="24"/>
                <w:highlight w:val="none"/>
                <w14:textFill>
                  <w14:solidFill>
                    <w14:schemeClr w14:val="tx1"/>
                  </w14:solidFill>
                </w14:textFill>
              </w:rPr>
              <w:t>小票</w:t>
            </w:r>
          </w:p>
          <w:p w14:paraId="3CECAFA9">
            <w:pPr>
              <w:spacing w:before="120" w:after="120"/>
              <w:ind w:right="-817"/>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position w:val="-40"/>
                <w:sz w:val="24"/>
                <w:szCs w:val="24"/>
                <w:highlight w:val="none"/>
                <w14:textFill>
                  <w14:solidFill>
                    <w14:schemeClr w14:val="tx1"/>
                  </w14:solidFill>
                </w14:textFill>
              </w:rPr>
              <w:t>编号</w:t>
            </w:r>
          </w:p>
        </w:tc>
        <w:tc>
          <w:tcPr>
            <w:tcW w:w="629"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5738EBC">
            <w:pPr>
              <w:spacing w:before="120" w:after="120"/>
              <w:ind w:right="-817"/>
              <w:rPr>
                <w:rFonts w:ascii="仿宋_GB2312" w:hAnsi="仿宋_GB2312" w:eastAsia="仿宋_GB2312" w:cs="仿宋_GB2312"/>
                <w:color w:val="000000" w:themeColor="text1"/>
                <w:position w:val="-40"/>
                <w:sz w:val="24"/>
                <w:szCs w:val="24"/>
                <w:highlight w:val="none"/>
                <w14:textFill>
                  <w14:solidFill>
                    <w14:schemeClr w14:val="tx1"/>
                  </w14:solidFill>
                </w14:textFill>
              </w:rPr>
            </w:pPr>
            <w:r>
              <w:rPr>
                <w:rFonts w:hint="eastAsia" w:ascii="仿宋_GB2312" w:hAnsi="仿宋_GB2312" w:eastAsia="仿宋_GB2312" w:cs="仿宋_GB2312"/>
                <w:color w:val="000000" w:themeColor="text1"/>
                <w:position w:val="-40"/>
                <w:sz w:val="24"/>
                <w:szCs w:val="24"/>
                <w:highlight w:val="none"/>
                <w14:textFill>
                  <w14:solidFill>
                    <w14:schemeClr w14:val="tx1"/>
                  </w14:solidFill>
                </w14:textFill>
              </w:rPr>
              <w:t>强度</w:t>
            </w:r>
          </w:p>
          <w:p w14:paraId="6F562FCC">
            <w:pPr>
              <w:spacing w:before="120" w:after="120"/>
              <w:ind w:right="-817"/>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position w:val="-40"/>
                <w:sz w:val="24"/>
                <w:szCs w:val="24"/>
                <w:highlight w:val="none"/>
                <w14:textFill>
                  <w14:solidFill>
                    <w14:schemeClr w14:val="tx1"/>
                  </w14:solidFill>
                </w14:textFill>
              </w:rPr>
              <w:t>等级</w:t>
            </w:r>
          </w:p>
        </w:tc>
        <w:tc>
          <w:tcPr>
            <w:tcW w:w="1760"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5D8844B">
            <w:pPr>
              <w:spacing w:before="120" w:after="120"/>
              <w:ind w:right="-817" w:firstLine="330"/>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配合比容重</w:t>
            </w:r>
          </w:p>
          <w:p w14:paraId="7FF6F27E">
            <w:pPr>
              <w:spacing w:before="120" w:after="120"/>
              <w:ind w:right="-817" w:firstLine="330"/>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（kg/m3）</w:t>
            </w:r>
          </w:p>
        </w:tc>
        <w:tc>
          <w:tcPr>
            <w:tcW w:w="1761"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8A84E31">
            <w:pPr>
              <w:spacing w:before="120" w:after="120"/>
              <w:ind w:firstLine="220"/>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混凝土净重</w:t>
            </w:r>
          </w:p>
          <w:p w14:paraId="3B816444">
            <w:pPr>
              <w:spacing w:before="120" w:after="120"/>
              <w:ind w:firstLine="440"/>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（kg）</w:t>
            </w:r>
          </w:p>
        </w:tc>
        <w:tc>
          <w:tcPr>
            <w:tcW w:w="1760"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7CD4EA9">
            <w:pPr>
              <w:spacing w:before="120" w:after="120"/>
              <w:jc w:val="center"/>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混凝土体积</w:t>
            </w:r>
          </w:p>
          <w:p w14:paraId="3F5343F9">
            <w:pPr>
              <w:spacing w:before="120" w:after="120"/>
              <w:jc w:val="center"/>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（m3）</w:t>
            </w:r>
          </w:p>
        </w:tc>
        <w:tc>
          <w:tcPr>
            <w:tcW w:w="2000"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630AF24">
            <w:pPr>
              <w:spacing w:before="120" w:after="120"/>
              <w:ind w:firstLine="110"/>
              <w:jc w:val="center"/>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量差</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9056072">
            <w:pPr>
              <w:spacing w:before="120" w:after="120"/>
              <w:jc w:val="center"/>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合同约定计合同约定量方式</w:t>
            </w:r>
          </w:p>
        </w:tc>
        <w:tc>
          <w:tcPr>
            <w:tcW w:w="879"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A57A3E1">
            <w:pPr>
              <w:spacing w:before="120" w:after="120"/>
              <w:ind w:firstLine="31"/>
              <w:jc w:val="center"/>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position w:val="-30"/>
                <w:sz w:val="24"/>
                <w:szCs w:val="24"/>
                <w:highlight w:val="none"/>
                <w14:textFill>
                  <w14:solidFill>
                    <w14:schemeClr w14:val="tx1"/>
                  </w14:solidFill>
                </w14:textFill>
              </w:rPr>
              <w:t>实际验收方量</w:t>
            </w:r>
          </w:p>
        </w:tc>
        <w:tc>
          <w:tcPr>
            <w:tcW w:w="1007"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39E907E">
            <w:pPr>
              <w:spacing w:before="120" w:after="120"/>
              <w:ind w:firstLine="31"/>
              <w:jc w:val="center"/>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position w:val="-30"/>
                <w:sz w:val="24"/>
                <w:szCs w:val="24"/>
                <w:highlight w:val="none"/>
                <w14:textFill>
                  <w14:solidFill>
                    <w14:schemeClr w14:val="tx1"/>
                  </w14:solidFill>
                </w14:textFill>
              </w:rPr>
              <w:t>验收（证）人员</w:t>
            </w:r>
          </w:p>
        </w:tc>
        <w:tc>
          <w:tcPr>
            <w:tcW w:w="1154"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7683349">
            <w:pPr>
              <w:spacing w:before="120" w:after="120"/>
              <w:ind w:firstLine="31"/>
              <w:jc w:val="center"/>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position w:val="-30"/>
                <w:sz w:val="24"/>
                <w:szCs w:val="24"/>
                <w:highlight w:val="none"/>
                <w14:textFill>
                  <w14:solidFill>
                    <w14:schemeClr w14:val="tx1"/>
                  </w14:solidFill>
                </w14:textFill>
              </w:rPr>
              <w:t>供货单位确认人</w:t>
            </w:r>
          </w:p>
        </w:tc>
      </w:tr>
      <w:tr w14:paraId="2FA8E99F">
        <w:tblPrEx>
          <w:tblCellMar>
            <w:top w:w="0" w:type="dxa"/>
            <w:left w:w="108" w:type="dxa"/>
            <w:bottom w:w="0" w:type="dxa"/>
            <w:right w:w="108" w:type="dxa"/>
          </w:tblCellMar>
        </w:tblPrEx>
        <w:trPr>
          <w:trHeight w:val="941" w:hRule="atLeast"/>
        </w:trPr>
        <w:tc>
          <w:tcPr>
            <w:tcW w:w="533"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DF787FA">
            <w:pPr>
              <w:spacing w:before="120" w:after="120"/>
              <w:jc w:val="left"/>
              <w:rPr>
                <w:rFonts w:ascii="仿宋_GB2312" w:hAnsi="仿宋_GB2312" w:eastAsia="仿宋_GB2312" w:cs="仿宋_GB2312"/>
                <w:color w:val="000000" w:themeColor="text1"/>
                <w:sz w:val="24"/>
                <w:szCs w:val="24"/>
                <w:highlight w:val="none"/>
                <w14:textFill>
                  <w14:solidFill>
                    <w14:schemeClr w14:val="tx1"/>
                  </w14:solidFill>
                </w14:textFill>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F574F0E">
            <w:pPr>
              <w:spacing w:before="120" w:after="120"/>
              <w:jc w:val="left"/>
              <w:rPr>
                <w:rFonts w:ascii="仿宋_GB2312" w:hAnsi="仿宋_GB2312" w:eastAsia="仿宋_GB2312" w:cs="仿宋_GB2312"/>
                <w:color w:val="000000" w:themeColor="text1"/>
                <w:sz w:val="24"/>
                <w:szCs w:val="24"/>
                <w:highlight w:val="none"/>
                <w14:textFill>
                  <w14:solidFill>
                    <w14:schemeClr w14:val="tx1"/>
                  </w14:solidFill>
                </w14:textFill>
              </w:rPr>
            </w:pPr>
          </w:p>
        </w:tc>
        <w:tc>
          <w:tcPr>
            <w:tcW w:w="845"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B053C9A">
            <w:pPr>
              <w:spacing w:before="120" w:after="120"/>
              <w:jc w:val="left"/>
              <w:rPr>
                <w:rFonts w:ascii="仿宋_GB2312" w:hAnsi="仿宋_GB2312" w:eastAsia="仿宋_GB2312" w:cs="仿宋_GB2312"/>
                <w:color w:val="000000" w:themeColor="text1"/>
                <w:sz w:val="24"/>
                <w:szCs w:val="24"/>
                <w:highlight w:val="none"/>
                <w14:textFill>
                  <w14:solidFill>
                    <w14:schemeClr w14:val="tx1"/>
                  </w14:solidFill>
                </w14:textFill>
              </w:rPr>
            </w:pPr>
          </w:p>
        </w:tc>
        <w:tc>
          <w:tcPr>
            <w:tcW w:w="628"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DB0E360">
            <w:pPr>
              <w:spacing w:before="120" w:after="120"/>
              <w:jc w:val="left"/>
              <w:rPr>
                <w:rFonts w:ascii="仿宋_GB2312" w:hAnsi="仿宋_GB2312" w:eastAsia="仿宋_GB2312" w:cs="仿宋_GB2312"/>
                <w:color w:val="000000" w:themeColor="text1"/>
                <w:sz w:val="24"/>
                <w:szCs w:val="24"/>
                <w:highlight w:val="none"/>
                <w14:textFill>
                  <w14:solidFill>
                    <w14:schemeClr w14:val="tx1"/>
                  </w14:solidFill>
                </w14:textFill>
              </w:rPr>
            </w:pPr>
          </w:p>
        </w:tc>
        <w:tc>
          <w:tcPr>
            <w:tcW w:w="629"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D96C015">
            <w:pPr>
              <w:spacing w:before="120" w:after="120"/>
              <w:jc w:val="left"/>
              <w:rPr>
                <w:rFonts w:ascii="仿宋_GB2312" w:hAnsi="仿宋_GB2312" w:eastAsia="仿宋_GB2312" w:cs="仿宋_GB2312"/>
                <w:color w:val="000000" w:themeColor="text1"/>
                <w:sz w:val="24"/>
                <w:szCs w:val="24"/>
                <w:highlight w:val="none"/>
                <w14:textFill>
                  <w14:solidFill>
                    <w14:schemeClr w14:val="tx1"/>
                  </w14:solidFill>
                </w14:textFill>
              </w:rPr>
            </w:pPr>
          </w:p>
        </w:tc>
        <w:tc>
          <w:tcPr>
            <w:tcW w:w="8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F02F7C6">
            <w:pPr>
              <w:spacing w:before="120" w:after="120"/>
              <w:jc w:val="center"/>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position w:val="-32"/>
                <w:sz w:val="24"/>
                <w:szCs w:val="24"/>
                <w:highlight w:val="none"/>
                <w14:textFill>
                  <w14:solidFill>
                    <w14:schemeClr w14:val="tx1"/>
                  </w14:solidFill>
                </w14:textFill>
              </w:rPr>
              <w:t>标准值</w:t>
            </w:r>
          </w:p>
        </w:tc>
        <w:tc>
          <w:tcPr>
            <w:tcW w:w="8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27D9A15">
            <w:pPr>
              <w:spacing w:before="120" w:after="120"/>
              <w:jc w:val="center"/>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position w:val="-32"/>
                <w:sz w:val="24"/>
                <w:szCs w:val="24"/>
                <w:highlight w:val="none"/>
                <w14:textFill>
                  <w14:solidFill>
                    <w14:schemeClr w14:val="tx1"/>
                  </w14:solidFill>
                </w14:textFill>
              </w:rPr>
              <w:t>实测值</w:t>
            </w:r>
          </w:p>
        </w:tc>
        <w:tc>
          <w:tcPr>
            <w:tcW w:w="8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1E36201">
            <w:pPr>
              <w:spacing w:before="120" w:after="120"/>
              <w:jc w:val="center"/>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position w:val="-32"/>
                <w:sz w:val="24"/>
                <w:szCs w:val="24"/>
                <w:highlight w:val="none"/>
                <w14:textFill>
                  <w14:solidFill>
                    <w14:schemeClr w14:val="tx1"/>
                  </w14:solidFill>
                </w14:textFill>
              </w:rPr>
              <w:t>标准值</w:t>
            </w:r>
          </w:p>
        </w:tc>
        <w:tc>
          <w:tcPr>
            <w:tcW w:w="88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6AD75F2">
            <w:pPr>
              <w:spacing w:before="120" w:after="120"/>
              <w:jc w:val="center"/>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position w:val="-32"/>
                <w:sz w:val="24"/>
                <w:szCs w:val="24"/>
                <w:highlight w:val="none"/>
                <w14:textFill>
                  <w14:solidFill>
                    <w14:schemeClr w14:val="tx1"/>
                  </w14:solidFill>
                </w14:textFill>
              </w:rPr>
              <w:t>实测值</w:t>
            </w:r>
          </w:p>
        </w:tc>
        <w:tc>
          <w:tcPr>
            <w:tcW w:w="8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175D196">
            <w:pPr>
              <w:spacing w:before="120" w:after="120"/>
              <w:jc w:val="center"/>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position w:val="-32"/>
                <w:sz w:val="24"/>
                <w:szCs w:val="24"/>
                <w:highlight w:val="none"/>
                <w14:textFill>
                  <w14:solidFill>
                    <w14:schemeClr w14:val="tx1"/>
                  </w14:solidFill>
                </w14:textFill>
              </w:rPr>
              <w:t>标准值</w:t>
            </w:r>
          </w:p>
        </w:tc>
        <w:tc>
          <w:tcPr>
            <w:tcW w:w="8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EB6E539">
            <w:pPr>
              <w:spacing w:before="120" w:after="120"/>
              <w:jc w:val="center"/>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position w:val="-32"/>
                <w:sz w:val="24"/>
                <w:szCs w:val="24"/>
                <w:highlight w:val="none"/>
                <w14:textFill>
                  <w14:solidFill>
                    <w14:schemeClr w14:val="tx1"/>
                  </w14:solidFill>
                </w14:textFill>
              </w:rPr>
              <w:t>实测值</w:t>
            </w:r>
          </w:p>
        </w:tc>
        <w:tc>
          <w:tcPr>
            <w:tcW w:w="82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9552480">
            <w:pPr>
              <w:spacing w:before="120" w:after="120"/>
              <w:jc w:val="center"/>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数量</w:t>
            </w:r>
          </w:p>
        </w:tc>
        <w:tc>
          <w:tcPr>
            <w:tcW w:w="117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3057049">
            <w:pPr>
              <w:spacing w:before="120" w:after="120"/>
              <w:jc w:val="center"/>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误差（±1％以内）</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0A69E63">
            <w:pPr>
              <w:spacing w:before="120" w:after="120"/>
              <w:jc w:val="left"/>
              <w:rPr>
                <w:rFonts w:ascii="仿宋_GB2312" w:hAnsi="仿宋_GB2312" w:eastAsia="仿宋_GB2312" w:cs="仿宋_GB2312"/>
                <w:color w:val="000000" w:themeColor="text1"/>
                <w:sz w:val="24"/>
                <w:szCs w:val="24"/>
                <w:highlight w:val="none"/>
                <w14:textFill>
                  <w14:solidFill>
                    <w14:schemeClr w14:val="tx1"/>
                  </w14:solidFill>
                </w14:textFill>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CCDDDC7">
            <w:pPr>
              <w:spacing w:before="120" w:after="120"/>
              <w:jc w:val="left"/>
              <w:rPr>
                <w:rFonts w:ascii="仿宋_GB2312" w:hAnsi="仿宋_GB2312" w:eastAsia="仿宋_GB2312" w:cs="仿宋_GB2312"/>
                <w:color w:val="000000" w:themeColor="text1"/>
                <w:sz w:val="24"/>
                <w:szCs w:val="24"/>
                <w:highlight w:val="none"/>
                <w14:textFill>
                  <w14:solidFill>
                    <w14:schemeClr w14:val="tx1"/>
                  </w14:solidFill>
                </w14:textFill>
              </w:rPr>
            </w:pPr>
          </w:p>
        </w:tc>
        <w:tc>
          <w:tcPr>
            <w:tcW w:w="1007"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54A8683">
            <w:pPr>
              <w:spacing w:before="120" w:after="120"/>
              <w:jc w:val="left"/>
              <w:rPr>
                <w:rFonts w:ascii="仿宋_GB2312" w:hAnsi="仿宋_GB2312" w:eastAsia="仿宋_GB2312" w:cs="仿宋_GB2312"/>
                <w:color w:val="000000" w:themeColor="text1"/>
                <w:sz w:val="24"/>
                <w:szCs w:val="24"/>
                <w:highlight w:val="none"/>
                <w14:textFill>
                  <w14:solidFill>
                    <w14:schemeClr w14:val="tx1"/>
                  </w14:solidFill>
                </w14:textFill>
              </w:rPr>
            </w:pPr>
          </w:p>
        </w:tc>
        <w:tc>
          <w:tcPr>
            <w:tcW w:w="1154"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2949540">
            <w:pPr>
              <w:spacing w:before="120" w:after="120"/>
              <w:jc w:val="left"/>
              <w:rPr>
                <w:rFonts w:ascii="仿宋_GB2312" w:hAnsi="仿宋_GB2312" w:eastAsia="仿宋_GB2312" w:cs="仿宋_GB2312"/>
                <w:color w:val="000000" w:themeColor="text1"/>
                <w:sz w:val="24"/>
                <w:szCs w:val="24"/>
                <w:highlight w:val="none"/>
                <w14:textFill>
                  <w14:solidFill>
                    <w14:schemeClr w14:val="tx1"/>
                  </w14:solidFill>
                </w14:textFill>
              </w:rPr>
            </w:pPr>
          </w:p>
        </w:tc>
      </w:tr>
      <w:tr w14:paraId="1F748D1F">
        <w:tblPrEx>
          <w:tblCellMar>
            <w:top w:w="0" w:type="dxa"/>
            <w:left w:w="108" w:type="dxa"/>
            <w:bottom w:w="0" w:type="dxa"/>
            <w:right w:w="108" w:type="dxa"/>
          </w:tblCellMar>
        </w:tblPrEx>
        <w:tc>
          <w:tcPr>
            <w:tcW w:w="5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85C3326">
            <w:pPr>
              <w:spacing w:before="120" w:after="120"/>
              <w:jc w:val="center"/>
              <w:rPr>
                <w:rFonts w:ascii="仿宋_GB2312" w:hAnsi="仿宋_GB2312" w:eastAsia="仿宋_GB2312" w:cs="仿宋_GB2312"/>
                <w:color w:val="000000" w:themeColor="text1"/>
                <w:sz w:val="24"/>
                <w:szCs w:val="24"/>
                <w:highlight w:val="none"/>
                <w14:textFill>
                  <w14:solidFill>
                    <w14:schemeClr w14:val="tx1"/>
                  </w14:solidFill>
                </w14:textFill>
              </w:rPr>
            </w:pPr>
          </w:p>
        </w:tc>
        <w:tc>
          <w:tcPr>
            <w:tcW w:w="7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3A0EF01">
            <w:pPr>
              <w:spacing w:before="120" w:after="120"/>
              <w:jc w:val="left"/>
              <w:rPr>
                <w:rFonts w:ascii="仿宋_GB2312" w:hAnsi="仿宋_GB2312" w:eastAsia="仿宋_GB2312" w:cs="仿宋_GB2312"/>
                <w:color w:val="000000" w:themeColor="text1"/>
                <w:sz w:val="24"/>
                <w:szCs w:val="24"/>
                <w:highlight w:val="none"/>
                <w14:textFill>
                  <w14:solidFill>
                    <w14:schemeClr w14:val="tx1"/>
                  </w14:solidFill>
                </w14:textFill>
              </w:rPr>
            </w:pPr>
          </w:p>
        </w:tc>
        <w:tc>
          <w:tcPr>
            <w:tcW w:w="84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5FACAFB">
            <w:pPr>
              <w:spacing w:before="120" w:after="120"/>
              <w:rPr>
                <w:rFonts w:ascii="仿宋_GB2312" w:hAnsi="仿宋_GB2312" w:eastAsia="仿宋_GB2312" w:cs="仿宋_GB2312"/>
                <w:color w:val="000000" w:themeColor="text1"/>
                <w:sz w:val="24"/>
                <w:szCs w:val="24"/>
                <w:highlight w:val="none"/>
                <w14:textFill>
                  <w14:solidFill>
                    <w14:schemeClr w14:val="tx1"/>
                  </w14:solidFill>
                </w14:textFill>
              </w:rPr>
            </w:pPr>
          </w:p>
        </w:tc>
        <w:tc>
          <w:tcPr>
            <w:tcW w:w="6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C0EEF8D">
            <w:pPr>
              <w:spacing w:before="120" w:after="120"/>
              <w:rPr>
                <w:rFonts w:ascii="仿宋_GB2312" w:hAnsi="仿宋_GB2312" w:eastAsia="仿宋_GB2312" w:cs="仿宋_GB2312"/>
                <w:color w:val="000000" w:themeColor="text1"/>
                <w:sz w:val="24"/>
                <w:szCs w:val="24"/>
                <w:highlight w:val="none"/>
                <w14:textFill>
                  <w14:solidFill>
                    <w14:schemeClr w14:val="tx1"/>
                  </w14:solidFill>
                </w14:textFill>
              </w:rPr>
            </w:pPr>
          </w:p>
        </w:tc>
        <w:tc>
          <w:tcPr>
            <w:tcW w:w="62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900A565">
            <w:pPr>
              <w:spacing w:before="120" w:after="120"/>
              <w:rPr>
                <w:rFonts w:ascii="仿宋_GB2312" w:hAnsi="仿宋_GB2312" w:eastAsia="仿宋_GB2312" w:cs="仿宋_GB2312"/>
                <w:color w:val="000000" w:themeColor="text1"/>
                <w:sz w:val="24"/>
                <w:szCs w:val="24"/>
                <w:highlight w:val="none"/>
                <w14:textFill>
                  <w14:solidFill>
                    <w14:schemeClr w14:val="tx1"/>
                  </w14:solidFill>
                </w14:textFill>
              </w:rPr>
            </w:pPr>
          </w:p>
        </w:tc>
        <w:tc>
          <w:tcPr>
            <w:tcW w:w="8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A2154C4">
            <w:pPr>
              <w:spacing w:before="120" w:after="120"/>
              <w:jc w:val="center"/>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position w:val="-32"/>
                <w:sz w:val="24"/>
                <w:szCs w:val="24"/>
                <w:highlight w:val="none"/>
                <w14:textFill>
                  <w14:solidFill>
                    <w14:schemeClr w14:val="tx1"/>
                  </w14:solidFill>
                </w14:textFill>
              </w:rPr>
              <w:t>a</w:t>
            </w:r>
          </w:p>
        </w:tc>
        <w:tc>
          <w:tcPr>
            <w:tcW w:w="8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4745916">
            <w:pPr>
              <w:spacing w:before="120" w:after="120"/>
              <w:jc w:val="center"/>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position w:val="-32"/>
                <w:sz w:val="24"/>
                <w:szCs w:val="24"/>
                <w:highlight w:val="none"/>
                <w14:textFill>
                  <w14:solidFill>
                    <w14:schemeClr w14:val="tx1"/>
                  </w14:solidFill>
                </w14:textFill>
              </w:rPr>
              <w:t>b</w:t>
            </w:r>
          </w:p>
        </w:tc>
        <w:tc>
          <w:tcPr>
            <w:tcW w:w="8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D49397D">
            <w:pPr>
              <w:spacing w:before="120" w:after="120"/>
              <w:jc w:val="center"/>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position w:val="-32"/>
                <w:sz w:val="24"/>
                <w:szCs w:val="24"/>
                <w:highlight w:val="none"/>
                <w14:textFill>
                  <w14:solidFill>
                    <w14:schemeClr w14:val="tx1"/>
                  </w14:solidFill>
                </w14:textFill>
              </w:rPr>
              <w:t>c=a*e</w:t>
            </w:r>
          </w:p>
        </w:tc>
        <w:tc>
          <w:tcPr>
            <w:tcW w:w="88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18A4689">
            <w:pPr>
              <w:spacing w:before="120" w:after="120"/>
              <w:jc w:val="center"/>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position w:val="-32"/>
                <w:sz w:val="24"/>
                <w:szCs w:val="24"/>
                <w:highlight w:val="none"/>
                <w14:textFill>
                  <w14:solidFill>
                    <w14:schemeClr w14:val="tx1"/>
                  </w14:solidFill>
                </w14:textFill>
              </w:rPr>
              <w:t>d</w:t>
            </w:r>
          </w:p>
        </w:tc>
        <w:tc>
          <w:tcPr>
            <w:tcW w:w="8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C3E37FB">
            <w:pPr>
              <w:spacing w:before="120" w:after="120"/>
              <w:jc w:val="center"/>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position w:val="-32"/>
                <w:sz w:val="24"/>
                <w:szCs w:val="24"/>
                <w:highlight w:val="none"/>
                <w14:textFill>
                  <w14:solidFill>
                    <w14:schemeClr w14:val="tx1"/>
                  </w14:solidFill>
                </w14:textFill>
              </w:rPr>
              <w:t>e</w:t>
            </w:r>
          </w:p>
        </w:tc>
        <w:tc>
          <w:tcPr>
            <w:tcW w:w="8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EC0523A">
            <w:pPr>
              <w:spacing w:before="120" w:after="120"/>
              <w:jc w:val="center"/>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position w:val="-32"/>
                <w:sz w:val="24"/>
                <w:szCs w:val="24"/>
                <w:highlight w:val="none"/>
                <w14:textFill>
                  <w14:solidFill>
                    <w14:schemeClr w14:val="tx1"/>
                  </w14:solidFill>
                </w14:textFill>
              </w:rPr>
              <w:t>f=d/b</w:t>
            </w:r>
          </w:p>
        </w:tc>
        <w:tc>
          <w:tcPr>
            <w:tcW w:w="82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B50F7A9">
            <w:pPr>
              <w:spacing w:before="120" w:after="120"/>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b-a</w:t>
            </w:r>
          </w:p>
        </w:tc>
        <w:tc>
          <w:tcPr>
            <w:tcW w:w="117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3E7E57E">
            <w:pPr>
              <w:spacing w:before="120" w:after="120"/>
              <w:jc w:val="center"/>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(b-a)/a</w:t>
            </w:r>
          </w:p>
        </w:tc>
        <w:tc>
          <w:tcPr>
            <w:tcW w:w="10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CDF7689">
            <w:pPr>
              <w:spacing w:before="120" w:after="120"/>
              <w:rPr>
                <w:rFonts w:ascii="仿宋_GB2312" w:hAnsi="仿宋_GB2312" w:eastAsia="仿宋_GB2312" w:cs="仿宋_GB2312"/>
                <w:color w:val="000000" w:themeColor="text1"/>
                <w:sz w:val="24"/>
                <w:szCs w:val="24"/>
                <w:highlight w:val="none"/>
                <w14:textFill>
                  <w14:solidFill>
                    <w14:schemeClr w14:val="tx1"/>
                  </w14:solidFill>
                </w14:textFill>
              </w:rPr>
            </w:pPr>
          </w:p>
        </w:tc>
        <w:tc>
          <w:tcPr>
            <w:tcW w:w="87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01BD257">
            <w:pPr>
              <w:spacing w:before="120" w:after="120"/>
              <w:rPr>
                <w:rFonts w:ascii="仿宋_GB2312" w:hAnsi="仿宋_GB2312" w:eastAsia="仿宋_GB2312" w:cs="仿宋_GB2312"/>
                <w:color w:val="000000" w:themeColor="text1"/>
                <w:sz w:val="24"/>
                <w:szCs w:val="24"/>
                <w:highlight w:val="none"/>
                <w14:textFill>
                  <w14:solidFill>
                    <w14:schemeClr w14:val="tx1"/>
                  </w14:solidFill>
                </w14:textFill>
              </w:rPr>
            </w:pPr>
          </w:p>
        </w:tc>
        <w:tc>
          <w:tcPr>
            <w:tcW w:w="10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43C10B2">
            <w:pPr>
              <w:spacing w:before="120" w:after="120"/>
              <w:rPr>
                <w:rFonts w:ascii="仿宋_GB2312" w:hAnsi="仿宋_GB2312" w:eastAsia="仿宋_GB2312" w:cs="仿宋_GB2312"/>
                <w:color w:val="000000" w:themeColor="text1"/>
                <w:sz w:val="24"/>
                <w:szCs w:val="24"/>
                <w:highlight w:val="none"/>
                <w14:textFill>
                  <w14:solidFill>
                    <w14:schemeClr w14:val="tx1"/>
                  </w14:solidFill>
                </w14:textFill>
              </w:rPr>
            </w:pPr>
          </w:p>
        </w:tc>
        <w:tc>
          <w:tcPr>
            <w:tcW w:w="115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01A2673">
            <w:pPr>
              <w:spacing w:before="120" w:after="120"/>
              <w:rPr>
                <w:rFonts w:ascii="仿宋_GB2312" w:hAnsi="仿宋_GB2312" w:eastAsia="仿宋_GB2312" w:cs="仿宋_GB2312"/>
                <w:color w:val="000000" w:themeColor="text1"/>
                <w:sz w:val="24"/>
                <w:szCs w:val="24"/>
                <w:highlight w:val="none"/>
                <w14:textFill>
                  <w14:solidFill>
                    <w14:schemeClr w14:val="tx1"/>
                  </w14:solidFill>
                </w14:textFill>
              </w:rPr>
            </w:pPr>
          </w:p>
        </w:tc>
      </w:tr>
      <w:tr w14:paraId="082DA5EB">
        <w:tblPrEx>
          <w:tblCellMar>
            <w:top w:w="0" w:type="dxa"/>
            <w:left w:w="108" w:type="dxa"/>
            <w:bottom w:w="0" w:type="dxa"/>
            <w:right w:w="108" w:type="dxa"/>
          </w:tblCellMar>
        </w:tblPrEx>
        <w:tc>
          <w:tcPr>
            <w:tcW w:w="5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FF20B55">
            <w:pPr>
              <w:spacing w:before="120" w:after="120"/>
              <w:jc w:val="center"/>
              <w:rPr>
                <w:rFonts w:ascii="仿宋_GB2312" w:hAnsi="仿宋_GB2312" w:eastAsia="仿宋_GB2312" w:cs="仿宋_GB2312"/>
                <w:color w:val="000000" w:themeColor="text1"/>
                <w:sz w:val="24"/>
                <w:szCs w:val="24"/>
                <w:highlight w:val="none"/>
                <w14:textFill>
                  <w14:solidFill>
                    <w14:schemeClr w14:val="tx1"/>
                  </w14:solidFill>
                </w14:textFill>
              </w:rPr>
            </w:pPr>
          </w:p>
        </w:tc>
        <w:tc>
          <w:tcPr>
            <w:tcW w:w="7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F7CB4C4">
            <w:pPr>
              <w:spacing w:before="120" w:after="120"/>
              <w:jc w:val="left"/>
              <w:rPr>
                <w:rFonts w:ascii="仿宋_GB2312" w:hAnsi="仿宋_GB2312" w:eastAsia="仿宋_GB2312" w:cs="仿宋_GB2312"/>
                <w:color w:val="000000" w:themeColor="text1"/>
                <w:sz w:val="24"/>
                <w:szCs w:val="24"/>
                <w:highlight w:val="none"/>
                <w14:textFill>
                  <w14:solidFill>
                    <w14:schemeClr w14:val="tx1"/>
                  </w14:solidFill>
                </w14:textFill>
              </w:rPr>
            </w:pPr>
          </w:p>
        </w:tc>
        <w:tc>
          <w:tcPr>
            <w:tcW w:w="84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E31604C">
            <w:pPr>
              <w:spacing w:before="120" w:after="120"/>
              <w:rPr>
                <w:rFonts w:ascii="仿宋_GB2312" w:hAnsi="仿宋_GB2312" w:eastAsia="仿宋_GB2312" w:cs="仿宋_GB2312"/>
                <w:color w:val="000000" w:themeColor="text1"/>
                <w:sz w:val="24"/>
                <w:szCs w:val="24"/>
                <w:highlight w:val="none"/>
                <w14:textFill>
                  <w14:solidFill>
                    <w14:schemeClr w14:val="tx1"/>
                  </w14:solidFill>
                </w14:textFill>
              </w:rPr>
            </w:pPr>
          </w:p>
        </w:tc>
        <w:tc>
          <w:tcPr>
            <w:tcW w:w="6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E3D8DCC">
            <w:pPr>
              <w:spacing w:before="120" w:after="120"/>
              <w:rPr>
                <w:rFonts w:ascii="仿宋_GB2312" w:hAnsi="仿宋_GB2312" w:eastAsia="仿宋_GB2312" w:cs="仿宋_GB2312"/>
                <w:color w:val="000000" w:themeColor="text1"/>
                <w:sz w:val="24"/>
                <w:szCs w:val="24"/>
                <w:highlight w:val="none"/>
                <w14:textFill>
                  <w14:solidFill>
                    <w14:schemeClr w14:val="tx1"/>
                  </w14:solidFill>
                </w14:textFill>
              </w:rPr>
            </w:pPr>
          </w:p>
        </w:tc>
        <w:tc>
          <w:tcPr>
            <w:tcW w:w="62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6AAA565">
            <w:pPr>
              <w:spacing w:before="120" w:after="120"/>
              <w:rPr>
                <w:rFonts w:ascii="仿宋_GB2312" w:hAnsi="仿宋_GB2312" w:eastAsia="仿宋_GB2312" w:cs="仿宋_GB2312"/>
                <w:color w:val="000000" w:themeColor="text1"/>
                <w:sz w:val="24"/>
                <w:szCs w:val="24"/>
                <w:highlight w:val="none"/>
                <w14:textFill>
                  <w14:solidFill>
                    <w14:schemeClr w14:val="tx1"/>
                  </w14:solidFill>
                </w14:textFill>
              </w:rPr>
            </w:pPr>
          </w:p>
        </w:tc>
        <w:tc>
          <w:tcPr>
            <w:tcW w:w="8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E0E3C5D">
            <w:pPr>
              <w:spacing w:before="120" w:after="120"/>
              <w:jc w:val="center"/>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position w:val="-32"/>
                <w:sz w:val="24"/>
                <w:szCs w:val="24"/>
                <w:highlight w:val="none"/>
                <w14:textFill>
                  <w14:solidFill>
                    <w14:schemeClr w14:val="tx1"/>
                  </w14:solidFill>
                </w14:textFill>
              </w:rPr>
              <w:t>a</w:t>
            </w:r>
          </w:p>
        </w:tc>
        <w:tc>
          <w:tcPr>
            <w:tcW w:w="8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EAF4D1C">
            <w:pPr>
              <w:spacing w:before="120" w:after="120"/>
              <w:jc w:val="center"/>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position w:val="-32"/>
                <w:sz w:val="24"/>
                <w:szCs w:val="24"/>
                <w:highlight w:val="none"/>
                <w14:textFill>
                  <w14:solidFill>
                    <w14:schemeClr w14:val="tx1"/>
                  </w14:solidFill>
                </w14:textFill>
              </w:rPr>
              <w:t>b</w:t>
            </w:r>
          </w:p>
        </w:tc>
        <w:tc>
          <w:tcPr>
            <w:tcW w:w="8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179E7F8">
            <w:pPr>
              <w:spacing w:before="120" w:after="120"/>
              <w:jc w:val="center"/>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position w:val="-32"/>
                <w:sz w:val="24"/>
                <w:szCs w:val="24"/>
                <w:highlight w:val="none"/>
                <w14:textFill>
                  <w14:solidFill>
                    <w14:schemeClr w14:val="tx1"/>
                  </w14:solidFill>
                </w14:textFill>
              </w:rPr>
              <w:t>c=a*e</w:t>
            </w:r>
          </w:p>
        </w:tc>
        <w:tc>
          <w:tcPr>
            <w:tcW w:w="88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537A9B4">
            <w:pPr>
              <w:spacing w:before="120" w:after="120"/>
              <w:jc w:val="center"/>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position w:val="-32"/>
                <w:sz w:val="24"/>
                <w:szCs w:val="24"/>
                <w:highlight w:val="none"/>
                <w14:textFill>
                  <w14:solidFill>
                    <w14:schemeClr w14:val="tx1"/>
                  </w14:solidFill>
                </w14:textFill>
              </w:rPr>
              <w:t>d</w:t>
            </w:r>
          </w:p>
        </w:tc>
        <w:tc>
          <w:tcPr>
            <w:tcW w:w="8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B36952A">
            <w:pPr>
              <w:spacing w:before="120" w:after="120"/>
              <w:jc w:val="center"/>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position w:val="-32"/>
                <w:sz w:val="24"/>
                <w:szCs w:val="24"/>
                <w:highlight w:val="none"/>
                <w14:textFill>
                  <w14:solidFill>
                    <w14:schemeClr w14:val="tx1"/>
                  </w14:solidFill>
                </w14:textFill>
              </w:rPr>
              <w:t>e</w:t>
            </w:r>
          </w:p>
        </w:tc>
        <w:tc>
          <w:tcPr>
            <w:tcW w:w="8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05A1AD1">
            <w:pPr>
              <w:spacing w:before="120" w:after="120"/>
              <w:jc w:val="center"/>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position w:val="-32"/>
                <w:sz w:val="24"/>
                <w:szCs w:val="24"/>
                <w:highlight w:val="none"/>
                <w14:textFill>
                  <w14:solidFill>
                    <w14:schemeClr w14:val="tx1"/>
                  </w14:solidFill>
                </w14:textFill>
              </w:rPr>
              <w:t>f=d/b</w:t>
            </w:r>
          </w:p>
        </w:tc>
        <w:tc>
          <w:tcPr>
            <w:tcW w:w="82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FBA5D7D">
            <w:pPr>
              <w:spacing w:before="120" w:after="120"/>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d-c</w:t>
            </w:r>
          </w:p>
        </w:tc>
        <w:tc>
          <w:tcPr>
            <w:tcW w:w="117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C7DA3E5">
            <w:pPr>
              <w:spacing w:before="120" w:after="120"/>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(d-c)/c</w:t>
            </w:r>
          </w:p>
        </w:tc>
        <w:tc>
          <w:tcPr>
            <w:tcW w:w="10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7A1E4C9">
            <w:pPr>
              <w:spacing w:before="120" w:after="120"/>
              <w:rPr>
                <w:rFonts w:ascii="仿宋_GB2312" w:hAnsi="仿宋_GB2312" w:eastAsia="仿宋_GB2312" w:cs="仿宋_GB2312"/>
                <w:color w:val="000000" w:themeColor="text1"/>
                <w:sz w:val="24"/>
                <w:szCs w:val="24"/>
                <w:highlight w:val="none"/>
                <w14:textFill>
                  <w14:solidFill>
                    <w14:schemeClr w14:val="tx1"/>
                  </w14:solidFill>
                </w14:textFill>
              </w:rPr>
            </w:pPr>
          </w:p>
        </w:tc>
        <w:tc>
          <w:tcPr>
            <w:tcW w:w="87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4306E2D">
            <w:pPr>
              <w:spacing w:before="120" w:after="120"/>
              <w:rPr>
                <w:rFonts w:ascii="仿宋_GB2312" w:hAnsi="仿宋_GB2312" w:eastAsia="仿宋_GB2312" w:cs="仿宋_GB2312"/>
                <w:color w:val="000000" w:themeColor="text1"/>
                <w:sz w:val="24"/>
                <w:szCs w:val="24"/>
                <w:highlight w:val="none"/>
                <w14:textFill>
                  <w14:solidFill>
                    <w14:schemeClr w14:val="tx1"/>
                  </w14:solidFill>
                </w14:textFill>
              </w:rPr>
            </w:pPr>
          </w:p>
        </w:tc>
        <w:tc>
          <w:tcPr>
            <w:tcW w:w="10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B39F60B">
            <w:pPr>
              <w:spacing w:before="120" w:after="120"/>
              <w:rPr>
                <w:rFonts w:ascii="仿宋_GB2312" w:hAnsi="仿宋_GB2312" w:eastAsia="仿宋_GB2312" w:cs="仿宋_GB2312"/>
                <w:color w:val="000000" w:themeColor="text1"/>
                <w:sz w:val="24"/>
                <w:szCs w:val="24"/>
                <w:highlight w:val="none"/>
                <w14:textFill>
                  <w14:solidFill>
                    <w14:schemeClr w14:val="tx1"/>
                  </w14:solidFill>
                </w14:textFill>
              </w:rPr>
            </w:pPr>
          </w:p>
        </w:tc>
        <w:tc>
          <w:tcPr>
            <w:tcW w:w="115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C34E036">
            <w:pPr>
              <w:spacing w:before="120" w:after="120"/>
              <w:rPr>
                <w:rFonts w:ascii="仿宋_GB2312" w:hAnsi="仿宋_GB2312" w:eastAsia="仿宋_GB2312" w:cs="仿宋_GB2312"/>
                <w:color w:val="000000" w:themeColor="text1"/>
                <w:sz w:val="24"/>
                <w:szCs w:val="24"/>
                <w:highlight w:val="none"/>
                <w14:textFill>
                  <w14:solidFill>
                    <w14:schemeClr w14:val="tx1"/>
                  </w14:solidFill>
                </w14:textFill>
              </w:rPr>
            </w:pPr>
          </w:p>
        </w:tc>
      </w:tr>
      <w:tr w14:paraId="2F9B6F3B">
        <w:tblPrEx>
          <w:tblCellMar>
            <w:top w:w="0" w:type="dxa"/>
            <w:left w:w="108" w:type="dxa"/>
            <w:bottom w:w="0" w:type="dxa"/>
            <w:right w:w="108" w:type="dxa"/>
          </w:tblCellMar>
        </w:tblPrEx>
        <w:trPr>
          <w:trHeight w:val="780" w:hRule="atLeast"/>
        </w:trPr>
        <w:tc>
          <w:tcPr>
            <w:tcW w:w="5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EE748D1">
            <w:pPr>
              <w:spacing w:before="120" w:after="120"/>
              <w:ind w:firstLine="240"/>
              <w:rPr>
                <w:rFonts w:ascii="仿宋_GB2312" w:hAnsi="仿宋_GB2312" w:eastAsia="仿宋_GB2312" w:cs="仿宋_GB2312"/>
                <w:color w:val="000000" w:themeColor="text1"/>
                <w:sz w:val="24"/>
                <w:szCs w:val="24"/>
                <w:highlight w:val="none"/>
                <w14:textFill>
                  <w14:solidFill>
                    <w14:schemeClr w14:val="tx1"/>
                  </w14:solidFill>
                </w14:textFill>
              </w:rPr>
            </w:pPr>
          </w:p>
        </w:tc>
        <w:tc>
          <w:tcPr>
            <w:tcW w:w="7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B929D8C">
            <w:pPr>
              <w:spacing w:before="120" w:after="120"/>
              <w:jc w:val="left"/>
              <w:rPr>
                <w:rFonts w:ascii="仿宋_GB2312" w:hAnsi="仿宋_GB2312" w:eastAsia="仿宋_GB2312" w:cs="仿宋_GB2312"/>
                <w:color w:val="000000" w:themeColor="text1"/>
                <w:sz w:val="24"/>
                <w:szCs w:val="24"/>
                <w:highlight w:val="none"/>
                <w14:textFill>
                  <w14:solidFill>
                    <w14:schemeClr w14:val="tx1"/>
                  </w14:solidFill>
                </w14:textFill>
              </w:rPr>
            </w:pPr>
          </w:p>
        </w:tc>
        <w:tc>
          <w:tcPr>
            <w:tcW w:w="84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C99477A">
            <w:pPr>
              <w:spacing w:before="120" w:after="120"/>
              <w:rPr>
                <w:rFonts w:ascii="仿宋_GB2312" w:hAnsi="仿宋_GB2312" w:eastAsia="仿宋_GB2312" w:cs="仿宋_GB2312"/>
                <w:color w:val="000000" w:themeColor="text1"/>
                <w:sz w:val="24"/>
                <w:szCs w:val="24"/>
                <w:highlight w:val="none"/>
                <w14:textFill>
                  <w14:solidFill>
                    <w14:schemeClr w14:val="tx1"/>
                  </w14:solidFill>
                </w14:textFill>
              </w:rPr>
            </w:pPr>
          </w:p>
        </w:tc>
        <w:tc>
          <w:tcPr>
            <w:tcW w:w="6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437F93E">
            <w:pPr>
              <w:spacing w:before="120" w:after="120"/>
              <w:rPr>
                <w:rFonts w:ascii="仿宋_GB2312" w:hAnsi="仿宋_GB2312" w:eastAsia="仿宋_GB2312" w:cs="仿宋_GB2312"/>
                <w:color w:val="000000" w:themeColor="text1"/>
                <w:sz w:val="24"/>
                <w:szCs w:val="24"/>
                <w:highlight w:val="none"/>
                <w14:textFill>
                  <w14:solidFill>
                    <w14:schemeClr w14:val="tx1"/>
                  </w14:solidFill>
                </w14:textFill>
              </w:rPr>
            </w:pPr>
          </w:p>
        </w:tc>
        <w:tc>
          <w:tcPr>
            <w:tcW w:w="62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A2B7545">
            <w:pPr>
              <w:spacing w:before="120" w:after="120"/>
              <w:rPr>
                <w:rFonts w:ascii="仿宋_GB2312" w:hAnsi="仿宋_GB2312" w:eastAsia="仿宋_GB2312" w:cs="仿宋_GB2312"/>
                <w:color w:val="000000" w:themeColor="text1"/>
                <w:sz w:val="24"/>
                <w:szCs w:val="24"/>
                <w:highlight w:val="none"/>
                <w14:textFill>
                  <w14:solidFill>
                    <w14:schemeClr w14:val="tx1"/>
                  </w14:solidFill>
                </w14:textFill>
              </w:rPr>
            </w:pPr>
          </w:p>
        </w:tc>
        <w:tc>
          <w:tcPr>
            <w:tcW w:w="8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D10402F">
            <w:pPr>
              <w:spacing w:before="120" w:after="120"/>
              <w:rPr>
                <w:rFonts w:ascii="仿宋_GB2312" w:hAnsi="仿宋_GB2312" w:eastAsia="仿宋_GB2312" w:cs="仿宋_GB2312"/>
                <w:color w:val="000000" w:themeColor="text1"/>
                <w:sz w:val="24"/>
                <w:szCs w:val="24"/>
                <w:highlight w:val="none"/>
                <w14:textFill>
                  <w14:solidFill>
                    <w14:schemeClr w14:val="tx1"/>
                  </w14:solidFill>
                </w14:textFill>
              </w:rPr>
            </w:pPr>
          </w:p>
        </w:tc>
        <w:tc>
          <w:tcPr>
            <w:tcW w:w="8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62A0A67">
            <w:pPr>
              <w:spacing w:before="120" w:after="120"/>
              <w:rPr>
                <w:rFonts w:ascii="仿宋_GB2312" w:hAnsi="仿宋_GB2312" w:eastAsia="仿宋_GB2312" w:cs="仿宋_GB2312"/>
                <w:color w:val="000000" w:themeColor="text1"/>
                <w:sz w:val="24"/>
                <w:szCs w:val="24"/>
                <w:highlight w:val="none"/>
                <w14:textFill>
                  <w14:solidFill>
                    <w14:schemeClr w14:val="tx1"/>
                  </w14:solidFill>
                </w14:textFill>
              </w:rPr>
            </w:pPr>
          </w:p>
        </w:tc>
        <w:tc>
          <w:tcPr>
            <w:tcW w:w="8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F624C85">
            <w:pPr>
              <w:spacing w:before="120" w:after="120"/>
              <w:rPr>
                <w:rFonts w:ascii="仿宋_GB2312" w:hAnsi="仿宋_GB2312" w:eastAsia="仿宋_GB2312" w:cs="仿宋_GB2312"/>
                <w:color w:val="000000" w:themeColor="text1"/>
                <w:sz w:val="24"/>
                <w:szCs w:val="24"/>
                <w:highlight w:val="none"/>
                <w14:textFill>
                  <w14:solidFill>
                    <w14:schemeClr w14:val="tx1"/>
                  </w14:solidFill>
                </w14:textFill>
              </w:rPr>
            </w:pPr>
          </w:p>
        </w:tc>
        <w:tc>
          <w:tcPr>
            <w:tcW w:w="88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1183EEF">
            <w:pPr>
              <w:spacing w:before="120" w:after="120"/>
              <w:rPr>
                <w:rFonts w:ascii="仿宋_GB2312" w:hAnsi="仿宋_GB2312" w:eastAsia="仿宋_GB2312" w:cs="仿宋_GB2312"/>
                <w:color w:val="000000" w:themeColor="text1"/>
                <w:sz w:val="24"/>
                <w:szCs w:val="24"/>
                <w:highlight w:val="none"/>
                <w14:textFill>
                  <w14:solidFill>
                    <w14:schemeClr w14:val="tx1"/>
                  </w14:solidFill>
                </w14:textFill>
              </w:rPr>
            </w:pPr>
          </w:p>
        </w:tc>
        <w:tc>
          <w:tcPr>
            <w:tcW w:w="8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ABF1209">
            <w:pPr>
              <w:spacing w:before="120" w:after="120"/>
              <w:rPr>
                <w:rFonts w:ascii="仿宋_GB2312" w:hAnsi="仿宋_GB2312" w:eastAsia="仿宋_GB2312" w:cs="仿宋_GB2312"/>
                <w:color w:val="000000" w:themeColor="text1"/>
                <w:sz w:val="24"/>
                <w:szCs w:val="24"/>
                <w:highlight w:val="none"/>
                <w14:textFill>
                  <w14:solidFill>
                    <w14:schemeClr w14:val="tx1"/>
                  </w14:solidFill>
                </w14:textFill>
              </w:rPr>
            </w:pPr>
          </w:p>
        </w:tc>
        <w:tc>
          <w:tcPr>
            <w:tcW w:w="8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9734451">
            <w:pPr>
              <w:spacing w:before="120" w:after="120"/>
              <w:rPr>
                <w:rFonts w:ascii="仿宋_GB2312" w:hAnsi="仿宋_GB2312" w:eastAsia="仿宋_GB2312" w:cs="仿宋_GB2312"/>
                <w:color w:val="000000" w:themeColor="text1"/>
                <w:sz w:val="24"/>
                <w:szCs w:val="24"/>
                <w:highlight w:val="none"/>
                <w14:textFill>
                  <w14:solidFill>
                    <w14:schemeClr w14:val="tx1"/>
                  </w14:solidFill>
                </w14:textFill>
              </w:rPr>
            </w:pPr>
          </w:p>
        </w:tc>
        <w:tc>
          <w:tcPr>
            <w:tcW w:w="82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F4B5D66">
            <w:pPr>
              <w:spacing w:before="120" w:after="120"/>
              <w:rPr>
                <w:rFonts w:ascii="仿宋_GB2312" w:hAnsi="仿宋_GB2312" w:eastAsia="仿宋_GB2312" w:cs="仿宋_GB2312"/>
                <w:color w:val="000000" w:themeColor="text1"/>
                <w:sz w:val="24"/>
                <w:szCs w:val="24"/>
                <w:highlight w:val="none"/>
                <w14:textFill>
                  <w14:solidFill>
                    <w14:schemeClr w14:val="tx1"/>
                  </w14:solidFill>
                </w14:textFill>
              </w:rPr>
            </w:pPr>
          </w:p>
        </w:tc>
        <w:tc>
          <w:tcPr>
            <w:tcW w:w="117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2C80FAB">
            <w:pPr>
              <w:spacing w:before="120" w:after="120"/>
              <w:rPr>
                <w:rFonts w:ascii="仿宋_GB2312" w:hAnsi="仿宋_GB2312" w:eastAsia="仿宋_GB2312" w:cs="仿宋_GB2312"/>
                <w:color w:val="000000" w:themeColor="text1"/>
                <w:sz w:val="24"/>
                <w:szCs w:val="24"/>
                <w:highlight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C2BCA55">
            <w:pPr>
              <w:spacing w:before="120" w:after="120"/>
              <w:rPr>
                <w:rFonts w:ascii="仿宋_GB2312" w:hAnsi="仿宋_GB2312" w:eastAsia="仿宋_GB2312" w:cs="仿宋_GB2312"/>
                <w:color w:val="000000" w:themeColor="text1"/>
                <w:sz w:val="24"/>
                <w:szCs w:val="24"/>
                <w:highlight w:val="none"/>
                <w14:textFill>
                  <w14:solidFill>
                    <w14:schemeClr w14:val="tx1"/>
                  </w14:solidFill>
                </w14:textFill>
              </w:rPr>
            </w:pPr>
          </w:p>
        </w:tc>
        <w:tc>
          <w:tcPr>
            <w:tcW w:w="87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9E40094">
            <w:pPr>
              <w:spacing w:before="120" w:after="120"/>
              <w:rPr>
                <w:rFonts w:ascii="仿宋_GB2312" w:hAnsi="仿宋_GB2312" w:eastAsia="仿宋_GB2312" w:cs="仿宋_GB2312"/>
                <w:color w:val="000000" w:themeColor="text1"/>
                <w:sz w:val="24"/>
                <w:szCs w:val="24"/>
                <w:highlight w:val="none"/>
                <w14:textFill>
                  <w14:solidFill>
                    <w14:schemeClr w14:val="tx1"/>
                  </w14:solidFill>
                </w14:textFill>
              </w:rPr>
            </w:pPr>
          </w:p>
        </w:tc>
        <w:tc>
          <w:tcPr>
            <w:tcW w:w="10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F735470">
            <w:pPr>
              <w:spacing w:before="120" w:after="120"/>
              <w:rPr>
                <w:rFonts w:ascii="仿宋_GB2312" w:hAnsi="仿宋_GB2312" w:eastAsia="仿宋_GB2312" w:cs="仿宋_GB2312"/>
                <w:color w:val="000000" w:themeColor="text1"/>
                <w:sz w:val="24"/>
                <w:szCs w:val="24"/>
                <w:highlight w:val="none"/>
                <w14:textFill>
                  <w14:solidFill>
                    <w14:schemeClr w14:val="tx1"/>
                  </w14:solidFill>
                </w14:textFill>
              </w:rPr>
            </w:pPr>
          </w:p>
        </w:tc>
        <w:tc>
          <w:tcPr>
            <w:tcW w:w="115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3414354">
            <w:pPr>
              <w:spacing w:before="120" w:after="120"/>
              <w:rPr>
                <w:rFonts w:ascii="仿宋_GB2312" w:hAnsi="仿宋_GB2312" w:eastAsia="仿宋_GB2312" w:cs="仿宋_GB2312"/>
                <w:color w:val="000000" w:themeColor="text1"/>
                <w:sz w:val="24"/>
                <w:szCs w:val="24"/>
                <w:highlight w:val="none"/>
                <w14:textFill>
                  <w14:solidFill>
                    <w14:schemeClr w14:val="tx1"/>
                  </w14:solidFill>
                </w14:textFill>
              </w:rPr>
            </w:pPr>
          </w:p>
        </w:tc>
      </w:tr>
      <w:permEnd w:id="113"/>
    </w:tbl>
    <w:p w14:paraId="3E714B9A">
      <w:pPr>
        <w:spacing w:before="120" w:after="120" w:line="400" w:lineRule="exact"/>
        <w:ind w:right="-816"/>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备注：1、配合比容重（kg/m3）：标准值指混凝土配合比设计报告标注的混凝土容重；实测值指现场实测实量的混凝土容重； 2、混凝土净重（kg）：标准值指混凝土配合比设计报告标注的混凝土容重*小票标称的方量；实测值指现场实际过磅的净重（毛重-皮重）；3、混凝土体积（m3）：标准值指小票标注的立方数；实测值指混凝土净重实测值/配合比容重实测值；4、《普通混凝土配合比设计规程JGJ 55-2000》第6章规定，混凝土表观密度（即容重）实测值与计算值之差的绝对值不超过计算值的1％时方可确定为配合比。</w:t>
      </w:r>
    </w:p>
    <w:p w14:paraId="50C4593B">
      <w:pPr>
        <w:rPr>
          <w:color w:val="000000" w:themeColor="text1"/>
          <w:highlight w:val="none"/>
          <w14:textFill>
            <w14:solidFill>
              <w14:schemeClr w14:val="tx1"/>
            </w14:solidFill>
          </w14:textFill>
        </w:rPr>
        <w:sectPr>
          <w:headerReference r:id="rId12" w:type="default"/>
          <w:pgSz w:w="16838" w:h="11906" w:orient="landscape"/>
          <w:pgMar w:top="1803" w:right="1440" w:bottom="1803" w:left="1440" w:header="1134" w:footer="975" w:gutter="0"/>
          <w:cols w:space="0" w:num="1"/>
          <w:docGrid w:linePitch="312" w:charSpace="0"/>
        </w:sectPr>
      </w:pPr>
    </w:p>
    <w:p w14:paraId="3EA09A8D">
      <w:pPr>
        <w:pStyle w:val="19"/>
        <w:jc w:val="both"/>
        <w:outlineLvl w:val="0"/>
        <w:rPr>
          <w:rFonts w:hint="default" w:ascii="黑体" w:hAnsi="黑体" w:eastAsia="黑体" w:cs="黑体"/>
          <w:b/>
          <w:bCs/>
          <w:color w:val="000000" w:themeColor="text1"/>
          <w:sz w:val="32"/>
          <w:szCs w:val="32"/>
          <w:highlight w:val="none"/>
          <w:lang w:val="en-US" w:eastAsia="zh-CN"/>
          <w14:textFill>
            <w14:solidFill>
              <w14:schemeClr w14:val="tx1"/>
            </w14:solidFill>
          </w14:textFill>
        </w:rPr>
      </w:pPr>
      <w:permStart w:id="114" w:edGrp="everyone"/>
      <w:bookmarkStart w:id="68" w:name="_Toc4762"/>
      <w:bookmarkStart w:id="69" w:name="_Toc14480"/>
      <w:bookmarkStart w:id="70" w:name="_Hlk127794870"/>
      <w:r>
        <w:rPr>
          <w:rFonts w:hint="eastAsia" w:ascii="黑体" w:hAnsi="黑体" w:eastAsia="黑体" w:cs="黑体"/>
          <w:b/>
          <w:bCs/>
          <w:color w:val="000000" w:themeColor="text1"/>
          <w:sz w:val="32"/>
          <w:szCs w:val="32"/>
          <w:highlight w:val="none"/>
          <w:lang w:val="en-US" w:eastAsia="zh-CN"/>
          <w14:textFill>
            <w14:solidFill>
              <w14:schemeClr w14:val="tx1"/>
            </w14:solidFill>
          </w14:textFill>
        </w:rPr>
        <w:t xml:space="preserve">          </w:t>
      </w:r>
      <w:permEnd w:id="114"/>
    </w:p>
    <w:p w14:paraId="48EA7EB7">
      <w:pPr>
        <w:pStyle w:val="19"/>
        <w:jc w:val="center"/>
        <w:outlineLvl w:val="0"/>
        <w:rPr>
          <w:rFonts w:hint="eastAsia" w:ascii="黑体" w:hAnsi="黑体" w:eastAsia="黑体" w:cs="黑体"/>
          <w:b/>
          <w:bCs/>
          <w:color w:val="000000" w:themeColor="text1"/>
          <w:sz w:val="32"/>
          <w:szCs w:val="32"/>
          <w:highlight w:val="none"/>
          <w14:textFill>
            <w14:solidFill>
              <w14:schemeClr w14:val="tx1"/>
            </w14:solidFill>
          </w14:textFill>
        </w:rPr>
      </w:pPr>
    </w:p>
    <w:p w14:paraId="51767263">
      <w:pPr>
        <w:pStyle w:val="19"/>
        <w:jc w:val="center"/>
        <w:outlineLvl w:val="0"/>
        <w:rPr>
          <w:rFonts w:ascii="仿宋" w:hAnsi="仿宋" w:eastAsia="仿宋" w:cs="仿宋"/>
          <w:b/>
          <w:bCs/>
          <w:color w:val="000000" w:themeColor="text1"/>
          <w:sz w:val="32"/>
          <w:szCs w:val="32"/>
          <w:highlight w:val="none"/>
          <w14:textFill>
            <w14:solidFill>
              <w14:schemeClr w14:val="tx1"/>
            </w14:solidFill>
          </w14:textFill>
        </w:rPr>
      </w:pPr>
      <w:r>
        <w:rPr>
          <w:rFonts w:hint="eastAsia" w:ascii="黑体" w:hAnsi="黑体" w:eastAsia="黑体" w:cs="黑体"/>
          <w:b/>
          <w:bCs/>
          <w:color w:val="000000" w:themeColor="text1"/>
          <w:sz w:val="32"/>
          <w:szCs w:val="32"/>
          <w:highlight w:val="none"/>
          <w14:textFill>
            <w14:solidFill>
              <w14:schemeClr w14:val="tx1"/>
            </w14:solidFill>
          </w14:textFill>
        </w:rPr>
        <w:t>第二部分 通用条款</w:t>
      </w:r>
      <w:bookmarkEnd w:id="68"/>
      <w:bookmarkEnd w:id="69"/>
    </w:p>
    <w:bookmarkEnd w:id="70"/>
    <w:p w14:paraId="34334608">
      <w:pPr>
        <w:pStyle w:val="19"/>
        <w:numPr>
          <w:ilvl w:val="0"/>
          <w:numId w:val="10"/>
        </w:numPr>
        <w:spacing w:before="120" w:beforeLines="50" w:after="120" w:afterLines="50" w:line="400" w:lineRule="atLeast"/>
        <w:ind w:firstLine="482" w:firstLineChars="200"/>
        <w:outlineLvl w:val="0"/>
        <w:rPr>
          <w:rFonts w:ascii="仿宋_GB2312" w:hAnsi="仿宋_GB2312" w:eastAsia="仿宋_GB2312" w:cs="仿宋_GB2312"/>
          <w:b/>
          <w:bCs/>
          <w:color w:val="000000" w:themeColor="text1"/>
          <w:highlight w:val="none"/>
          <w14:textFill>
            <w14:solidFill>
              <w14:schemeClr w14:val="tx1"/>
            </w14:solidFill>
          </w14:textFill>
        </w:rPr>
      </w:pPr>
      <w:bookmarkStart w:id="71" w:name="_Toc27311"/>
      <w:r>
        <w:rPr>
          <w:rFonts w:hint="eastAsia" w:ascii="仿宋_GB2312" w:hAnsi="仿宋_GB2312" w:eastAsia="仿宋_GB2312" w:cs="仿宋_GB2312"/>
          <w:b/>
          <w:bCs/>
          <w:color w:val="000000" w:themeColor="text1"/>
          <w:highlight w:val="none"/>
          <w14:textFill>
            <w14:solidFill>
              <w14:schemeClr w14:val="tx1"/>
            </w14:solidFill>
          </w14:textFill>
        </w:rPr>
        <w:t>货物合同附随义务</w:t>
      </w:r>
      <w:bookmarkEnd w:id="71"/>
    </w:p>
    <w:p w14:paraId="40ED7B6F">
      <w:pPr>
        <w:pStyle w:val="19"/>
        <w:spacing w:line="400" w:lineRule="atLeast"/>
        <w:ind w:firstLine="482" w:firstLineChars="200"/>
        <w:jc w:val="both"/>
        <w:rPr>
          <w:rFonts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1.乙方义务</w:t>
      </w:r>
    </w:p>
    <w:p w14:paraId="7634DA4F">
      <w:pPr>
        <w:pStyle w:val="19"/>
        <w:spacing w:line="400" w:lineRule="atLeast"/>
        <w:ind w:firstLine="482" w:firstLineChars="200"/>
        <w:jc w:val="both"/>
        <w:rPr>
          <w:rFonts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1.1乙方合规义务</w:t>
      </w:r>
    </w:p>
    <w:p w14:paraId="6D613A23">
      <w:pPr>
        <w:pStyle w:val="19"/>
        <w:spacing w:line="400" w:lineRule="atLeast"/>
        <w:ind w:firstLine="482" w:firstLineChars="200"/>
        <w:jc w:val="both"/>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1.1.1合规开展行业竞争：</w:t>
      </w:r>
      <w:r>
        <w:rPr>
          <w:rFonts w:hint="eastAsia" w:ascii="仿宋_GB2312" w:hAnsi="仿宋_GB2312" w:eastAsia="仿宋_GB2312" w:cs="仿宋_GB2312"/>
          <w:color w:val="000000" w:themeColor="text1"/>
          <w:highlight w:val="none"/>
          <w14:textFill>
            <w14:solidFill>
              <w14:schemeClr w14:val="tx1"/>
            </w14:solidFill>
          </w14:textFill>
        </w:rPr>
        <w:t>积极防范和制止垄断行为，不实施任何市场排除、限制竞争行为；不组织经营者集中等违法垄断行为，不实施不正当竞争行为和不正当价格行为，不从事商誉诋毁等违法违规竞争行为。</w:t>
      </w:r>
    </w:p>
    <w:p w14:paraId="528D74B8">
      <w:pPr>
        <w:pStyle w:val="19"/>
        <w:spacing w:line="400" w:lineRule="atLeast"/>
        <w:ind w:firstLine="482" w:firstLineChars="200"/>
        <w:jc w:val="both"/>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1.1.2合规保障服务生产：</w:t>
      </w:r>
      <w:r>
        <w:rPr>
          <w:rFonts w:hint="eastAsia" w:ascii="仿宋_GB2312" w:hAnsi="仿宋_GB2312" w:eastAsia="仿宋_GB2312" w:cs="仿宋_GB2312"/>
          <w:color w:val="000000" w:themeColor="text1"/>
          <w:highlight w:val="none"/>
          <w14:textFill>
            <w14:solidFill>
              <w14:schemeClr w14:val="tx1"/>
            </w14:solidFill>
          </w14:textFill>
        </w:rPr>
        <w:t>恪守契约精神，严格按照合同约定时间和地点完成货物交付，全力保障项目物资设备供应需求。</w:t>
      </w:r>
    </w:p>
    <w:p w14:paraId="789AD85D">
      <w:pPr>
        <w:pStyle w:val="19"/>
        <w:spacing w:line="400" w:lineRule="atLeast"/>
        <w:ind w:firstLine="482" w:firstLineChars="200"/>
        <w:jc w:val="both"/>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1.1.3合规履行安全管控职责：</w:t>
      </w:r>
      <w:r>
        <w:rPr>
          <w:rFonts w:hint="eastAsia" w:ascii="仿宋_GB2312" w:hAnsi="仿宋_GB2312" w:eastAsia="仿宋_GB2312" w:cs="仿宋_GB2312"/>
          <w:color w:val="000000" w:themeColor="text1"/>
          <w:highlight w:val="none"/>
          <w14:textFill>
            <w14:solidFill>
              <w14:schemeClr w14:val="tx1"/>
            </w14:solidFill>
          </w14:textFill>
        </w:rPr>
        <w:t>自觉遵守甲方施工现场有关安全文明施工、环境和职业健康安全方面的要求，绝不出现违反安全法律和其他安全生产规章制度的行为，具体要求详见合同附件三。</w:t>
      </w:r>
    </w:p>
    <w:p w14:paraId="676FBC73">
      <w:pPr>
        <w:pStyle w:val="19"/>
        <w:spacing w:line="400" w:lineRule="atLeast"/>
        <w:ind w:firstLine="482" w:firstLineChars="200"/>
        <w:jc w:val="both"/>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1.1.4合规履行质量管控职责：</w:t>
      </w:r>
      <w:r>
        <w:rPr>
          <w:rFonts w:hint="eastAsia" w:ascii="仿宋_GB2312" w:hAnsi="仿宋_GB2312" w:eastAsia="仿宋_GB2312" w:cs="仿宋_GB2312"/>
          <w:color w:val="000000" w:themeColor="text1"/>
          <w:highlight w:val="none"/>
          <w14:textFill>
            <w14:solidFill>
              <w14:schemeClr w14:val="tx1"/>
            </w14:solidFill>
          </w14:textFill>
        </w:rPr>
        <w:t>绝不供应质量不合格货物，加强自身各环节质量管理，绝不出现任何质量或数量瑕疵，严控假冒伪劣货物流通，严格按本合同约定质量标准和数量要求履约生产。</w:t>
      </w:r>
    </w:p>
    <w:p w14:paraId="74B9858B">
      <w:pPr>
        <w:pStyle w:val="19"/>
        <w:spacing w:line="400" w:lineRule="atLeast"/>
        <w:ind w:firstLine="482" w:firstLineChars="200"/>
        <w:jc w:val="both"/>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1.1.5合规依法纳税职责：</w:t>
      </w:r>
      <w:r>
        <w:rPr>
          <w:rFonts w:hint="eastAsia" w:ascii="仿宋_GB2312" w:hAnsi="仿宋_GB2312" w:eastAsia="仿宋_GB2312" w:cs="仿宋_GB2312"/>
          <w:color w:val="000000" w:themeColor="text1"/>
          <w:highlight w:val="none"/>
          <w14:textFill>
            <w14:solidFill>
              <w14:schemeClr w14:val="tx1"/>
            </w14:solidFill>
          </w14:textFill>
        </w:rPr>
        <w:t>严格按照国家税法规定，履行合法合规纳税义务，绝不虚开或伪造增值税专用发票。</w:t>
      </w:r>
    </w:p>
    <w:p w14:paraId="0196ED72">
      <w:pPr>
        <w:pStyle w:val="19"/>
        <w:spacing w:line="400" w:lineRule="atLeast"/>
        <w:ind w:firstLine="482" w:firstLineChars="200"/>
        <w:jc w:val="both"/>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1.1.6合规拥有货物所有权：</w:t>
      </w:r>
      <w:r>
        <w:rPr>
          <w:rFonts w:hint="eastAsia" w:ascii="仿宋_GB2312" w:hAnsi="仿宋_GB2312" w:eastAsia="仿宋_GB2312" w:cs="仿宋_GB2312"/>
          <w:color w:val="000000" w:themeColor="text1"/>
          <w:highlight w:val="none"/>
          <w14:textFill>
            <w14:solidFill>
              <w14:schemeClr w14:val="tx1"/>
            </w14:solidFill>
          </w14:textFill>
        </w:rPr>
        <w:t>保证对货物具有所有权或受委托代理销售权，并向甲方出具相关凭证。保证交付的货物不附有任何担保权、留置权或设定其他权利负担。</w:t>
      </w:r>
    </w:p>
    <w:p w14:paraId="264B83E0">
      <w:pPr>
        <w:pStyle w:val="19"/>
        <w:spacing w:line="400" w:lineRule="atLeast"/>
        <w:ind w:firstLine="482" w:firstLineChars="200"/>
        <w:jc w:val="both"/>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1.1.7合规拥有</w:t>
      </w:r>
      <w:r>
        <w:rPr>
          <w:rFonts w:ascii="仿宋_GB2312" w:hAnsi="仿宋_GB2312" w:eastAsia="仿宋_GB2312" w:cs="仿宋_GB2312"/>
          <w:b/>
          <w:bCs/>
          <w:color w:val="000000" w:themeColor="text1"/>
          <w:highlight w:val="none"/>
          <w14:textFill>
            <w14:solidFill>
              <w14:schemeClr w14:val="tx1"/>
            </w14:solidFill>
          </w14:textFill>
        </w:rPr>
        <w:t>货物知识产权：</w:t>
      </w:r>
      <w:r>
        <w:rPr>
          <w:rFonts w:ascii="仿宋_GB2312" w:hAnsi="仿宋_GB2312" w:eastAsia="仿宋_GB2312" w:cs="仿宋_GB2312"/>
          <w:color w:val="000000" w:themeColor="text1"/>
          <w:highlight w:val="none"/>
          <w14:textFill>
            <w14:solidFill>
              <w14:schemeClr w14:val="tx1"/>
            </w14:solidFill>
          </w14:textFill>
        </w:rPr>
        <w:t>保障甲方在工程所在地使用其货物、服务及其任何部分不受到第三方关于侵犯专利权、商标权、工业设计权或其他知识产权的指控。任何第三方如果提起侵权诉讼，乙方负责与第三方交涉并承担由此而引起的一切法律责任和费用及赔偿甲方的一切损失。</w:t>
      </w:r>
    </w:p>
    <w:p w14:paraId="672A353B">
      <w:pPr>
        <w:pStyle w:val="19"/>
        <w:spacing w:line="400" w:lineRule="atLeast"/>
        <w:ind w:firstLine="482" w:firstLineChars="200"/>
        <w:jc w:val="both"/>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1.1.8合规开展廉洁共建职责：</w:t>
      </w:r>
      <w:r>
        <w:rPr>
          <w:rFonts w:hint="eastAsia" w:ascii="仿宋_GB2312" w:hAnsi="仿宋_GB2312" w:eastAsia="仿宋_GB2312" w:cs="仿宋_GB2312"/>
          <w:color w:val="000000" w:themeColor="text1"/>
          <w:highlight w:val="none"/>
          <w14:textFill>
            <w14:solidFill>
              <w14:schemeClr w14:val="tx1"/>
            </w14:solidFill>
          </w14:textFill>
        </w:rPr>
        <w:t xml:space="preserve">绝不从事任何形式的商业贿赂、利益输送及其他不正当交易；绝不以任何理由为甲方、相关单位或个人组织有可能影响公正执行公务的宴请、娱乐等活动，具体要求详见合同附件五。 </w:t>
      </w:r>
    </w:p>
    <w:p w14:paraId="7EF1F7A0">
      <w:pPr>
        <w:pStyle w:val="19"/>
        <w:spacing w:line="400" w:lineRule="atLeast"/>
        <w:ind w:firstLine="482" w:firstLineChars="200"/>
        <w:jc w:val="both"/>
        <w:rPr>
          <w:rFonts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1.2乙方其他义务</w:t>
      </w:r>
    </w:p>
    <w:p w14:paraId="4F392D07">
      <w:pPr>
        <w:pStyle w:val="19"/>
        <w:spacing w:line="400" w:lineRule="atLeast"/>
        <w:ind w:firstLine="482" w:firstLineChars="200"/>
        <w:jc w:val="both"/>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1.2.1增值服务：</w:t>
      </w:r>
      <w:r>
        <w:rPr>
          <w:rFonts w:hint="eastAsia" w:ascii="仿宋_GB2312" w:hAnsi="仿宋_GB2312" w:eastAsia="仿宋_GB2312" w:cs="仿宋_GB2312"/>
          <w:color w:val="000000" w:themeColor="text1"/>
          <w:highlight w:val="none"/>
          <w14:textFill>
            <w14:solidFill>
              <w14:schemeClr w14:val="tx1"/>
            </w14:solidFill>
          </w14:textFill>
        </w:rPr>
        <w:t>乙方应提供与货物配套的增值服务；包括但不限于技术支持、深化设计、现场培训及货物安装指导等工作，相应费用已在综合单价考虑。</w:t>
      </w:r>
    </w:p>
    <w:p w14:paraId="4F556B44">
      <w:pPr>
        <w:pStyle w:val="19"/>
        <w:spacing w:line="400" w:lineRule="atLeast"/>
        <w:ind w:firstLine="482" w:firstLineChars="200"/>
        <w:jc w:val="both"/>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1.2.2货物退货与置换：</w:t>
      </w:r>
      <w:r>
        <w:rPr>
          <w:rFonts w:hint="eastAsia" w:ascii="仿宋_GB2312" w:hAnsi="仿宋_GB2312" w:eastAsia="仿宋_GB2312" w:cs="仿宋_GB2312"/>
          <w:color w:val="000000" w:themeColor="text1"/>
          <w:highlight w:val="none"/>
          <w14:textFill>
            <w14:solidFill>
              <w14:schemeClr w14:val="tx1"/>
            </w14:solidFill>
          </w14:textFill>
        </w:rPr>
        <w:t>乙方供应的货物，根据不同情况甲方可选择直接向乙方退货或向乙方置换，乙方同意按甲方选择的方式办理：</w:t>
      </w:r>
    </w:p>
    <w:p w14:paraId="28A8A180">
      <w:pPr>
        <w:pStyle w:val="19"/>
        <w:spacing w:line="400" w:lineRule="atLeast"/>
        <w:ind w:firstLine="480" w:firstLineChars="200"/>
        <w:jc w:val="both"/>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（1）对于未使用且不影响二次销售的材料，若甲方选择退货，则双方按甲方退货后实际收到合格货物数量办理结算。</w:t>
      </w:r>
    </w:p>
    <w:p w14:paraId="0305FDAB">
      <w:pPr>
        <w:pStyle w:val="19"/>
        <w:spacing w:line="400" w:lineRule="atLeast"/>
        <w:ind w:firstLine="480" w:firstLineChars="200"/>
        <w:jc w:val="both"/>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（2）对于已使用的材料，若甲方选择置换，则双方协商估算原材料残值并置换等价值新材料。</w:t>
      </w:r>
    </w:p>
    <w:p w14:paraId="3C45A657">
      <w:pPr>
        <w:pStyle w:val="19"/>
        <w:spacing w:line="400" w:lineRule="atLeast"/>
        <w:ind w:firstLine="480" w:firstLineChars="200"/>
        <w:jc w:val="both"/>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（3）甲方原因产生的退货或者置换产生的运输费用由</w:t>
      </w:r>
      <w:permStart w:id="115" w:edGrp="everyone"/>
      <w:r>
        <w:rPr>
          <w:rFonts w:hint="eastAsia" w:ascii="仿宋_GB2312" w:hAnsi="仿宋_GB2312" w:eastAsia="仿宋_GB2312" w:cs="仿宋_GB2312"/>
          <w:color w:val="000000" w:themeColor="text1"/>
          <w:highlight w:val="none"/>
          <w:u w:val="single"/>
          <w14:textFill>
            <w14:solidFill>
              <w14:schemeClr w14:val="tx1"/>
            </w14:solidFill>
          </w14:textFill>
        </w:rPr>
        <w:t xml:space="preserve"> 甲方 </w:t>
      </w:r>
      <w:permEnd w:id="115"/>
      <w:r>
        <w:rPr>
          <w:rFonts w:hint="eastAsia" w:ascii="仿宋_GB2312" w:hAnsi="仿宋_GB2312" w:eastAsia="仿宋_GB2312" w:cs="仿宋_GB2312"/>
          <w:color w:val="000000" w:themeColor="text1"/>
          <w:highlight w:val="none"/>
          <w14:textFill>
            <w14:solidFill>
              <w14:schemeClr w14:val="tx1"/>
            </w14:solidFill>
          </w14:textFill>
        </w:rPr>
        <w:t>承担，装卸费用由</w:t>
      </w:r>
      <w:permStart w:id="116" w:edGrp="everyone"/>
      <w:r>
        <w:rPr>
          <w:rFonts w:hint="eastAsia" w:ascii="仿宋_GB2312" w:hAnsi="仿宋_GB2312" w:eastAsia="仿宋_GB2312" w:cs="仿宋_GB2312"/>
          <w:color w:val="000000" w:themeColor="text1"/>
          <w:highlight w:val="none"/>
          <w:u w:val="single"/>
          <w14:textFill>
            <w14:solidFill>
              <w14:schemeClr w14:val="tx1"/>
            </w14:solidFill>
          </w14:textFill>
        </w:rPr>
        <w:t xml:space="preserve"> 甲方 </w:t>
      </w:r>
      <w:permEnd w:id="116"/>
      <w:r>
        <w:rPr>
          <w:rFonts w:hint="eastAsia" w:ascii="仿宋_GB2312" w:hAnsi="仿宋_GB2312" w:eastAsia="仿宋_GB2312" w:cs="仿宋_GB2312"/>
          <w:color w:val="000000" w:themeColor="text1"/>
          <w:highlight w:val="none"/>
          <w14:textFill>
            <w14:solidFill>
              <w14:schemeClr w14:val="tx1"/>
            </w14:solidFill>
          </w14:textFill>
        </w:rPr>
        <w:t>承担。</w:t>
      </w:r>
    </w:p>
    <w:p w14:paraId="3B1A952F">
      <w:pPr>
        <w:pStyle w:val="19"/>
        <w:spacing w:line="400" w:lineRule="atLeast"/>
        <w:ind w:firstLine="482"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1.2.3供应滞缓通知：</w:t>
      </w:r>
      <w:r>
        <w:rPr>
          <w:rFonts w:hint="eastAsia" w:ascii="仿宋_GB2312" w:hAnsi="仿宋_GB2312" w:eastAsia="仿宋_GB2312" w:cs="仿宋_GB2312"/>
          <w:color w:val="000000" w:themeColor="text1"/>
          <w:highlight w:val="none"/>
          <w14:textFill>
            <w14:solidFill>
              <w14:schemeClr w14:val="tx1"/>
            </w14:solidFill>
          </w14:textFill>
        </w:rPr>
        <w:t>混凝土浇筑前，由于乙方设备出现故障等特殊原因不能按时供应，乙方应在故障发生后1小时内及时通知甲方，否则承担由此造成的工期损失、经济损失。</w:t>
      </w:r>
    </w:p>
    <w:p w14:paraId="25CCB51D">
      <w:pPr>
        <w:pStyle w:val="19"/>
        <w:spacing w:line="400" w:lineRule="atLeast"/>
        <w:ind w:firstLine="482" w:firstLineChars="200"/>
        <w:rPr>
          <w:rFonts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2.甲方义务</w:t>
      </w:r>
    </w:p>
    <w:p w14:paraId="28BE05FA">
      <w:pPr>
        <w:pStyle w:val="19"/>
        <w:spacing w:line="400" w:lineRule="atLeast"/>
        <w:ind w:firstLine="482"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2.1材料需用计划：</w:t>
      </w:r>
      <w:r>
        <w:rPr>
          <w:rFonts w:hint="eastAsia" w:ascii="仿宋_GB2312" w:hAnsi="仿宋_GB2312" w:eastAsia="仿宋_GB2312" w:cs="仿宋_GB2312"/>
          <w:color w:val="000000" w:themeColor="text1"/>
          <w:highlight w:val="none"/>
          <w14:textFill>
            <w14:solidFill>
              <w14:schemeClr w14:val="tx1"/>
            </w14:solidFill>
          </w14:textFill>
        </w:rPr>
        <w:t>甲方合理制定材料总需用计划及日常需用计划，并按照合同约定提前通知乙方，给予乙方充足备货期。</w:t>
      </w:r>
    </w:p>
    <w:p w14:paraId="7CA8FF6D">
      <w:pPr>
        <w:pStyle w:val="19"/>
        <w:spacing w:line="400" w:lineRule="atLeast"/>
        <w:ind w:firstLine="482"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2.2配合材料卸货：</w:t>
      </w:r>
      <w:r>
        <w:rPr>
          <w:rFonts w:hint="eastAsia" w:ascii="仿宋_GB2312" w:hAnsi="仿宋_GB2312" w:eastAsia="仿宋_GB2312" w:cs="仿宋_GB2312"/>
          <w:color w:val="000000" w:themeColor="text1"/>
          <w:highlight w:val="none"/>
          <w14:textFill>
            <w14:solidFill>
              <w14:schemeClr w14:val="tx1"/>
            </w14:solidFill>
          </w14:textFill>
        </w:rPr>
        <w:t>乙方在材料运抵交货前</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1小时</w:t>
      </w:r>
      <w:r>
        <w:rPr>
          <w:rFonts w:hint="eastAsia" w:ascii="仿宋_GB2312" w:hAnsi="仿宋_GB2312" w:eastAsia="仿宋_GB2312" w:cs="仿宋_GB2312"/>
          <w:color w:val="000000" w:themeColor="text1"/>
          <w:highlight w:val="none"/>
          <w14:textFill>
            <w14:solidFill>
              <w14:schemeClr w14:val="tx1"/>
            </w14:solidFill>
          </w14:textFill>
        </w:rPr>
        <w:t>通知甲方，</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配合乙方材料卸货</w:t>
      </w:r>
      <w:r>
        <w:rPr>
          <w:rFonts w:hint="eastAsia" w:ascii="仿宋_GB2312" w:hAnsi="仿宋_GB2312" w:eastAsia="仿宋_GB2312" w:cs="仿宋_GB2312"/>
          <w:color w:val="000000" w:themeColor="text1"/>
          <w:highlight w:val="none"/>
          <w14:textFill>
            <w14:solidFill>
              <w14:schemeClr w14:val="tx1"/>
            </w14:solidFill>
          </w14:textFill>
        </w:rPr>
        <w:t>。</w:t>
      </w:r>
    </w:p>
    <w:p w14:paraId="2B06B86A">
      <w:pPr>
        <w:pStyle w:val="19"/>
        <w:numPr>
          <w:ilvl w:val="0"/>
          <w:numId w:val="10"/>
        </w:numPr>
        <w:spacing w:before="120" w:beforeLines="50" w:after="120" w:afterLines="50" w:line="400" w:lineRule="atLeast"/>
        <w:ind w:firstLine="482" w:firstLineChars="200"/>
        <w:outlineLvl w:val="0"/>
        <w:rPr>
          <w:rFonts w:ascii="仿宋_GB2312" w:hAnsi="仿宋_GB2312" w:eastAsia="仿宋_GB2312" w:cs="仿宋_GB2312"/>
          <w:b/>
          <w:bCs/>
          <w:color w:val="000000" w:themeColor="text1"/>
          <w:highlight w:val="none"/>
          <w14:textFill>
            <w14:solidFill>
              <w14:schemeClr w14:val="tx1"/>
            </w14:solidFill>
          </w14:textFill>
        </w:rPr>
      </w:pPr>
      <w:bookmarkStart w:id="72" w:name="_Toc21274"/>
      <w:r>
        <w:rPr>
          <w:rFonts w:hint="eastAsia" w:ascii="仿宋_GB2312" w:hAnsi="仿宋_GB2312" w:eastAsia="仿宋_GB2312" w:cs="仿宋_GB2312"/>
          <w:b/>
          <w:bCs/>
          <w:color w:val="000000" w:themeColor="text1"/>
          <w:highlight w:val="none"/>
          <w14:textFill>
            <w14:solidFill>
              <w14:schemeClr w14:val="tx1"/>
            </w14:solidFill>
          </w14:textFill>
        </w:rPr>
        <w:t>货物违约责任</w:t>
      </w:r>
      <w:bookmarkEnd w:id="72"/>
    </w:p>
    <w:p w14:paraId="12720EB5">
      <w:pPr>
        <w:pStyle w:val="19"/>
        <w:numPr>
          <w:ilvl w:val="0"/>
          <w:numId w:val="11"/>
        </w:numPr>
        <w:spacing w:line="400" w:lineRule="atLeast"/>
        <w:ind w:firstLine="482" w:firstLineChars="200"/>
        <w:rPr>
          <w:rFonts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未按计划时间供应：</w:t>
      </w:r>
    </w:p>
    <w:p w14:paraId="274A5F3E">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乙方未能按本合同第三条款中书面计划的要求供应材料，若因非甲方原因致使延期供货的次数超过</w:t>
      </w:r>
      <w:permStart w:id="117" w:edGrp="everyone"/>
      <w:r>
        <w:rPr>
          <w:rFonts w:hint="eastAsia" w:ascii="仿宋_GB2312" w:hAnsi="仿宋_GB2312" w:eastAsia="仿宋_GB2312" w:cs="仿宋_GB2312"/>
          <w:color w:val="000000" w:themeColor="text1"/>
          <w:highlight w:val="none"/>
          <w:u w:val="single"/>
          <w14:textFill>
            <w14:solidFill>
              <w14:schemeClr w14:val="tx1"/>
            </w14:solidFill>
          </w14:textFill>
        </w:rPr>
        <w:t xml:space="preserve"> 2 </w:t>
      </w:r>
      <w:permEnd w:id="117"/>
      <w:r>
        <w:rPr>
          <w:rFonts w:hint="eastAsia" w:ascii="仿宋_GB2312" w:hAnsi="仿宋_GB2312" w:eastAsia="仿宋_GB2312" w:cs="仿宋_GB2312"/>
          <w:color w:val="000000" w:themeColor="text1"/>
          <w:highlight w:val="none"/>
          <w:u w:val="single"/>
          <w14:textFill>
            <w14:solidFill>
              <w14:schemeClr w14:val="tx1"/>
            </w14:solidFill>
          </w14:textFill>
        </w:rPr>
        <w:t>次</w:t>
      </w:r>
      <w:r>
        <w:rPr>
          <w:rFonts w:hint="eastAsia" w:ascii="仿宋_GB2312" w:hAnsi="仿宋_GB2312" w:eastAsia="仿宋_GB2312" w:cs="仿宋_GB2312"/>
          <w:color w:val="000000" w:themeColor="text1"/>
          <w:highlight w:val="none"/>
          <w14:textFill>
            <w14:solidFill>
              <w14:schemeClr w14:val="tx1"/>
            </w14:solidFill>
          </w14:textFill>
        </w:rPr>
        <w:t>，乙方须向甲方支付违约金，</w:t>
      </w:r>
      <w:r>
        <w:rPr>
          <w:rFonts w:hint="eastAsia" w:ascii="仿宋_GB2312" w:hAnsi="仿宋_GB2312" w:eastAsia="仿宋_GB2312" w:cs="仿宋_GB2312"/>
          <w:b/>
          <w:bCs/>
          <w:color w:val="000000" w:themeColor="text1"/>
          <w:highlight w:val="none"/>
          <w14:textFill>
            <w14:solidFill>
              <w14:schemeClr w14:val="tx1"/>
            </w14:solidFill>
          </w14:textFill>
        </w:rPr>
        <w:t>违约金按照20000元每次计，且除违约金外乙方必须承担甲方项目实际工期损失及经济损失。</w:t>
      </w:r>
      <w:r>
        <w:rPr>
          <w:rFonts w:hint="eastAsia" w:ascii="仿宋_GB2312" w:hAnsi="仿宋_GB2312" w:eastAsia="仿宋_GB2312" w:cs="仿宋_GB2312"/>
          <w:color w:val="000000" w:themeColor="text1"/>
          <w:highlight w:val="none"/>
          <w14:textFill>
            <w14:solidFill>
              <w14:schemeClr w14:val="tx1"/>
            </w14:solidFill>
          </w14:textFill>
        </w:rPr>
        <w:t>乙方延迟交付超</w:t>
      </w:r>
      <w:permStart w:id="118" w:edGrp="everyone"/>
      <w:r>
        <w:rPr>
          <w:rFonts w:hint="eastAsia" w:ascii="仿宋_GB2312" w:hAnsi="仿宋_GB2312" w:eastAsia="仿宋_GB2312" w:cs="仿宋_GB2312"/>
          <w:color w:val="000000" w:themeColor="text1"/>
          <w:highlight w:val="none"/>
          <w:u w:val="single"/>
          <w14:textFill>
            <w14:solidFill>
              <w14:schemeClr w14:val="tx1"/>
            </w14:solidFill>
          </w14:textFill>
        </w:rPr>
        <w:t xml:space="preserve"> 7 </w:t>
      </w:r>
      <w:permEnd w:id="118"/>
      <w:r>
        <w:rPr>
          <w:rFonts w:hint="eastAsia" w:ascii="仿宋_GB2312" w:hAnsi="仿宋_GB2312" w:eastAsia="仿宋_GB2312" w:cs="仿宋_GB2312"/>
          <w:color w:val="000000" w:themeColor="text1"/>
          <w:highlight w:val="none"/>
          <w14:textFill>
            <w14:solidFill>
              <w14:schemeClr w14:val="tx1"/>
            </w14:solidFill>
          </w14:textFill>
        </w:rPr>
        <w:t>日的，甲方有权单方解除本合同。</w:t>
      </w:r>
    </w:p>
    <w:p w14:paraId="37268D91">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乙方应全力保障项目的供应，因乙方资源组织问题引起的供应困难，乙方不能或不愿解决的，甲方可寻找其他供应单位代为解决，因此引起的甲方成本增加等相关费用在结算中扣除。</w:t>
      </w:r>
    </w:p>
    <w:p w14:paraId="32EF2C57">
      <w:pPr>
        <w:pStyle w:val="19"/>
        <w:numPr>
          <w:ilvl w:val="0"/>
          <w:numId w:val="11"/>
        </w:numPr>
        <w:spacing w:line="400" w:lineRule="atLeast"/>
        <w:ind w:firstLine="482" w:firstLineChars="200"/>
        <w:rPr>
          <w:rFonts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未按指定地点或方式供应：</w:t>
      </w:r>
    </w:p>
    <w:p w14:paraId="7EE4AD87">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乙方不能按本合同约定地点、方式供货的，甲方有权要求乙方按照合同履行，乙方应按甲方要求立即组织更换或完善不符合的条件及要求，</w:t>
      </w:r>
      <w:r>
        <w:rPr>
          <w:rFonts w:hint="eastAsia" w:ascii="仿宋_GB2312" w:hAnsi="仿宋_GB2312" w:eastAsia="仿宋_GB2312" w:cs="仿宋_GB2312"/>
          <w:b/>
          <w:bCs/>
          <w:color w:val="000000" w:themeColor="text1"/>
          <w:highlight w:val="none"/>
          <w14:textFill>
            <w14:solidFill>
              <w14:schemeClr w14:val="tx1"/>
            </w14:solidFill>
          </w14:textFill>
        </w:rPr>
        <w:t>否则按照20000元每次承担违约金，且除违约金外乙方必须承担甲方项目实际工期损失及经济损失；</w:t>
      </w:r>
      <w:r>
        <w:rPr>
          <w:rFonts w:hint="eastAsia" w:ascii="仿宋_GB2312" w:hAnsi="仿宋_GB2312" w:eastAsia="仿宋_GB2312" w:cs="仿宋_GB2312"/>
          <w:color w:val="000000" w:themeColor="text1"/>
          <w:highlight w:val="none"/>
          <w14:textFill>
            <w14:solidFill>
              <w14:schemeClr w14:val="tx1"/>
            </w14:solidFill>
          </w14:textFill>
        </w:rPr>
        <w:t>经甲方书面要求整改一次仍无法达到合同要求时，甲方有权单方解除合同。</w:t>
      </w:r>
    </w:p>
    <w:p w14:paraId="2563AC30">
      <w:pPr>
        <w:pStyle w:val="19"/>
        <w:numPr>
          <w:ilvl w:val="0"/>
          <w:numId w:val="11"/>
        </w:numPr>
        <w:spacing w:line="400" w:lineRule="atLeast"/>
        <w:ind w:firstLine="482" w:firstLineChars="200"/>
        <w:rPr>
          <w:rFonts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不符合约定货物质量标准：</w:t>
      </w:r>
    </w:p>
    <w:p w14:paraId="64DACEF2">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3.1乙方货物不符合本合同约定的质量标准的，甲方有权要求乙方继续履行合同，乙方应按甲方要求立即组织更换或完善不符合的条件及要求，</w:t>
      </w:r>
      <w:r>
        <w:rPr>
          <w:rFonts w:hint="eastAsia" w:ascii="仿宋_GB2312" w:hAnsi="仿宋_GB2312" w:eastAsia="仿宋_GB2312" w:cs="仿宋_GB2312"/>
          <w:b/>
          <w:bCs/>
          <w:color w:val="000000" w:themeColor="text1"/>
          <w:highlight w:val="none"/>
          <w14:textFill>
            <w14:solidFill>
              <w14:schemeClr w14:val="tx1"/>
            </w14:solidFill>
          </w14:textFill>
        </w:rPr>
        <w:t>并按照20000元每次承担违约金，且除违约金外乙方必须承担甲方项目实际工期损失及经济损失；</w:t>
      </w:r>
      <w:r>
        <w:rPr>
          <w:rFonts w:hint="eastAsia" w:ascii="仿宋_GB2312" w:hAnsi="仿宋_GB2312" w:eastAsia="仿宋_GB2312" w:cs="仿宋_GB2312"/>
          <w:color w:val="000000" w:themeColor="text1"/>
          <w:highlight w:val="none"/>
          <w14:textFill>
            <w14:solidFill>
              <w14:schemeClr w14:val="tx1"/>
            </w14:solidFill>
          </w14:textFill>
        </w:rPr>
        <w:t>经甲方书面要求整改一次仍无法达到合同要求时，甲方有权单方解除合同。</w:t>
      </w:r>
    </w:p>
    <w:p w14:paraId="5691F426">
      <w:pPr>
        <w:pStyle w:val="19"/>
        <w:spacing w:line="400" w:lineRule="atLeast"/>
        <w:ind w:firstLine="480" w:firstLineChars="200"/>
        <w:rPr>
          <w:rFonts w:hint="eastAsia"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3.2乙方以任何欺骗、舞弊、盗窃等手段致使交付的货物存在质量或数量瑕疵的，除赔偿甲方对应货物的货款外，</w:t>
      </w:r>
      <w:r>
        <w:rPr>
          <w:rFonts w:hint="eastAsia" w:ascii="仿宋_GB2312" w:hAnsi="仿宋_GB2312" w:eastAsia="仿宋_GB2312" w:cs="仿宋_GB2312"/>
          <w:b/>
          <w:bCs/>
          <w:color w:val="000000" w:themeColor="text1"/>
          <w:highlight w:val="none"/>
          <w14:textFill>
            <w14:solidFill>
              <w14:schemeClr w14:val="tx1"/>
            </w14:solidFill>
          </w14:textFill>
        </w:rPr>
        <w:t>并按照20000元每次承担违约金，且除违约金外乙方必须承担甲方项目实际工期损失及经济损失。</w:t>
      </w:r>
    </w:p>
    <w:p w14:paraId="0BED5DAF">
      <w:pPr>
        <w:pStyle w:val="19"/>
        <w:spacing w:line="400" w:lineRule="atLeast"/>
        <w:ind w:firstLine="480" w:firstLineChars="200"/>
        <w:rPr>
          <w:rFonts w:hint="eastAsia"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en-US" w:eastAsia="zh-CN" w:bidi="ar-SA"/>
          <w14:textFill>
            <w14:solidFill>
              <w14:schemeClr w14:val="tx1"/>
            </w14:solidFill>
          </w14:textFill>
        </w:rPr>
        <w:t>3.3如果由于物资质量问题，引起工程事故，导致甲方人员或财产损失的，乙方应承担相应的法律责任和经济责任，因此所导致的一切损失由乙方承担，该责任不因合同的终止而减小或解除。</w:t>
      </w:r>
    </w:p>
    <w:p w14:paraId="115B78ED">
      <w:pPr>
        <w:pStyle w:val="19"/>
        <w:numPr>
          <w:ilvl w:val="0"/>
          <w:numId w:val="11"/>
        </w:numPr>
        <w:spacing w:line="400" w:lineRule="atLeast"/>
        <w:ind w:firstLine="482" w:firstLineChars="200"/>
        <w:rPr>
          <w:rFonts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未履行开具增值税发票义务：</w:t>
      </w:r>
    </w:p>
    <w:p w14:paraId="026A55DF">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乙方存在下列情形之一的，甲方有权单方解除合同，并有权直接从乙方应付款项中双倍扣除甲方未能抵扣的税金（扣除金额=不含税结算金额×</w:t>
      </w:r>
      <w:permStart w:id="119" w:edGrp="everyone"/>
      <w:r>
        <w:rPr>
          <w:rFonts w:hint="eastAsia" w:ascii="仿宋_GB2312" w:hAnsi="仿宋_GB2312" w:eastAsia="仿宋_GB2312" w:cs="仿宋_GB2312"/>
          <w:color w:val="000000" w:themeColor="text1"/>
          <w:highlight w:val="none"/>
          <w:u w:val="single"/>
          <w14:textFill>
            <w14:solidFill>
              <w14:schemeClr w14:val="tx1"/>
            </w14:solidFill>
          </w14:textFill>
        </w:rPr>
        <w:t xml:space="preserve"> 3 </w:t>
      </w:r>
      <w:r>
        <w:rPr>
          <w:rFonts w:hint="eastAsia" w:ascii="仿宋_GB2312" w:hAnsi="仿宋_GB2312" w:eastAsia="仿宋_GB2312" w:cs="仿宋_GB2312"/>
          <w:color w:val="000000" w:themeColor="text1"/>
          <w:highlight w:val="none"/>
          <w14:textFill>
            <w14:solidFill>
              <w14:schemeClr w14:val="tx1"/>
            </w14:solidFill>
          </w14:textFill>
        </w:rPr>
        <w:t>％</w:t>
      </w:r>
      <w:permEnd w:id="119"/>
      <w:r>
        <w:rPr>
          <w:rFonts w:hint="eastAsia" w:ascii="仿宋_GB2312" w:hAnsi="仿宋_GB2312" w:eastAsia="仿宋_GB2312" w:cs="仿宋_GB2312"/>
          <w:color w:val="000000" w:themeColor="text1"/>
          <w:highlight w:val="none"/>
          <w14:textFill>
            <w14:solidFill>
              <w14:schemeClr w14:val="tx1"/>
            </w14:solidFill>
          </w14:textFill>
        </w:rPr>
        <w:t>增值税税率×2）作为违约金：</w:t>
      </w:r>
    </w:p>
    <w:p w14:paraId="0167288A">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4.1不具有开具增值税专用发票的纳税人资格。</w:t>
      </w:r>
    </w:p>
    <w:p w14:paraId="1E657A54">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4.2未能按本合同约定的税率开具增值税专用发票。</w:t>
      </w:r>
    </w:p>
    <w:p w14:paraId="2AF731A4">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4.3提供的增值税专用发票是乙方以外的主体开具。</w:t>
      </w:r>
    </w:p>
    <w:p w14:paraId="0A65743A">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4.4拖欠增值税专用发票金额累计达100万元以上。</w:t>
      </w:r>
    </w:p>
    <w:p w14:paraId="554CE5DD">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4.5</w:t>
      </w:r>
      <w:r>
        <w:rPr>
          <w:rFonts w:hint="eastAsia" w:ascii="仿宋_GB2312" w:hAnsi="仿宋_GB2312" w:eastAsia="仿宋_GB2312" w:cs="仿宋_GB2312"/>
          <w:strike w:val="0"/>
          <w:dstrike w:val="0"/>
          <w:color w:val="000000" w:themeColor="text1"/>
          <w:highlight w:val="none"/>
          <w14:textFill>
            <w14:solidFill>
              <w14:schemeClr w14:val="tx1"/>
            </w14:solidFill>
          </w14:textFill>
        </w:rPr>
        <w:t>如乙方未在税务机关要求的期限内缴纳税款，导致甲方无法抵扣进项税的，甲方有权拒绝付款，如已经支付的，甲方有权追回已支付的款项，并要求乙方支付违约金或赔偿损失</w:t>
      </w:r>
      <w:r>
        <w:rPr>
          <w:rFonts w:hint="eastAsia" w:ascii="仿宋_GB2312" w:hAnsi="仿宋_GB2312" w:eastAsia="仿宋_GB2312" w:cs="仿宋_GB2312"/>
          <w:color w:val="000000" w:themeColor="text1"/>
          <w:highlight w:val="none"/>
          <w14:textFill>
            <w14:solidFill>
              <w14:schemeClr w14:val="tx1"/>
            </w14:solidFill>
          </w14:textFill>
        </w:rPr>
        <w:t xml:space="preserve">。 </w:t>
      </w:r>
    </w:p>
    <w:p w14:paraId="381D6C4C">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4.6提供伪造的增值税专用发票。</w:t>
      </w:r>
    </w:p>
    <w:p w14:paraId="2E30C181">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4.7虚开增值税专用发票。</w:t>
      </w:r>
    </w:p>
    <w:p w14:paraId="003D9F9E">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4.8其它导致甲方无法进行增值税抵扣的情形。</w:t>
      </w:r>
    </w:p>
    <w:p w14:paraId="12A0A114">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乙方存在以上情形的，除承担相应违约责任外，还应赔偿甲方因此所受损失，同时不免除乙方开具合法合规增值税专用发票的义务。</w:t>
      </w:r>
    </w:p>
    <w:p w14:paraId="6C8B9D30">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若乙方开具或提供的增值税专用发票发生本条第4款情形超过3次的或给甲方造成重大损失的，则乙方除按本款前述约定承担责任外，甲方有权单方解除本合同。</w:t>
      </w:r>
    </w:p>
    <w:p w14:paraId="1D7B18A0">
      <w:pPr>
        <w:pStyle w:val="19"/>
        <w:numPr>
          <w:ilvl w:val="0"/>
          <w:numId w:val="11"/>
        </w:numPr>
        <w:spacing w:line="400" w:lineRule="atLeast"/>
        <w:ind w:firstLine="482" w:firstLineChars="200"/>
        <w:rPr>
          <w:rFonts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未履行安全责任及义务：</w:t>
      </w:r>
    </w:p>
    <w:p w14:paraId="735AE2C2">
      <w:pPr>
        <w:pStyle w:val="19"/>
        <w:spacing w:line="400" w:lineRule="atLeast"/>
        <w:ind w:firstLine="480" w:firstLineChars="200"/>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lang w:val="en-US" w:eastAsia="zh-CN"/>
          <w14:textFill>
            <w14:solidFill>
              <w14:schemeClr w14:val="tx1"/>
            </w14:solidFill>
          </w14:textFill>
        </w:rPr>
        <w:t>5.1</w:t>
      </w:r>
      <w:r>
        <w:rPr>
          <w:rFonts w:hint="eastAsia" w:ascii="仿宋_GB2312" w:hAnsi="仿宋_GB2312" w:eastAsia="仿宋_GB2312" w:cs="仿宋_GB2312"/>
          <w:color w:val="000000" w:themeColor="text1"/>
          <w:highlight w:val="none"/>
          <w14:textFill>
            <w14:solidFill>
              <w14:schemeClr w14:val="tx1"/>
            </w14:solidFill>
          </w14:textFill>
        </w:rPr>
        <w:t>乙方不能满足甲方有关安全文明施工措施、环境和职业健康安全方面的要求时，乙方按照项目实际工期损失、经济损失承担违约金。</w:t>
      </w:r>
    </w:p>
    <w:p w14:paraId="27ED16F2">
      <w:pPr>
        <w:spacing w:line="400" w:lineRule="exact"/>
        <w:ind w:firstLine="480" w:firstLineChars="200"/>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en-US" w:eastAsia="zh-CN" w:bidi="ar-SA"/>
          <w14:textFill>
            <w14:solidFill>
              <w14:schemeClr w14:val="tx1"/>
            </w14:solidFill>
          </w14:textFill>
        </w:rPr>
        <w:t>5.2由于乙方原因造成甲方人员人身伤害，乙方应立即采取补救措施，并全额赔偿甲方相关人员损失。</w:t>
      </w:r>
    </w:p>
    <w:p w14:paraId="701FAA01">
      <w:pPr>
        <w:pStyle w:val="19"/>
        <w:numPr>
          <w:ilvl w:val="0"/>
          <w:numId w:val="11"/>
        </w:numPr>
        <w:spacing w:line="400" w:lineRule="atLeast"/>
        <w:ind w:firstLine="482" w:firstLineChars="200"/>
        <w:rPr>
          <w:rFonts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未经同意转让权利及义务：</w:t>
      </w:r>
    </w:p>
    <w:p w14:paraId="2ED16ABE">
      <w:pPr>
        <w:pStyle w:val="19"/>
        <w:spacing w:line="400" w:lineRule="atLeast"/>
        <w:ind w:firstLine="480" w:firstLineChars="200"/>
        <w:rPr>
          <w:rFonts w:hint="eastAsia" w:ascii="仿宋_GB2312" w:hAnsi="仿宋_GB2312" w:eastAsia="仿宋_GB2312" w:cs="仿宋_GB2312"/>
          <w:color w:val="000000" w:themeColor="text1"/>
          <w:highlight w:val="none"/>
          <w:lang w:val="en-US" w:eastAsia="zh-CN"/>
          <w14:textFill>
            <w14:solidFill>
              <w14:schemeClr w14:val="tx1"/>
            </w14:solidFill>
          </w14:textFill>
        </w:rPr>
      </w:pPr>
      <w:r>
        <w:rPr>
          <w:rFonts w:hint="eastAsia" w:ascii="仿宋_GB2312" w:hAnsi="仿宋_GB2312" w:eastAsia="仿宋_GB2312" w:cs="仿宋_GB2312"/>
          <w:color w:val="000000" w:themeColor="text1"/>
          <w:highlight w:val="none"/>
          <w:lang w:val="en-US" w:eastAsia="zh-CN"/>
          <w14:textFill>
            <w14:solidFill>
              <w14:schemeClr w14:val="tx1"/>
            </w14:solidFill>
          </w14:textFill>
        </w:rPr>
        <w:t xml:space="preserve">乙方不可撤销地承诺：对于乙方基于本合同及相关补充协议、结算文件等所产生的对甲方的任何到期或未到期债权，乙方不得将该等债权全部或部分转让给任何第三方，亦不得将该等债权用于对外提供抵押、质押、保证或其他任何形式的担保。 </w:t>
      </w:r>
    </w:p>
    <w:p w14:paraId="549D0A4C">
      <w:pPr>
        <w:pStyle w:val="19"/>
        <w:spacing w:line="400" w:lineRule="atLeast"/>
        <w:ind w:firstLine="480" w:firstLineChars="200"/>
        <w:rPr>
          <w:rFonts w:hint="eastAsia" w:ascii="仿宋_GB2312" w:hAnsi="仿宋_GB2312" w:eastAsia="仿宋_GB2312" w:cs="仿宋_GB2312"/>
          <w:color w:val="000000" w:themeColor="text1"/>
          <w:highlight w:val="none"/>
          <w:lang w:val="en-US" w:eastAsia="zh-CN"/>
          <w14:textFill>
            <w14:solidFill>
              <w14:schemeClr w14:val="tx1"/>
            </w14:solidFill>
          </w14:textFill>
        </w:rPr>
      </w:pPr>
      <w:r>
        <w:rPr>
          <w:rFonts w:hint="eastAsia" w:ascii="仿宋_GB2312" w:hAnsi="仿宋_GB2312" w:eastAsia="仿宋_GB2312" w:cs="仿宋_GB2312"/>
          <w:color w:val="000000" w:themeColor="text1"/>
          <w:highlight w:val="none"/>
          <w:lang w:val="en-US" w:eastAsia="zh-CN"/>
          <w14:textFill>
            <w14:solidFill>
              <w14:schemeClr w14:val="tx1"/>
            </w14:solidFill>
          </w14:textFill>
        </w:rPr>
        <w:t xml:space="preserve">乙方违反上述承诺的，应向甲方支付转让或担保债权总额 5%的违约金；若因此给甲方造成损失（包括但不限于诉讼费、律师费、执行费、保全费、差旅费、赔偿金等），违约金不足以弥补的，乙方仍应予以全额赔偿。 </w:t>
      </w:r>
    </w:p>
    <w:p w14:paraId="332A0DE3">
      <w:pPr>
        <w:pStyle w:val="19"/>
        <w:spacing w:line="400" w:lineRule="atLeast"/>
        <w:ind w:firstLine="480" w:firstLineChars="200"/>
        <w:rPr>
          <w:rFonts w:hint="eastAsia" w:ascii="仿宋_GB2312" w:hAnsi="仿宋_GB2312" w:eastAsia="仿宋_GB2312" w:cs="仿宋_GB2312"/>
          <w:color w:val="000000" w:themeColor="text1"/>
          <w:highlight w:val="none"/>
          <w:lang w:val="en-US" w:eastAsia="zh-CN"/>
          <w14:textFill>
            <w14:solidFill>
              <w14:schemeClr w14:val="tx1"/>
            </w14:solidFill>
          </w14:textFill>
        </w:rPr>
      </w:pPr>
      <w:r>
        <w:rPr>
          <w:rFonts w:hint="eastAsia" w:ascii="仿宋_GB2312" w:hAnsi="仿宋_GB2312" w:eastAsia="仿宋_GB2312" w:cs="仿宋_GB2312"/>
          <w:color w:val="000000" w:themeColor="text1"/>
          <w:highlight w:val="none"/>
          <w:lang w:val="en-US" w:eastAsia="zh-CN"/>
          <w14:textFill>
            <w14:solidFill>
              <w14:schemeClr w14:val="tx1"/>
            </w14:solidFill>
          </w14:textFill>
        </w:rPr>
        <w:t>若乙方怠于向其下游采购商、供应商等支付款项，且配合、协助、默许或以其他方式导致下游方向甲方提起代位权诉讼、仲裁、财产保全、强制执行或其他权利主张的，甲方有权要求乙方按代位权主张标的额的 5%支付违约金；乙方并应承担甲方因此支出的全部费用及损失，且甲方有权暂停付款、暂缓结算直至相关争议完全解决。</w:t>
      </w:r>
    </w:p>
    <w:p w14:paraId="131B99F8">
      <w:pPr>
        <w:pStyle w:val="19"/>
        <w:spacing w:line="400" w:lineRule="atLeast"/>
        <w:ind w:firstLine="482" w:firstLineChars="200"/>
        <w:rPr>
          <w:rFonts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7、未履行结算义务：</w:t>
      </w:r>
    </w:p>
    <w:p w14:paraId="1BD385EF">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若发现乙方存在以下行为，视为违约并处以相应的罚款，在当期结算款中扣除（当期结算款额度不够的在下期结算款中扣除），并保留追究相应责任的权利。</w:t>
      </w:r>
    </w:p>
    <w:p w14:paraId="52CA6E81">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（1）伪造或虚开工程量数据，一经发现处以罚款2万元/次。</w:t>
      </w:r>
    </w:p>
    <w:p w14:paraId="764E4F65">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（2）伪造甲方管理人员签字盖章，一经发现处以罚款5万元/次。</w:t>
      </w:r>
    </w:p>
    <w:p w14:paraId="12F5AF4A">
      <w:pPr>
        <w:pStyle w:val="19"/>
        <w:spacing w:line="400" w:lineRule="atLeast"/>
        <w:ind w:firstLine="480" w:firstLineChars="200"/>
        <w:rPr>
          <w:rFonts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（3）伪造结算书或其他结算相关材料，一经发现处以罚款10万元/次。</w:t>
      </w:r>
    </w:p>
    <w:p w14:paraId="71870C07">
      <w:pPr>
        <w:pStyle w:val="19"/>
        <w:spacing w:line="400" w:lineRule="atLeast"/>
        <w:ind w:firstLine="482" w:firstLineChars="200"/>
        <w:jc w:val="both"/>
        <w:rPr>
          <w:rFonts w:ascii="仿宋_GB2312" w:hAnsi="仿宋_GB2312" w:eastAsia="仿宋_GB2312" w:cs="仿宋_GB2312"/>
          <w:b/>
          <w:bCs/>
          <w:color w:val="000000" w:themeColor="text1"/>
          <w:highlight w:val="none"/>
          <w14:textFill>
            <w14:solidFill>
              <w14:schemeClr w14:val="tx1"/>
            </w14:solidFill>
          </w14:textFill>
        </w:rPr>
      </w:pPr>
      <w:bookmarkStart w:id="73" w:name="_Toc17076"/>
      <w:r>
        <w:rPr>
          <w:rFonts w:hint="eastAsia" w:ascii="仿宋_GB2312" w:hAnsi="仿宋_GB2312" w:eastAsia="仿宋_GB2312" w:cs="仿宋_GB2312"/>
          <w:b/>
          <w:bCs/>
          <w:color w:val="000000" w:themeColor="text1"/>
          <w:highlight w:val="none"/>
          <w:lang w:val="en-US" w:eastAsia="zh-CN"/>
          <w14:textFill>
            <w14:solidFill>
              <w14:schemeClr w14:val="tx1"/>
            </w14:solidFill>
          </w14:textFill>
        </w:rPr>
        <w:t>8</w:t>
      </w:r>
      <w:r>
        <w:rPr>
          <w:rFonts w:hint="eastAsia" w:ascii="仿宋_GB2312" w:hAnsi="仿宋_GB2312" w:eastAsia="仿宋_GB2312" w:cs="仿宋_GB2312"/>
          <w:b/>
          <w:bCs/>
          <w:color w:val="000000" w:themeColor="text1"/>
          <w:highlight w:val="none"/>
          <w14:textFill>
            <w14:solidFill>
              <w14:schemeClr w14:val="tx1"/>
            </w14:solidFill>
          </w14:textFill>
        </w:rPr>
        <w:t>、</w:t>
      </w:r>
      <w:r>
        <w:rPr>
          <w:rFonts w:hint="eastAsia" w:ascii="仿宋_GB2312" w:hAnsi="仿宋_GB2312" w:eastAsia="仿宋_GB2312" w:cs="仿宋_GB2312"/>
          <w:b/>
          <w:bCs/>
          <w:color w:val="000000" w:themeColor="text1"/>
          <w:highlight w:val="none"/>
          <w:lang w:val="en-US" w:eastAsia="zh-CN"/>
          <w14:textFill>
            <w14:solidFill>
              <w14:schemeClr w14:val="tx1"/>
            </w14:solidFill>
          </w14:textFill>
        </w:rPr>
        <w:t>供货知识产权存在瑕疵</w:t>
      </w:r>
      <w:r>
        <w:rPr>
          <w:rFonts w:hint="eastAsia" w:ascii="仿宋_GB2312" w:hAnsi="仿宋_GB2312" w:eastAsia="仿宋_GB2312" w:cs="仿宋_GB2312"/>
          <w:b/>
          <w:bCs/>
          <w:color w:val="000000" w:themeColor="text1"/>
          <w:highlight w:val="none"/>
          <w14:textFill>
            <w14:solidFill>
              <w14:schemeClr w14:val="tx1"/>
            </w14:solidFill>
          </w14:textFill>
        </w:rPr>
        <w:t>：</w:t>
      </w:r>
    </w:p>
    <w:p w14:paraId="695F4B4C">
      <w:pPr>
        <w:pStyle w:val="19"/>
        <w:spacing w:line="400" w:lineRule="atLeast"/>
        <w:ind w:firstLine="480" w:firstLineChars="200"/>
        <w:jc w:val="both"/>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若乙方提供物资侵犯他人知识产权（或专利权）导致他人向甲方索赔的，乙方承担由此给甲方造成的一切损失，包括但不限于甲方处理此纠纷发生的律师费、诉讼费、差旅费等一切损失。此外，乙方应向甲方支付合同价款</w:t>
      </w:r>
      <w:r>
        <w:rPr>
          <w:rFonts w:hint="eastAsia" w:ascii="仿宋_GB2312" w:hAnsi="仿宋_GB2312" w:eastAsia="仿宋_GB2312" w:cs="仿宋_GB2312"/>
          <w:color w:val="000000" w:themeColor="text1"/>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highlight w:val="none"/>
          <w:u w:val="single"/>
          <w:lang w:val="en-US" w:eastAsia="zh-CN"/>
          <w14:textFill>
            <w14:solidFill>
              <w14:schemeClr w14:val="tx1"/>
            </w14:solidFill>
          </w14:textFill>
        </w:rPr>
        <w:t>20</w:t>
      </w:r>
      <w:r>
        <w:rPr>
          <w:rFonts w:hint="eastAsia" w:ascii="仿宋_GB2312" w:hAnsi="仿宋_GB2312" w:eastAsia="仿宋_GB2312" w:cs="仿宋_GB2312"/>
          <w:color w:val="000000" w:themeColor="text1"/>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highlight w:val="none"/>
          <w14:textFill>
            <w14:solidFill>
              <w14:schemeClr w14:val="tx1"/>
            </w14:solidFill>
          </w14:textFill>
        </w:rPr>
        <w:t>％的违约金。甲方针对上述一切损失有权从乙方结算货款中扣除或依法追索。</w:t>
      </w:r>
    </w:p>
    <w:p w14:paraId="08A24DB8">
      <w:pPr>
        <w:pStyle w:val="19"/>
        <w:spacing w:line="400" w:lineRule="atLeast"/>
        <w:ind w:firstLine="482" w:firstLineChars="200"/>
        <w:jc w:val="both"/>
        <w:rPr>
          <w:rFonts w:hint="default" w:ascii="仿宋_GB2312" w:hAnsi="仿宋_GB2312" w:eastAsia="仿宋_GB2312" w:cs="仿宋_GB2312"/>
          <w:b/>
          <w:bCs/>
          <w:color w:val="000000" w:themeColor="text1"/>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highlight w:val="none"/>
          <w:lang w:val="en-US" w:eastAsia="zh-CN"/>
          <w14:textFill>
            <w14:solidFill>
              <w14:schemeClr w14:val="tx1"/>
            </w14:solidFill>
          </w14:textFill>
        </w:rPr>
        <w:t>9、私运项目物资</w:t>
      </w:r>
    </w:p>
    <w:p w14:paraId="13FF4CC7">
      <w:pPr>
        <w:pStyle w:val="19"/>
        <w:spacing w:line="400" w:lineRule="atLeast"/>
        <w:ind w:firstLine="480" w:firstLineChars="200"/>
        <w:jc w:val="both"/>
        <w:rPr>
          <w:rFonts w:hint="eastAsia" w:ascii="仿宋_GB2312" w:hAnsi="仿宋_GB2312" w:eastAsia="仿宋_GB2312" w:cs="仿宋_GB2312"/>
          <w:b w:val="0"/>
          <w:bCs w:val="0"/>
          <w:color w:val="000000" w:themeColor="text1"/>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highlight w:val="none"/>
          <w:lang w:val="en-US" w:eastAsia="zh-CN"/>
          <w14:textFill>
            <w14:solidFill>
              <w14:schemeClr w14:val="tx1"/>
            </w14:solidFill>
          </w14:textFill>
        </w:rPr>
        <w:t>若乙方私自运送甲方现场物资出场，乙方需向甲方支付所涉及物资原值【2】倍的违约金，情节严重的交由司法机关处理。</w:t>
      </w:r>
    </w:p>
    <w:p w14:paraId="6BC59A63">
      <w:pPr>
        <w:pStyle w:val="19"/>
        <w:spacing w:line="400" w:lineRule="atLeast"/>
        <w:ind w:firstLine="482" w:firstLineChars="200"/>
        <w:jc w:val="both"/>
        <w:rPr>
          <w:rFonts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lang w:val="en-US" w:eastAsia="zh-CN"/>
          <w14:textFill>
            <w14:solidFill>
              <w14:schemeClr w14:val="tx1"/>
            </w14:solidFill>
          </w14:textFill>
        </w:rPr>
        <w:t>10</w:t>
      </w:r>
      <w:r>
        <w:rPr>
          <w:rFonts w:hint="eastAsia" w:ascii="仿宋_GB2312" w:hAnsi="仿宋_GB2312" w:eastAsia="仿宋_GB2312" w:cs="仿宋_GB2312"/>
          <w:b/>
          <w:bCs/>
          <w:color w:val="000000" w:themeColor="text1"/>
          <w:highlight w:val="none"/>
          <w14:textFill>
            <w14:solidFill>
              <w14:schemeClr w14:val="tx1"/>
            </w14:solidFill>
          </w14:textFill>
        </w:rPr>
        <w:t>、未履行本协议约定义务：</w:t>
      </w:r>
    </w:p>
    <w:p w14:paraId="370E68F8">
      <w:pPr>
        <w:pStyle w:val="19"/>
        <w:spacing w:line="400" w:lineRule="atLeast"/>
        <w:ind w:firstLine="480" w:firstLineChars="200"/>
        <w:jc w:val="both"/>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乙方不履行本协议约定义务或中途终止履行合同（符合本合同约定的调价和合同解除条件除外）的，乙方按照项目实际工期损失、经济损失承担违约金。</w:t>
      </w:r>
    </w:p>
    <w:p w14:paraId="68F2F3F1">
      <w:pPr>
        <w:pStyle w:val="19"/>
        <w:spacing w:line="400" w:lineRule="atLeast"/>
        <w:ind w:firstLine="482" w:firstLineChars="200"/>
        <w:jc w:val="both"/>
        <w:rPr>
          <w:rFonts w:hint="eastAsia"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lang w:val="en-US" w:eastAsia="zh-CN"/>
          <w14:textFill>
            <w14:solidFill>
              <w14:schemeClr w14:val="tx1"/>
            </w14:solidFill>
          </w14:textFill>
        </w:rPr>
        <w:t>11</w:t>
      </w:r>
      <w:r>
        <w:rPr>
          <w:rFonts w:hint="eastAsia" w:ascii="仿宋_GB2312" w:hAnsi="仿宋_GB2312" w:eastAsia="仿宋_GB2312" w:cs="仿宋_GB2312"/>
          <w:b/>
          <w:bCs/>
          <w:color w:val="000000" w:themeColor="text1"/>
          <w:highlight w:val="none"/>
          <w14:textFill>
            <w14:solidFill>
              <w14:schemeClr w14:val="tx1"/>
            </w14:solidFill>
          </w14:textFill>
        </w:rPr>
        <w:t>、违约后的处置方式：</w:t>
      </w:r>
    </w:p>
    <w:p w14:paraId="0685583F">
      <w:pPr>
        <w:pStyle w:val="19"/>
        <w:spacing w:line="400" w:lineRule="atLeast"/>
        <w:ind w:firstLine="480" w:firstLineChars="200"/>
        <w:jc w:val="both"/>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乙方违约后，甲方有权直接从乙方结算款或应付款中扣除违约金；甲方决定合同继续履行的，乙方除承担上述违约责任，仍应继续履行合同。</w:t>
      </w:r>
    </w:p>
    <w:p w14:paraId="6AFE27AE">
      <w:pPr>
        <w:pStyle w:val="19"/>
        <w:numPr>
          <w:ilvl w:val="0"/>
          <w:numId w:val="10"/>
        </w:numPr>
        <w:spacing w:before="120" w:beforeLines="50" w:after="120" w:afterLines="50" w:line="400" w:lineRule="atLeast"/>
        <w:ind w:firstLine="482" w:firstLineChars="200"/>
        <w:outlineLvl w:val="0"/>
        <w:rPr>
          <w:rFonts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货物缺陷索赔</w:t>
      </w:r>
      <w:bookmarkEnd w:id="73"/>
    </w:p>
    <w:p w14:paraId="5F79763F">
      <w:pPr>
        <w:pStyle w:val="23"/>
        <w:spacing w:after="24" w:afterLines="10" w:line="400" w:lineRule="atLeast"/>
        <w:ind w:right="0" w:firstLine="482" w:firstLineChars="20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b/>
          <w:bCs/>
          <w:color w:val="000000" w:themeColor="text1"/>
          <w:sz w:val="24"/>
          <w:highlight w:val="none"/>
          <w14:textFill>
            <w14:solidFill>
              <w14:schemeClr w14:val="tx1"/>
            </w14:solidFill>
          </w14:textFill>
        </w:rPr>
        <w:t>1、质量缺陷索赔：</w:t>
      </w:r>
      <w:r>
        <w:rPr>
          <w:rFonts w:hint="eastAsia" w:ascii="仿宋_GB2312" w:hAnsi="仿宋_GB2312" w:eastAsia="仿宋_GB2312" w:cs="仿宋_GB2312"/>
          <w:color w:val="000000" w:themeColor="text1"/>
          <w:sz w:val="24"/>
          <w:highlight w:val="none"/>
          <w14:textFill>
            <w14:solidFill>
              <w14:schemeClr w14:val="tx1"/>
            </w14:solidFill>
          </w14:textFill>
        </w:rPr>
        <w:t>如甲方在各阶段的检验过程中发现货物不合格现象，可选择更换货物或提出索赔。若选择索赔，甲方有权邀请当地有关质量监督管理部门或其他鉴定机构进行检验，并出具检验证书，可以据此向乙方提出索赔。</w:t>
      </w:r>
    </w:p>
    <w:p w14:paraId="7D339201">
      <w:pPr>
        <w:pStyle w:val="23"/>
        <w:spacing w:after="24" w:afterLines="10" w:line="400" w:lineRule="atLeast"/>
        <w:ind w:right="0" w:firstLine="482" w:firstLineChars="20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b/>
          <w:bCs/>
          <w:color w:val="000000" w:themeColor="text1"/>
          <w:sz w:val="24"/>
          <w:highlight w:val="none"/>
          <w14:textFill>
            <w14:solidFill>
              <w14:schemeClr w14:val="tx1"/>
            </w14:solidFill>
          </w14:textFill>
        </w:rPr>
        <w:t>2、缺陷索赔解决方式：</w:t>
      </w:r>
      <w:r>
        <w:rPr>
          <w:rFonts w:hint="eastAsia" w:ascii="仿宋_GB2312" w:hAnsi="仿宋_GB2312" w:eastAsia="仿宋_GB2312" w:cs="仿宋_GB2312"/>
          <w:color w:val="000000" w:themeColor="text1"/>
          <w:sz w:val="24"/>
          <w:highlight w:val="none"/>
          <w14:textFill>
            <w14:solidFill>
              <w14:schemeClr w14:val="tx1"/>
            </w14:solidFill>
          </w14:textFill>
        </w:rPr>
        <w:t>对甲方在规定的检验、安装、调试和验收测试期限内和质量保修期内发现缺陷提出的索赔，乙方应按甲方同意的下述一种或多种方法解决索赔事宜：</w:t>
      </w:r>
    </w:p>
    <w:p w14:paraId="2AD457D2">
      <w:pPr>
        <w:pStyle w:val="23"/>
        <w:spacing w:after="24" w:afterLines="10" w:line="400" w:lineRule="atLeast"/>
        <w:ind w:right="0" w:firstLine="480" w:firstLineChars="20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2.1乙方同意甲方部分或全部退货并把退货部分金额以合同规定的同类货币退还给甲方。乙方负担退货过程中发生的一切损失和费用，包括利息、银行费用、运输和保险费、检验费、仓储和装卸费以及为保管和保护退还货物所发生的其它必要费用，包括但不限于工期延误损失导致业主向甲方的索赔等。</w:t>
      </w:r>
    </w:p>
    <w:p w14:paraId="049B2697">
      <w:pPr>
        <w:pStyle w:val="23"/>
        <w:spacing w:after="24" w:afterLines="10" w:line="400" w:lineRule="atLeast"/>
        <w:ind w:right="0" w:firstLine="480" w:firstLineChars="20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2.2根据货物的质量缺陷和受损程度以及甲方遭受损失的程度，经双方协商同意降低货物价格。</w:t>
      </w:r>
    </w:p>
    <w:p w14:paraId="7E1400D2">
      <w:pPr>
        <w:pStyle w:val="23"/>
        <w:spacing w:after="24" w:afterLines="10" w:line="400" w:lineRule="atLeast"/>
        <w:ind w:right="0" w:firstLine="480" w:firstLineChars="20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2.3更换有缺陷的部分货物、零件、部件和设备，或修理缺陷部分，以达到合同规定的规格、质量和性能，乙方承担一切费用和风险，并负担甲方遭受的损失。</w:t>
      </w:r>
    </w:p>
    <w:p w14:paraId="075EFBA1">
      <w:pPr>
        <w:pStyle w:val="23"/>
        <w:spacing w:after="24" w:afterLines="10" w:line="400" w:lineRule="atLeast"/>
        <w:ind w:right="0" w:firstLine="482" w:firstLineChars="20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b/>
          <w:bCs/>
          <w:color w:val="000000" w:themeColor="text1"/>
          <w:sz w:val="24"/>
          <w:highlight w:val="none"/>
          <w14:textFill>
            <w14:solidFill>
              <w14:schemeClr w14:val="tx1"/>
            </w14:solidFill>
          </w14:textFill>
        </w:rPr>
        <w:t>3、缺陷索赔程序：如果甲方提出索赔通知后7日内乙方未予以答复，该索赔应视为已被乙方接受。</w:t>
      </w:r>
      <w:r>
        <w:rPr>
          <w:rFonts w:hint="eastAsia" w:ascii="仿宋_GB2312" w:hAnsi="仿宋_GB2312" w:eastAsia="仿宋_GB2312" w:cs="仿宋_GB2312"/>
          <w:color w:val="000000" w:themeColor="text1"/>
          <w:sz w:val="24"/>
          <w:highlight w:val="none"/>
          <w14:textFill>
            <w14:solidFill>
              <w14:schemeClr w14:val="tx1"/>
            </w14:solidFill>
          </w14:textFill>
        </w:rPr>
        <w:t>若乙方未能在甲方提出索赔通知的合理时限（7日内）或甲方同意的延长期限内，按甲方同意的上述任何一种方式处理索赔事宜</w:t>
      </w:r>
      <w:r>
        <w:rPr>
          <w:rFonts w:hint="eastAsia" w:ascii="仿宋_GB2312" w:hAnsi="仿宋_GB2312" w:eastAsia="仿宋_GB2312" w:cs="仿宋_GB2312"/>
          <w:b/>
          <w:bCs/>
          <w:color w:val="000000" w:themeColor="text1"/>
          <w:sz w:val="24"/>
          <w:highlight w:val="none"/>
          <w14:textFill>
            <w14:solidFill>
              <w14:schemeClr w14:val="tx1"/>
            </w14:solidFill>
          </w14:textFill>
        </w:rPr>
        <w:t>，甲方有权从乙方货款中扣除索赔金额，不足部分，甲方有权向乙方追偿。</w:t>
      </w:r>
    </w:p>
    <w:p w14:paraId="7DD65818">
      <w:pPr>
        <w:pStyle w:val="19"/>
        <w:spacing w:line="400" w:lineRule="atLeast"/>
        <w:ind w:firstLine="482" w:firstLineChars="200"/>
        <w:jc w:val="both"/>
        <w:rPr>
          <w:rFonts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4、其他缺陷索赔：</w:t>
      </w:r>
      <w:r>
        <w:rPr>
          <w:rFonts w:hint="eastAsia" w:ascii="仿宋_GB2312" w:hAnsi="仿宋_GB2312" w:eastAsia="仿宋_GB2312" w:cs="仿宋_GB2312"/>
          <w:color w:val="000000" w:themeColor="text1"/>
          <w:highlight w:val="none"/>
          <w14:textFill>
            <w14:solidFill>
              <w14:schemeClr w14:val="tx1"/>
            </w14:solidFill>
          </w14:textFill>
        </w:rPr>
        <w:t>对于甲方提出的非质量缺陷的其他索赔通知，参照适用缺陷索赔规则。</w:t>
      </w:r>
    </w:p>
    <w:p w14:paraId="4045D6A9">
      <w:pPr>
        <w:pStyle w:val="19"/>
        <w:numPr>
          <w:ilvl w:val="0"/>
          <w:numId w:val="10"/>
        </w:numPr>
        <w:spacing w:before="120" w:beforeLines="50" w:after="120" w:afterLines="50" w:line="400" w:lineRule="atLeast"/>
        <w:ind w:firstLine="482" w:firstLineChars="200"/>
        <w:outlineLvl w:val="0"/>
        <w:rPr>
          <w:rFonts w:ascii="仿宋_GB2312" w:hAnsi="仿宋_GB2312" w:eastAsia="仿宋_GB2312" w:cs="仿宋_GB2312"/>
          <w:b/>
          <w:bCs/>
          <w:color w:val="000000" w:themeColor="text1"/>
          <w:highlight w:val="none"/>
          <w14:textFill>
            <w14:solidFill>
              <w14:schemeClr w14:val="tx1"/>
            </w14:solidFill>
          </w14:textFill>
        </w:rPr>
      </w:pPr>
      <w:bookmarkStart w:id="74" w:name="_Toc13562"/>
      <w:bookmarkStart w:id="75" w:name="_Toc18889"/>
      <w:r>
        <w:rPr>
          <w:rFonts w:hint="eastAsia" w:ascii="仿宋_GB2312" w:hAnsi="仿宋_GB2312" w:eastAsia="仿宋_GB2312" w:cs="仿宋_GB2312"/>
          <w:b/>
          <w:bCs/>
          <w:color w:val="000000" w:themeColor="text1"/>
          <w:highlight w:val="none"/>
          <w14:textFill>
            <w14:solidFill>
              <w14:schemeClr w14:val="tx1"/>
            </w14:solidFill>
          </w14:textFill>
        </w:rPr>
        <w:t>合同变更</w:t>
      </w:r>
      <w:bookmarkEnd w:id="74"/>
      <w:bookmarkEnd w:id="75"/>
    </w:p>
    <w:p w14:paraId="31C2F23C">
      <w:pPr>
        <w:pStyle w:val="19"/>
        <w:numPr>
          <w:ilvl w:val="0"/>
          <w:numId w:val="12"/>
        </w:numPr>
        <w:spacing w:line="400" w:lineRule="atLeast"/>
        <w:ind w:firstLine="480" w:firstLineChars="200"/>
        <w:jc w:val="both"/>
        <w:rPr>
          <w:rFonts w:hint="eastAsia" w:ascii="仿宋_GB2312" w:hAnsi="仿宋_GB2312" w:eastAsia="仿宋_GB2312" w:cs="仿宋_GB2312"/>
          <w:color w:val="000000" w:themeColor="text1"/>
          <w:highlight w:val="none"/>
          <w:lang w:val="en-US" w:eastAsia="zh-CN"/>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经双方协商一致可以对本合同条款进行修改、变更或增减，并成为本合同的补充文件</w:t>
      </w:r>
      <w:r>
        <w:rPr>
          <w:rFonts w:hint="eastAsia" w:ascii="仿宋_GB2312" w:hAnsi="仿宋_GB2312" w:eastAsia="仿宋_GB2312" w:cs="仿宋_GB2312"/>
          <w:b/>
          <w:bCs/>
          <w:color w:val="000000" w:themeColor="text1"/>
          <w:highlight w:val="none"/>
          <w14:textFill>
            <w14:solidFill>
              <w14:schemeClr w14:val="tx1"/>
            </w14:solidFill>
          </w14:textFill>
        </w:rPr>
        <w:t>，此类补充文件需按本合同约定的生效条件加盖与本合同相同的印章才可视为成立并生效，具有同等法律效力。</w:t>
      </w:r>
    </w:p>
    <w:p w14:paraId="45A27297">
      <w:pPr>
        <w:pStyle w:val="19"/>
        <w:numPr>
          <w:ilvl w:val="0"/>
          <w:numId w:val="0"/>
        </w:numPr>
        <w:spacing w:before="120" w:beforeLines="50" w:after="120" w:afterLines="50" w:line="400" w:lineRule="atLeast"/>
        <w:ind w:firstLine="482" w:firstLineChars="200"/>
        <w:outlineLvl w:val="0"/>
        <w:rPr>
          <w:rFonts w:hint="eastAsia" w:ascii="仿宋_GB2312" w:hAnsi="仿宋_GB2312" w:eastAsia="仿宋_GB2312" w:cs="仿宋_GB2312"/>
          <w:color w:val="000000" w:themeColor="text1"/>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highlight w:val="none"/>
          <w:lang w:val="en-US" w:eastAsia="zh-CN"/>
          <w14:textFill>
            <w14:solidFill>
              <w14:schemeClr w14:val="tx1"/>
            </w14:solidFill>
          </w14:textFill>
        </w:rPr>
        <w:t>2.1若本合同单价适用方式一：</w:t>
      </w:r>
      <w:r>
        <w:rPr>
          <w:rFonts w:hint="eastAsia" w:ascii="仿宋_GB2312" w:hAnsi="仿宋_GB2312" w:eastAsia="仿宋_GB2312" w:cs="仿宋_GB2312"/>
          <w:b/>
          <w:bCs/>
          <w:color w:val="000000" w:themeColor="text1"/>
          <w:highlight w:val="none"/>
          <w:lang w:eastAsia="zh-Hans"/>
          <w14:textFill>
            <w14:solidFill>
              <w14:schemeClr w14:val="tx1"/>
            </w14:solidFill>
          </w14:textFill>
        </w:rPr>
        <w:t>固定</w:t>
      </w:r>
      <w:r>
        <w:rPr>
          <w:rFonts w:hint="eastAsia" w:ascii="仿宋_GB2312" w:hAnsi="仿宋_GB2312" w:eastAsia="仿宋_GB2312" w:cs="仿宋_GB2312"/>
          <w:b/>
          <w:bCs/>
          <w:color w:val="000000" w:themeColor="text1"/>
          <w:highlight w:val="none"/>
          <w14:textFill>
            <w14:solidFill>
              <w14:schemeClr w14:val="tx1"/>
            </w14:solidFill>
          </w14:textFill>
        </w:rPr>
        <w:t>单价合同</w:t>
      </w:r>
      <w:r>
        <w:rPr>
          <w:rFonts w:hint="eastAsia" w:ascii="仿宋_GB2312" w:hAnsi="仿宋_GB2312" w:eastAsia="仿宋_GB2312" w:cs="仿宋_GB2312"/>
          <w:b/>
          <w:bCs/>
          <w:color w:val="000000" w:themeColor="text1"/>
          <w:highlight w:val="none"/>
          <w:lang w:eastAsia="zh-CN"/>
          <w14:textFill>
            <w14:solidFill>
              <w14:schemeClr w14:val="tx1"/>
            </w14:solidFill>
          </w14:textFill>
        </w:rPr>
        <w:t>，</w:t>
      </w:r>
      <w:r>
        <w:rPr>
          <w:rFonts w:hint="eastAsia" w:ascii="仿宋_GB2312" w:hAnsi="仿宋_GB2312" w:eastAsia="仿宋_GB2312" w:cs="仿宋_GB2312"/>
          <w:b/>
          <w:bCs/>
          <w:color w:val="000000" w:themeColor="text1"/>
          <w:highlight w:val="none"/>
          <w:lang w:val="en-US" w:eastAsia="zh-CN"/>
          <w14:textFill>
            <w14:solidFill>
              <w14:schemeClr w14:val="tx1"/>
            </w14:solidFill>
          </w14:textFill>
        </w:rPr>
        <w:t>则</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当乙方所供物资超出</w:t>
      </w:r>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供应</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合同交易物的金额不超过原合同金额的10%（含），正常办理结算；</w:t>
      </w:r>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供应</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合同交易物的金额超过原合同金额的10%但不超过30%（含），甲乙双方签订补充协议；</w:t>
      </w:r>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供应</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合同交易物的金额超过原合同金额的30%，则对原合同外的物资重新组织采购。</w:t>
      </w:r>
    </w:p>
    <w:p w14:paraId="6F6DDEDF">
      <w:pPr>
        <w:pStyle w:val="19"/>
        <w:numPr>
          <w:ilvl w:val="0"/>
          <w:numId w:val="0"/>
        </w:numPr>
        <w:spacing w:line="400" w:lineRule="atLeast"/>
        <w:ind w:firstLine="482" w:firstLineChars="200"/>
        <w:jc w:val="both"/>
        <w:rPr>
          <w:rFonts w:hint="eastAsia" w:ascii="仿宋_GB2312" w:hAnsi="仿宋_GB2312" w:eastAsia="仿宋_GB2312" w:cs="仿宋_GB2312"/>
          <w:color w:val="000000" w:themeColor="text1"/>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highlight w:val="none"/>
          <w:lang w:val="en-US" w:eastAsia="zh-CN"/>
          <w14:textFill>
            <w14:solidFill>
              <w14:schemeClr w14:val="tx1"/>
            </w14:solidFill>
          </w14:textFill>
        </w:rPr>
        <w:t>2.2若本合同单价适用方式二：组合单价合同，则</w:t>
      </w:r>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供应</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合同交易物数量不超过原合同数量的10%（含），由原供应商继续履行合同，正常办理结算；</w:t>
      </w:r>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供应</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合同交易物数量超过原合同数量10%但不超过30%（含）提前与原供应商签订补充协议；</w:t>
      </w:r>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供应</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合同交易物数量超过原合同数量30%，则应提前筹划，对原合同外的物资重新组织采购，签订新的</w:t>
      </w:r>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供应</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合同。</w:t>
      </w:r>
    </w:p>
    <w:p w14:paraId="02BD080F">
      <w:pPr>
        <w:pStyle w:val="19"/>
        <w:numPr>
          <w:ilvl w:val="0"/>
          <w:numId w:val="12"/>
        </w:numPr>
        <w:spacing w:line="400" w:lineRule="atLeast"/>
        <w:ind w:firstLine="480" w:firstLineChars="200"/>
        <w:jc w:val="both"/>
        <w:rPr>
          <w:rFonts w:hint="default" w:ascii="仿宋_GB2312" w:hAnsi="仿宋_GB2312" w:eastAsia="仿宋_GB2312" w:cs="仿宋_GB2312"/>
          <w:b/>
          <w:bCs/>
          <w:color w:val="000000" w:themeColor="text1"/>
          <w:highlight w:val="none"/>
          <w:lang w:val="en-US" w:eastAsia="zh-CN"/>
          <w14:textFill>
            <w14:solidFill>
              <w14:schemeClr w14:val="tx1"/>
            </w14:solidFill>
          </w14:textFill>
        </w:rPr>
      </w:pPr>
      <w:r>
        <w:rPr>
          <w:rFonts w:hint="eastAsia" w:ascii="仿宋_GB2312" w:hAnsi="仿宋_GB2312" w:eastAsia="仿宋_GB2312" w:cs="仿宋_GB2312"/>
          <w:color w:val="000000" w:themeColor="text1"/>
          <w:highlight w:val="none"/>
          <w:lang w:val="en-US" w:eastAsia="zh-CN"/>
          <w14:textFill>
            <w14:solidFill>
              <w14:schemeClr w14:val="tx1"/>
            </w14:solidFill>
          </w14:textFill>
        </w:rPr>
        <w:t>3、因工程建设单位、监理单位及相关部门出台的相关规定文件、市场准入制度造成合同不能执行，甲方不承担任何责任。</w:t>
      </w:r>
    </w:p>
    <w:p w14:paraId="4EBD09A2">
      <w:pPr>
        <w:pStyle w:val="19"/>
        <w:numPr>
          <w:ilvl w:val="0"/>
          <w:numId w:val="10"/>
        </w:numPr>
        <w:spacing w:before="120" w:beforeLines="50" w:after="120" w:afterLines="50" w:line="400" w:lineRule="atLeast"/>
        <w:ind w:firstLine="482" w:firstLineChars="200"/>
        <w:outlineLvl w:val="0"/>
        <w:rPr>
          <w:rFonts w:ascii="仿宋_GB2312" w:hAnsi="仿宋_GB2312" w:eastAsia="仿宋_GB2312" w:cs="仿宋_GB2312"/>
          <w:b/>
          <w:bCs/>
          <w:color w:val="000000" w:themeColor="text1"/>
          <w:highlight w:val="none"/>
          <w14:textFill>
            <w14:solidFill>
              <w14:schemeClr w14:val="tx1"/>
            </w14:solidFill>
          </w14:textFill>
        </w:rPr>
      </w:pPr>
      <w:bookmarkStart w:id="76" w:name="_Toc29083"/>
      <w:bookmarkStart w:id="77" w:name="_Toc399"/>
      <w:r>
        <w:rPr>
          <w:rFonts w:hint="eastAsia" w:ascii="仿宋_GB2312" w:hAnsi="仿宋_GB2312" w:eastAsia="仿宋_GB2312" w:cs="仿宋_GB2312"/>
          <w:b/>
          <w:bCs/>
          <w:color w:val="000000" w:themeColor="text1"/>
          <w:highlight w:val="none"/>
          <w14:textFill>
            <w14:solidFill>
              <w14:schemeClr w14:val="tx1"/>
            </w14:solidFill>
          </w14:textFill>
        </w:rPr>
        <w:t>合同解除</w:t>
      </w:r>
      <w:bookmarkEnd w:id="76"/>
      <w:bookmarkEnd w:id="77"/>
    </w:p>
    <w:p w14:paraId="141FECAE">
      <w:pPr>
        <w:pStyle w:val="19"/>
        <w:numPr>
          <w:ilvl w:val="0"/>
          <w:numId w:val="13"/>
        </w:numPr>
        <w:spacing w:line="400" w:lineRule="atLeast"/>
        <w:ind w:firstLine="480" w:firstLineChars="200"/>
        <w:jc w:val="both"/>
        <w:rPr>
          <w:rFonts w:ascii="仿宋_GB2312" w:hAnsi="仿宋_GB2312" w:eastAsia="仿宋_GB2312" w:cs="仿宋_GB2312"/>
          <w:color w:val="000000" w:themeColor="text1"/>
          <w:highlight w:val="none"/>
          <w14:textFill>
            <w14:solidFill>
              <w14:schemeClr w14:val="tx1"/>
            </w14:solidFill>
          </w14:textFill>
        </w:rPr>
      </w:pPr>
      <w:bookmarkStart w:id="78" w:name="_Hlk126831282"/>
      <w:r>
        <w:rPr>
          <w:rFonts w:hint="eastAsia" w:ascii="仿宋_GB2312" w:hAnsi="仿宋_GB2312" w:eastAsia="仿宋_GB2312" w:cs="仿宋_GB2312"/>
          <w:color w:val="000000" w:themeColor="text1"/>
          <w:highlight w:val="none"/>
          <w14:textFill>
            <w14:solidFill>
              <w14:schemeClr w14:val="tx1"/>
            </w14:solidFill>
          </w14:textFill>
        </w:rPr>
        <w:t>因不可抗力致使不能实现合同目的等原因，经甲、乙双方协商一致同意可解除合同。</w:t>
      </w:r>
    </w:p>
    <w:p w14:paraId="6EED718E">
      <w:pPr>
        <w:pStyle w:val="19"/>
        <w:numPr>
          <w:ilvl w:val="0"/>
          <w:numId w:val="13"/>
        </w:numPr>
        <w:spacing w:line="400" w:lineRule="atLeast"/>
        <w:ind w:firstLine="480" w:firstLineChars="200"/>
        <w:jc w:val="both"/>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如甲方与业主签订的总承包合同解除或终止，或因业主变更导致甲方无需采购约定材料，则甲方以书面形式通知乙方终止本合同。</w:t>
      </w:r>
    </w:p>
    <w:p w14:paraId="605D0DE7">
      <w:pPr>
        <w:pStyle w:val="19"/>
        <w:spacing w:line="400" w:lineRule="atLeast"/>
        <w:ind w:firstLine="482" w:firstLineChars="200"/>
        <w:jc w:val="both"/>
        <w:rPr>
          <w:rFonts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3、乙方具有下列事由之一的，甲方可以单方全部解除合同或部分解除合同或终止合同，乙方已收款项全部无条件返还：</w:t>
      </w:r>
    </w:p>
    <w:p w14:paraId="3EBAEAB7">
      <w:pPr>
        <w:pStyle w:val="19"/>
        <w:spacing w:line="400" w:lineRule="atLeast"/>
        <w:ind w:firstLine="480" w:firstLineChars="200"/>
        <w:jc w:val="both"/>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3.1乙方所提供的产品无法通过相关部门（如质监、监理、设计方、甲方及当地相关政府部门等）验收合格；</w:t>
      </w:r>
    </w:p>
    <w:p w14:paraId="2553CEAE">
      <w:pPr>
        <w:pStyle w:val="19"/>
        <w:spacing w:line="400" w:lineRule="atLeast"/>
        <w:ind w:firstLine="480" w:firstLineChars="200"/>
        <w:jc w:val="both"/>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3.2在产品使用后发生因产品质量问题造成人员、财产受到损害的；</w:t>
      </w:r>
    </w:p>
    <w:p w14:paraId="7D217DA1">
      <w:pPr>
        <w:pStyle w:val="19"/>
        <w:spacing w:line="400" w:lineRule="atLeast"/>
        <w:ind w:firstLine="480" w:firstLineChars="200"/>
        <w:jc w:val="both"/>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3.3乙方将本合同项下权利义务全部或部分转让的；</w:t>
      </w:r>
    </w:p>
    <w:p w14:paraId="1C9B3A4D">
      <w:pPr>
        <w:pStyle w:val="19"/>
        <w:spacing w:line="400" w:lineRule="atLeast"/>
        <w:ind w:firstLine="480" w:firstLineChars="200"/>
        <w:jc w:val="both"/>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3.4未按本合同约定时间交货累计延误达10日历天；</w:t>
      </w:r>
    </w:p>
    <w:p w14:paraId="0FCC3E67">
      <w:pPr>
        <w:pStyle w:val="19"/>
        <w:spacing w:line="400" w:lineRule="atLeast"/>
        <w:ind w:firstLine="480" w:firstLineChars="200"/>
        <w:jc w:val="both"/>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3.5因产品质量未达到本合同专用条款第四条技术标准及质量要求和国家、地方政府相关部门的相关规范和要求，在甲方要求时间内无法更换或补充至甲方要求；</w:t>
      </w:r>
    </w:p>
    <w:p w14:paraId="054094C6">
      <w:pPr>
        <w:pStyle w:val="19"/>
        <w:spacing w:line="400" w:lineRule="atLeast"/>
        <w:ind w:firstLine="480" w:firstLineChars="200"/>
        <w:jc w:val="both"/>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3.6甲方发现产品不能满足本合同约定的质量标准时，或在本合同履行过程中，乙方未按甲方的要求及时进行整改的；</w:t>
      </w:r>
    </w:p>
    <w:p w14:paraId="5B6A8068">
      <w:pPr>
        <w:pStyle w:val="19"/>
        <w:spacing w:line="400" w:lineRule="atLeast"/>
        <w:ind w:firstLine="480" w:firstLineChars="200"/>
        <w:jc w:val="both"/>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3.7在本合同履行过程中乙方漠视甲方、设计方指令的或未按甲方、设计方指令执行的；</w:t>
      </w:r>
    </w:p>
    <w:p w14:paraId="1D399051">
      <w:pPr>
        <w:pStyle w:val="19"/>
        <w:spacing w:line="400" w:lineRule="atLeast"/>
        <w:ind w:firstLine="480" w:firstLineChars="200"/>
        <w:jc w:val="both"/>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3.9其他法律规定可解除合同的事由。</w:t>
      </w:r>
    </w:p>
    <w:p w14:paraId="1C2856B0">
      <w:pPr>
        <w:pStyle w:val="19"/>
        <w:spacing w:line="400" w:lineRule="atLeast"/>
        <w:ind w:firstLine="480" w:firstLineChars="200"/>
        <w:jc w:val="both"/>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如发生上述事项，甲方将解除或终止合同的意思表示（书面或传真）通知乙方后合同解除或终止。合同解除后乙方仍应承担上述因乙方原因而产生的违约金和因此给甲方造成的全部直接和间接经济损失。乙方在收到解除或终止合同的通知后应无条件配合甲方处理善后事宜。</w:t>
      </w:r>
    </w:p>
    <w:p w14:paraId="20675EA2">
      <w:pPr>
        <w:pStyle w:val="19"/>
        <w:spacing w:line="400" w:lineRule="atLeast"/>
        <w:ind w:firstLine="482" w:firstLineChars="200"/>
        <w:jc w:val="both"/>
        <w:rPr>
          <w:rFonts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4、合同解除或终止后，乙方应当积极配合甲方及时办理合同结算及支付手续，否则甲方有权单方办理结算，视为乙方认可甲方审定的结算额</w:t>
      </w:r>
      <w:bookmarkEnd w:id="78"/>
      <w:r>
        <w:rPr>
          <w:rFonts w:hint="eastAsia" w:ascii="仿宋_GB2312" w:hAnsi="仿宋_GB2312" w:eastAsia="仿宋_GB2312" w:cs="仿宋_GB2312"/>
          <w:b/>
          <w:bCs/>
          <w:color w:val="000000" w:themeColor="text1"/>
          <w:highlight w:val="none"/>
          <w14:textFill>
            <w14:solidFill>
              <w14:schemeClr w14:val="tx1"/>
            </w14:solidFill>
          </w14:textFill>
        </w:rPr>
        <w:t>。</w:t>
      </w:r>
    </w:p>
    <w:p w14:paraId="3945DCFC">
      <w:pPr>
        <w:pStyle w:val="19"/>
        <w:numPr>
          <w:ilvl w:val="0"/>
          <w:numId w:val="10"/>
        </w:numPr>
        <w:spacing w:before="120" w:beforeLines="50" w:after="120" w:afterLines="50" w:line="400" w:lineRule="atLeast"/>
        <w:ind w:firstLine="482" w:firstLineChars="200"/>
        <w:outlineLvl w:val="0"/>
        <w:rPr>
          <w:rFonts w:ascii="仿宋_GB2312" w:hAnsi="仿宋_GB2312" w:eastAsia="仿宋_GB2312" w:cs="仿宋_GB2312"/>
          <w:b/>
          <w:bCs/>
          <w:color w:val="000000" w:themeColor="text1"/>
          <w:highlight w:val="none"/>
          <w14:textFill>
            <w14:solidFill>
              <w14:schemeClr w14:val="tx1"/>
            </w14:solidFill>
          </w14:textFill>
        </w:rPr>
      </w:pPr>
      <w:bookmarkStart w:id="79" w:name="_Toc18207"/>
      <w:r>
        <w:rPr>
          <w:rFonts w:hint="eastAsia" w:ascii="仿宋_GB2312" w:hAnsi="仿宋_GB2312" w:eastAsia="仿宋_GB2312" w:cs="仿宋_GB2312"/>
          <w:b/>
          <w:bCs/>
          <w:color w:val="000000" w:themeColor="text1"/>
          <w:highlight w:val="none"/>
          <w14:textFill>
            <w14:solidFill>
              <w14:schemeClr w14:val="tx1"/>
            </w14:solidFill>
          </w14:textFill>
        </w:rPr>
        <w:t>不可抗力</w:t>
      </w:r>
      <w:bookmarkEnd w:id="79"/>
    </w:p>
    <w:p w14:paraId="24124027">
      <w:pPr>
        <w:pStyle w:val="19"/>
        <w:numPr>
          <w:ilvl w:val="0"/>
          <w:numId w:val="14"/>
        </w:numPr>
        <w:spacing w:line="400" w:lineRule="atLeast"/>
        <w:ind w:firstLine="482" w:firstLineChars="200"/>
        <w:jc w:val="both"/>
        <w:rPr>
          <w:rFonts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t>1、</w:t>
      </w:r>
      <w:r>
        <w:rPr>
          <w:rFonts w:hint="eastAsia" w:ascii="仿宋_GB2312" w:hAnsi="仿宋_GB2312" w:eastAsia="仿宋_GB2312" w:cs="仿宋_GB2312"/>
          <w:b/>
          <w:bCs/>
          <w:color w:val="000000" w:themeColor="text1"/>
          <w:highlight w:val="none"/>
          <w14:textFill>
            <w14:solidFill>
              <w14:schemeClr w14:val="tx1"/>
            </w14:solidFill>
          </w14:textFill>
        </w:rPr>
        <w:t>不可抗力的确认</w:t>
      </w:r>
    </w:p>
    <w:p w14:paraId="47B15278">
      <w:pPr>
        <w:pStyle w:val="19"/>
        <w:numPr>
          <w:ilvl w:val="255"/>
          <w:numId w:val="0"/>
        </w:numPr>
        <w:spacing w:line="400" w:lineRule="atLeast"/>
        <w:ind w:firstLine="480" w:firstLineChars="200"/>
        <w:jc w:val="both"/>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不可抗力是指合同当事人在签订合同时不可预见，在合同履行过程中不可避免且不能克服的自然灾害和社会性突发事件，如地震、海啸、火灾、特大风雪、连续暴雨、特大降水、洪水等自然灾害，瘟疫、骚乱、戒严、暴动、战争、爆发性传染疾病、雾霾停工及其它通知的政府行为。合同一方当事人遇到不可抗力事件，使其履行合同义务受到阻碍时，应立即通知合同另一方当事人，书面说明不可抗力和受阻碍的详细情况，并提供必要的证明。</w:t>
      </w:r>
    </w:p>
    <w:p w14:paraId="22AC6F36">
      <w:pPr>
        <w:pStyle w:val="19"/>
        <w:numPr>
          <w:ilvl w:val="0"/>
          <w:numId w:val="14"/>
        </w:numPr>
        <w:spacing w:line="400" w:lineRule="atLeast"/>
        <w:ind w:firstLine="482" w:firstLineChars="200"/>
        <w:jc w:val="both"/>
        <w:rPr>
          <w:rFonts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不可抗力的通知</w:t>
      </w:r>
    </w:p>
    <w:p w14:paraId="3EEF00A2">
      <w:pPr>
        <w:pStyle w:val="19"/>
        <w:numPr>
          <w:ilvl w:val="255"/>
          <w:numId w:val="0"/>
        </w:numPr>
        <w:spacing w:line="400" w:lineRule="atLeast"/>
        <w:ind w:firstLine="480" w:firstLineChars="200"/>
        <w:jc w:val="both"/>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2.1 不可抗力事件发生后，乙方应立即通知甲方，并在力所能及的条件下迅速采取措施，尽力减少损失，甲方应协助乙方采取措施。若因乙方未能尽力挽救，导致损失扩大的，由乙方承担全部责任。</w:t>
      </w:r>
    </w:p>
    <w:p w14:paraId="73054FCD">
      <w:pPr>
        <w:pStyle w:val="19"/>
        <w:numPr>
          <w:ilvl w:val="255"/>
          <w:numId w:val="0"/>
        </w:numPr>
        <w:spacing w:line="400" w:lineRule="atLeast"/>
        <w:ind w:firstLine="480" w:firstLineChars="200"/>
        <w:jc w:val="both"/>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2.2 不可抗力事件结束后14天内，乙方应向甲方提交清理和修复费用的正式报告及有关资料。</w:t>
      </w:r>
    </w:p>
    <w:p w14:paraId="1E455208">
      <w:pPr>
        <w:pStyle w:val="19"/>
        <w:numPr>
          <w:ilvl w:val="0"/>
          <w:numId w:val="14"/>
        </w:numPr>
        <w:spacing w:line="400" w:lineRule="atLeast"/>
        <w:ind w:firstLine="482" w:firstLineChars="200"/>
        <w:jc w:val="both"/>
        <w:rPr>
          <w:rFonts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不可抗力风险的承担</w:t>
      </w:r>
    </w:p>
    <w:p w14:paraId="65A35FD5">
      <w:pPr>
        <w:pStyle w:val="19"/>
        <w:numPr>
          <w:ilvl w:val="255"/>
          <w:numId w:val="0"/>
        </w:numPr>
        <w:spacing w:line="400" w:lineRule="atLeast"/>
        <w:ind w:firstLine="480" w:firstLineChars="200"/>
        <w:jc w:val="both"/>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3.1 不可抗力导致的人员伤亡、财产损失、费用增加和（或）作业期限延误等后果，由合同当事人按以下原则承担：</w:t>
      </w:r>
    </w:p>
    <w:p w14:paraId="0847322A">
      <w:pPr>
        <w:pStyle w:val="19"/>
        <w:numPr>
          <w:ilvl w:val="255"/>
          <w:numId w:val="0"/>
        </w:numPr>
        <w:spacing w:line="400" w:lineRule="atLeast"/>
        <w:ind w:firstLine="480" w:firstLineChars="200"/>
        <w:jc w:val="both"/>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（1）乙方施工设备的损坏由乙方承担；</w:t>
      </w:r>
    </w:p>
    <w:p w14:paraId="6573838C">
      <w:pPr>
        <w:pStyle w:val="19"/>
        <w:numPr>
          <w:ilvl w:val="255"/>
          <w:numId w:val="0"/>
        </w:numPr>
        <w:spacing w:line="400" w:lineRule="atLeast"/>
        <w:ind w:firstLine="480" w:firstLineChars="200"/>
        <w:jc w:val="both"/>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（2）甲方和乙方承担各自人员伤亡和财产的损失；</w:t>
      </w:r>
    </w:p>
    <w:p w14:paraId="18D4B178">
      <w:pPr>
        <w:pStyle w:val="19"/>
        <w:numPr>
          <w:ilvl w:val="255"/>
          <w:numId w:val="0"/>
        </w:numPr>
        <w:spacing w:line="400" w:lineRule="atLeast"/>
        <w:ind w:firstLine="480" w:firstLineChars="200"/>
        <w:jc w:val="both"/>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（3）因不可抗力影响乙方履行合同约定的义务，已经引起或将引起工期延误的，应当顺延工期，由此导致乙方停工的费用损失由乙方承担；</w:t>
      </w:r>
    </w:p>
    <w:p w14:paraId="2F050125">
      <w:pPr>
        <w:pStyle w:val="19"/>
        <w:numPr>
          <w:ilvl w:val="255"/>
          <w:numId w:val="0"/>
        </w:numPr>
        <w:spacing w:line="400" w:lineRule="atLeast"/>
        <w:ind w:firstLine="480" w:firstLineChars="200"/>
        <w:jc w:val="both"/>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（4）因不可抗力引起或将引起工期延误，甲方要求赶工的，由此增加的赶工费用由甲方承担；</w:t>
      </w:r>
    </w:p>
    <w:p w14:paraId="55F62283">
      <w:pPr>
        <w:pStyle w:val="19"/>
        <w:numPr>
          <w:ilvl w:val="255"/>
          <w:numId w:val="0"/>
        </w:numPr>
        <w:spacing w:line="400" w:lineRule="atLeast"/>
        <w:ind w:firstLine="480" w:firstLineChars="200"/>
        <w:jc w:val="both"/>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（5）乙方在停工期间按照甲方要求照管和清理工程的费用由甲方承担。</w:t>
      </w:r>
    </w:p>
    <w:p w14:paraId="47B0669B">
      <w:pPr>
        <w:pStyle w:val="19"/>
        <w:numPr>
          <w:ilvl w:val="255"/>
          <w:numId w:val="0"/>
        </w:numPr>
        <w:spacing w:line="400" w:lineRule="atLeast"/>
        <w:ind w:firstLine="480" w:firstLineChars="200"/>
        <w:jc w:val="both"/>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不可抗力发生后，合同当事人均应采取措施尽量避免和减少损失的扩大，任何一方当事人没有采取有效措施导致损失扩大的，应对扩大的损失承担责任。</w:t>
      </w:r>
    </w:p>
    <w:p w14:paraId="511CEA44">
      <w:pPr>
        <w:pStyle w:val="19"/>
        <w:numPr>
          <w:ilvl w:val="255"/>
          <w:numId w:val="0"/>
        </w:numPr>
        <w:spacing w:line="400" w:lineRule="atLeast"/>
        <w:ind w:firstLine="480" w:firstLineChars="200"/>
        <w:jc w:val="both"/>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3.2 因合同一方迟延履行合同义务，在迟延履行期间遭遇不可抗力的，不免除其违约责任。</w:t>
      </w:r>
    </w:p>
    <w:p w14:paraId="7952390F">
      <w:pPr>
        <w:pStyle w:val="19"/>
        <w:numPr>
          <w:ilvl w:val="0"/>
          <w:numId w:val="14"/>
        </w:numPr>
        <w:spacing w:line="400" w:lineRule="atLeast"/>
        <w:ind w:firstLine="482" w:firstLineChars="200"/>
        <w:jc w:val="both"/>
        <w:rPr>
          <w:rFonts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因不可抗力解除合同</w:t>
      </w:r>
    </w:p>
    <w:p w14:paraId="72C91827">
      <w:pPr>
        <w:pStyle w:val="19"/>
        <w:numPr>
          <w:ilvl w:val="255"/>
          <w:numId w:val="0"/>
        </w:numPr>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因不可抗力导致本合同无法履行连续超过84天或累计超过140天的，甲方和乙方均有权解除本合同。本合同解除后，甲方有权暂停对乙方的付款，直到双方就退场达成一致。</w:t>
      </w:r>
    </w:p>
    <w:p w14:paraId="1D7B80FB">
      <w:pPr>
        <w:pStyle w:val="19"/>
        <w:numPr>
          <w:ilvl w:val="0"/>
          <w:numId w:val="10"/>
        </w:numPr>
        <w:spacing w:before="120" w:beforeLines="50" w:after="120" w:afterLines="50" w:line="400" w:lineRule="atLeast"/>
        <w:ind w:firstLine="482" w:firstLineChars="200"/>
        <w:outlineLvl w:val="0"/>
        <w:rPr>
          <w:rFonts w:ascii="仿宋_GB2312" w:hAnsi="仿宋_GB2312" w:eastAsia="仿宋_GB2312" w:cs="仿宋_GB2312"/>
          <w:b/>
          <w:bCs/>
          <w:color w:val="000000" w:themeColor="text1"/>
          <w:highlight w:val="none"/>
          <w14:textFill>
            <w14:solidFill>
              <w14:schemeClr w14:val="tx1"/>
            </w14:solidFill>
          </w14:textFill>
        </w:rPr>
      </w:pPr>
      <w:bookmarkStart w:id="80" w:name="_Toc29685"/>
      <w:r>
        <w:rPr>
          <w:rFonts w:hint="eastAsia" w:ascii="仿宋_GB2312" w:hAnsi="仿宋_GB2312" w:eastAsia="仿宋_GB2312" w:cs="仿宋_GB2312"/>
          <w:b/>
          <w:bCs/>
          <w:color w:val="000000" w:themeColor="text1"/>
          <w:highlight w:val="none"/>
          <w14:textFill>
            <w14:solidFill>
              <w14:schemeClr w14:val="tx1"/>
            </w14:solidFill>
          </w14:textFill>
        </w:rPr>
        <w:t>争议解决</w:t>
      </w:r>
      <w:bookmarkEnd w:id="80"/>
    </w:p>
    <w:p w14:paraId="40624196">
      <w:pPr>
        <w:pStyle w:val="19"/>
        <w:spacing w:line="400" w:lineRule="atLeast"/>
        <w:ind w:firstLine="482" w:firstLineChars="200"/>
        <w:rPr>
          <w:rFonts w:ascii="仿宋_GB2312" w:hAnsi="仿宋_GB2312" w:eastAsia="仿宋_GB2312" w:cs="仿宋_GB2312"/>
          <w:color w:val="000000" w:themeColor="text1"/>
          <w:highlight w:val="yellow"/>
          <w14:textFill>
            <w14:solidFill>
              <w14:schemeClr w14:val="tx1"/>
            </w14:solidFill>
          </w14:textFill>
        </w:rPr>
      </w:pPr>
      <w:r>
        <w:rPr>
          <w:rFonts w:hint="eastAsia" w:ascii="仿宋_GB2312" w:hAnsi="仿宋_GB2312" w:eastAsia="仿宋_GB2312" w:cs="仿宋_GB2312"/>
          <w:b/>
          <w:bCs/>
          <w:color w:val="000000" w:themeColor="text1"/>
          <w:highlight w:val="yellow"/>
          <w14:textFill>
            <w14:solidFill>
              <w14:schemeClr w14:val="tx1"/>
            </w14:solidFill>
          </w14:textFill>
        </w:rPr>
        <w:t>1、争议和解：</w:t>
      </w:r>
      <w:r>
        <w:rPr>
          <w:rFonts w:hint="eastAsia" w:ascii="仿宋_GB2312" w:hAnsi="仿宋_GB2312" w:eastAsia="仿宋_GB2312" w:cs="仿宋_GB2312"/>
          <w:color w:val="000000" w:themeColor="text1"/>
          <w:highlight w:val="yellow"/>
          <w14:textFill>
            <w14:solidFill>
              <w14:schemeClr w14:val="tx1"/>
            </w14:solidFill>
          </w14:textFill>
        </w:rPr>
        <w:t>对因本合同引起或与之相关的任何争议、纠纷或权利主张，任何一方如欲通过本条第2款约定的方式解决，须在提起第2款约定的争议解决方式前，向对方发出书面和解申请书，并告知对方争议、纠纷或权利主张之事实及依据。</w:t>
      </w:r>
    </w:p>
    <w:p w14:paraId="132A045D">
      <w:pPr>
        <w:pStyle w:val="19"/>
        <w:spacing w:line="400" w:lineRule="atLeast"/>
        <w:ind w:firstLine="480" w:firstLineChars="200"/>
        <w:rPr>
          <w:rFonts w:ascii="仿宋_GB2312" w:hAnsi="仿宋_GB2312" w:eastAsia="仿宋_GB2312" w:cs="仿宋_GB2312"/>
          <w:color w:val="000000" w:themeColor="text1"/>
          <w:highlight w:val="yellow"/>
          <w14:textFill>
            <w14:solidFill>
              <w14:schemeClr w14:val="tx1"/>
            </w14:solidFill>
          </w14:textFill>
        </w:rPr>
      </w:pPr>
      <w:r>
        <w:rPr>
          <w:rFonts w:hint="eastAsia" w:ascii="仿宋_GB2312" w:hAnsi="仿宋_GB2312" w:eastAsia="仿宋_GB2312" w:cs="仿宋_GB2312"/>
          <w:color w:val="000000" w:themeColor="text1"/>
          <w:highlight w:val="yellow"/>
          <w14:textFill>
            <w14:solidFill>
              <w14:schemeClr w14:val="tx1"/>
            </w14:solidFill>
          </w14:textFill>
        </w:rPr>
        <w:t>在对方收到上述通知之日起</w:t>
      </w:r>
      <w:r>
        <w:rPr>
          <w:rFonts w:hint="eastAsia" w:ascii="仿宋_GB2312" w:hAnsi="仿宋_GB2312" w:eastAsia="仿宋_GB2312" w:cs="仿宋_GB2312"/>
          <w:color w:val="000000" w:themeColor="text1"/>
          <w:highlight w:val="yellow"/>
          <w:u w:val="single"/>
          <w14:textFill>
            <w14:solidFill>
              <w14:schemeClr w14:val="tx1"/>
            </w14:solidFill>
          </w14:textFill>
        </w:rPr>
        <w:t>3个月</w:t>
      </w:r>
      <w:r>
        <w:rPr>
          <w:rFonts w:hint="eastAsia" w:ascii="仿宋_GB2312" w:hAnsi="仿宋_GB2312" w:eastAsia="仿宋_GB2312" w:cs="仿宋_GB2312"/>
          <w:color w:val="000000" w:themeColor="text1"/>
          <w:highlight w:val="yellow"/>
          <w14:textFill>
            <w14:solidFill>
              <w14:schemeClr w14:val="tx1"/>
            </w14:solidFill>
          </w14:textFill>
        </w:rPr>
        <w:t>为双方和解期限。在和解期限内，若双方达成和解协议的，双方的权利义务按照和解协议履行；若未达成和解协议的，任何一方可采取本条第2款约定的争议解决方式。</w:t>
      </w:r>
    </w:p>
    <w:p w14:paraId="36F5936A">
      <w:pPr>
        <w:pStyle w:val="19"/>
        <w:spacing w:line="400" w:lineRule="atLeast"/>
        <w:ind w:firstLine="482" w:firstLineChars="200"/>
        <w:rPr>
          <w:rFonts w:hint="eastAsia" w:ascii="仿宋_GB2312" w:hAnsi="仿宋_GB2312" w:eastAsia="仿宋_GB2312" w:cs="仿宋_GB2312"/>
          <w:color w:val="000000" w:themeColor="text1"/>
          <w:highlight w:val="yellow"/>
          <w:lang w:val="en-US" w:eastAsia="zh-CN"/>
          <w14:textFill>
            <w14:solidFill>
              <w14:schemeClr w14:val="tx1"/>
            </w14:solidFill>
          </w14:textFill>
        </w:rPr>
      </w:pPr>
      <w:bookmarkStart w:id="81" w:name="_Hlk126830485"/>
      <w:bookmarkStart w:id="82" w:name="_Hlk126770481"/>
      <w:bookmarkStart w:id="83" w:name="_Toc26705"/>
      <w:r>
        <w:rPr>
          <w:rFonts w:hint="eastAsia" w:ascii="仿宋_GB2312" w:hAnsi="仿宋_GB2312" w:eastAsia="仿宋_GB2312" w:cs="仿宋_GB2312"/>
          <w:b/>
          <w:bCs/>
          <w:color w:val="000000" w:themeColor="text1"/>
          <w:highlight w:val="yellow"/>
          <w14:textFill>
            <w14:solidFill>
              <w14:schemeClr w14:val="tx1"/>
            </w14:solidFill>
          </w14:textFill>
        </w:rPr>
        <w:t>2、</w:t>
      </w:r>
      <w:bookmarkEnd w:id="81"/>
      <w:bookmarkEnd w:id="82"/>
      <w:bookmarkStart w:id="84" w:name="_Hlk127194929"/>
      <w:r>
        <w:rPr>
          <w:rFonts w:hint="eastAsia" w:ascii="仿宋_GB2312" w:hAnsi="仿宋_GB2312" w:eastAsia="仿宋_GB2312" w:cs="仿宋_GB2312"/>
          <w:b/>
          <w:bCs/>
          <w:color w:val="000000" w:themeColor="text1"/>
          <w:kern w:val="0"/>
          <w:sz w:val="24"/>
          <w:szCs w:val="24"/>
          <w:highlight w:val="yellow"/>
          <w:lang w:val="en-US" w:eastAsia="zh-CN" w:bidi="ar-SA"/>
          <w14:textFill>
            <w14:solidFill>
              <w14:schemeClr w14:val="tx1"/>
            </w14:solidFill>
          </w14:textFill>
        </w:rPr>
        <w:t>争议仲裁：</w:t>
      </w:r>
      <w:r>
        <w:rPr>
          <w:rFonts w:hint="eastAsia" w:ascii="仿宋_GB2312" w:hAnsi="仿宋_GB2312" w:eastAsia="仿宋_GB2312" w:cs="仿宋_GB2312"/>
          <w:color w:val="000000" w:themeColor="text1"/>
          <w:kern w:val="0"/>
          <w:sz w:val="24"/>
          <w:szCs w:val="24"/>
          <w:highlight w:val="yellow"/>
          <w:lang w:val="en-US" w:eastAsia="zh-CN" w:bidi="ar-SA"/>
          <w14:textFill>
            <w14:solidFill>
              <w14:schemeClr w14:val="tx1"/>
            </w14:solidFill>
          </w14:textFill>
        </w:rPr>
        <w:t>因本合同引起或与之相关任何争议、纠纷或权利主张，和解不成且已超过和解期的,双方同意提交石家庄仲裁委员会裁决。</w:t>
      </w:r>
    </w:p>
    <w:p w14:paraId="229698EE">
      <w:pPr>
        <w:pStyle w:val="19"/>
        <w:spacing w:line="400" w:lineRule="atLeast"/>
        <w:ind w:firstLine="482" w:firstLineChars="200"/>
        <w:jc w:val="both"/>
        <w:rPr>
          <w:rFonts w:ascii="仿宋_GB2312" w:hAnsi="仿宋_GB2312" w:eastAsia="仿宋_GB2312" w:cs="仿宋_GB2312"/>
          <w:b/>
          <w:bCs/>
          <w:color w:val="000000" w:themeColor="text1"/>
          <w:highlight w:val="yellow"/>
          <w14:textFill>
            <w14:solidFill>
              <w14:schemeClr w14:val="tx1"/>
            </w14:solidFill>
          </w14:textFill>
        </w:rPr>
      </w:pPr>
      <w:r>
        <w:rPr>
          <w:rFonts w:hint="eastAsia" w:ascii="仿宋_GB2312" w:hAnsi="仿宋_GB2312" w:eastAsia="仿宋_GB2312" w:cs="仿宋_GB2312"/>
          <w:b/>
          <w:bCs/>
          <w:color w:val="000000" w:themeColor="text1"/>
          <w:highlight w:val="yellow"/>
          <w14:textFill>
            <w14:solidFill>
              <w14:schemeClr w14:val="tx1"/>
            </w14:solidFill>
          </w14:textFill>
        </w:rPr>
        <w:t>2.</w:t>
      </w:r>
      <w:r>
        <w:rPr>
          <w:rFonts w:hint="eastAsia" w:ascii="仿宋_GB2312" w:hAnsi="仿宋_GB2312" w:eastAsia="仿宋_GB2312" w:cs="仿宋_GB2312"/>
          <w:b/>
          <w:bCs/>
          <w:color w:val="000000" w:themeColor="text1"/>
          <w:highlight w:val="yellow"/>
          <w:lang w:val="en-US" w:eastAsia="zh-CN"/>
          <w14:textFill>
            <w14:solidFill>
              <w14:schemeClr w14:val="tx1"/>
            </w14:solidFill>
          </w14:textFill>
        </w:rPr>
        <w:t>1</w:t>
      </w:r>
      <w:r>
        <w:rPr>
          <w:rFonts w:hint="eastAsia" w:ascii="仿宋_GB2312" w:hAnsi="仿宋_GB2312" w:eastAsia="仿宋_GB2312" w:cs="仿宋_GB2312"/>
          <w:b/>
          <w:bCs/>
          <w:color w:val="000000" w:themeColor="text1"/>
          <w:highlight w:val="yellow"/>
          <w14:textFill>
            <w14:solidFill>
              <w14:schemeClr w14:val="tx1"/>
            </w14:solidFill>
          </w14:textFill>
        </w:rPr>
        <w:t>本合同中关于管辖权的约定是唯一的，任何一方不得通过债权转让或其它方式对涉及本合同约定事项或与之相关的事项的争议解决方式进行另行约定或对本合同关于管辖权的约定进行变更，如发生类似情形，该等约定亦属无效</w:t>
      </w:r>
      <w:bookmarkEnd w:id="84"/>
      <w:r>
        <w:rPr>
          <w:rFonts w:hint="eastAsia" w:ascii="仿宋_GB2312" w:hAnsi="仿宋_GB2312" w:eastAsia="仿宋_GB2312" w:cs="仿宋_GB2312"/>
          <w:b/>
          <w:bCs/>
          <w:color w:val="000000" w:themeColor="text1"/>
          <w:highlight w:val="yellow"/>
          <w14:textFill>
            <w14:solidFill>
              <w14:schemeClr w14:val="tx1"/>
            </w14:solidFill>
          </w14:textFill>
        </w:rPr>
        <w:t>。</w:t>
      </w:r>
    </w:p>
    <w:p w14:paraId="3B55B660">
      <w:pPr>
        <w:pStyle w:val="19"/>
        <w:spacing w:line="400" w:lineRule="atLeast"/>
        <w:ind w:firstLine="482" w:firstLineChars="200"/>
        <w:jc w:val="both"/>
        <w:rPr>
          <w:rFonts w:ascii="仿宋_GB2312" w:hAnsi="仿宋_GB2312" w:eastAsia="仿宋_GB2312" w:cs="仿宋_GB2312"/>
          <w:b/>
          <w:bCs/>
          <w:color w:val="000000" w:themeColor="text1"/>
          <w:highlight w:val="yellow"/>
          <w14:textFill>
            <w14:solidFill>
              <w14:schemeClr w14:val="tx1"/>
            </w14:solidFill>
          </w14:textFill>
        </w:rPr>
      </w:pPr>
      <w:r>
        <w:rPr>
          <w:rFonts w:hint="eastAsia" w:ascii="仿宋_GB2312" w:hAnsi="仿宋_GB2312" w:eastAsia="仿宋_GB2312" w:cs="仿宋_GB2312"/>
          <w:b/>
          <w:bCs/>
          <w:color w:val="000000" w:themeColor="text1"/>
          <w:highlight w:val="yellow"/>
          <w14:textFill>
            <w14:solidFill>
              <w14:schemeClr w14:val="tx1"/>
            </w14:solidFill>
          </w14:textFill>
        </w:rPr>
        <w:t>2.</w:t>
      </w:r>
      <w:r>
        <w:rPr>
          <w:rFonts w:hint="eastAsia" w:ascii="仿宋_GB2312" w:hAnsi="仿宋_GB2312" w:eastAsia="仿宋_GB2312" w:cs="仿宋_GB2312"/>
          <w:b/>
          <w:bCs/>
          <w:color w:val="000000" w:themeColor="text1"/>
          <w:highlight w:val="yellow"/>
          <w:lang w:val="en-US" w:eastAsia="zh-CN"/>
          <w14:textFill>
            <w14:solidFill>
              <w14:schemeClr w14:val="tx1"/>
            </w14:solidFill>
          </w14:textFill>
        </w:rPr>
        <w:t>2</w:t>
      </w:r>
      <w:r>
        <w:rPr>
          <w:rFonts w:hint="eastAsia" w:ascii="仿宋_GB2312" w:hAnsi="仿宋_GB2312" w:eastAsia="仿宋_GB2312" w:cs="仿宋_GB2312"/>
          <w:b/>
          <w:bCs/>
          <w:color w:val="000000" w:themeColor="text1"/>
          <w:highlight w:val="yellow"/>
          <w14:textFill>
            <w14:solidFill>
              <w14:schemeClr w14:val="tx1"/>
            </w14:solidFill>
          </w14:textFill>
        </w:rPr>
        <w:t>因仲裁产生的各项</w:t>
      </w:r>
      <w:r>
        <w:rPr>
          <w:rFonts w:hint="eastAsia" w:ascii="仿宋_GB2312" w:hAnsi="仿宋_GB2312" w:eastAsia="仿宋_GB2312" w:cs="仿宋_GB2312"/>
          <w:b/>
          <w:bCs/>
          <w:color w:val="000000" w:themeColor="text1"/>
          <w:highlight w:val="yellow"/>
          <w:lang w:val="en-US" w:eastAsia="zh-CN"/>
          <w14:textFill>
            <w14:solidFill>
              <w14:schemeClr w14:val="tx1"/>
            </w14:solidFill>
          </w14:textFill>
        </w:rPr>
        <w:t>合理</w:t>
      </w:r>
      <w:r>
        <w:rPr>
          <w:rFonts w:hint="eastAsia" w:ascii="仿宋_GB2312" w:hAnsi="仿宋_GB2312" w:eastAsia="仿宋_GB2312" w:cs="仿宋_GB2312"/>
          <w:b/>
          <w:bCs/>
          <w:color w:val="000000" w:themeColor="text1"/>
          <w:highlight w:val="yellow"/>
          <w14:textFill>
            <w14:solidFill>
              <w14:schemeClr w14:val="tx1"/>
            </w14:solidFill>
          </w14:textFill>
        </w:rPr>
        <w:t>费用由双方自行承担，包括但不限于</w:t>
      </w:r>
      <w:r>
        <w:rPr>
          <w:rFonts w:hint="eastAsia" w:ascii="仿宋_GB2312" w:hAnsi="仿宋_GB2312" w:eastAsia="仿宋_GB2312" w:cs="仿宋_GB2312"/>
          <w:b/>
          <w:bCs/>
          <w:color w:val="000000" w:themeColor="text1"/>
          <w:highlight w:val="yellow"/>
          <w:lang w:val="en-US" w:eastAsia="zh-CN"/>
          <w14:textFill>
            <w14:solidFill>
              <w14:schemeClr w14:val="tx1"/>
            </w14:solidFill>
          </w14:textFill>
        </w:rPr>
        <w:t>案件受理费、</w:t>
      </w:r>
      <w:r>
        <w:rPr>
          <w:rFonts w:hint="eastAsia" w:ascii="仿宋_GB2312" w:hAnsi="仿宋_GB2312" w:eastAsia="仿宋_GB2312" w:cs="仿宋_GB2312"/>
          <w:b/>
          <w:bCs/>
          <w:color w:val="000000" w:themeColor="text1"/>
          <w:highlight w:val="yellow"/>
          <w14:textFill>
            <w14:solidFill>
              <w14:schemeClr w14:val="tx1"/>
            </w14:solidFill>
          </w14:textFill>
        </w:rPr>
        <w:t>律师费、仲裁费、保全费、保全保险费、差旅费、公证费及鉴定费等因仲裁引发的费用。</w:t>
      </w:r>
    </w:p>
    <w:p w14:paraId="306B23E1">
      <w:pPr>
        <w:pStyle w:val="19"/>
        <w:numPr>
          <w:ilvl w:val="0"/>
          <w:numId w:val="10"/>
        </w:numPr>
        <w:spacing w:before="120" w:beforeLines="50" w:after="120" w:afterLines="50" w:line="400" w:lineRule="atLeast"/>
        <w:ind w:firstLine="482" w:firstLineChars="200"/>
        <w:outlineLvl w:val="0"/>
        <w:rPr>
          <w:rFonts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保密义务</w:t>
      </w:r>
      <w:bookmarkEnd w:id="83"/>
    </w:p>
    <w:p w14:paraId="2A1A15DE">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1、除乙方为执行合同所雇人员外，在未经甲方书面许可的情况下，乙方不得将合同中的规定、有关规格、计划、图纸、式样、样本或甲方为上述内容向乙方提供的资料向本协议以外的任何第三方披露。乙方须在对外保密的前提下，对其雇用人员提供相关资料仅限于执行合同必须提供的范围之内。</w:t>
      </w:r>
    </w:p>
    <w:p w14:paraId="36BEAB52">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2、除合同另有约定以外，本合同列明的所有资料始终为甲方财产，若甲方要求，乙方应于其合同义务履行完毕以后退还甲方相应资料（包括所有副本）。</w:t>
      </w:r>
    </w:p>
    <w:p w14:paraId="5EE85378">
      <w:pPr>
        <w:pStyle w:val="19"/>
        <w:numPr>
          <w:ilvl w:val="0"/>
          <w:numId w:val="10"/>
        </w:numPr>
        <w:spacing w:before="120" w:beforeLines="50" w:after="120" w:afterLines="50" w:line="400" w:lineRule="atLeast"/>
        <w:ind w:firstLine="482" w:firstLineChars="200"/>
        <w:outlineLvl w:val="0"/>
        <w:rPr>
          <w:rFonts w:ascii="仿宋_GB2312" w:hAnsi="仿宋_GB2312" w:eastAsia="仿宋_GB2312" w:cs="仿宋_GB2312"/>
          <w:b/>
          <w:bCs/>
          <w:color w:val="000000" w:themeColor="text1"/>
          <w:highlight w:val="none"/>
          <w14:textFill>
            <w14:solidFill>
              <w14:schemeClr w14:val="tx1"/>
            </w14:solidFill>
          </w14:textFill>
        </w:rPr>
      </w:pPr>
      <w:bookmarkStart w:id="85" w:name="_Toc84"/>
      <w:r>
        <w:rPr>
          <w:rFonts w:hint="eastAsia" w:ascii="仿宋_GB2312" w:hAnsi="仿宋_GB2312" w:eastAsia="仿宋_GB2312" w:cs="仿宋_GB2312"/>
          <w:b/>
          <w:bCs/>
          <w:color w:val="000000" w:themeColor="text1"/>
          <w:highlight w:val="none"/>
          <w14:textFill>
            <w14:solidFill>
              <w14:schemeClr w14:val="tx1"/>
            </w14:solidFill>
          </w14:textFill>
        </w:rPr>
        <w:t>其他条款</w:t>
      </w:r>
      <w:bookmarkEnd w:id="85"/>
    </w:p>
    <w:p w14:paraId="1D4AB0CA">
      <w:pPr>
        <w:pStyle w:val="19"/>
        <w:numPr>
          <w:ilvl w:val="0"/>
          <w:numId w:val="15"/>
        </w:numPr>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本合同与甲方</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采购</w:t>
      </w:r>
      <w:r>
        <w:rPr>
          <w:rFonts w:hint="eastAsia" w:ascii="仿宋_GB2312" w:hAnsi="仿宋_GB2312" w:eastAsia="仿宋_GB2312" w:cs="仿宋_GB2312"/>
          <w:color w:val="000000" w:themeColor="text1"/>
          <w:highlight w:val="none"/>
          <w14:textFill>
            <w14:solidFill>
              <w14:schemeClr w14:val="tx1"/>
            </w14:solidFill>
          </w14:textFill>
        </w:rPr>
        <w:t>文件、乙方</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响应文件</w:t>
      </w:r>
      <w:r>
        <w:rPr>
          <w:rFonts w:hint="eastAsia" w:ascii="仿宋_GB2312" w:hAnsi="仿宋_GB2312" w:eastAsia="仿宋_GB2312" w:cs="仿宋_GB2312"/>
          <w:color w:val="000000" w:themeColor="text1"/>
          <w:highlight w:val="none"/>
          <w14:textFill>
            <w14:solidFill>
              <w14:schemeClr w14:val="tx1"/>
            </w14:solidFill>
          </w14:textFill>
        </w:rPr>
        <w:t>有相抵触之处，均以本合同条款为准。</w:t>
      </w:r>
    </w:p>
    <w:p w14:paraId="24A5D5EA">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2、本合同附件是本合同有效组成部分，与本合同具有同等效力。</w:t>
      </w:r>
    </w:p>
    <w:p w14:paraId="5AA81E2F">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3、本合同未尽事宜，按《中华人民共和国民法典》有关规定执行。</w:t>
      </w:r>
    </w:p>
    <w:p w14:paraId="28746AED">
      <w:pPr>
        <w:pStyle w:val="19"/>
        <w:spacing w:line="400" w:lineRule="atLeast"/>
        <w:ind w:firstLine="480" w:firstLineChars="200"/>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4、其他约定</w:t>
      </w:r>
      <w:r>
        <w:rPr>
          <w:rFonts w:hint="eastAsia" w:ascii="仿宋_GB2312" w:hAnsi="仿宋_GB2312" w:eastAsia="仿宋_GB2312" w:cs="仿宋_GB2312"/>
          <w:color w:val="000000" w:themeColor="text1"/>
          <w:highlight w:val="none"/>
          <w:u w:val="single"/>
          <w14:textFill>
            <w14:solidFill>
              <w14:schemeClr w14:val="tx1"/>
            </w14:solidFill>
          </w14:textFill>
        </w:rPr>
        <w:t xml:space="preserve"> </w:t>
      </w:r>
      <w:permStart w:id="120" w:edGrp="everyone"/>
      <w:r>
        <w:rPr>
          <w:rFonts w:hint="eastAsia" w:ascii="仿宋_GB2312" w:hAnsi="仿宋_GB2312" w:eastAsia="仿宋_GB2312" w:cs="仿宋_GB2312"/>
          <w:color w:val="000000" w:themeColor="text1"/>
          <w:highlight w:val="none"/>
          <w:u w:val="single"/>
          <w14:textFill>
            <w14:solidFill>
              <w14:schemeClr w14:val="tx1"/>
            </w14:solidFill>
          </w14:textFill>
        </w:rPr>
        <w:t xml:space="preserve"> / </w:t>
      </w:r>
      <w:permEnd w:id="120"/>
      <w:r>
        <w:rPr>
          <w:rFonts w:hint="eastAsia" w:ascii="仿宋_GB2312" w:hAnsi="仿宋_GB2312" w:eastAsia="仿宋_GB2312" w:cs="仿宋_GB2312"/>
          <w:color w:val="000000" w:themeColor="text1"/>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highlight w:val="none"/>
          <w14:textFill>
            <w14:solidFill>
              <w14:schemeClr w14:val="tx1"/>
            </w14:solidFill>
          </w14:textFill>
        </w:rPr>
        <w:t>。</w:t>
      </w:r>
    </w:p>
    <w:p w14:paraId="5BA70BEF">
      <w:pPr>
        <w:pStyle w:val="19"/>
        <w:spacing w:line="400" w:lineRule="atLeast"/>
        <w:ind w:firstLine="480" w:firstLineChars="200"/>
        <w:jc w:val="both"/>
        <w:rPr>
          <w:rFonts w:ascii="仿宋_GB2312" w:hAnsi="仿宋_GB2312" w:eastAsia="仿宋_GB2312" w:cs="仿宋_GB2312"/>
          <w:color w:val="000000" w:themeColor="text1"/>
          <w:highlight w:val="none"/>
          <w14:textFill>
            <w14:solidFill>
              <w14:schemeClr w14:val="tx1"/>
            </w14:solidFill>
          </w14:textFill>
        </w:rPr>
      </w:pPr>
      <w:bookmarkStart w:id="86" w:name="_Toc26614"/>
      <w:r>
        <w:rPr>
          <w:rFonts w:hint="eastAsia" w:ascii="仿宋_GB2312" w:hAnsi="仿宋_GB2312" w:eastAsia="仿宋_GB2312" w:cs="仿宋_GB2312"/>
          <w:color w:val="000000" w:themeColor="text1"/>
          <w:highlight w:val="none"/>
          <w14:textFill>
            <w14:solidFill>
              <w14:schemeClr w14:val="tx1"/>
            </w14:solidFill>
          </w14:textFill>
        </w:rPr>
        <w:t>以下无正文</w:t>
      </w:r>
      <w:bookmarkEnd w:id="86"/>
    </w:p>
    <w:p w14:paraId="424F3C00">
      <w:pPr>
        <w:rPr>
          <w:rFonts w:ascii="仿宋_GB2312" w:hAnsi="仿宋_GB2312" w:eastAsia="仿宋_GB2312" w:cs="仿宋_GB2312"/>
          <w:color w:val="000000" w:themeColor="text1"/>
          <w:sz w:val="24"/>
          <w:szCs w:val="24"/>
          <w:highlight w:val="none"/>
          <w14:textFill>
            <w14:solidFill>
              <w14:schemeClr w14:val="tx1"/>
            </w14:solidFill>
          </w14:textFill>
        </w:rPr>
      </w:pPr>
    </w:p>
    <w:p w14:paraId="5A3F7AF1">
      <w:pPr>
        <w:pStyle w:val="19"/>
        <w:spacing w:line="400" w:lineRule="atLeast"/>
        <w:ind w:firstLine="480" w:firstLineChars="200"/>
        <w:jc w:val="both"/>
        <w:rPr>
          <w:rFonts w:hint="default" w:ascii="仿宋_GB2312" w:hAnsi="仿宋_GB2312" w:eastAsia="仿宋_GB2312" w:cs="仿宋_GB2312"/>
          <w:color w:val="000000" w:themeColor="text1"/>
          <w:highlight w:val="none"/>
          <w:lang w:val="en-US" w:eastAsia="zh-CN"/>
          <w14:textFill>
            <w14:solidFill>
              <w14:schemeClr w14:val="tx1"/>
            </w14:solidFill>
          </w14:textFill>
        </w:rPr>
      </w:pPr>
      <w:r>
        <w:rPr>
          <w:rFonts w:hint="eastAsia" w:ascii="仿宋_GB2312" w:hAnsi="仿宋_GB2312" w:eastAsia="仿宋_GB2312" w:cs="仿宋_GB2312"/>
          <w:color w:val="000000" w:themeColor="text1"/>
          <w:highlight w:val="none"/>
          <w:lang w:val="en-US" w:eastAsia="zh-CN"/>
          <w14:textFill>
            <w14:solidFill>
              <w14:schemeClr w14:val="tx1"/>
            </w14:solidFill>
          </w14:textFill>
        </w:rPr>
        <w:t xml:space="preserve">  甲  方：                               乙  方：</w:t>
      </w:r>
    </w:p>
    <w:p w14:paraId="52D95DA4">
      <w:pPr>
        <w:autoSpaceDE w:val="0"/>
        <w:autoSpaceDN w:val="0"/>
        <w:adjustRightInd w:val="0"/>
        <w:spacing w:line="400" w:lineRule="atLeast"/>
        <w:ind w:firstLine="480" w:firstLineChars="200"/>
        <w:rPr>
          <w:rFonts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法定代表人：                           法定代表人：</w:t>
      </w:r>
    </w:p>
    <w:p w14:paraId="5814A979">
      <w:pPr>
        <w:autoSpaceDE w:val="0"/>
        <w:autoSpaceDN w:val="0"/>
        <w:adjustRightInd w:val="0"/>
        <w:spacing w:line="400" w:lineRule="atLeast"/>
        <w:ind w:firstLine="480" w:firstLineChars="200"/>
        <w:rPr>
          <w:rFonts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 xml:space="preserve">    或                                   </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 xml:space="preserve"> 或</w:t>
      </w:r>
    </w:p>
    <w:p w14:paraId="7BB7C41E">
      <w:pPr>
        <w:autoSpaceDE w:val="0"/>
        <w:autoSpaceDN w:val="0"/>
        <w:adjustRightInd w:val="0"/>
        <w:spacing w:line="400" w:lineRule="atLeast"/>
        <w:ind w:firstLine="480" w:firstLineChars="200"/>
        <w:rPr>
          <w:rFonts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被</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 xml:space="preserve">委托人：                          </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 xml:space="preserve"> </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被</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委托人：</w:t>
      </w:r>
    </w:p>
    <w:p w14:paraId="59D38538">
      <w:pPr>
        <w:spacing w:line="400" w:lineRule="exact"/>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年  月  日    </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年  月  日 </w:t>
      </w:r>
    </w:p>
    <w:p w14:paraId="7F1BD762">
      <w:pPr>
        <w:rPr>
          <w:highlight w:val="none"/>
        </w:rPr>
      </w:pPr>
    </w:p>
    <w:sectPr>
      <w:headerReference r:id="rId13" w:type="default"/>
      <w:pgSz w:w="11906" w:h="16838"/>
      <w:pgMar w:top="1440" w:right="1803" w:bottom="1440" w:left="1803" w:header="850" w:footer="975" w:gutter="0"/>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altName w:val="宋体"/>
    <w:panose1 w:val="020B0604020202020204"/>
    <w:charset w:val="86"/>
    <w:family w:val="swiss"/>
    <w:pitch w:val="default"/>
    <w:sig w:usb0="00000000" w:usb1="00000000" w:usb2="0000003F" w:usb3="00000000" w:csb0="603F01FF" w:csb1="FFFF0000"/>
  </w:font>
  <w:font w:name="华文中宋">
    <w:panose1 w:val="02010600040101010101"/>
    <w:charset w:val="86"/>
    <w:family w:val="auto"/>
    <w:pitch w:val="default"/>
    <w:sig w:usb0="00000287" w:usb1="080F0000" w:usb2="00000000" w:usb3="00000000" w:csb0="0004009F" w:csb1="DFD7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450F143">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DD32C">
    <w:pPr>
      <w:pStyle w:val="12"/>
      <w:jc w:val="center"/>
      <w:rPr>
        <w:rFonts w:ascii="仿宋" w:hAnsi="仿宋" w:eastAsia="仿宋" w:cs="仿宋"/>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ACFC35">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D2E80">
    <w:pPr>
      <w:pStyle w:val="12"/>
      <w:jc w:val="center"/>
      <w:rPr>
        <w:rFonts w:ascii="仿宋" w:hAnsi="仿宋" w:eastAsia="仿宋" w:cs="仿宋"/>
        <w:sz w:val="24"/>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285C3">
    <w:pPr>
      <w:pStyle w:val="12"/>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2CEDF8">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7C2CEDF8">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44CD3">
    <w:pPr>
      <w:pStyle w:val="12"/>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D904F4">
                          <w:pPr>
                            <w:pStyle w:val="12"/>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4ED904F4">
                    <w:pPr>
                      <w:pStyle w:val="12"/>
                    </w:pPr>
                    <w:r>
                      <w:fldChar w:fldCharType="begin"/>
                    </w:r>
                    <w:r>
                      <w:instrText xml:space="preserve"> PAGE  \* MERGEFORMAT </w:instrText>
                    </w:r>
                    <w:r>
                      <w:fldChar w:fldCharType="separate"/>
                    </w:r>
                    <w:r>
                      <w:t>18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64A28">
    <w:pPr>
      <w:pBdr>
        <w:top w:val="none" w:color="auto" w:sz="0" w:space="1"/>
        <w:left w:val="none" w:color="auto" w:sz="0" w:space="4"/>
        <w:bottom w:val="none" w:color="auto" w:sz="0" w:space="1"/>
        <w:right w:val="none" w:color="auto" w:sz="0" w:space="4"/>
      </w:pBdr>
      <w:tabs>
        <w:tab w:val="center" w:pos="4153"/>
        <w:tab w:val="right" w:pos="8306"/>
      </w:tabs>
      <w:wordWrap w:val="0"/>
      <w:snapToGrid w:val="0"/>
    </w:pPr>
    <w:r>
      <w:drawing>
        <wp:anchor distT="0" distB="0" distL="114300" distR="114300" simplePos="0" relativeHeight="251664384" behindDoc="0" locked="0" layoutInCell="1" allowOverlap="1">
          <wp:simplePos x="0" y="0"/>
          <wp:positionH relativeFrom="column">
            <wp:posOffset>7620</wp:posOffset>
          </wp:positionH>
          <wp:positionV relativeFrom="paragraph">
            <wp:posOffset>-11430</wp:posOffset>
          </wp:positionV>
          <wp:extent cx="377190" cy="144145"/>
          <wp:effectExtent l="0" t="0" r="3810" b="8255"/>
          <wp:wrapNone/>
          <wp:docPr id="3" name="图片 2" descr="说明: 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说明: 图片1"/>
                  <pic:cNvPicPr>
                    <a:picLocks noChangeAspect="1"/>
                  </pic:cNvPicPr>
                </pic:nvPicPr>
                <pic:blipFill>
                  <a:blip r:embed="rId1">
                    <a:clrChange>
                      <a:clrFrom>
                        <a:srgbClr val="FEFEFE"/>
                      </a:clrFrom>
                      <a:clrTo>
                        <a:srgbClr val="FEFEFE">
                          <a:alpha val="0"/>
                        </a:srgbClr>
                      </a:clrTo>
                    </a:clrChange>
                    <a:lum contrast="18000"/>
                  </a:blip>
                  <a:srcRect t="72632"/>
                  <a:stretch>
                    <a:fillRect/>
                  </a:stretch>
                </pic:blipFill>
                <pic:spPr>
                  <a:xfrm>
                    <a:off x="0" y="0"/>
                    <a:ext cx="377190" cy="144145"/>
                  </a:xfrm>
                  <a:prstGeom prst="rect">
                    <a:avLst/>
                  </a:prstGeom>
                  <a:noFill/>
                  <a:ln>
                    <a:noFill/>
                  </a:ln>
                </pic:spPr>
              </pic:pic>
            </a:graphicData>
          </a:graphic>
        </wp:anchor>
      </w:drawing>
    </w:r>
    <w:r>
      <w:rPr>
        <w:rFonts w:hint="eastAsia"/>
        <w:sz w:val="18"/>
        <w:szCs w:val="24"/>
      </w:rPr>
      <w:t xml:space="preserve">                                                         </w:t>
    </w:r>
    <w:r>
      <w:rPr>
        <w:rFonts w:hint="eastAsia"/>
        <w:sz w:val="18"/>
        <w:szCs w:val="24"/>
        <w:lang w:val="en-US" w:eastAsia="zh-CN"/>
      </w:rPr>
      <w:t xml:space="preserve">                            </w:t>
    </w:r>
    <w:r>
      <w:rPr>
        <w:rFonts w:hint="eastAsia"/>
        <w:sz w:val="18"/>
        <w:szCs w:val="24"/>
      </w:rPr>
      <w:t xml:space="preserve"> </w:t>
    </w:r>
    <w:r>
      <w:rPr>
        <w:rFonts w:hint="eastAsia" w:ascii="宋体" w:hAnsi="宋体" w:cs="宋体"/>
        <w:b/>
        <w:color w:val="000000"/>
        <w:szCs w:val="21"/>
      </w:rPr>
      <w:t>CSCEC</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2B8E7">
    <w:pPr>
      <w:pStyle w:val="13"/>
    </w:pPr>
    <w:r>
      <w:rPr>
        <w:rFonts w:hint="eastAsia"/>
      </w:rPr>
      <w:drawing>
        <wp:anchor distT="0" distB="0" distL="114300" distR="114300" simplePos="0" relativeHeight="251659264" behindDoc="0" locked="0" layoutInCell="1" allowOverlap="1">
          <wp:simplePos x="0" y="0"/>
          <wp:positionH relativeFrom="column">
            <wp:posOffset>-377825</wp:posOffset>
          </wp:positionH>
          <wp:positionV relativeFrom="paragraph">
            <wp:posOffset>389890</wp:posOffset>
          </wp:positionV>
          <wp:extent cx="2520315" cy="314325"/>
          <wp:effectExtent l="0" t="0" r="13335" b="9525"/>
          <wp:wrapSquare wrapText="bothSides"/>
          <wp:docPr id="4" name="图片 4"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6"/>
                  <pic:cNvPicPr>
                    <a:picLocks noChangeAspect="1"/>
                  </pic:cNvPicPr>
                </pic:nvPicPr>
                <pic:blipFill>
                  <a:blip r:embed="rId1"/>
                  <a:stretch>
                    <a:fillRect/>
                  </a:stretch>
                </pic:blipFill>
                <pic:spPr>
                  <a:xfrm>
                    <a:off x="0" y="0"/>
                    <a:ext cx="2520315" cy="314325"/>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8E7601">
    <w:pPr>
      <w:pBdr>
        <w:top w:val="none" w:color="auto" w:sz="0" w:space="1"/>
        <w:left w:val="none" w:color="auto" w:sz="0" w:space="4"/>
        <w:bottom w:val="none" w:color="auto" w:sz="0" w:space="1"/>
        <w:right w:val="none" w:color="auto" w:sz="0" w:space="4"/>
      </w:pBdr>
      <w:tabs>
        <w:tab w:val="center" w:pos="4153"/>
        <w:tab w:val="right" w:pos="8306"/>
      </w:tabs>
      <w:wordWrap w:val="0"/>
      <w:snapToGrid w:val="0"/>
    </w:pPr>
    <w:r>
      <w:drawing>
        <wp:anchor distT="0" distB="0" distL="114300" distR="114300" simplePos="0" relativeHeight="251665408" behindDoc="0" locked="0" layoutInCell="1" allowOverlap="1">
          <wp:simplePos x="0" y="0"/>
          <wp:positionH relativeFrom="column">
            <wp:posOffset>7620</wp:posOffset>
          </wp:positionH>
          <wp:positionV relativeFrom="paragraph">
            <wp:posOffset>-11430</wp:posOffset>
          </wp:positionV>
          <wp:extent cx="377190" cy="144145"/>
          <wp:effectExtent l="0" t="0" r="3810" b="8255"/>
          <wp:wrapNone/>
          <wp:docPr id="5" name="图片 2" descr="说明: 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说明: 图片1"/>
                  <pic:cNvPicPr>
                    <a:picLocks noChangeAspect="1"/>
                  </pic:cNvPicPr>
                </pic:nvPicPr>
                <pic:blipFill>
                  <a:blip r:embed="rId1">
                    <a:clrChange>
                      <a:clrFrom>
                        <a:srgbClr val="FEFEFE"/>
                      </a:clrFrom>
                      <a:clrTo>
                        <a:srgbClr val="FEFEFE">
                          <a:alpha val="0"/>
                        </a:srgbClr>
                      </a:clrTo>
                    </a:clrChange>
                    <a:lum contrast="18000"/>
                  </a:blip>
                  <a:srcRect t="72632"/>
                  <a:stretch>
                    <a:fillRect/>
                  </a:stretch>
                </pic:blipFill>
                <pic:spPr>
                  <a:xfrm>
                    <a:off x="0" y="0"/>
                    <a:ext cx="377190" cy="144145"/>
                  </a:xfrm>
                  <a:prstGeom prst="rect">
                    <a:avLst/>
                  </a:prstGeom>
                  <a:noFill/>
                  <a:ln>
                    <a:noFill/>
                  </a:ln>
                </pic:spPr>
              </pic:pic>
            </a:graphicData>
          </a:graphic>
        </wp:anchor>
      </w:drawing>
    </w:r>
    <w:r>
      <w:rPr>
        <w:rFonts w:hint="eastAsia"/>
        <w:sz w:val="18"/>
        <w:szCs w:val="24"/>
      </w:rPr>
      <w:t xml:space="preserve">                                                   </w:t>
    </w:r>
    <w:r>
      <w:rPr>
        <w:rFonts w:hint="eastAsia"/>
        <w:sz w:val="18"/>
        <w:szCs w:val="24"/>
        <w:lang w:val="en-US" w:eastAsia="zh-CN"/>
      </w:rPr>
      <w:t xml:space="preserve">                                  </w:t>
    </w:r>
    <w:r>
      <w:rPr>
        <w:rFonts w:hint="eastAsia"/>
        <w:sz w:val="18"/>
        <w:szCs w:val="24"/>
      </w:rPr>
      <w:t xml:space="preserve"> </w:t>
    </w:r>
    <w:r>
      <w:rPr>
        <w:rFonts w:hint="eastAsia" w:ascii="宋体" w:hAnsi="宋体" w:cs="宋体"/>
        <w:b/>
        <w:color w:val="000000"/>
        <w:szCs w:val="21"/>
      </w:rPr>
      <w:t>CSCEC</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FA645">
    <w:pPr>
      <w:pBdr>
        <w:top w:val="none" w:color="auto" w:sz="0" w:space="1"/>
        <w:left w:val="none" w:color="auto" w:sz="0" w:space="4"/>
        <w:bottom w:val="none" w:color="auto" w:sz="0" w:space="1"/>
        <w:right w:val="none" w:color="auto" w:sz="0" w:space="4"/>
      </w:pBdr>
      <w:tabs>
        <w:tab w:val="center" w:pos="4153"/>
        <w:tab w:val="right" w:pos="8306"/>
      </w:tabs>
      <w:wordWrap w:val="0"/>
      <w:snapToGrid w:val="0"/>
    </w:pPr>
    <w:r>
      <w:drawing>
        <wp:anchor distT="0" distB="0" distL="114300" distR="114300" simplePos="0" relativeHeight="251666432" behindDoc="0" locked="0" layoutInCell="1" allowOverlap="1">
          <wp:simplePos x="0" y="0"/>
          <wp:positionH relativeFrom="column">
            <wp:posOffset>7620</wp:posOffset>
          </wp:positionH>
          <wp:positionV relativeFrom="paragraph">
            <wp:posOffset>-11430</wp:posOffset>
          </wp:positionV>
          <wp:extent cx="377190" cy="144145"/>
          <wp:effectExtent l="0" t="0" r="3810" b="8255"/>
          <wp:wrapNone/>
          <wp:docPr id="26" name="图片 2" descr="说明: 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 descr="说明: 图片1"/>
                  <pic:cNvPicPr>
                    <a:picLocks noChangeAspect="1"/>
                  </pic:cNvPicPr>
                </pic:nvPicPr>
                <pic:blipFill>
                  <a:blip r:embed="rId1">
                    <a:clrChange>
                      <a:clrFrom>
                        <a:srgbClr val="FEFEFE"/>
                      </a:clrFrom>
                      <a:clrTo>
                        <a:srgbClr val="FEFEFE">
                          <a:alpha val="0"/>
                        </a:srgbClr>
                      </a:clrTo>
                    </a:clrChange>
                    <a:lum contrast="18000"/>
                  </a:blip>
                  <a:srcRect t="72632"/>
                  <a:stretch>
                    <a:fillRect/>
                  </a:stretch>
                </pic:blipFill>
                <pic:spPr>
                  <a:xfrm>
                    <a:off x="0" y="0"/>
                    <a:ext cx="377190" cy="144145"/>
                  </a:xfrm>
                  <a:prstGeom prst="rect">
                    <a:avLst/>
                  </a:prstGeom>
                  <a:noFill/>
                  <a:ln>
                    <a:noFill/>
                  </a:ln>
                </pic:spPr>
              </pic:pic>
            </a:graphicData>
          </a:graphic>
        </wp:anchor>
      </w:drawing>
    </w:r>
    <w:r>
      <w:rPr>
        <w:rFonts w:hint="eastAsia"/>
        <w:sz w:val="18"/>
        <w:szCs w:val="24"/>
      </w:rPr>
      <w:t xml:space="preserve">                                                                      </w:t>
    </w:r>
    <w:r>
      <w:rPr>
        <w:rFonts w:hint="eastAsia"/>
        <w:sz w:val="18"/>
        <w:szCs w:val="24"/>
        <w:lang w:val="en-US" w:eastAsia="zh-CN"/>
      </w:rPr>
      <w:t xml:space="preserve">                </w:t>
    </w:r>
    <w:r>
      <w:rPr>
        <w:rFonts w:hint="eastAsia" w:ascii="宋体" w:hAnsi="宋体" w:cs="宋体"/>
        <w:b/>
        <w:color w:val="000000"/>
        <w:szCs w:val="21"/>
      </w:rPr>
      <w:t>CSCEC</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16C847">
    <w:pPr>
      <w:pBdr>
        <w:top w:val="none" w:color="auto" w:sz="0" w:space="1"/>
        <w:left w:val="none" w:color="auto" w:sz="0" w:space="4"/>
        <w:bottom w:val="none" w:color="auto" w:sz="0" w:space="1"/>
        <w:right w:val="none" w:color="auto" w:sz="0" w:space="4"/>
      </w:pBdr>
      <w:tabs>
        <w:tab w:val="center" w:pos="4153"/>
        <w:tab w:val="right" w:pos="8306"/>
      </w:tabs>
      <w:wordWrap w:val="0"/>
      <w:snapToGrid w:val="0"/>
      <w:ind w:firstLine="5670" w:firstLineChars="2700"/>
    </w:pPr>
    <w:r>
      <w:drawing>
        <wp:anchor distT="0" distB="0" distL="114300" distR="114300" simplePos="0" relativeHeight="251667456" behindDoc="0" locked="0" layoutInCell="1" allowOverlap="1">
          <wp:simplePos x="0" y="0"/>
          <wp:positionH relativeFrom="column">
            <wp:posOffset>7620</wp:posOffset>
          </wp:positionH>
          <wp:positionV relativeFrom="paragraph">
            <wp:posOffset>-11430</wp:posOffset>
          </wp:positionV>
          <wp:extent cx="377190" cy="144145"/>
          <wp:effectExtent l="0" t="0" r="3810" b="8255"/>
          <wp:wrapNone/>
          <wp:docPr id="8" name="图片 2" descr="说明: 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说明: 图片1"/>
                  <pic:cNvPicPr>
                    <a:picLocks noChangeAspect="1"/>
                  </pic:cNvPicPr>
                </pic:nvPicPr>
                <pic:blipFill>
                  <a:blip r:embed="rId1">
                    <a:clrChange>
                      <a:clrFrom>
                        <a:srgbClr val="FEFEFE"/>
                      </a:clrFrom>
                      <a:clrTo>
                        <a:srgbClr val="FEFEFE">
                          <a:alpha val="0"/>
                        </a:srgbClr>
                      </a:clrTo>
                    </a:clrChange>
                    <a:lum contrast="18000"/>
                  </a:blip>
                  <a:srcRect t="72632"/>
                  <a:stretch>
                    <a:fillRect/>
                  </a:stretch>
                </pic:blipFill>
                <pic:spPr>
                  <a:xfrm>
                    <a:off x="0" y="0"/>
                    <a:ext cx="377190" cy="144145"/>
                  </a:xfrm>
                  <a:prstGeom prst="rect">
                    <a:avLst/>
                  </a:prstGeom>
                  <a:noFill/>
                  <a:ln>
                    <a:noFill/>
                  </a:ln>
                </pic:spPr>
              </pic:pic>
            </a:graphicData>
          </a:graphic>
        </wp:anchor>
      </w:drawing>
    </w:r>
    <w:r>
      <w:rPr>
        <w:rFonts w:hint="eastAsia"/>
        <w:sz w:val="18"/>
        <w:szCs w:val="24"/>
      </w:rPr>
      <w:t xml:space="preserve">                                                                      </w:t>
    </w:r>
    <w:r>
      <w:rPr>
        <w:rFonts w:hint="eastAsia"/>
        <w:sz w:val="18"/>
        <w:szCs w:val="24"/>
        <w:lang w:val="en-US" w:eastAsia="zh-CN"/>
      </w:rPr>
      <w:t xml:space="preserve">                </w:t>
    </w:r>
    <w:r>
      <w:rPr>
        <w:rFonts w:hint="eastAsia" w:ascii="宋体" w:hAnsi="宋体" w:cs="宋体"/>
        <w:b/>
        <w:color w:val="000000"/>
        <w:szCs w:val="21"/>
      </w:rPr>
      <w:t>CSCEC</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E26F49">
    <w:pPr>
      <w:pBdr>
        <w:top w:val="none" w:color="auto" w:sz="0" w:space="1"/>
        <w:left w:val="none" w:color="auto" w:sz="0" w:space="4"/>
        <w:bottom w:val="none" w:color="auto" w:sz="0" w:space="1"/>
        <w:right w:val="none" w:color="auto" w:sz="0" w:space="4"/>
      </w:pBdr>
      <w:tabs>
        <w:tab w:val="center" w:pos="4153"/>
        <w:tab w:val="right" w:pos="8306"/>
      </w:tabs>
      <w:wordWrap w:val="0"/>
      <w:snapToGrid w:val="0"/>
      <w:ind w:firstLine="5670" w:firstLineChars="2700"/>
    </w:pPr>
    <w:r>
      <w:drawing>
        <wp:anchor distT="0" distB="0" distL="114300" distR="114300" simplePos="0" relativeHeight="251668480" behindDoc="0" locked="0" layoutInCell="1" allowOverlap="1">
          <wp:simplePos x="0" y="0"/>
          <wp:positionH relativeFrom="column">
            <wp:posOffset>7620</wp:posOffset>
          </wp:positionH>
          <wp:positionV relativeFrom="paragraph">
            <wp:posOffset>-11430</wp:posOffset>
          </wp:positionV>
          <wp:extent cx="377190" cy="144145"/>
          <wp:effectExtent l="0" t="0" r="3810" b="8255"/>
          <wp:wrapNone/>
          <wp:docPr id="27" name="图片 2" descr="说明: 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 descr="说明: 图片1"/>
                  <pic:cNvPicPr>
                    <a:picLocks noChangeAspect="1"/>
                  </pic:cNvPicPr>
                </pic:nvPicPr>
                <pic:blipFill>
                  <a:blip r:embed="rId1">
                    <a:clrChange>
                      <a:clrFrom>
                        <a:srgbClr val="FEFEFE"/>
                      </a:clrFrom>
                      <a:clrTo>
                        <a:srgbClr val="FEFEFE">
                          <a:alpha val="0"/>
                        </a:srgbClr>
                      </a:clrTo>
                    </a:clrChange>
                    <a:lum contrast="18000"/>
                  </a:blip>
                  <a:srcRect t="72632"/>
                  <a:stretch>
                    <a:fillRect/>
                  </a:stretch>
                </pic:blipFill>
                <pic:spPr>
                  <a:xfrm>
                    <a:off x="0" y="0"/>
                    <a:ext cx="377190" cy="144145"/>
                  </a:xfrm>
                  <a:prstGeom prst="rect">
                    <a:avLst/>
                  </a:prstGeom>
                  <a:noFill/>
                  <a:ln>
                    <a:noFill/>
                  </a:ln>
                </pic:spPr>
              </pic:pic>
            </a:graphicData>
          </a:graphic>
        </wp:anchor>
      </w:drawing>
    </w:r>
    <w:r>
      <w:rPr>
        <w:rFonts w:hint="eastAsia"/>
        <w:lang w:val="en-US" w:eastAsia="zh-CN"/>
      </w:rPr>
      <w:t xml:space="preserve">                    </w:t>
    </w:r>
    <w:r>
      <w:rPr>
        <w:rFonts w:hint="eastAsia" w:ascii="宋体" w:hAnsi="宋体" w:cs="宋体"/>
        <w:b/>
        <w:color w:val="000000"/>
        <w:szCs w:val="21"/>
      </w:rPr>
      <w:t>CSCEC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525A6D"/>
    <w:multiLevelType w:val="singleLevel"/>
    <w:tmpl w:val="9C525A6D"/>
    <w:lvl w:ilvl="0" w:tentative="0">
      <w:start w:val="1"/>
      <w:numFmt w:val="decimal"/>
      <w:suff w:val="nothing"/>
      <w:lvlText w:val="%1、"/>
      <w:lvlJc w:val="left"/>
    </w:lvl>
  </w:abstractNum>
  <w:abstractNum w:abstractNumId="1">
    <w:nsid w:val="BF2E4D01"/>
    <w:multiLevelType w:val="singleLevel"/>
    <w:tmpl w:val="BF2E4D01"/>
    <w:lvl w:ilvl="0" w:tentative="0">
      <w:start w:val="1"/>
      <w:numFmt w:val="decimal"/>
      <w:suff w:val="nothing"/>
      <w:lvlText w:val="（%1）"/>
      <w:lvlJc w:val="left"/>
    </w:lvl>
  </w:abstractNum>
  <w:abstractNum w:abstractNumId="2">
    <w:nsid w:val="CDF988A0"/>
    <w:multiLevelType w:val="singleLevel"/>
    <w:tmpl w:val="CDF988A0"/>
    <w:lvl w:ilvl="0" w:tentative="0">
      <w:start w:val="1"/>
      <w:numFmt w:val="decimal"/>
      <w:suff w:val="nothing"/>
      <w:lvlText w:val="%1、"/>
      <w:lvlJc w:val="left"/>
    </w:lvl>
  </w:abstractNum>
  <w:abstractNum w:abstractNumId="3">
    <w:nsid w:val="D6CC21DA"/>
    <w:multiLevelType w:val="singleLevel"/>
    <w:tmpl w:val="D6CC21DA"/>
    <w:lvl w:ilvl="0" w:tentative="0">
      <w:start w:val="1"/>
      <w:numFmt w:val="decimal"/>
      <w:suff w:val="nothing"/>
      <w:lvlText w:val="%1、"/>
      <w:lvlJc w:val="left"/>
    </w:lvl>
  </w:abstractNum>
  <w:abstractNum w:abstractNumId="4">
    <w:nsid w:val="DA2CD928"/>
    <w:multiLevelType w:val="singleLevel"/>
    <w:tmpl w:val="DA2CD928"/>
    <w:lvl w:ilvl="0" w:tentative="0">
      <w:start w:val="1"/>
      <w:numFmt w:val="decimal"/>
      <w:suff w:val="nothing"/>
      <w:lvlText w:val="%1、"/>
      <w:lvlJc w:val="left"/>
    </w:lvl>
  </w:abstractNum>
  <w:abstractNum w:abstractNumId="5">
    <w:nsid w:val="E0133784"/>
    <w:multiLevelType w:val="singleLevel"/>
    <w:tmpl w:val="E0133784"/>
    <w:lvl w:ilvl="0" w:tentative="0">
      <w:start w:val="1"/>
      <w:numFmt w:val="decimal"/>
      <w:suff w:val="nothing"/>
      <w:lvlText w:val="%1、"/>
      <w:lvlJc w:val="left"/>
    </w:lvl>
  </w:abstractNum>
  <w:abstractNum w:abstractNumId="6">
    <w:nsid w:val="EEFD7662"/>
    <w:multiLevelType w:val="singleLevel"/>
    <w:tmpl w:val="EEFD7662"/>
    <w:lvl w:ilvl="0" w:tentative="0">
      <w:start w:val="1"/>
      <w:numFmt w:val="decimal"/>
      <w:suff w:val="nothing"/>
      <w:lvlText w:val="%1、"/>
      <w:lvlJc w:val="left"/>
    </w:lvl>
  </w:abstractNum>
  <w:abstractNum w:abstractNumId="7">
    <w:nsid w:val="EFACCE70"/>
    <w:multiLevelType w:val="singleLevel"/>
    <w:tmpl w:val="EFACCE70"/>
    <w:lvl w:ilvl="0" w:tentative="0">
      <w:start w:val="1"/>
      <w:numFmt w:val="chineseCounting"/>
      <w:suff w:val="nothing"/>
      <w:lvlText w:val="%1、"/>
      <w:lvlJc w:val="left"/>
      <w:rPr>
        <w:rFonts w:hint="eastAsia"/>
      </w:rPr>
    </w:lvl>
  </w:abstractNum>
  <w:abstractNum w:abstractNumId="8">
    <w:nsid w:val="F4B4D53B"/>
    <w:multiLevelType w:val="singleLevel"/>
    <w:tmpl w:val="F4B4D53B"/>
    <w:lvl w:ilvl="0" w:tentative="0">
      <w:start w:val="1"/>
      <w:numFmt w:val="decimal"/>
      <w:suff w:val="nothing"/>
      <w:lvlText w:val="%1、"/>
      <w:lvlJc w:val="left"/>
    </w:lvl>
  </w:abstractNum>
  <w:abstractNum w:abstractNumId="9">
    <w:nsid w:val="17E12B1E"/>
    <w:multiLevelType w:val="singleLevel"/>
    <w:tmpl w:val="17E12B1E"/>
    <w:lvl w:ilvl="0" w:tentative="0">
      <w:start w:val="6"/>
      <w:numFmt w:val="chineseCounting"/>
      <w:suff w:val="nothing"/>
      <w:lvlText w:val="%1、"/>
      <w:lvlJc w:val="left"/>
      <w:pPr>
        <w:ind w:left="480" w:firstLine="0"/>
      </w:pPr>
      <w:rPr>
        <w:rFonts w:hint="eastAsia"/>
      </w:rPr>
    </w:lvl>
  </w:abstractNum>
  <w:abstractNum w:abstractNumId="10">
    <w:nsid w:val="1C870535"/>
    <w:multiLevelType w:val="singleLevel"/>
    <w:tmpl w:val="1C870535"/>
    <w:lvl w:ilvl="0" w:tentative="0">
      <w:start w:val="1"/>
      <w:numFmt w:val="decimal"/>
      <w:suff w:val="nothing"/>
      <w:lvlText w:val="%1、"/>
      <w:lvlJc w:val="left"/>
      <w:rPr>
        <w:rFonts w:hint="default"/>
        <w:b/>
        <w:bCs/>
      </w:rPr>
    </w:lvl>
  </w:abstractNum>
  <w:abstractNum w:abstractNumId="11">
    <w:nsid w:val="567023B9"/>
    <w:multiLevelType w:val="singleLevel"/>
    <w:tmpl w:val="567023B9"/>
    <w:lvl w:ilvl="0" w:tentative="0">
      <w:start w:val="1"/>
      <w:numFmt w:val="decimal"/>
      <w:suff w:val="nothing"/>
      <w:lvlText w:val="%1、"/>
      <w:lvlJc w:val="left"/>
    </w:lvl>
  </w:abstractNum>
  <w:abstractNum w:abstractNumId="12">
    <w:nsid w:val="5A99D076"/>
    <w:multiLevelType w:val="singleLevel"/>
    <w:tmpl w:val="5A99D076"/>
    <w:lvl w:ilvl="0" w:tentative="0">
      <w:start w:val="2"/>
      <w:numFmt w:val="decimal"/>
      <w:lvlText w:val="%1."/>
      <w:lvlJc w:val="left"/>
      <w:pPr>
        <w:tabs>
          <w:tab w:val="left" w:pos="312"/>
        </w:tabs>
        <w:ind w:left="480" w:firstLine="0"/>
      </w:pPr>
    </w:lvl>
  </w:abstractNum>
  <w:abstractNum w:abstractNumId="13">
    <w:nsid w:val="7B017038"/>
    <w:multiLevelType w:val="singleLevel"/>
    <w:tmpl w:val="7B017038"/>
    <w:lvl w:ilvl="0" w:tentative="0">
      <w:start w:val="1"/>
      <w:numFmt w:val="chineseCounting"/>
      <w:suff w:val="nothing"/>
      <w:lvlText w:val="%1、"/>
      <w:lvlJc w:val="left"/>
      <w:rPr>
        <w:rFonts w:hint="eastAsia"/>
      </w:rPr>
    </w:lvl>
  </w:abstractNum>
  <w:abstractNum w:abstractNumId="14">
    <w:nsid w:val="7C4E14C2"/>
    <w:multiLevelType w:val="multilevel"/>
    <w:tmpl w:val="7C4E14C2"/>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7"/>
  </w:num>
  <w:num w:numId="2">
    <w:abstractNumId w:val="4"/>
  </w:num>
  <w:num w:numId="3">
    <w:abstractNumId w:val="10"/>
  </w:num>
  <w:num w:numId="4">
    <w:abstractNumId w:val="1"/>
  </w:num>
  <w:num w:numId="5">
    <w:abstractNumId w:val="6"/>
  </w:num>
  <w:num w:numId="6">
    <w:abstractNumId w:val="8"/>
  </w:num>
  <w:num w:numId="7">
    <w:abstractNumId w:val="14"/>
  </w:num>
  <w:num w:numId="8">
    <w:abstractNumId w:val="12"/>
  </w:num>
  <w:num w:numId="9">
    <w:abstractNumId w:val="9"/>
  </w:num>
  <w:num w:numId="10">
    <w:abstractNumId w:val="13"/>
  </w:num>
  <w:num w:numId="11">
    <w:abstractNumId w:val="11"/>
  </w:num>
  <w:num w:numId="12">
    <w:abstractNumId w:val="3"/>
  </w:num>
  <w:num w:numId="13">
    <w:abstractNumId w:val="5"/>
  </w:num>
  <w:num w:numId="14">
    <w:abstractNumId w:val="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embedSystemFonts/>
  <w:bordersDoNotSurroundHeader w:val="1"/>
  <w:bordersDoNotSurroundFooter w:val="1"/>
  <w:documentProtection w:edit="readOnly" w:enforcement="1" w:cryptProviderType="rsaFull" w:cryptAlgorithmClass="hash" w:cryptAlgorithmType="typeAny" w:cryptAlgorithmSid="4" w:cryptSpinCount="0" w:hash="Xdjadz/dCRpVI3lkX6AgRL/bFaE=" w:salt="YhzAHEef5KVNYrBKlhmRVg=="/>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zNjM5MWI5OTJlOWQxZDdiYTBmZGI3NTczYTVlNTUifQ=="/>
  </w:docVars>
  <w:rsids>
    <w:rsidRoot w:val="00000000"/>
    <w:rsid w:val="00642AE1"/>
    <w:rsid w:val="02A3495C"/>
    <w:rsid w:val="031B0E0A"/>
    <w:rsid w:val="04E028AC"/>
    <w:rsid w:val="06837454"/>
    <w:rsid w:val="06896783"/>
    <w:rsid w:val="06CD6E0F"/>
    <w:rsid w:val="07904C6B"/>
    <w:rsid w:val="0F3379ED"/>
    <w:rsid w:val="0FAB7314"/>
    <w:rsid w:val="10211F7D"/>
    <w:rsid w:val="107B2FAF"/>
    <w:rsid w:val="13C83593"/>
    <w:rsid w:val="145C3F0D"/>
    <w:rsid w:val="146C2105"/>
    <w:rsid w:val="151B0063"/>
    <w:rsid w:val="1E31039B"/>
    <w:rsid w:val="23AC3637"/>
    <w:rsid w:val="23B52405"/>
    <w:rsid w:val="2481222B"/>
    <w:rsid w:val="270809E0"/>
    <w:rsid w:val="271E7A27"/>
    <w:rsid w:val="274C43CC"/>
    <w:rsid w:val="2A440F35"/>
    <w:rsid w:val="2B561DEC"/>
    <w:rsid w:val="2B6F1560"/>
    <w:rsid w:val="2BC23FE2"/>
    <w:rsid w:val="30575A14"/>
    <w:rsid w:val="35566576"/>
    <w:rsid w:val="35A324DC"/>
    <w:rsid w:val="3794745A"/>
    <w:rsid w:val="39DF3BB8"/>
    <w:rsid w:val="40EE02F8"/>
    <w:rsid w:val="410706D6"/>
    <w:rsid w:val="444C6F31"/>
    <w:rsid w:val="448714A5"/>
    <w:rsid w:val="45C55598"/>
    <w:rsid w:val="49751AC6"/>
    <w:rsid w:val="49857D06"/>
    <w:rsid w:val="4B14684D"/>
    <w:rsid w:val="4E976A57"/>
    <w:rsid w:val="501608B8"/>
    <w:rsid w:val="51A64308"/>
    <w:rsid w:val="51BF5E7B"/>
    <w:rsid w:val="53BD68A5"/>
    <w:rsid w:val="54CA55D0"/>
    <w:rsid w:val="565A4C93"/>
    <w:rsid w:val="57200905"/>
    <w:rsid w:val="57F71B05"/>
    <w:rsid w:val="57FF75EE"/>
    <w:rsid w:val="5A783688"/>
    <w:rsid w:val="5AD826BB"/>
    <w:rsid w:val="5AF56371"/>
    <w:rsid w:val="5B697F52"/>
    <w:rsid w:val="5B7E5A88"/>
    <w:rsid w:val="5BEE727B"/>
    <w:rsid w:val="60BC11AC"/>
    <w:rsid w:val="61B47FFE"/>
    <w:rsid w:val="61D52F3F"/>
    <w:rsid w:val="691D21D3"/>
    <w:rsid w:val="6A66681F"/>
    <w:rsid w:val="6D8C53FF"/>
    <w:rsid w:val="6F7D2809"/>
    <w:rsid w:val="74985877"/>
    <w:rsid w:val="76296AAA"/>
    <w:rsid w:val="76BA68A5"/>
    <w:rsid w:val="770D2341"/>
    <w:rsid w:val="778C521A"/>
    <w:rsid w:val="78BB0EB8"/>
    <w:rsid w:val="78EF7891"/>
    <w:rsid w:val="7D5313DF"/>
    <w:rsid w:val="7F074509"/>
    <w:rsid w:val="7FC130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qFormat/>
    <w:uiPriority w:val="0"/>
    <w:pPr>
      <w:keepNext/>
      <w:keepLines/>
      <w:spacing w:before="340" w:after="330" w:line="578" w:lineRule="auto"/>
      <w:outlineLvl w:val="0"/>
    </w:pPr>
    <w:rPr>
      <w:rFonts w:ascii="宋体" w:hAnsi="宋体" w:eastAsia="宋体" w:cs="宋体"/>
      <w:b/>
      <w:bCs/>
      <w:kern w:val="44"/>
      <w:sz w:val="44"/>
      <w:szCs w:val="44"/>
    </w:rPr>
  </w:style>
  <w:style w:type="paragraph" w:styleId="5">
    <w:name w:val="heading 2"/>
    <w:basedOn w:val="1"/>
    <w:next w:val="1"/>
    <w:autoRedefine/>
    <w:qFormat/>
    <w:uiPriority w:val="0"/>
    <w:pPr>
      <w:keepNext/>
      <w:keepLines/>
      <w:spacing w:line="576" w:lineRule="auto"/>
      <w:ind w:firstLine="200" w:firstLineChars="200"/>
      <w:outlineLvl w:val="1"/>
    </w:pPr>
    <w:rPr>
      <w:rFonts w:ascii="宋体" w:hAnsi="宋体" w:eastAsia="宋体" w:cs="Times New Roman"/>
      <w:b/>
      <w:bCs/>
      <w:sz w:val="28"/>
      <w:szCs w:val="32"/>
    </w:rPr>
  </w:style>
  <w:style w:type="paragraph" w:styleId="6">
    <w:name w:val="heading 3"/>
    <w:basedOn w:val="1"/>
    <w:next w:val="1"/>
    <w:autoRedefine/>
    <w:qFormat/>
    <w:uiPriority w:val="0"/>
    <w:pPr>
      <w:keepNext/>
      <w:keepLines/>
      <w:spacing w:before="260" w:after="260" w:line="413" w:lineRule="auto"/>
      <w:outlineLvl w:val="2"/>
    </w:pPr>
    <w:rPr>
      <w:rFonts w:ascii="Calibri" w:hAnsi="Calibri" w:eastAsia="宋体" w:cs="Times New Roman"/>
      <w:b/>
      <w:bCs/>
      <w:sz w:val="32"/>
      <w:szCs w:val="32"/>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0"/>
    <w:pPr>
      <w:ind w:firstLine="420" w:firstLineChars="200"/>
    </w:pPr>
    <w:rPr>
      <w:rFonts w:ascii="Times New Roman" w:hAnsi="Times New Roman" w:cs="Times New Roman"/>
      <w:kern w:val="2"/>
      <w:sz w:val="21"/>
      <w:szCs w:val="22"/>
    </w:rPr>
  </w:style>
  <w:style w:type="paragraph" w:styleId="3">
    <w:name w:val="Body Text Indent"/>
    <w:basedOn w:val="1"/>
    <w:autoRedefine/>
    <w:qFormat/>
    <w:uiPriority w:val="0"/>
    <w:pPr>
      <w:spacing w:line="360" w:lineRule="auto"/>
      <w:ind w:firstLine="600" w:firstLineChars="200"/>
    </w:pPr>
    <w:rPr>
      <w:rFonts w:ascii="仿宋_GB2312" w:hAnsi="Calibri" w:eastAsia="仿宋_GB2312" w:cs="Times New Roman"/>
      <w:bCs/>
      <w:sz w:val="30"/>
      <w:szCs w:val="20"/>
    </w:rPr>
  </w:style>
  <w:style w:type="paragraph" w:styleId="7">
    <w:name w:val="Normal Indent"/>
    <w:basedOn w:val="1"/>
    <w:autoRedefine/>
    <w:qFormat/>
    <w:uiPriority w:val="0"/>
    <w:pPr>
      <w:widowControl/>
      <w:ind w:firstLine="420"/>
      <w:jc w:val="left"/>
    </w:pPr>
    <w:rPr>
      <w:rFonts w:ascii="MingLiU" w:hAnsi="MingLiU" w:eastAsia="MingLiU" w:cs="Arial Unicode MS"/>
      <w:snapToGrid w:val="0"/>
      <w:kern w:val="0"/>
      <w:sz w:val="20"/>
      <w:szCs w:val="20"/>
    </w:rPr>
  </w:style>
  <w:style w:type="paragraph" w:styleId="8">
    <w:name w:val="annotation text"/>
    <w:basedOn w:val="1"/>
    <w:autoRedefine/>
    <w:qFormat/>
    <w:uiPriority w:val="0"/>
    <w:pPr>
      <w:jc w:val="left"/>
    </w:pPr>
  </w:style>
  <w:style w:type="paragraph" w:styleId="9">
    <w:name w:val="Body Text"/>
    <w:basedOn w:val="1"/>
    <w:next w:val="1"/>
    <w:autoRedefine/>
    <w:qFormat/>
    <w:uiPriority w:val="0"/>
    <w:rPr>
      <w:szCs w:val="28"/>
    </w:rPr>
  </w:style>
  <w:style w:type="paragraph" w:styleId="10">
    <w:name w:val="Plain Text"/>
    <w:basedOn w:val="1"/>
    <w:autoRedefine/>
    <w:qFormat/>
    <w:uiPriority w:val="0"/>
    <w:rPr>
      <w:rFonts w:ascii="黑体" w:hAnsi="Courier New" w:eastAsia="黑体" w:cs="Times New Roman"/>
      <w:szCs w:val="20"/>
    </w:rPr>
  </w:style>
  <w:style w:type="paragraph" w:styleId="11">
    <w:name w:val="Body Text Indent 2"/>
    <w:basedOn w:val="1"/>
    <w:autoRedefine/>
    <w:qFormat/>
    <w:uiPriority w:val="0"/>
    <w:pPr>
      <w:ind w:firstLine="540" w:firstLineChars="180"/>
    </w:pPr>
    <w:rPr>
      <w:rFonts w:ascii="仿宋_GB2312" w:hAnsi="Calibri" w:eastAsia="仿宋_GB2312" w:cs="Times New Roman"/>
      <w:sz w:val="30"/>
      <w:szCs w:val="24"/>
    </w:rPr>
  </w:style>
  <w:style w:type="paragraph" w:styleId="12">
    <w:name w:val="footer"/>
    <w:basedOn w:val="1"/>
    <w:autoRedefine/>
    <w:unhideWhenUsed/>
    <w:qFormat/>
    <w:uiPriority w:val="0"/>
    <w:pPr>
      <w:tabs>
        <w:tab w:val="center" w:pos="4153"/>
        <w:tab w:val="right" w:pos="8306"/>
      </w:tabs>
      <w:snapToGrid w:val="0"/>
      <w:jc w:val="left"/>
    </w:pPr>
    <w:rPr>
      <w:sz w:val="18"/>
      <w:szCs w:val="18"/>
    </w:rPr>
  </w:style>
  <w:style w:type="paragraph" w:styleId="13">
    <w:name w:val="header"/>
    <w:basedOn w:val="1"/>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autoRedefine/>
    <w:qFormat/>
    <w:uiPriority w:val="0"/>
    <w:rPr>
      <w:rFonts w:ascii="Calibri" w:hAnsi="Calibri" w:eastAsia="宋体" w:cs="Times New Roman"/>
    </w:rPr>
  </w:style>
  <w:style w:type="table" w:styleId="16">
    <w:name w:val="Table Grid"/>
    <w:basedOn w:val="15"/>
    <w:autoRedefine/>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Hyperlink"/>
    <w:qFormat/>
    <w:uiPriority w:val="0"/>
    <w:rPr>
      <w:color w:val="0000FF"/>
      <w:u w:val="single"/>
    </w:rPr>
  </w:style>
  <w:style w:type="paragraph" w:customStyle="1" w:styleId="19">
    <w:name w:val="Default"/>
    <w:autoRedefine/>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20">
    <w:name w:val="font41"/>
    <w:basedOn w:val="17"/>
    <w:autoRedefine/>
    <w:qFormat/>
    <w:uiPriority w:val="0"/>
    <w:rPr>
      <w:rFonts w:hint="eastAsia" w:ascii="宋体" w:hAnsi="宋体" w:eastAsia="宋体" w:cs="宋体"/>
      <w:color w:val="000000"/>
      <w:sz w:val="22"/>
      <w:szCs w:val="22"/>
      <w:u w:val="none"/>
      <w:vertAlign w:val="superscript"/>
    </w:rPr>
  </w:style>
  <w:style w:type="paragraph" w:customStyle="1" w:styleId="21">
    <w:name w:val="正文 首行缩进"/>
    <w:basedOn w:val="1"/>
    <w:autoRedefine/>
    <w:qFormat/>
    <w:uiPriority w:val="0"/>
    <w:pPr>
      <w:overflowPunct w:val="0"/>
      <w:topLinePunct/>
      <w:adjustRightInd w:val="0"/>
      <w:spacing w:before="156" w:beforeLines="50"/>
      <w:ind w:firstLine="420" w:firstLineChars="200"/>
      <w:textAlignment w:val="baseline"/>
    </w:pPr>
    <w:rPr>
      <w:rFonts w:ascii="宋体" w:hAnsi="宋体" w:cs="宋体"/>
      <w:color w:val="000000"/>
      <w:kern w:val="0"/>
      <w:szCs w:val="21"/>
    </w:rPr>
  </w:style>
  <w:style w:type="paragraph" w:customStyle="1" w:styleId="22">
    <w:name w:val="_Style 2"/>
    <w:basedOn w:val="1"/>
    <w:autoRedefine/>
    <w:qFormat/>
    <w:uiPriority w:val="99"/>
    <w:pPr>
      <w:ind w:firstLine="420" w:firstLineChars="200"/>
    </w:pPr>
    <w:rPr>
      <w:rFonts w:ascii="Calibri" w:hAnsi="Calibri" w:eastAsia="宋体" w:cs="Times New Roman"/>
    </w:rPr>
  </w:style>
  <w:style w:type="paragraph" w:customStyle="1" w:styleId="23">
    <w:name w:val="。"/>
    <w:basedOn w:val="1"/>
    <w:autoRedefine/>
    <w:qFormat/>
    <w:uiPriority w:val="0"/>
    <w:pPr>
      <w:adjustRightInd w:val="0"/>
      <w:spacing w:line="312" w:lineRule="atLeast"/>
      <w:ind w:right="679"/>
      <w:textAlignment w:val="baseline"/>
    </w:pPr>
    <w:rPr>
      <w:rFonts w:ascii="宋体" w:hAnsi="Calibri" w:eastAsia="宋体" w:cs="Times New Roman"/>
      <w:kern w:val="0"/>
      <w:sz w:val="20"/>
      <w:szCs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47</Pages>
  <Words>11530</Words>
  <Characters>12963</Characters>
  <Lines>0</Lines>
  <Paragraphs>0</Paragraphs>
  <TotalTime>0</TotalTime>
  <ScaleCrop>false</ScaleCrop>
  <LinksUpToDate>false</LinksUpToDate>
  <CharactersWithSpaces>13467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2023-11-22T08:42:00Z</dcterms:created>
  <dc:creator>周轶群</dc:creator>
  <cp:lastModifiedBy>挣钱养家</cp:lastModifiedBy>
  <dcterms:modified xsi:type="dcterms:W3CDTF">2026-08-31T08:02:52Z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6F4554D859B14C99AEED2CE602C10469_12</vt:lpwstr>
  </property>
  <property fmtid="{D5CDD505-2E9C-101B-9397-08002B2CF9AE}" pid="4" name="KSOTemplateDocerSaveRecord">
    <vt:lpwstr>eyJoZGlkIjoiZDY3YTM2MGQ0NGJiMzFmM2MwNmQzYjdkNzE5M2NiZGQiLCJ1c2VySWQiOiIxMjMxODg4NTgxIn0=</vt:lpwstr>
  </property>
</Properties>
</file>