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A11506">
      <w:pPr>
        <w:tabs>
          <w:tab w:val="left" w:pos="180"/>
        </w:tabs>
        <w:spacing w:line="600" w:lineRule="auto"/>
        <w:ind w:firstLine="138" w:firstLineChars="49"/>
        <w:rPr>
          <w:rFonts w:hint="eastAsia" w:hAnsi="宋体"/>
          <w:b/>
          <w:color w:val="000000" w:themeColor="text1"/>
          <w:sz w:val="28"/>
          <w:szCs w:val="28"/>
          <w:highlight w:val="none"/>
          <w14:textFill>
            <w14:solidFill>
              <w14:schemeClr w14:val="tx1"/>
            </w14:solidFill>
          </w14:textFill>
        </w:rPr>
      </w:pPr>
    </w:p>
    <w:p w14:paraId="47E4E2C5">
      <w:pPr>
        <w:tabs>
          <w:tab w:val="left" w:pos="180"/>
        </w:tabs>
        <w:spacing w:line="600" w:lineRule="auto"/>
        <w:ind w:firstLine="138" w:firstLineChars="49"/>
        <w:rPr>
          <w:rFonts w:hint="eastAsia" w:hAnsi="宋体"/>
          <w:b/>
          <w:color w:val="000000" w:themeColor="text1"/>
          <w:sz w:val="28"/>
          <w:szCs w:val="28"/>
          <w:highlight w:val="none"/>
          <w14:textFill>
            <w14:solidFill>
              <w14:schemeClr w14:val="tx1"/>
            </w14:solidFill>
          </w14:textFill>
        </w:rPr>
      </w:pPr>
    </w:p>
    <w:p w14:paraId="33057436">
      <w:pPr>
        <w:tabs>
          <w:tab w:val="left" w:pos="180"/>
        </w:tabs>
        <w:spacing w:line="600" w:lineRule="auto"/>
        <w:ind w:right="695" w:rightChars="331"/>
        <w:rPr>
          <w:rFonts w:hint="eastAsia" w:hAnsi="宋体"/>
          <w:b/>
          <w:color w:val="000000" w:themeColor="text1"/>
          <w:sz w:val="44"/>
          <w:szCs w:val="44"/>
          <w:highlight w:val="none"/>
          <w:u w:val="single"/>
          <w14:textFill>
            <w14:solidFill>
              <w14:schemeClr w14:val="tx1"/>
            </w14:solidFill>
          </w14:textFill>
        </w:rPr>
      </w:pPr>
    </w:p>
    <w:p w14:paraId="17DBA0A9">
      <w:pPr>
        <w:tabs>
          <w:tab w:val="left" w:pos="180"/>
        </w:tabs>
        <w:spacing w:line="360" w:lineRule="auto"/>
        <w:ind w:right="48" w:rightChars="23"/>
        <w:jc w:val="center"/>
        <w:rPr>
          <w:rFonts w:hint="default" w:hAnsi="宋体" w:eastAsia="宋体"/>
          <w:b/>
          <w:color w:val="000000" w:themeColor="text1"/>
          <w:sz w:val="52"/>
          <w:szCs w:val="52"/>
          <w:highlight w:val="none"/>
          <w:lang w:val="en-US" w:eastAsia="zh-CN"/>
          <w14:textFill>
            <w14:solidFill>
              <w14:schemeClr w14:val="tx1"/>
            </w14:solidFill>
          </w14:textFill>
        </w:rPr>
      </w:pPr>
      <w:r>
        <w:rPr>
          <w:rFonts w:hint="eastAsia" w:hAnsi="宋体"/>
          <w:b/>
          <w:color w:val="000000" w:themeColor="text1"/>
          <w:sz w:val="52"/>
          <w:szCs w:val="52"/>
          <w:highlight w:val="none"/>
          <w:lang w:val="en-US" w:eastAsia="zh-CN"/>
          <w14:textFill>
            <w14:solidFill>
              <w14:schemeClr w14:val="tx1"/>
            </w14:solidFill>
          </w14:textFill>
        </w:rPr>
        <w:t>海兴高速项目海兴盐场特大桥便道维修、挡捻土工布施工</w:t>
      </w:r>
    </w:p>
    <w:p w14:paraId="08593BD5">
      <w:pPr>
        <w:jc w:val="center"/>
        <w:rPr>
          <w:b/>
          <w:color w:val="000000" w:themeColor="text1"/>
          <w:sz w:val="72"/>
          <w:szCs w:val="72"/>
          <w:highlight w:val="none"/>
          <w14:textFill>
            <w14:solidFill>
              <w14:schemeClr w14:val="tx1"/>
            </w14:solidFill>
          </w14:textFill>
        </w:rPr>
      </w:pPr>
    </w:p>
    <w:p w14:paraId="1D51976A">
      <w:pPr>
        <w:jc w:val="center"/>
        <w:rPr>
          <w:rFonts w:hint="eastAsia" w:hAnsi="宋体"/>
          <w:b/>
          <w:color w:val="000000" w:themeColor="text1"/>
          <w:sz w:val="72"/>
          <w:highlight w:val="none"/>
          <w14:textFill>
            <w14:solidFill>
              <w14:schemeClr w14:val="tx1"/>
            </w14:solidFill>
          </w14:textFill>
        </w:rPr>
      </w:pPr>
      <w:r>
        <w:rPr>
          <w:rFonts w:hint="eastAsia" w:hAnsi="宋体"/>
          <w:b/>
          <w:color w:val="000000" w:themeColor="text1"/>
          <w:sz w:val="72"/>
          <w:highlight w:val="none"/>
          <w14:textFill>
            <w14:solidFill>
              <w14:schemeClr w14:val="tx1"/>
            </w14:solidFill>
          </w14:textFill>
        </w:rPr>
        <w:t>采购文件</w:t>
      </w:r>
    </w:p>
    <w:p w14:paraId="6CE664F2">
      <w:pPr>
        <w:jc w:val="center"/>
        <w:rPr>
          <w:b/>
          <w:color w:val="000000" w:themeColor="text1"/>
          <w:sz w:val="36"/>
          <w:szCs w:val="36"/>
          <w:highlight w:val="none"/>
          <w14:textFill>
            <w14:solidFill>
              <w14:schemeClr w14:val="tx1"/>
            </w14:solidFill>
          </w14:textFill>
        </w:rPr>
      </w:pPr>
    </w:p>
    <w:p w14:paraId="349F8856">
      <w:pPr>
        <w:jc w:val="center"/>
        <w:rPr>
          <w:b/>
          <w:color w:val="000000" w:themeColor="text1"/>
          <w:sz w:val="36"/>
          <w:szCs w:val="36"/>
          <w:highlight w:val="none"/>
          <w14:textFill>
            <w14:solidFill>
              <w14:schemeClr w14:val="tx1"/>
            </w14:solidFill>
          </w14:textFill>
        </w:rPr>
      </w:pPr>
    </w:p>
    <w:p w14:paraId="31B426CE">
      <w:pPr>
        <w:jc w:val="center"/>
        <w:rPr>
          <w:b/>
          <w:color w:val="000000" w:themeColor="text1"/>
          <w:sz w:val="36"/>
          <w:szCs w:val="36"/>
          <w:highlight w:val="none"/>
          <w14:textFill>
            <w14:solidFill>
              <w14:schemeClr w14:val="tx1"/>
            </w14:solidFill>
          </w14:textFill>
        </w:rPr>
      </w:pPr>
    </w:p>
    <w:p w14:paraId="1F3E22B1">
      <w:pPr>
        <w:jc w:val="center"/>
        <w:rPr>
          <w:b/>
          <w:color w:val="000000" w:themeColor="text1"/>
          <w:sz w:val="36"/>
          <w:szCs w:val="36"/>
          <w:highlight w:val="none"/>
          <w14:textFill>
            <w14:solidFill>
              <w14:schemeClr w14:val="tx1"/>
            </w14:solidFill>
          </w14:textFill>
        </w:rPr>
      </w:pPr>
    </w:p>
    <w:p w14:paraId="74AC893E">
      <w:pPr>
        <w:tabs>
          <w:tab w:val="left" w:pos="180"/>
        </w:tabs>
        <w:spacing w:line="600" w:lineRule="auto"/>
        <w:ind w:firstLine="138" w:firstLineChars="49"/>
        <w:jc w:val="center"/>
        <w:rPr>
          <w:rFonts w:hint="default" w:hAnsi="宋体" w:eastAsia="宋体"/>
          <w:b/>
          <w:color w:val="000000" w:themeColor="text1"/>
          <w:sz w:val="28"/>
          <w:szCs w:val="28"/>
          <w:highlight w:val="none"/>
          <w:u w:val="single"/>
          <w:lang w:val="en-US" w:eastAsia="zh-CN"/>
          <w14:textFill>
            <w14:solidFill>
              <w14:schemeClr w14:val="tx1"/>
            </w14:solidFill>
          </w14:textFill>
        </w:rPr>
      </w:pPr>
      <w:r>
        <w:rPr>
          <w:rFonts w:hint="eastAsia" w:hAnsi="宋体"/>
          <w:b/>
          <w:color w:val="000000" w:themeColor="text1"/>
          <w:sz w:val="28"/>
          <w:szCs w:val="28"/>
          <w:highlight w:val="none"/>
          <w14:textFill>
            <w14:solidFill>
              <w14:schemeClr w14:val="tx1"/>
            </w14:solidFill>
          </w14:textFill>
        </w:rPr>
        <w:t>采购文件编号：</w:t>
      </w:r>
      <w:r>
        <w:rPr>
          <w:rFonts w:hint="eastAsia" w:hAnsi="宋体"/>
          <w:b/>
          <w:color w:val="000000" w:themeColor="text1"/>
          <w:sz w:val="28"/>
          <w:szCs w:val="28"/>
          <w:highlight w:val="none"/>
          <w:u w:val="single"/>
          <w:lang w:val="en-US" w:eastAsia="zh-CN"/>
          <w14:textFill>
            <w14:solidFill>
              <w14:schemeClr w14:val="tx1"/>
            </w14:solidFill>
          </w14:textFill>
        </w:rPr>
        <w:t>ZJLQ-FBCG-海兴项目-008</w:t>
      </w:r>
    </w:p>
    <w:p w14:paraId="7C2BDA41">
      <w:pPr>
        <w:jc w:val="center"/>
        <w:rPr>
          <w:b/>
          <w:color w:val="000000" w:themeColor="text1"/>
          <w:sz w:val="36"/>
          <w:szCs w:val="36"/>
          <w:highlight w:val="none"/>
          <w14:textFill>
            <w14:solidFill>
              <w14:schemeClr w14:val="tx1"/>
            </w14:solidFill>
          </w14:textFill>
        </w:rPr>
      </w:pPr>
    </w:p>
    <w:p w14:paraId="45D9E528">
      <w:pPr>
        <w:jc w:val="center"/>
        <w:rPr>
          <w:b/>
          <w:color w:val="000000" w:themeColor="text1"/>
          <w:sz w:val="36"/>
          <w:szCs w:val="36"/>
          <w:highlight w:val="none"/>
          <w14:textFill>
            <w14:solidFill>
              <w14:schemeClr w14:val="tx1"/>
            </w14:solidFill>
          </w14:textFill>
        </w:rPr>
      </w:pPr>
    </w:p>
    <w:p w14:paraId="4A193890">
      <w:pPr>
        <w:spacing w:line="360" w:lineRule="auto"/>
        <w:ind w:right="27" w:rightChars="13"/>
        <w:jc w:val="center"/>
        <w:rPr>
          <w:rFonts w:hint="eastAsia" w:eastAsia="宋体"/>
          <w:b/>
          <w:color w:val="000000" w:themeColor="text1"/>
          <w:sz w:val="36"/>
          <w:szCs w:val="36"/>
          <w:highlight w:val="none"/>
          <w:lang w:eastAsia="zh-CN"/>
          <w14:textFill>
            <w14:solidFill>
              <w14:schemeClr w14:val="tx1"/>
            </w14:solidFill>
          </w14:textFill>
        </w:rPr>
      </w:pPr>
      <w:r>
        <w:rPr>
          <w:rFonts w:hint="eastAsia"/>
          <w:b/>
          <w:color w:val="000000" w:themeColor="text1"/>
          <w:sz w:val="36"/>
          <w:szCs w:val="36"/>
          <w:highlight w:val="none"/>
          <w:lang w:eastAsia="zh-CN"/>
          <w14:textFill>
            <w14:solidFill>
              <w14:schemeClr w14:val="tx1"/>
            </w14:solidFill>
          </w14:textFill>
        </w:rPr>
        <w:t>中建路桥集团</w:t>
      </w:r>
      <w:r>
        <w:rPr>
          <w:rFonts w:hint="eastAsia"/>
          <w:b/>
          <w:color w:val="000000" w:themeColor="text1"/>
          <w:sz w:val="36"/>
          <w:szCs w:val="36"/>
          <w:highlight w:val="none"/>
          <w:lang w:val="en-US" w:eastAsia="zh-CN"/>
          <w14:textFill>
            <w14:solidFill>
              <w14:schemeClr w14:val="tx1"/>
            </w14:solidFill>
          </w14:textFill>
        </w:rPr>
        <w:t>第二工程</w:t>
      </w:r>
      <w:r>
        <w:rPr>
          <w:rFonts w:hint="eastAsia"/>
          <w:b/>
          <w:color w:val="000000" w:themeColor="text1"/>
          <w:sz w:val="36"/>
          <w:szCs w:val="36"/>
          <w:highlight w:val="none"/>
          <w:lang w:eastAsia="zh-CN"/>
          <w14:textFill>
            <w14:solidFill>
              <w14:schemeClr w14:val="tx1"/>
            </w14:solidFill>
          </w14:textFill>
        </w:rPr>
        <w:t>有限公司</w:t>
      </w:r>
    </w:p>
    <w:p w14:paraId="4C78B303">
      <w:pPr>
        <w:spacing w:line="360" w:lineRule="auto"/>
        <w:jc w:val="center"/>
        <w:rPr>
          <w:b/>
          <w:color w:val="000000" w:themeColor="text1"/>
          <w:sz w:val="36"/>
          <w:szCs w:val="36"/>
          <w:highlight w:val="none"/>
          <w14:textFill>
            <w14:solidFill>
              <w14:schemeClr w14:val="tx1"/>
            </w14:solidFill>
          </w14:textFill>
        </w:rPr>
      </w:pPr>
      <w:r>
        <w:rPr>
          <w:rFonts w:hint="eastAsia"/>
          <w:b/>
          <w:color w:val="000000" w:themeColor="text1"/>
          <w:sz w:val="36"/>
          <w:szCs w:val="36"/>
          <w:highlight w:val="none"/>
          <w14:textFill>
            <w14:solidFill>
              <w14:schemeClr w14:val="tx1"/>
            </w14:solidFill>
          </w14:textFill>
        </w:rPr>
        <w:t>2026年</w:t>
      </w:r>
      <w:r>
        <w:rPr>
          <w:rFonts w:hint="eastAsia"/>
          <w:b/>
          <w:color w:val="000000" w:themeColor="text1"/>
          <w:sz w:val="36"/>
          <w:szCs w:val="36"/>
          <w:highlight w:val="none"/>
          <w:lang w:val="en-US" w:eastAsia="zh-CN"/>
          <w14:textFill>
            <w14:solidFill>
              <w14:schemeClr w14:val="tx1"/>
            </w14:solidFill>
          </w14:textFill>
        </w:rPr>
        <w:t>09</w:t>
      </w:r>
      <w:r>
        <w:rPr>
          <w:rFonts w:hint="eastAsia"/>
          <w:b/>
          <w:color w:val="000000" w:themeColor="text1"/>
          <w:sz w:val="36"/>
          <w:szCs w:val="36"/>
          <w:highlight w:val="none"/>
          <w14:textFill>
            <w14:solidFill>
              <w14:schemeClr w14:val="tx1"/>
            </w14:solidFill>
          </w14:textFill>
        </w:rPr>
        <w:t>月</w:t>
      </w:r>
    </w:p>
    <w:p w14:paraId="2437316C">
      <w:pPr>
        <w:spacing w:line="360" w:lineRule="auto"/>
        <w:ind w:right="17" w:firstLine="1932"/>
        <w:rPr>
          <w:color w:val="000000" w:themeColor="text1"/>
          <w:sz w:val="24"/>
          <w:highlight w:val="none"/>
          <w14:textFill>
            <w14:solidFill>
              <w14:schemeClr w14:val="tx1"/>
            </w14:solidFill>
          </w14:textFill>
        </w:rPr>
      </w:pPr>
    </w:p>
    <w:p w14:paraId="303BA2E3">
      <w:pPr>
        <w:spacing w:line="360" w:lineRule="auto"/>
        <w:ind w:right="17" w:firstLine="1932"/>
        <w:rPr>
          <w:color w:val="000000" w:themeColor="text1"/>
          <w:sz w:val="24"/>
          <w:highlight w:val="none"/>
          <w14:textFill>
            <w14:solidFill>
              <w14:schemeClr w14:val="tx1"/>
            </w14:solidFill>
          </w14:textFill>
        </w:rPr>
        <w:sectPr>
          <w:headerReference r:id="rId5" w:type="first"/>
          <w:headerReference r:id="rId3" w:type="default"/>
          <w:footerReference r:id="rId6" w:type="default"/>
          <w:headerReference r:id="rId4" w:type="even"/>
          <w:footerReference r:id="rId7" w:type="even"/>
          <w:pgSz w:w="11907" w:h="16840"/>
          <w:pgMar w:top="1417" w:right="1701" w:bottom="1417" w:left="1701" w:header="850" w:footer="1134" w:gutter="0"/>
          <w:cols w:space="0" w:num="1"/>
          <w:rtlGutter w:val="0"/>
          <w:docGrid w:linePitch="312" w:charSpace="0"/>
        </w:sectPr>
      </w:pPr>
    </w:p>
    <w:p w14:paraId="4780E489">
      <w:pPr>
        <w:pStyle w:val="2"/>
        <w:rPr>
          <w:color w:val="000000" w:themeColor="text1"/>
          <w:highlight w:val="none"/>
          <w14:textFill>
            <w14:solidFill>
              <w14:schemeClr w14:val="tx1"/>
            </w14:solidFill>
          </w14:textFill>
        </w:rPr>
      </w:pPr>
      <w:bookmarkStart w:id="0" w:name="_Toc145499727"/>
      <w:bookmarkStart w:id="1" w:name="_Toc53939570"/>
      <w:bookmarkStart w:id="2" w:name="_Toc53918797"/>
      <w:bookmarkStart w:id="3" w:name="_Toc54280781"/>
      <w:bookmarkStart w:id="4" w:name="_Toc54279929"/>
      <w:bookmarkStart w:id="5" w:name="_Toc54278546"/>
      <w:bookmarkStart w:id="6" w:name="_Toc53948325"/>
      <w:bookmarkStart w:id="7" w:name="_Toc144872077"/>
      <w:bookmarkStart w:id="8" w:name="_Toc53945771"/>
      <w:bookmarkStart w:id="9" w:name="_Toc54281207"/>
      <w:bookmarkStart w:id="10" w:name="_Toc53949168"/>
      <w:bookmarkStart w:id="11" w:name="_Toc145426861"/>
      <w:bookmarkStart w:id="12" w:name="_Toc54291111"/>
      <w:bookmarkStart w:id="13" w:name="_Toc54280355"/>
      <w:bookmarkStart w:id="14" w:name="_Toc53916200"/>
      <w:bookmarkStart w:id="15" w:name="_Toc53936506"/>
      <w:bookmarkStart w:id="16" w:name="_Toc284135586"/>
      <w:r>
        <w:rPr>
          <w:rFonts w:hint="eastAsia"/>
          <w:color w:val="000000" w:themeColor="text1"/>
          <w:highlight w:val="none"/>
          <w14:textFill>
            <w14:solidFill>
              <w14:schemeClr w14:val="tx1"/>
            </w14:solidFill>
          </w14:textFill>
        </w:rPr>
        <w:t>第一篇  采购公告</w:t>
      </w:r>
    </w:p>
    <w:p w14:paraId="3A76F70B">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ascii="Times New Roman" w:hAnsi="Times New Roman" w:eastAsia="宋体" w:cs="Times New Roman"/>
          <w:b/>
          <w:color w:val="000000" w:themeColor="text1"/>
          <w:sz w:val="32"/>
          <w:szCs w:val="32"/>
          <w:highlight w:val="none"/>
          <w14:textFill>
            <w14:solidFill>
              <w14:schemeClr w14:val="tx1"/>
            </w14:solidFill>
          </w14:textFill>
        </w:rPr>
      </w:pPr>
      <w:r>
        <w:rPr>
          <w:rFonts w:hint="eastAsia" w:ascii="Times New Roman" w:hAnsi="Times New Roman" w:eastAsia="宋体" w:cs="Times New Roman"/>
          <w:b/>
          <w:color w:val="000000" w:themeColor="text1"/>
          <w:sz w:val="30"/>
          <w:szCs w:val="30"/>
          <w:highlight w:val="none"/>
          <w:u w:val="single"/>
          <w:lang w:val="en-US" w:eastAsia="zh-CN"/>
          <w14:textFill>
            <w14:solidFill>
              <w14:schemeClr w14:val="tx1"/>
            </w14:solidFill>
          </w14:textFill>
        </w:rPr>
        <w:t>海兴高速项目</w:t>
      </w:r>
      <w:r>
        <w:rPr>
          <w:rFonts w:hint="eastAsia" w:ascii="Times New Roman" w:hAnsi="Times New Roman" w:eastAsia="宋体" w:cs="Times New Roman"/>
          <w:b/>
          <w:color w:val="000000" w:themeColor="text1"/>
          <w:sz w:val="30"/>
          <w:szCs w:val="30"/>
          <w:highlight w:val="none"/>
          <w:u w:val="single"/>
          <w14:textFill>
            <w14:solidFill>
              <w14:schemeClr w14:val="tx1"/>
            </w14:solidFill>
          </w14:textFill>
        </w:rPr>
        <w:t>海兴盐场特大桥便道维修、挡捻土工布施工</w:t>
      </w:r>
      <w:r>
        <w:rPr>
          <w:rFonts w:hint="eastAsia" w:ascii="Times New Roman" w:hAnsi="Times New Roman" w:eastAsia="宋体" w:cs="Times New Roman"/>
          <w:b/>
          <w:color w:val="000000" w:themeColor="text1"/>
          <w:sz w:val="30"/>
          <w:szCs w:val="30"/>
          <w:highlight w:val="none"/>
          <w14:textFill>
            <w14:solidFill>
              <w14:schemeClr w14:val="tx1"/>
            </w14:solidFill>
          </w14:textFill>
        </w:rPr>
        <w:t>分包工程采购公告</w:t>
      </w:r>
    </w:p>
    <w:p w14:paraId="4AC72A51">
      <w:pPr>
        <w:spacing w:line="360" w:lineRule="auto"/>
        <w:rPr>
          <w:rFonts w:ascii="Times New Roman" w:hAnsi="Times New Roman" w:eastAsia="宋体" w:cs="Times New Roman"/>
          <w:b/>
          <w:color w:val="000000" w:themeColor="text1"/>
          <w:highlight w:val="none"/>
          <w14:textFill>
            <w14:solidFill>
              <w14:schemeClr w14:val="tx1"/>
            </w14:solidFill>
          </w14:textFill>
        </w:rPr>
      </w:pPr>
    </w:p>
    <w:p w14:paraId="2D5F64E4">
      <w:pPr>
        <w:spacing w:line="360" w:lineRule="auto"/>
        <w:rPr>
          <w:rFonts w:hint="eastAsia" w:ascii="宋体" w:hAnsi="宋体" w:eastAsia="宋体" w:cs="Times New Roman"/>
          <w:b/>
          <w:color w:val="000000" w:themeColor="text1"/>
          <w:sz w:val="28"/>
          <w:szCs w:val="28"/>
          <w:highlight w:val="none"/>
          <w14:textFill>
            <w14:solidFill>
              <w14:schemeClr w14:val="tx1"/>
            </w14:solidFill>
          </w14:textFill>
        </w:rPr>
      </w:pPr>
      <w:r>
        <w:rPr>
          <w:rFonts w:hint="eastAsia" w:ascii="宋体" w:hAnsi="宋体" w:eastAsia="宋体" w:cs="Times New Roman"/>
          <w:b/>
          <w:color w:val="000000" w:themeColor="text1"/>
          <w:sz w:val="28"/>
          <w:szCs w:val="28"/>
          <w:highlight w:val="none"/>
          <w14:textFill>
            <w14:solidFill>
              <w14:schemeClr w14:val="tx1"/>
            </w14:solidFill>
          </w14:textFill>
        </w:rPr>
        <w:t xml:space="preserve">1. </w:t>
      </w:r>
      <w:bookmarkStart w:id="17" w:name="_Toc321926658"/>
      <w:bookmarkStart w:id="18" w:name="_Toc326091674"/>
      <w:r>
        <w:rPr>
          <w:rFonts w:hint="eastAsia" w:ascii="宋体" w:hAnsi="宋体" w:eastAsia="宋体" w:cs="Times New Roman"/>
          <w:b/>
          <w:color w:val="000000" w:themeColor="text1"/>
          <w:sz w:val="28"/>
          <w:szCs w:val="28"/>
          <w:highlight w:val="none"/>
          <w14:textFill>
            <w14:solidFill>
              <w14:schemeClr w14:val="tx1"/>
            </w14:solidFill>
          </w14:textFill>
        </w:rPr>
        <w:t>采购条件</w:t>
      </w:r>
      <w:bookmarkEnd w:id="17"/>
      <w:bookmarkEnd w:id="18"/>
    </w:p>
    <w:p w14:paraId="186A0A81">
      <w:pPr>
        <w:spacing w:line="360" w:lineRule="auto"/>
        <w:ind w:firstLine="480" w:firstLineChars="200"/>
        <w:rPr>
          <w:rFonts w:hint="eastAsia" w:ascii="宋体" w:hAnsi="宋体" w:eastAsia="宋体" w:cs="Times New Roman"/>
          <w:color w:val="000000" w:themeColor="text1"/>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坚持以习近平新时代中国特色社会主义思想为指导，全面贯彻党的二十大精神，遵守社会主义核心价值观。贯彻国家“双碳”战略，引领供应链上下游绿色低碳发展。根据中国建筑集团有限公司分包管理方针和中建路桥集团有限公司采购管理办法，</w:t>
      </w:r>
      <w:r>
        <w:rPr>
          <w:rFonts w:hint="eastAsia" w:ascii="宋体" w:hAnsi="宋体" w:eastAsia="宋体" w:cs="宋体"/>
          <w:color w:val="000000" w:themeColor="text1"/>
          <w:kern w:val="0"/>
          <w:sz w:val="24"/>
          <w:highlight w:val="none"/>
          <w:u w:val="single"/>
          <w14:textFill>
            <w14:solidFill>
              <w14:schemeClr w14:val="tx1"/>
            </w14:solidFill>
          </w14:textFill>
        </w:rPr>
        <w:t xml:space="preserve"> </w:t>
      </w:r>
      <w:r>
        <w:rPr>
          <w:rFonts w:hint="eastAsia" w:ascii="宋体" w:hAnsi="宋体" w:eastAsia="宋体" w:cs="宋体"/>
          <w:color w:val="000000" w:themeColor="text1"/>
          <w:kern w:val="0"/>
          <w:sz w:val="24"/>
          <w:highlight w:val="none"/>
          <w:u w:val="single"/>
          <w:lang w:val="en-US" w:eastAsia="zh-CN"/>
          <w14:textFill>
            <w14:solidFill>
              <w14:schemeClr w14:val="tx1"/>
            </w14:solidFill>
          </w14:textFill>
        </w:rPr>
        <w:t>海兴高速项目</w:t>
      </w:r>
      <w:r>
        <w:rPr>
          <w:rFonts w:hint="eastAsia" w:ascii="宋体" w:hAnsi="宋体" w:eastAsia="宋体" w:cs="宋体"/>
          <w:color w:val="000000" w:themeColor="text1"/>
          <w:sz w:val="24"/>
          <w:highlight w:val="none"/>
          <w14:textFill>
            <w14:solidFill>
              <w14:schemeClr w14:val="tx1"/>
            </w14:solidFill>
          </w14:textFill>
        </w:rPr>
        <w:t>（项目名称）</w:t>
      </w:r>
      <w:r>
        <w:rPr>
          <w:rFonts w:hint="eastAsia" w:ascii="宋体" w:hAnsi="宋体" w:eastAsia="宋体" w:cs="宋体"/>
          <w:color w:val="000000" w:themeColor="text1"/>
          <w:sz w:val="24"/>
          <w:highlight w:val="none"/>
          <w:u w:val="single"/>
          <w14:textFill>
            <w14:solidFill>
              <w14:schemeClr w14:val="tx1"/>
            </w14:solidFill>
          </w14:textFill>
        </w:rPr>
        <w:t>海兴盐场特大桥便道维修、挡捻土工布施工</w:t>
      </w:r>
      <w:r>
        <w:rPr>
          <w:rFonts w:hint="eastAsia" w:ascii="宋体" w:hAnsi="宋体" w:eastAsia="宋体" w:cs="宋体"/>
          <w:color w:val="000000" w:themeColor="text1"/>
          <w:sz w:val="24"/>
          <w:highlight w:val="none"/>
          <w14:textFill>
            <w14:solidFill>
              <w14:schemeClr w14:val="tx1"/>
            </w14:solidFill>
          </w14:textFill>
        </w:rPr>
        <w:t>（工程名称）</w:t>
      </w:r>
      <w:r>
        <w:rPr>
          <w:rFonts w:hint="eastAsia" w:ascii="宋体" w:hAnsi="宋体" w:eastAsia="宋体" w:cs="宋体"/>
          <w:color w:val="000000" w:themeColor="text1"/>
          <w:kern w:val="0"/>
          <w:sz w:val="24"/>
          <w:highlight w:val="none"/>
          <w14:textFill>
            <w14:solidFill>
              <w14:schemeClr w14:val="tx1"/>
            </w14:solidFill>
          </w14:textFill>
        </w:rPr>
        <w:t>已具备采购条件，</w:t>
      </w:r>
      <w:r>
        <w:rPr>
          <w:rFonts w:hint="eastAsia" w:ascii="宋体" w:hAnsi="宋体" w:eastAsia="宋体" w:cs="宋体"/>
          <w:color w:val="000000" w:themeColor="text1"/>
          <w:sz w:val="24"/>
          <w:highlight w:val="none"/>
          <w14:textFill>
            <w14:solidFill>
              <w14:schemeClr w14:val="tx1"/>
            </w14:solidFill>
          </w14:textFill>
        </w:rPr>
        <w:t>采购人为</w:t>
      </w:r>
      <w:r>
        <w:rPr>
          <w:rFonts w:hint="eastAsia" w:ascii="宋体" w:hAnsi="宋体" w:eastAsia="宋体" w:cs="宋体"/>
          <w:color w:val="000000" w:themeColor="text1"/>
          <w:sz w:val="24"/>
          <w:highlight w:val="none"/>
          <w:u w:val="single"/>
          <w14:textFill>
            <w14:solidFill>
              <w14:schemeClr w14:val="tx1"/>
            </w14:solidFill>
          </w14:textFill>
        </w:rPr>
        <w:t>中建路桥集团</w:t>
      </w:r>
      <w:r>
        <w:rPr>
          <w:rFonts w:hint="eastAsia" w:ascii="宋体" w:hAnsi="宋体" w:eastAsia="宋体" w:cs="宋体"/>
          <w:color w:val="000000" w:themeColor="text1"/>
          <w:sz w:val="24"/>
          <w:highlight w:val="none"/>
          <w:u w:val="single"/>
          <w:lang w:val="en-US" w:eastAsia="zh-CN"/>
          <w14:textFill>
            <w14:solidFill>
              <w14:schemeClr w14:val="tx1"/>
            </w14:solidFill>
          </w14:textFill>
        </w:rPr>
        <w:t>第二工程</w:t>
      </w:r>
      <w:r>
        <w:rPr>
          <w:rFonts w:hint="eastAsia" w:ascii="宋体" w:hAnsi="宋体" w:eastAsia="宋体" w:cs="宋体"/>
          <w:color w:val="000000" w:themeColor="text1"/>
          <w:sz w:val="24"/>
          <w:highlight w:val="none"/>
          <w:u w:val="single"/>
          <w14:textFill>
            <w14:solidFill>
              <w14:schemeClr w14:val="tx1"/>
            </w14:solidFill>
          </w14:textFill>
        </w:rPr>
        <w:t>有限公司</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kern w:val="0"/>
          <w:sz w:val="24"/>
          <w:highlight w:val="none"/>
          <w14:textFill>
            <w14:solidFill>
              <w14:schemeClr w14:val="tx1"/>
            </w14:solidFill>
          </w14:textFill>
        </w:rPr>
        <w:t>现对该项目进行公开采购，诚邀符合资质要求、能提供优质服务的分供商参与项目采购活动。</w:t>
      </w:r>
    </w:p>
    <w:p w14:paraId="3221A5CA">
      <w:pPr>
        <w:spacing w:line="360" w:lineRule="auto"/>
        <w:rPr>
          <w:rFonts w:hint="eastAsia" w:ascii="宋体" w:hAnsi="宋体" w:eastAsia="宋体" w:cs="Times New Roman"/>
          <w:b/>
          <w:color w:val="000000" w:themeColor="text1"/>
          <w:sz w:val="28"/>
          <w:szCs w:val="28"/>
          <w:highlight w:val="none"/>
          <w14:textFill>
            <w14:solidFill>
              <w14:schemeClr w14:val="tx1"/>
            </w14:solidFill>
          </w14:textFill>
        </w:rPr>
      </w:pPr>
      <w:r>
        <w:rPr>
          <w:rFonts w:hint="eastAsia" w:ascii="宋体" w:hAnsi="宋体" w:eastAsia="宋体" w:cs="Times New Roman"/>
          <w:b/>
          <w:color w:val="000000" w:themeColor="text1"/>
          <w:sz w:val="28"/>
          <w:szCs w:val="28"/>
          <w:highlight w:val="none"/>
          <w14:textFill>
            <w14:solidFill>
              <w14:schemeClr w14:val="tx1"/>
            </w14:solidFill>
          </w14:textFill>
        </w:rPr>
        <w:t>2</w:t>
      </w:r>
      <w:r>
        <w:rPr>
          <w:rFonts w:ascii="宋体" w:hAnsi="宋体" w:eastAsia="宋体" w:cs="Times New Roman"/>
          <w:b/>
          <w:color w:val="000000" w:themeColor="text1"/>
          <w:sz w:val="28"/>
          <w:szCs w:val="28"/>
          <w:highlight w:val="none"/>
          <w14:textFill>
            <w14:solidFill>
              <w14:schemeClr w14:val="tx1"/>
            </w14:solidFill>
          </w14:textFill>
        </w:rPr>
        <w:t>．项目概况与采购范围</w:t>
      </w:r>
    </w:p>
    <w:p w14:paraId="47B52C21">
      <w:pPr>
        <w:autoSpaceDE w:val="0"/>
        <w:autoSpaceDN w:val="0"/>
        <w:spacing w:line="360" w:lineRule="auto"/>
        <w:ind w:firstLine="480" w:firstLineChars="200"/>
        <w:jc w:val="left"/>
        <w:rPr>
          <w:rFonts w:hint="eastAsia" w:ascii="宋体" w:hAnsi="宋体" w:eastAsia="宋体" w:cs="宋体"/>
          <w:color w:val="000000" w:themeColor="text1"/>
          <w:kern w:val="0"/>
          <w:sz w:val="24"/>
          <w:highlight w:val="none"/>
          <w14:textFill>
            <w14:solidFill>
              <w14:schemeClr w14:val="tx1"/>
            </w14:solidFill>
          </w14:textFill>
        </w:rPr>
      </w:pPr>
      <w:bookmarkStart w:id="19" w:name="_Toc235071704"/>
      <w:r>
        <w:rPr>
          <w:rFonts w:hint="eastAsia" w:ascii="宋体" w:hAnsi="宋体" w:eastAsia="宋体" w:cs="宋体"/>
          <w:color w:val="000000" w:themeColor="text1"/>
          <w:kern w:val="0"/>
          <w:sz w:val="24"/>
          <w:highlight w:val="none"/>
          <w14:textFill>
            <w14:solidFill>
              <w14:schemeClr w14:val="tx1"/>
            </w14:solidFill>
          </w14:textFill>
        </w:rPr>
        <w:t>建设地点：</w:t>
      </w:r>
      <w:r>
        <w:rPr>
          <w:rFonts w:hint="eastAsia" w:ascii="宋体" w:hAnsi="宋体" w:eastAsia="宋体" w:cs="宋体"/>
          <w:color w:val="000000" w:themeColor="text1"/>
          <w:kern w:val="0"/>
          <w:sz w:val="24"/>
          <w:highlight w:val="none"/>
          <w:lang w:val="en-US" w:eastAsia="zh-CN"/>
          <w14:textFill>
            <w14:solidFill>
              <w14:schemeClr w14:val="tx1"/>
            </w14:solidFill>
          </w14:textFill>
        </w:rPr>
        <w:t>沧州市海兴县</w:t>
      </w:r>
    </w:p>
    <w:p w14:paraId="24637BA6">
      <w:pPr>
        <w:autoSpaceDE w:val="0"/>
        <w:autoSpaceDN w:val="0"/>
        <w:spacing w:line="360" w:lineRule="auto"/>
        <w:ind w:firstLine="480" w:firstLineChars="200"/>
        <w:jc w:val="left"/>
        <w:rPr>
          <w:rFonts w:hint="eastAsia" w:ascii="宋体" w:hAnsi="宋体" w:eastAsia="宋体" w:cs="宋体"/>
          <w:color w:val="000000" w:themeColor="text1"/>
          <w:kern w:val="0"/>
          <w:sz w:val="24"/>
          <w:highlight w:val="none"/>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规模：</w:t>
      </w:r>
      <w:r>
        <w:rPr>
          <w:rFonts w:hint="eastAsia" w:ascii="宋体" w:hAnsi="宋体" w:eastAsia="宋体" w:cs="宋体"/>
          <w:color w:val="000000" w:themeColor="text1"/>
          <w:kern w:val="0"/>
          <w:sz w:val="24"/>
          <w:highlight w:val="none"/>
          <w:lang w:val="en-US" w:eastAsia="zh-CN"/>
          <w14:textFill>
            <w14:solidFill>
              <w14:schemeClr w14:val="tx1"/>
            </w14:solidFill>
          </w14:textFill>
        </w:rPr>
        <w:t>海兴盐场特大桥共146跨，桥梁总长度为4500.5m。本项目为海兴盐场特大桥范围内桥梁基础及下部结构施工。</w:t>
      </w:r>
    </w:p>
    <w:p w14:paraId="264137E6">
      <w:pPr>
        <w:autoSpaceDE w:val="0"/>
        <w:autoSpaceDN w:val="0"/>
        <w:spacing w:line="360" w:lineRule="auto"/>
        <w:ind w:firstLine="480" w:firstLineChars="200"/>
        <w:jc w:val="left"/>
        <w:rPr>
          <w:rFonts w:hint="default"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计划工期：</w:t>
      </w:r>
      <w:r>
        <w:rPr>
          <w:rFonts w:hint="eastAsia" w:ascii="宋体" w:hAnsi="宋体" w:eastAsia="宋体" w:cs="宋体"/>
          <w:color w:val="000000" w:themeColor="text1"/>
          <w:kern w:val="0"/>
          <w:sz w:val="24"/>
          <w:highlight w:val="none"/>
          <w:lang w:val="en-US" w:eastAsia="zh-CN"/>
          <w14:textFill>
            <w14:solidFill>
              <w14:schemeClr w14:val="tx1"/>
            </w14:solidFill>
          </w14:textFill>
        </w:rPr>
        <w:t>60天</w:t>
      </w:r>
    </w:p>
    <w:p w14:paraId="4F2F1113">
      <w:pPr>
        <w:autoSpaceDE w:val="0"/>
        <w:autoSpaceDN w:val="0"/>
        <w:spacing w:line="360" w:lineRule="auto"/>
        <w:ind w:firstLine="480" w:firstLineChars="200"/>
        <w:jc w:val="left"/>
        <w:rPr>
          <w:rFonts w:hint="default"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采购范围：海兴盐场特大桥便道维修、挡捻土工布施工</w:t>
      </w:r>
      <w:r>
        <w:rPr>
          <w:rFonts w:hint="eastAsia" w:ascii="宋体" w:hAnsi="宋体" w:eastAsia="宋体" w:cs="宋体"/>
          <w:color w:val="000000" w:themeColor="text1"/>
          <w:kern w:val="0"/>
          <w:sz w:val="24"/>
          <w:highlight w:val="none"/>
          <w:lang w:val="en-US" w:eastAsia="zh-CN"/>
          <w14:textFill>
            <w14:solidFill>
              <w14:schemeClr w14:val="tx1"/>
            </w14:solidFill>
          </w14:textFill>
        </w:rPr>
        <w:t>；</w:t>
      </w:r>
    </w:p>
    <w:p w14:paraId="6D88B6C1">
      <w:pPr>
        <w:autoSpaceDE w:val="0"/>
        <w:autoSpaceDN w:val="0"/>
        <w:spacing w:line="360" w:lineRule="auto"/>
        <w:ind w:firstLine="480" w:firstLineChars="200"/>
        <w:jc w:val="left"/>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段落划分：</w:t>
      </w:r>
      <w:r>
        <w:rPr>
          <w:rFonts w:hint="eastAsia" w:ascii="宋体" w:hAnsi="宋体" w:eastAsia="宋体" w:cs="宋体"/>
          <w:color w:val="000000" w:themeColor="text1"/>
          <w:kern w:val="0"/>
          <w:sz w:val="24"/>
          <w:highlight w:val="none"/>
          <w:lang w:val="en-US" w:eastAsia="zh-CN"/>
          <w14:textFill>
            <w14:solidFill>
              <w14:schemeClr w14:val="tx1"/>
            </w14:solidFill>
          </w14:textFill>
        </w:rPr>
        <w:t>无</w:t>
      </w:r>
    </w:p>
    <w:p w14:paraId="34913982">
      <w:pPr>
        <w:autoSpaceDE w:val="0"/>
        <w:autoSpaceDN w:val="0"/>
        <w:spacing w:line="360" w:lineRule="auto"/>
        <w:ind w:firstLine="480" w:firstLineChars="200"/>
        <w:jc w:val="left"/>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highlight w:val="none"/>
          <w14:textFill>
            <w14:solidFill>
              <w14:schemeClr w14:val="tx1"/>
            </w14:solidFill>
          </w14:textFill>
        </w:rPr>
        <w:t>其他：</w:t>
      </w:r>
      <w:r>
        <w:rPr>
          <w:rFonts w:hint="eastAsia" w:ascii="宋体" w:hAnsi="宋体" w:eastAsia="宋体" w:cs="宋体"/>
          <w:color w:val="000000" w:themeColor="text1"/>
          <w:kern w:val="0"/>
          <w:sz w:val="24"/>
          <w:highlight w:val="none"/>
          <w:lang w:val="en-US" w:eastAsia="zh-CN"/>
          <w14:textFill>
            <w14:solidFill>
              <w14:schemeClr w14:val="tx1"/>
            </w14:solidFill>
          </w14:textFill>
        </w:rPr>
        <w:t>无</w:t>
      </w:r>
    </w:p>
    <w:p w14:paraId="5FFC3FC3">
      <w:pPr>
        <w:spacing w:line="360" w:lineRule="auto"/>
        <w:rPr>
          <w:rFonts w:hint="eastAsia" w:ascii="宋体" w:hAnsi="宋体" w:eastAsia="宋体" w:cs="Times New Roman"/>
          <w:b/>
          <w:color w:val="000000" w:themeColor="text1"/>
          <w:sz w:val="28"/>
          <w:szCs w:val="28"/>
          <w:highlight w:val="none"/>
          <w14:textFill>
            <w14:solidFill>
              <w14:schemeClr w14:val="tx1"/>
            </w14:solidFill>
          </w14:textFill>
        </w:rPr>
      </w:pPr>
      <w:r>
        <w:rPr>
          <w:rFonts w:hint="eastAsia" w:ascii="宋体" w:hAnsi="宋体" w:eastAsia="宋体" w:cs="Times New Roman"/>
          <w:b/>
          <w:color w:val="000000" w:themeColor="text1"/>
          <w:sz w:val="28"/>
          <w:szCs w:val="28"/>
          <w:highlight w:val="none"/>
          <w14:textFill>
            <w14:solidFill>
              <w14:schemeClr w14:val="tx1"/>
            </w14:solidFill>
          </w14:textFill>
        </w:rPr>
        <w:t>3．响应单位资格要求</w:t>
      </w:r>
      <w:bookmarkEnd w:id="19"/>
    </w:p>
    <w:p w14:paraId="08B4F4CD">
      <w:pPr>
        <w:spacing w:line="360" w:lineRule="auto"/>
        <w:ind w:firstLine="480" w:firstLineChars="200"/>
        <w:rPr>
          <w:rFonts w:hint="eastAsia" w:ascii="宋体" w:hAnsi="宋体" w:eastAsia="宋体" w:cs="Times New Roman"/>
          <w:color w:val="000000" w:themeColor="text1"/>
          <w:sz w:val="24"/>
          <w:highlight w:val="none"/>
          <w14:textFill>
            <w14:solidFill>
              <w14:schemeClr w14:val="tx1"/>
            </w14:solidFill>
          </w14:textFill>
        </w:rPr>
      </w:pPr>
      <w:bookmarkStart w:id="20" w:name="_Toc235071706"/>
      <w:bookmarkStart w:id="21" w:name="_Toc234932518"/>
      <w:bookmarkStart w:id="22" w:name="_Toc232836822"/>
      <w:bookmarkStart w:id="23" w:name="_Toc184704557"/>
      <w:r>
        <w:rPr>
          <w:rFonts w:hint="eastAsia" w:ascii="宋体" w:hAnsi="宋体" w:eastAsia="宋体" w:cs="Times New Roman"/>
          <w:color w:val="000000" w:themeColor="text1"/>
          <w:sz w:val="24"/>
          <w:highlight w:val="none"/>
          <w14:textFill>
            <w14:solidFill>
              <w14:schemeClr w14:val="tx1"/>
            </w14:solidFill>
          </w14:textFill>
        </w:rPr>
        <w:t>3.1本次采购要求响应单位须具备</w:t>
      </w:r>
      <w:r>
        <w:rPr>
          <w:rFonts w:hint="eastAsia" w:ascii="宋体" w:hAnsi="宋体" w:eastAsia="宋体" w:cs="Times New Roman"/>
          <w:color w:val="000000" w:themeColor="text1"/>
          <w:sz w:val="24"/>
          <w:highlight w:val="none"/>
          <w:u w:val="single"/>
          <w14:textFill>
            <w14:solidFill>
              <w14:schemeClr w14:val="tx1"/>
            </w14:solidFill>
          </w14:textFill>
        </w:rPr>
        <w:t xml:space="preserve"> 施工劳务不分等级 </w:t>
      </w:r>
      <w:r>
        <w:rPr>
          <w:rFonts w:hint="eastAsia" w:ascii="宋体" w:hAnsi="宋体" w:eastAsia="宋体" w:cs="Times New Roman"/>
          <w:color w:val="000000" w:themeColor="text1"/>
          <w:sz w:val="24"/>
          <w:highlight w:val="none"/>
          <w14:textFill>
            <w14:solidFill>
              <w14:schemeClr w14:val="tx1"/>
            </w14:solidFill>
          </w14:textFill>
        </w:rPr>
        <w:t>资质、</w:t>
      </w:r>
      <w:r>
        <w:rPr>
          <w:rFonts w:hint="eastAsia" w:ascii="宋体" w:hAnsi="宋体" w:eastAsia="宋体" w:cs="Times New Roman"/>
          <w:color w:val="000000" w:themeColor="text1"/>
          <w:sz w:val="24"/>
          <w:highlight w:val="none"/>
          <w:u w:val="single"/>
          <w14:textFill>
            <w14:solidFill>
              <w14:schemeClr w14:val="tx1"/>
            </w14:solidFill>
          </w14:textFill>
        </w:rPr>
        <w:t xml:space="preserve"> 5年内1个类似工程 </w:t>
      </w:r>
      <w:r>
        <w:rPr>
          <w:rFonts w:hint="eastAsia" w:ascii="宋体" w:hAnsi="宋体" w:eastAsia="宋体" w:cs="Times New Roman"/>
          <w:color w:val="000000" w:themeColor="text1"/>
          <w:sz w:val="24"/>
          <w:highlight w:val="none"/>
          <w14:textFill>
            <w14:solidFill>
              <w14:schemeClr w14:val="tx1"/>
            </w14:solidFill>
          </w14:textFill>
        </w:rPr>
        <w:t>业绩，响应单位需在中建路桥集团合格分供商名录中，未在中建系统不合格（含不良行为）名册中，并在人员、设备、资金等方面具备相应的施工能力。</w:t>
      </w:r>
    </w:p>
    <w:p w14:paraId="2386134D">
      <w:pPr>
        <w:widowControl w:val="0"/>
        <w:spacing w:line="360" w:lineRule="auto"/>
        <w:ind w:firstLine="480" w:firstLineChars="200"/>
        <w:jc w:val="both"/>
        <w:rPr>
          <w:rFonts w:hint="eastAsia" w:ascii="宋体" w:hAnsi="宋体" w:eastAsia="宋体" w:cs="Times New Roman"/>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4"/>
          <w:szCs w:val="20"/>
          <w:highlight w:val="none"/>
          <w:lang w:val="en-US" w:eastAsia="zh-CN" w:bidi="ar-SA"/>
          <w14:textFill>
            <w14:solidFill>
              <w14:schemeClr w14:val="tx1"/>
            </w14:solidFill>
          </w14:textFill>
        </w:rPr>
        <w:t>3.2本次采购不接受联合体形式参与采购活动。</w:t>
      </w:r>
    </w:p>
    <w:p w14:paraId="17DF2AED">
      <w:pPr>
        <w:widowControl w:val="0"/>
        <w:spacing w:line="360" w:lineRule="auto"/>
        <w:ind w:firstLine="480"/>
        <w:jc w:val="both"/>
        <w:rPr>
          <w:rFonts w:hint="eastAsia" w:ascii="宋体" w:hAnsi="宋体" w:eastAsia="宋体" w:cs="Times New Roman"/>
          <w:color w:val="000000" w:themeColor="text1"/>
          <w:kern w:val="2"/>
          <w:sz w:val="24"/>
          <w:szCs w:val="20"/>
          <w:highlight w:val="none"/>
          <w:lang w:val="en-US" w:eastAsia="zh-CN" w:bidi="ar-SA"/>
          <w14:textFill>
            <w14:solidFill>
              <w14:schemeClr w14:val="tx1"/>
            </w14:solidFill>
          </w14:textFill>
        </w:rPr>
      </w:pPr>
      <w:r>
        <w:rPr>
          <w:rFonts w:hint="eastAsia" w:ascii="宋体" w:hAnsi="宋体" w:eastAsia="宋体" w:cs="Times New Roman"/>
          <w:color w:val="000000" w:themeColor="text1"/>
          <w:kern w:val="2"/>
          <w:sz w:val="24"/>
          <w:szCs w:val="20"/>
          <w:highlight w:val="none"/>
          <w:lang w:val="en-US" w:eastAsia="zh-CN" w:bidi="ar-SA"/>
          <w14:textFill>
            <w14:solidFill>
              <w14:schemeClr w14:val="tx1"/>
            </w14:solidFill>
          </w14:textFill>
        </w:rPr>
        <w:t>3.3每个响应单位最多可参与</w:t>
      </w:r>
      <w:r>
        <w:rPr>
          <w:rFonts w:hint="eastAsia" w:ascii="宋体" w:hAnsi="宋体" w:eastAsia="宋体" w:cs="Times New Roman"/>
          <w:color w:val="000000" w:themeColor="text1"/>
          <w:kern w:val="2"/>
          <w:sz w:val="24"/>
          <w:szCs w:val="20"/>
          <w:highlight w:val="none"/>
          <w:u w:val="single"/>
          <w:lang w:val="en-US" w:eastAsia="zh-CN" w:bidi="ar-SA"/>
          <w14:textFill>
            <w14:solidFill>
              <w14:schemeClr w14:val="tx1"/>
            </w14:solidFill>
          </w14:textFill>
        </w:rPr>
        <w:t xml:space="preserve">  /  </w:t>
      </w:r>
      <w:r>
        <w:rPr>
          <w:rFonts w:hint="eastAsia" w:ascii="宋体" w:hAnsi="宋体" w:eastAsia="宋体" w:cs="Times New Roman"/>
          <w:color w:val="000000" w:themeColor="text1"/>
          <w:kern w:val="2"/>
          <w:sz w:val="24"/>
          <w:szCs w:val="20"/>
          <w:highlight w:val="none"/>
          <w:lang w:val="en-US" w:eastAsia="zh-CN" w:bidi="ar-SA"/>
          <w14:textFill>
            <w14:solidFill>
              <w14:schemeClr w14:val="tx1"/>
            </w14:solidFill>
          </w14:textFill>
        </w:rPr>
        <w:t>个段落施工采购活动。</w:t>
      </w:r>
    </w:p>
    <w:p w14:paraId="48F9BE1E">
      <w:pPr>
        <w:spacing w:line="360" w:lineRule="auto"/>
        <w:ind w:firstLine="480" w:firstLineChars="200"/>
        <w:rPr>
          <w:rFonts w:hint="eastAsia" w:ascii="宋体" w:hAnsi="宋体" w:eastAsia="宋体" w:cs="Times New Roman"/>
          <w:color w:val="000000" w:themeColor="text1"/>
          <w:sz w:val="24"/>
          <w:highlight w:val="none"/>
          <w14:textFill>
            <w14:solidFill>
              <w14:schemeClr w14:val="tx1"/>
            </w14:solidFill>
          </w14:textFill>
        </w:rPr>
      </w:pPr>
      <w:r>
        <w:rPr>
          <w:rFonts w:hint="eastAsia" w:ascii="宋体" w:hAnsi="宋体" w:eastAsia="宋体" w:cs="Times New Roman"/>
          <w:color w:val="000000" w:themeColor="text1"/>
          <w:sz w:val="24"/>
          <w:highlight w:val="none"/>
          <w14:textFill>
            <w14:solidFill>
              <w14:schemeClr w14:val="tx1"/>
            </w14:solidFill>
          </w14:textFill>
        </w:rPr>
        <w:t>3.4与采购人存在利害关系可能影响采购公正性的单位，不得参与采购活动。单位负责人为同一人或者存在控股、管理关系的不同单位，不得同时参与同一标段采购活动。采购人在采购过程任何阶段发现响应单位存在相互关联情形的，均将取消其参与资格。响应单位关联关系认定详见附件《关于响应单位关联关系的认定说明》。</w:t>
      </w:r>
    </w:p>
    <w:p w14:paraId="0EDA0420">
      <w:pPr>
        <w:spacing w:line="360" w:lineRule="auto"/>
        <w:rPr>
          <w:rFonts w:hint="eastAsia" w:ascii="宋体" w:hAnsi="宋体" w:eastAsia="宋体" w:cs="Times New Roman"/>
          <w:b/>
          <w:color w:val="000000" w:themeColor="text1"/>
          <w:sz w:val="28"/>
          <w:szCs w:val="28"/>
          <w:highlight w:val="none"/>
          <w14:textFill>
            <w14:solidFill>
              <w14:schemeClr w14:val="tx1"/>
            </w14:solidFill>
          </w14:textFill>
        </w:rPr>
      </w:pPr>
      <w:r>
        <w:rPr>
          <w:rFonts w:hint="eastAsia" w:ascii="宋体" w:hAnsi="宋体" w:eastAsia="宋体" w:cs="Times New Roman"/>
          <w:b/>
          <w:color w:val="000000" w:themeColor="text1"/>
          <w:sz w:val="28"/>
          <w:szCs w:val="28"/>
          <w:highlight w:val="none"/>
          <w14:textFill>
            <w14:solidFill>
              <w14:schemeClr w14:val="tx1"/>
            </w14:solidFill>
          </w14:textFill>
        </w:rPr>
        <w:t>4．采购文件的获取</w:t>
      </w:r>
      <w:bookmarkEnd w:id="20"/>
      <w:bookmarkEnd w:id="21"/>
      <w:bookmarkEnd w:id="22"/>
      <w:bookmarkEnd w:id="23"/>
    </w:p>
    <w:p w14:paraId="75323BA9">
      <w:pPr>
        <w:spacing w:line="360" w:lineRule="auto"/>
        <w:ind w:firstLine="480" w:firstLineChars="200"/>
        <w:rPr>
          <w:rFonts w:hint="eastAsia" w:ascii="宋体" w:hAnsi="宋体" w:eastAsia="宋体" w:cs="Times New Roman"/>
          <w:color w:val="000000" w:themeColor="text1"/>
          <w:sz w:val="24"/>
          <w:szCs w:val="21"/>
          <w:highlight w:val="none"/>
          <w14:textFill>
            <w14:solidFill>
              <w14:schemeClr w14:val="tx1"/>
            </w14:solidFill>
          </w14:textFill>
        </w:rPr>
      </w:pPr>
      <w:r>
        <w:rPr>
          <w:rFonts w:hint="eastAsia" w:ascii="宋体" w:hAnsi="宋体" w:eastAsia="宋体" w:cs="Times New Roman"/>
          <w:color w:val="000000" w:themeColor="text1"/>
          <w:sz w:val="24"/>
          <w:highlight w:val="none"/>
          <w14:textFill>
            <w14:solidFill>
              <w14:schemeClr w14:val="tx1"/>
            </w14:solidFill>
          </w14:textFill>
        </w:rPr>
        <w:t>凡有意参与采购活动者，请于</w:t>
      </w:r>
      <w:r>
        <w:rPr>
          <w:rFonts w:hint="eastAsia" w:ascii="宋体" w:hAnsi="宋体" w:eastAsia="宋体" w:cs="Times New Roman"/>
          <w:color w:val="000000" w:themeColor="text1"/>
          <w:sz w:val="24"/>
          <w:highlight w:val="none"/>
          <w:u w:val="single"/>
          <w14:textFill>
            <w14:solidFill>
              <w14:schemeClr w14:val="tx1"/>
            </w14:solidFill>
          </w14:textFill>
        </w:rPr>
        <w:t xml:space="preserve"> </w:t>
      </w:r>
      <w:r>
        <w:rPr>
          <w:rFonts w:hint="eastAsia" w:ascii="宋体" w:hAnsi="宋体" w:eastAsia="宋体" w:cs="Times New Roman"/>
          <w:color w:val="000000" w:themeColor="text1"/>
          <w:sz w:val="24"/>
          <w:highlight w:val="none"/>
          <w:u w:val="single"/>
          <w:lang w:val="en-US" w:eastAsia="zh-CN"/>
          <w14:textFill>
            <w14:solidFill>
              <w14:schemeClr w14:val="tx1"/>
            </w14:solidFill>
          </w14:textFill>
        </w:rPr>
        <w:t>2026</w:t>
      </w:r>
      <w:r>
        <w:rPr>
          <w:rFonts w:hint="eastAsia" w:ascii="宋体" w:hAnsi="宋体" w:eastAsia="宋体" w:cs="Times New Roman"/>
          <w:color w:val="000000" w:themeColor="text1"/>
          <w:sz w:val="24"/>
          <w:highlight w:val="none"/>
          <w:u w:val="single"/>
          <w14:textFill>
            <w14:solidFill>
              <w14:schemeClr w14:val="tx1"/>
            </w14:solidFill>
          </w14:textFill>
        </w:rPr>
        <w:t xml:space="preserve"> </w:t>
      </w:r>
      <w:r>
        <w:rPr>
          <w:rFonts w:hint="eastAsia" w:ascii="宋体" w:hAnsi="宋体" w:eastAsia="宋体" w:cs="Times New Roman"/>
          <w:color w:val="000000" w:themeColor="text1"/>
          <w:sz w:val="24"/>
          <w:highlight w:val="none"/>
          <w14:textFill>
            <w14:solidFill>
              <w14:schemeClr w14:val="tx1"/>
            </w14:solidFill>
          </w14:textFill>
        </w:rPr>
        <w:t>年</w:t>
      </w:r>
      <w:r>
        <w:rPr>
          <w:rFonts w:hint="eastAsia" w:ascii="宋体" w:hAnsi="宋体" w:eastAsia="宋体" w:cs="Times New Roman"/>
          <w:color w:val="000000" w:themeColor="text1"/>
          <w:sz w:val="24"/>
          <w:highlight w:val="none"/>
          <w:u w:val="single"/>
          <w14:textFill>
            <w14:solidFill>
              <w14:schemeClr w14:val="tx1"/>
            </w14:solidFill>
          </w14:textFill>
        </w:rPr>
        <w:t xml:space="preserve"> </w:t>
      </w:r>
      <w:r>
        <w:rPr>
          <w:rFonts w:hint="eastAsia" w:ascii="宋体" w:hAnsi="宋体" w:eastAsia="宋体" w:cs="Times New Roman"/>
          <w:color w:val="000000" w:themeColor="text1"/>
          <w:sz w:val="24"/>
          <w:highlight w:val="none"/>
          <w:u w:val="single"/>
          <w:lang w:val="en-US" w:eastAsia="zh-CN"/>
          <w14:textFill>
            <w14:solidFill>
              <w14:schemeClr w14:val="tx1"/>
            </w14:solidFill>
          </w14:textFill>
        </w:rPr>
        <w:t>09</w:t>
      </w:r>
      <w:r>
        <w:rPr>
          <w:rFonts w:hint="eastAsia" w:ascii="宋体" w:hAnsi="宋体" w:eastAsia="宋体" w:cs="Times New Roman"/>
          <w:color w:val="000000" w:themeColor="text1"/>
          <w:sz w:val="24"/>
          <w:highlight w:val="none"/>
          <w:u w:val="single"/>
          <w14:textFill>
            <w14:solidFill>
              <w14:schemeClr w14:val="tx1"/>
            </w14:solidFill>
          </w14:textFill>
        </w:rPr>
        <w:t xml:space="preserve"> </w:t>
      </w:r>
      <w:r>
        <w:rPr>
          <w:rFonts w:hint="eastAsia" w:ascii="宋体" w:hAnsi="宋体" w:eastAsia="宋体" w:cs="Times New Roman"/>
          <w:color w:val="000000" w:themeColor="text1"/>
          <w:sz w:val="24"/>
          <w:highlight w:val="none"/>
          <w14:textFill>
            <w14:solidFill>
              <w14:schemeClr w14:val="tx1"/>
            </w14:solidFill>
          </w14:textFill>
        </w:rPr>
        <w:t>月</w:t>
      </w:r>
      <w:r>
        <w:rPr>
          <w:rFonts w:hint="eastAsia" w:ascii="宋体" w:hAnsi="宋体" w:eastAsia="宋体" w:cs="Times New Roman"/>
          <w:color w:val="000000" w:themeColor="text1"/>
          <w:sz w:val="24"/>
          <w:highlight w:val="none"/>
          <w:u w:val="single"/>
          <w14:textFill>
            <w14:solidFill>
              <w14:schemeClr w14:val="tx1"/>
            </w14:solidFill>
          </w14:textFill>
        </w:rPr>
        <w:t xml:space="preserve"> </w:t>
      </w:r>
      <w:r>
        <w:rPr>
          <w:rFonts w:hint="eastAsia" w:ascii="宋体" w:hAnsi="宋体" w:eastAsia="宋体" w:cs="Times New Roman"/>
          <w:color w:val="000000" w:themeColor="text1"/>
          <w:sz w:val="24"/>
          <w:highlight w:val="none"/>
          <w:u w:val="single"/>
          <w:lang w:val="en-US" w:eastAsia="zh-CN"/>
          <w14:textFill>
            <w14:solidFill>
              <w14:schemeClr w14:val="tx1"/>
            </w14:solidFill>
          </w14:textFill>
        </w:rPr>
        <w:t>05</w:t>
      </w:r>
      <w:r>
        <w:rPr>
          <w:rFonts w:hint="eastAsia" w:ascii="宋体" w:hAnsi="宋体" w:eastAsia="宋体" w:cs="Times New Roman"/>
          <w:color w:val="000000" w:themeColor="text1"/>
          <w:sz w:val="24"/>
          <w:highlight w:val="none"/>
          <w:u w:val="single"/>
          <w14:textFill>
            <w14:solidFill>
              <w14:schemeClr w14:val="tx1"/>
            </w14:solidFill>
          </w14:textFill>
        </w:rPr>
        <w:t xml:space="preserve"> </w:t>
      </w:r>
      <w:r>
        <w:rPr>
          <w:rFonts w:hint="eastAsia" w:ascii="宋体" w:hAnsi="宋体" w:eastAsia="宋体" w:cs="Times New Roman"/>
          <w:color w:val="000000" w:themeColor="text1"/>
          <w:sz w:val="24"/>
          <w:highlight w:val="none"/>
          <w14:textFill>
            <w14:solidFill>
              <w14:schemeClr w14:val="tx1"/>
            </w14:solidFill>
          </w14:textFill>
        </w:rPr>
        <w:t>日至</w:t>
      </w:r>
      <w:r>
        <w:rPr>
          <w:rFonts w:hint="eastAsia" w:ascii="宋体" w:hAnsi="宋体" w:eastAsia="宋体" w:cs="Times New Roman"/>
          <w:color w:val="000000" w:themeColor="text1"/>
          <w:sz w:val="24"/>
          <w:highlight w:val="none"/>
          <w:u w:val="single"/>
          <w14:textFill>
            <w14:solidFill>
              <w14:schemeClr w14:val="tx1"/>
            </w14:solidFill>
          </w14:textFill>
        </w:rPr>
        <w:t xml:space="preserve"> </w:t>
      </w:r>
      <w:r>
        <w:rPr>
          <w:rFonts w:hint="eastAsia" w:ascii="宋体" w:hAnsi="宋体" w:eastAsia="宋体" w:cs="Times New Roman"/>
          <w:color w:val="000000" w:themeColor="text1"/>
          <w:sz w:val="24"/>
          <w:highlight w:val="none"/>
          <w:u w:val="single"/>
          <w:lang w:val="en-US" w:eastAsia="zh-CN"/>
          <w14:textFill>
            <w14:solidFill>
              <w14:schemeClr w14:val="tx1"/>
            </w14:solidFill>
          </w14:textFill>
        </w:rPr>
        <w:t>2026</w:t>
      </w:r>
      <w:r>
        <w:rPr>
          <w:rFonts w:hint="eastAsia" w:ascii="宋体" w:hAnsi="宋体" w:eastAsia="宋体" w:cs="Times New Roman"/>
          <w:color w:val="000000" w:themeColor="text1"/>
          <w:sz w:val="24"/>
          <w:highlight w:val="none"/>
          <w:u w:val="single"/>
          <w14:textFill>
            <w14:solidFill>
              <w14:schemeClr w14:val="tx1"/>
            </w14:solidFill>
          </w14:textFill>
        </w:rPr>
        <w:t xml:space="preserve"> </w:t>
      </w:r>
      <w:r>
        <w:rPr>
          <w:rFonts w:hint="eastAsia" w:ascii="宋体" w:hAnsi="宋体" w:eastAsia="宋体" w:cs="Times New Roman"/>
          <w:color w:val="000000" w:themeColor="text1"/>
          <w:sz w:val="24"/>
          <w:highlight w:val="none"/>
          <w14:textFill>
            <w14:solidFill>
              <w14:schemeClr w14:val="tx1"/>
            </w14:solidFill>
          </w14:textFill>
        </w:rPr>
        <w:t>年</w:t>
      </w:r>
      <w:r>
        <w:rPr>
          <w:rFonts w:hint="eastAsia" w:ascii="宋体" w:hAnsi="宋体" w:eastAsia="宋体" w:cs="Times New Roman"/>
          <w:color w:val="000000" w:themeColor="text1"/>
          <w:sz w:val="24"/>
          <w:highlight w:val="none"/>
          <w:u w:val="single"/>
          <w14:textFill>
            <w14:solidFill>
              <w14:schemeClr w14:val="tx1"/>
            </w14:solidFill>
          </w14:textFill>
        </w:rPr>
        <w:t xml:space="preserve"> </w:t>
      </w:r>
      <w:r>
        <w:rPr>
          <w:rFonts w:hint="eastAsia" w:ascii="宋体" w:hAnsi="宋体" w:eastAsia="宋体" w:cs="Times New Roman"/>
          <w:color w:val="000000" w:themeColor="text1"/>
          <w:sz w:val="24"/>
          <w:highlight w:val="none"/>
          <w:u w:val="single"/>
          <w:lang w:val="en-US" w:eastAsia="zh-CN"/>
          <w14:textFill>
            <w14:solidFill>
              <w14:schemeClr w14:val="tx1"/>
            </w14:solidFill>
          </w14:textFill>
        </w:rPr>
        <w:t>09</w:t>
      </w:r>
      <w:r>
        <w:rPr>
          <w:rFonts w:hint="eastAsia" w:ascii="宋体" w:hAnsi="宋体" w:eastAsia="宋体" w:cs="Times New Roman"/>
          <w:color w:val="000000" w:themeColor="text1"/>
          <w:sz w:val="24"/>
          <w:highlight w:val="none"/>
          <w:u w:val="single"/>
          <w14:textFill>
            <w14:solidFill>
              <w14:schemeClr w14:val="tx1"/>
            </w14:solidFill>
          </w14:textFill>
        </w:rPr>
        <w:t xml:space="preserve"> </w:t>
      </w:r>
      <w:r>
        <w:rPr>
          <w:rFonts w:hint="eastAsia" w:ascii="宋体" w:hAnsi="宋体" w:eastAsia="宋体" w:cs="Times New Roman"/>
          <w:color w:val="000000" w:themeColor="text1"/>
          <w:sz w:val="24"/>
          <w:highlight w:val="none"/>
          <w14:textFill>
            <w14:solidFill>
              <w14:schemeClr w14:val="tx1"/>
            </w14:solidFill>
          </w14:textFill>
        </w:rPr>
        <w:t>月</w:t>
      </w:r>
      <w:r>
        <w:rPr>
          <w:rFonts w:hint="eastAsia" w:ascii="宋体" w:hAnsi="宋体" w:eastAsia="宋体" w:cs="Times New Roman"/>
          <w:color w:val="000000" w:themeColor="text1"/>
          <w:sz w:val="24"/>
          <w:highlight w:val="none"/>
          <w:u w:val="single"/>
          <w14:textFill>
            <w14:solidFill>
              <w14:schemeClr w14:val="tx1"/>
            </w14:solidFill>
          </w14:textFill>
        </w:rPr>
        <w:t xml:space="preserve"> </w:t>
      </w:r>
      <w:r>
        <w:rPr>
          <w:rFonts w:hint="eastAsia" w:ascii="宋体" w:hAnsi="宋体" w:eastAsia="宋体" w:cs="Times New Roman"/>
          <w:color w:val="000000" w:themeColor="text1"/>
          <w:sz w:val="24"/>
          <w:highlight w:val="none"/>
          <w:u w:val="single"/>
          <w:lang w:val="en-US" w:eastAsia="zh-CN"/>
          <w14:textFill>
            <w14:solidFill>
              <w14:schemeClr w14:val="tx1"/>
            </w14:solidFill>
          </w14:textFill>
        </w:rPr>
        <w:t>06</w:t>
      </w:r>
      <w:r>
        <w:rPr>
          <w:rFonts w:hint="eastAsia" w:ascii="宋体" w:hAnsi="宋体" w:eastAsia="宋体" w:cs="Times New Roman"/>
          <w:color w:val="000000" w:themeColor="text1"/>
          <w:sz w:val="24"/>
          <w:highlight w:val="none"/>
          <w:u w:val="single"/>
          <w14:textFill>
            <w14:solidFill>
              <w14:schemeClr w14:val="tx1"/>
            </w14:solidFill>
          </w14:textFill>
        </w:rPr>
        <w:t xml:space="preserve"> </w:t>
      </w:r>
      <w:r>
        <w:rPr>
          <w:rFonts w:hint="eastAsia" w:ascii="宋体" w:hAnsi="宋体" w:eastAsia="宋体" w:cs="Times New Roman"/>
          <w:color w:val="000000" w:themeColor="text1"/>
          <w:sz w:val="24"/>
          <w:highlight w:val="none"/>
          <w14:textFill>
            <w14:solidFill>
              <w14:schemeClr w14:val="tx1"/>
            </w14:solidFill>
          </w14:textFill>
        </w:rPr>
        <w:t>日，（法定公休日、法定节假日正常上班)，每日上午</w:t>
      </w:r>
      <w:r>
        <w:rPr>
          <w:rFonts w:hint="eastAsia" w:ascii="宋体" w:hAnsi="宋体" w:eastAsia="宋体" w:cs="Times New Roman"/>
          <w:color w:val="000000" w:themeColor="text1"/>
          <w:sz w:val="24"/>
          <w:highlight w:val="none"/>
          <w:u w:val="single"/>
          <w14:textFill>
            <w14:solidFill>
              <w14:schemeClr w14:val="tx1"/>
            </w14:solidFill>
          </w14:textFill>
        </w:rPr>
        <w:t xml:space="preserve"> 8 </w:t>
      </w:r>
      <w:r>
        <w:rPr>
          <w:rFonts w:hint="eastAsia" w:ascii="宋体" w:hAnsi="宋体" w:eastAsia="宋体" w:cs="Times New Roman"/>
          <w:color w:val="000000" w:themeColor="text1"/>
          <w:sz w:val="24"/>
          <w:highlight w:val="none"/>
          <w14:textFill>
            <w14:solidFill>
              <w14:schemeClr w14:val="tx1"/>
            </w14:solidFill>
          </w14:textFill>
        </w:rPr>
        <w:t>时至</w:t>
      </w:r>
      <w:r>
        <w:rPr>
          <w:rFonts w:hint="eastAsia" w:ascii="宋体" w:hAnsi="宋体" w:eastAsia="宋体" w:cs="Times New Roman"/>
          <w:color w:val="000000" w:themeColor="text1"/>
          <w:sz w:val="24"/>
          <w:highlight w:val="none"/>
          <w:u w:val="single"/>
          <w14:textFill>
            <w14:solidFill>
              <w14:schemeClr w14:val="tx1"/>
            </w14:solidFill>
          </w14:textFill>
        </w:rPr>
        <w:t xml:space="preserve"> 11 </w:t>
      </w:r>
      <w:r>
        <w:rPr>
          <w:rFonts w:hint="eastAsia" w:ascii="宋体" w:hAnsi="宋体" w:eastAsia="宋体" w:cs="Times New Roman"/>
          <w:color w:val="000000" w:themeColor="text1"/>
          <w:sz w:val="24"/>
          <w:highlight w:val="none"/>
          <w14:textFill>
            <w14:solidFill>
              <w14:schemeClr w14:val="tx1"/>
            </w14:solidFill>
          </w14:textFill>
        </w:rPr>
        <w:t>时，下午</w:t>
      </w:r>
      <w:r>
        <w:rPr>
          <w:rFonts w:hint="eastAsia" w:ascii="宋体" w:hAnsi="宋体" w:eastAsia="宋体" w:cs="Times New Roman"/>
          <w:color w:val="000000" w:themeColor="text1"/>
          <w:sz w:val="24"/>
          <w:highlight w:val="none"/>
          <w:u w:val="single"/>
          <w14:textFill>
            <w14:solidFill>
              <w14:schemeClr w14:val="tx1"/>
            </w14:solidFill>
          </w14:textFill>
        </w:rPr>
        <w:t xml:space="preserve"> 14 </w:t>
      </w:r>
      <w:r>
        <w:rPr>
          <w:rFonts w:hint="eastAsia" w:ascii="宋体" w:hAnsi="宋体" w:eastAsia="宋体" w:cs="Times New Roman"/>
          <w:color w:val="000000" w:themeColor="text1"/>
          <w:sz w:val="24"/>
          <w:highlight w:val="none"/>
          <w14:textFill>
            <w14:solidFill>
              <w14:schemeClr w14:val="tx1"/>
            </w14:solidFill>
          </w14:textFill>
        </w:rPr>
        <w:t>时至</w:t>
      </w:r>
      <w:r>
        <w:rPr>
          <w:rFonts w:hint="eastAsia" w:ascii="宋体" w:hAnsi="宋体" w:eastAsia="宋体" w:cs="Times New Roman"/>
          <w:color w:val="000000" w:themeColor="text1"/>
          <w:sz w:val="24"/>
          <w:highlight w:val="none"/>
          <w:u w:val="single"/>
          <w14:textFill>
            <w14:solidFill>
              <w14:schemeClr w14:val="tx1"/>
            </w14:solidFill>
          </w14:textFill>
        </w:rPr>
        <w:t xml:space="preserve"> 17 </w:t>
      </w:r>
      <w:r>
        <w:rPr>
          <w:rFonts w:hint="eastAsia" w:ascii="宋体" w:hAnsi="宋体" w:eastAsia="宋体" w:cs="Times New Roman"/>
          <w:color w:val="000000" w:themeColor="text1"/>
          <w:sz w:val="24"/>
          <w:highlight w:val="none"/>
          <w14:textFill>
            <w14:solidFill>
              <w14:schemeClr w14:val="tx1"/>
            </w14:solidFill>
          </w14:textFill>
        </w:rPr>
        <w:t>时持单位介绍信或授权书、经办人或被授权人的身份证到河北省石家庄市桥西区新石北路362号中建路桥</w:t>
      </w:r>
      <w:r>
        <w:rPr>
          <w:rFonts w:hint="eastAsia" w:ascii="宋体" w:hAnsi="宋体" w:cs="Times New Roman"/>
          <w:color w:val="000000" w:themeColor="text1"/>
          <w:sz w:val="24"/>
          <w:highlight w:val="none"/>
          <w:lang w:eastAsia="zh-CN"/>
          <w14:textFill>
            <w14:solidFill>
              <w14:schemeClr w14:val="tx1"/>
            </w14:solidFill>
          </w14:textFill>
        </w:rPr>
        <w:t>第二工程</w:t>
      </w:r>
      <w:r>
        <w:rPr>
          <w:rFonts w:hint="eastAsia" w:ascii="宋体" w:hAnsi="宋体" w:eastAsia="宋体" w:cs="Times New Roman"/>
          <w:color w:val="000000" w:themeColor="text1"/>
          <w:sz w:val="24"/>
          <w:highlight w:val="none"/>
          <w14:textFill>
            <w14:solidFill>
              <w14:schemeClr w14:val="tx1"/>
            </w14:solidFill>
          </w14:textFill>
        </w:rPr>
        <w:t>有限公司报名并领取采购文件</w:t>
      </w:r>
      <w:r>
        <w:rPr>
          <w:rFonts w:hint="eastAsia" w:ascii="宋体" w:hAnsi="宋体" w:eastAsia="宋体" w:cs="Times New Roman"/>
          <w:color w:val="000000" w:themeColor="text1"/>
          <w:sz w:val="24"/>
          <w:szCs w:val="21"/>
          <w:highlight w:val="none"/>
          <w14:textFill>
            <w14:solidFill>
              <w14:schemeClr w14:val="tx1"/>
            </w14:solidFill>
          </w14:textFill>
        </w:rPr>
        <w:t>。</w:t>
      </w:r>
    </w:p>
    <w:p w14:paraId="42C0BAC3">
      <w:pPr>
        <w:spacing w:line="360" w:lineRule="auto"/>
        <w:rPr>
          <w:rFonts w:hint="eastAsia" w:ascii="宋体" w:hAnsi="宋体" w:eastAsia="宋体" w:cs="Times New Roman"/>
          <w:b/>
          <w:color w:val="000000" w:themeColor="text1"/>
          <w:sz w:val="28"/>
          <w:szCs w:val="28"/>
          <w:highlight w:val="none"/>
          <w14:textFill>
            <w14:solidFill>
              <w14:schemeClr w14:val="tx1"/>
            </w14:solidFill>
          </w14:textFill>
        </w:rPr>
      </w:pPr>
      <w:bookmarkStart w:id="24" w:name="_Toc232836823"/>
      <w:bookmarkStart w:id="25" w:name="_Toc184704558"/>
      <w:bookmarkStart w:id="26" w:name="_Toc234932519"/>
      <w:bookmarkStart w:id="27" w:name="_Toc235071707"/>
      <w:r>
        <w:rPr>
          <w:rFonts w:hint="eastAsia" w:ascii="宋体" w:hAnsi="宋体" w:eastAsia="宋体" w:cs="Times New Roman"/>
          <w:b/>
          <w:color w:val="000000" w:themeColor="text1"/>
          <w:sz w:val="28"/>
          <w:szCs w:val="28"/>
          <w:highlight w:val="none"/>
          <w14:textFill>
            <w14:solidFill>
              <w14:schemeClr w14:val="tx1"/>
            </w14:solidFill>
          </w14:textFill>
        </w:rPr>
        <w:t>5．响应文件的递交</w:t>
      </w:r>
      <w:bookmarkEnd w:id="24"/>
      <w:bookmarkEnd w:id="25"/>
      <w:bookmarkEnd w:id="26"/>
      <w:bookmarkEnd w:id="27"/>
    </w:p>
    <w:p w14:paraId="22AF36BA">
      <w:pPr>
        <w:spacing w:line="360" w:lineRule="auto"/>
        <w:ind w:firstLine="480" w:firstLineChars="200"/>
        <w:rPr>
          <w:rFonts w:hint="eastAsia" w:ascii="宋体" w:hAnsi="宋体" w:eastAsia="宋体" w:cs="Times New Roman"/>
          <w:color w:val="000000" w:themeColor="text1"/>
          <w:sz w:val="24"/>
          <w:highlight w:val="none"/>
          <w14:textFill>
            <w14:solidFill>
              <w14:schemeClr w14:val="tx1"/>
            </w14:solidFill>
          </w14:textFill>
        </w:rPr>
      </w:pPr>
      <w:r>
        <w:rPr>
          <w:rFonts w:hint="eastAsia" w:ascii="宋体" w:hAnsi="宋体" w:eastAsia="宋体" w:cs="Times New Roman"/>
          <w:color w:val="000000" w:themeColor="text1"/>
          <w:sz w:val="24"/>
          <w:highlight w:val="none"/>
          <w14:textFill>
            <w14:solidFill>
              <w14:schemeClr w14:val="tx1"/>
            </w14:solidFill>
          </w14:textFill>
        </w:rPr>
        <w:t>5.1 递交响应文件截止时间（响应截止时间，下同）为</w:t>
      </w:r>
      <w:r>
        <w:rPr>
          <w:rFonts w:hint="eastAsia" w:ascii="宋体" w:hAnsi="宋体" w:eastAsia="宋体" w:cs="Times New Roman"/>
          <w:color w:val="000000" w:themeColor="text1"/>
          <w:sz w:val="24"/>
          <w:highlight w:val="none"/>
          <w:u w:val="single"/>
          <w14:textFill>
            <w14:solidFill>
              <w14:schemeClr w14:val="tx1"/>
            </w14:solidFill>
          </w14:textFill>
        </w:rPr>
        <w:t xml:space="preserve"> </w:t>
      </w:r>
      <w:r>
        <w:rPr>
          <w:rFonts w:hint="eastAsia" w:ascii="宋体" w:hAnsi="宋体" w:eastAsia="宋体" w:cs="Times New Roman"/>
          <w:color w:val="000000" w:themeColor="text1"/>
          <w:sz w:val="24"/>
          <w:highlight w:val="none"/>
          <w:u w:val="single"/>
          <w:lang w:val="en-US" w:eastAsia="zh-CN"/>
          <w14:textFill>
            <w14:solidFill>
              <w14:schemeClr w14:val="tx1"/>
            </w14:solidFill>
          </w14:textFill>
        </w:rPr>
        <w:t>2026</w:t>
      </w:r>
      <w:r>
        <w:rPr>
          <w:rFonts w:hint="eastAsia" w:ascii="宋体" w:hAnsi="宋体" w:eastAsia="宋体" w:cs="Times New Roman"/>
          <w:color w:val="000000" w:themeColor="text1"/>
          <w:sz w:val="24"/>
          <w:highlight w:val="none"/>
          <w:u w:val="single"/>
          <w14:textFill>
            <w14:solidFill>
              <w14:schemeClr w14:val="tx1"/>
            </w14:solidFill>
          </w14:textFill>
        </w:rPr>
        <w:t xml:space="preserve"> </w:t>
      </w:r>
      <w:r>
        <w:rPr>
          <w:rFonts w:hint="eastAsia" w:ascii="宋体" w:hAnsi="宋体" w:eastAsia="宋体" w:cs="Times New Roman"/>
          <w:color w:val="000000" w:themeColor="text1"/>
          <w:sz w:val="24"/>
          <w:highlight w:val="none"/>
          <w14:textFill>
            <w14:solidFill>
              <w14:schemeClr w14:val="tx1"/>
            </w14:solidFill>
          </w14:textFill>
        </w:rPr>
        <w:t>年</w:t>
      </w:r>
      <w:r>
        <w:rPr>
          <w:rFonts w:hint="eastAsia" w:ascii="宋体" w:hAnsi="宋体" w:eastAsia="宋体" w:cs="Times New Roman"/>
          <w:color w:val="000000" w:themeColor="text1"/>
          <w:sz w:val="24"/>
          <w:highlight w:val="none"/>
          <w:u w:val="single"/>
          <w14:textFill>
            <w14:solidFill>
              <w14:schemeClr w14:val="tx1"/>
            </w14:solidFill>
          </w14:textFill>
        </w:rPr>
        <w:t xml:space="preserve"> </w:t>
      </w:r>
      <w:r>
        <w:rPr>
          <w:rFonts w:hint="eastAsia" w:ascii="宋体" w:hAnsi="宋体" w:eastAsia="宋体" w:cs="Times New Roman"/>
          <w:color w:val="000000" w:themeColor="text1"/>
          <w:sz w:val="24"/>
          <w:highlight w:val="none"/>
          <w:u w:val="single"/>
          <w:lang w:val="en-US" w:eastAsia="zh-CN"/>
          <w14:textFill>
            <w14:solidFill>
              <w14:schemeClr w14:val="tx1"/>
            </w14:solidFill>
          </w14:textFill>
        </w:rPr>
        <w:t>09</w:t>
      </w:r>
      <w:r>
        <w:rPr>
          <w:rFonts w:hint="eastAsia" w:ascii="宋体" w:hAnsi="宋体" w:eastAsia="宋体" w:cs="Times New Roman"/>
          <w:color w:val="000000" w:themeColor="text1"/>
          <w:sz w:val="24"/>
          <w:highlight w:val="none"/>
          <w:u w:val="single"/>
          <w14:textFill>
            <w14:solidFill>
              <w14:schemeClr w14:val="tx1"/>
            </w14:solidFill>
          </w14:textFill>
        </w:rPr>
        <w:t xml:space="preserve"> </w:t>
      </w:r>
      <w:r>
        <w:rPr>
          <w:rFonts w:hint="eastAsia" w:ascii="宋体" w:hAnsi="宋体" w:eastAsia="宋体" w:cs="Times New Roman"/>
          <w:color w:val="000000" w:themeColor="text1"/>
          <w:sz w:val="24"/>
          <w:highlight w:val="none"/>
          <w14:textFill>
            <w14:solidFill>
              <w14:schemeClr w14:val="tx1"/>
            </w14:solidFill>
          </w14:textFill>
        </w:rPr>
        <w:t>月</w:t>
      </w:r>
      <w:r>
        <w:rPr>
          <w:rFonts w:hint="eastAsia" w:ascii="宋体" w:hAnsi="宋体" w:eastAsia="宋体" w:cs="Times New Roman"/>
          <w:color w:val="000000" w:themeColor="text1"/>
          <w:sz w:val="24"/>
          <w:highlight w:val="none"/>
          <w:u w:val="single"/>
          <w14:textFill>
            <w14:solidFill>
              <w14:schemeClr w14:val="tx1"/>
            </w14:solidFill>
          </w14:textFill>
        </w:rPr>
        <w:t xml:space="preserve"> </w:t>
      </w:r>
      <w:r>
        <w:rPr>
          <w:rFonts w:hint="eastAsia" w:ascii="宋体" w:hAnsi="宋体" w:eastAsia="宋体" w:cs="Times New Roman"/>
          <w:color w:val="000000" w:themeColor="text1"/>
          <w:sz w:val="24"/>
          <w:highlight w:val="none"/>
          <w:u w:val="single"/>
          <w:lang w:val="en-US" w:eastAsia="zh-CN"/>
          <w14:textFill>
            <w14:solidFill>
              <w14:schemeClr w14:val="tx1"/>
            </w14:solidFill>
          </w14:textFill>
        </w:rPr>
        <w:t>0</w:t>
      </w:r>
      <w:r>
        <w:rPr>
          <w:rFonts w:hint="eastAsia" w:ascii="宋体" w:hAnsi="宋体" w:cs="Times New Roman"/>
          <w:color w:val="000000" w:themeColor="text1"/>
          <w:sz w:val="24"/>
          <w:highlight w:val="none"/>
          <w:u w:val="single"/>
          <w:lang w:val="en-US" w:eastAsia="zh-CN"/>
          <w14:textFill>
            <w14:solidFill>
              <w14:schemeClr w14:val="tx1"/>
            </w14:solidFill>
          </w14:textFill>
        </w:rPr>
        <w:t>8</w:t>
      </w:r>
      <w:r>
        <w:rPr>
          <w:rFonts w:hint="eastAsia" w:ascii="宋体" w:hAnsi="宋体" w:eastAsia="宋体" w:cs="Times New Roman"/>
          <w:color w:val="000000" w:themeColor="text1"/>
          <w:sz w:val="24"/>
          <w:highlight w:val="none"/>
          <w:u w:val="single"/>
          <w14:textFill>
            <w14:solidFill>
              <w14:schemeClr w14:val="tx1"/>
            </w14:solidFill>
          </w14:textFill>
        </w:rPr>
        <w:t xml:space="preserve"> </w:t>
      </w:r>
      <w:r>
        <w:rPr>
          <w:rFonts w:hint="eastAsia" w:ascii="宋体" w:hAnsi="宋体" w:eastAsia="宋体" w:cs="Times New Roman"/>
          <w:color w:val="000000" w:themeColor="text1"/>
          <w:sz w:val="24"/>
          <w:highlight w:val="none"/>
          <w14:textFill>
            <w14:solidFill>
              <w14:schemeClr w14:val="tx1"/>
            </w14:solidFill>
          </w14:textFill>
        </w:rPr>
        <w:t>日</w:t>
      </w:r>
    </w:p>
    <w:p w14:paraId="368C33C6">
      <w:pPr>
        <w:spacing w:line="360" w:lineRule="auto"/>
        <w:rPr>
          <w:rFonts w:hint="eastAsia" w:ascii="宋体" w:hAnsi="宋体" w:eastAsia="宋体" w:cs="Times New Roman"/>
          <w:color w:val="000000" w:themeColor="text1"/>
          <w:sz w:val="24"/>
          <w:highlight w:val="none"/>
          <w14:textFill>
            <w14:solidFill>
              <w14:schemeClr w14:val="tx1"/>
            </w14:solidFill>
          </w14:textFill>
        </w:rPr>
      </w:pPr>
      <w:r>
        <w:rPr>
          <w:rFonts w:hint="eastAsia" w:ascii="宋体" w:hAnsi="宋体" w:eastAsia="宋体" w:cs="Times New Roman"/>
          <w:color w:val="000000" w:themeColor="text1"/>
          <w:sz w:val="24"/>
          <w:highlight w:val="none"/>
          <w:u w:val="single"/>
          <w14:textFill>
            <w14:solidFill>
              <w14:schemeClr w14:val="tx1"/>
            </w14:solidFill>
          </w14:textFill>
        </w:rPr>
        <w:t xml:space="preserve"> </w:t>
      </w:r>
      <w:r>
        <w:rPr>
          <w:rFonts w:hint="eastAsia" w:ascii="宋体" w:hAnsi="宋体" w:eastAsia="宋体" w:cs="Times New Roman"/>
          <w:color w:val="000000" w:themeColor="text1"/>
          <w:sz w:val="24"/>
          <w:highlight w:val="none"/>
          <w:u w:val="single"/>
          <w:lang w:val="en-US" w:eastAsia="zh-CN"/>
          <w14:textFill>
            <w14:solidFill>
              <w14:schemeClr w14:val="tx1"/>
            </w14:solidFill>
          </w14:textFill>
        </w:rPr>
        <w:t>15</w:t>
      </w:r>
      <w:r>
        <w:rPr>
          <w:rFonts w:hint="eastAsia" w:ascii="宋体" w:hAnsi="宋体" w:eastAsia="宋体" w:cs="Times New Roman"/>
          <w:color w:val="000000" w:themeColor="text1"/>
          <w:sz w:val="24"/>
          <w:highlight w:val="none"/>
          <w:u w:val="single"/>
          <w14:textFill>
            <w14:solidFill>
              <w14:schemeClr w14:val="tx1"/>
            </w14:solidFill>
          </w14:textFill>
        </w:rPr>
        <w:t xml:space="preserve"> </w:t>
      </w:r>
      <w:r>
        <w:rPr>
          <w:rFonts w:hint="eastAsia" w:ascii="宋体" w:hAnsi="宋体" w:eastAsia="宋体" w:cs="Times New Roman"/>
          <w:color w:val="000000" w:themeColor="text1"/>
          <w:sz w:val="24"/>
          <w:highlight w:val="none"/>
          <w14:textFill>
            <w14:solidFill>
              <w14:schemeClr w14:val="tx1"/>
            </w14:solidFill>
          </w14:textFill>
        </w:rPr>
        <w:t>时，</w:t>
      </w:r>
      <w:r>
        <w:rPr>
          <w:rFonts w:hint="eastAsia" w:ascii="宋体" w:hAnsi="宋体" w:eastAsia="宋体" w:cs="Times New Roman"/>
          <w:color w:val="000000" w:themeColor="text1"/>
          <w:sz w:val="24"/>
          <w:highlight w:val="none"/>
          <w:lang w:val="en-US" w:eastAsia="zh-CN"/>
          <w14:textFill>
            <w14:solidFill>
              <w14:schemeClr w14:val="tx1"/>
            </w14:solidFill>
          </w14:textFill>
        </w:rPr>
        <w:t>响应</w:t>
      </w:r>
      <w:r>
        <w:rPr>
          <w:rFonts w:hint="eastAsia" w:ascii="宋体" w:hAnsi="宋体" w:eastAsia="宋体" w:cs="Times New Roman"/>
          <w:color w:val="000000" w:themeColor="text1"/>
          <w:sz w:val="24"/>
          <w:highlight w:val="none"/>
          <w14:textFill>
            <w14:solidFill>
              <w14:schemeClr w14:val="tx1"/>
            </w14:solidFill>
          </w14:textFill>
        </w:rPr>
        <w:t>人应于当日</w:t>
      </w:r>
      <w:r>
        <w:rPr>
          <w:rFonts w:hint="eastAsia" w:ascii="宋体" w:hAnsi="宋体" w:eastAsia="宋体" w:cs="Times New Roman"/>
          <w:color w:val="000000" w:themeColor="text1"/>
          <w:sz w:val="24"/>
          <w:highlight w:val="none"/>
          <w:u w:val="single"/>
          <w14:textFill>
            <w14:solidFill>
              <w14:schemeClr w14:val="tx1"/>
            </w14:solidFill>
          </w14:textFill>
        </w:rPr>
        <w:t xml:space="preserve"> 8 </w:t>
      </w:r>
      <w:r>
        <w:rPr>
          <w:rFonts w:hint="eastAsia" w:ascii="宋体" w:hAnsi="宋体" w:eastAsia="宋体" w:cs="Times New Roman"/>
          <w:color w:val="000000" w:themeColor="text1"/>
          <w:sz w:val="24"/>
          <w:highlight w:val="none"/>
          <w14:textFill>
            <w14:solidFill>
              <w14:schemeClr w14:val="tx1"/>
            </w14:solidFill>
          </w14:textFill>
        </w:rPr>
        <w:t>时</w:t>
      </w:r>
      <w:r>
        <w:rPr>
          <w:rFonts w:hint="eastAsia" w:ascii="宋体" w:hAnsi="宋体" w:eastAsia="宋体" w:cs="Times New Roman"/>
          <w:color w:val="000000" w:themeColor="text1"/>
          <w:sz w:val="24"/>
          <w:highlight w:val="none"/>
          <w:u w:val="single"/>
          <w14:textFill>
            <w14:solidFill>
              <w14:schemeClr w14:val="tx1"/>
            </w14:solidFill>
          </w14:textFill>
        </w:rPr>
        <w:t xml:space="preserve"> 30 </w:t>
      </w:r>
      <w:r>
        <w:rPr>
          <w:rFonts w:hint="eastAsia" w:ascii="宋体" w:hAnsi="宋体" w:eastAsia="宋体" w:cs="Times New Roman"/>
          <w:color w:val="000000" w:themeColor="text1"/>
          <w:sz w:val="24"/>
          <w:highlight w:val="none"/>
          <w14:textFill>
            <w14:solidFill>
              <w14:schemeClr w14:val="tx1"/>
            </w14:solidFill>
          </w14:textFill>
        </w:rPr>
        <w:t>分至</w:t>
      </w:r>
      <w:r>
        <w:rPr>
          <w:rFonts w:hint="eastAsia" w:ascii="宋体" w:hAnsi="宋体" w:eastAsia="宋体" w:cs="Times New Roman"/>
          <w:color w:val="000000" w:themeColor="text1"/>
          <w:sz w:val="24"/>
          <w:highlight w:val="none"/>
          <w:u w:val="single"/>
          <w14:textFill>
            <w14:solidFill>
              <w14:schemeClr w14:val="tx1"/>
            </w14:solidFill>
          </w14:textFill>
        </w:rPr>
        <w:t xml:space="preserve"> 15 </w:t>
      </w:r>
      <w:r>
        <w:rPr>
          <w:rFonts w:hint="eastAsia" w:ascii="宋体" w:hAnsi="宋体" w:eastAsia="宋体" w:cs="Times New Roman"/>
          <w:color w:val="000000" w:themeColor="text1"/>
          <w:sz w:val="24"/>
          <w:highlight w:val="none"/>
          <w14:textFill>
            <w14:solidFill>
              <w14:schemeClr w14:val="tx1"/>
            </w14:solidFill>
          </w14:textFill>
        </w:rPr>
        <w:t>时 00 分将</w:t>
      </w:r>
      <w:r>
        <w:rPr>
          <w:rFonts w:hint="eastAsia" w:ascii="宋体" w:hAnsi="宋体" w:eastAsia="宋体" w:cs="Times New Roman"/>
          <w:color w:val="000000" w:themeColor="text1"/>
          <w:sz w:val="24"/>
          <w:highlight w:val="none"/>
          <w:lang w:val="en-US" w:eastAsia="zh-CN"/>
          <w14:textFill>
            <w14:solidFill>
              <w14:schemeClr w14:val="tx1"/>
            </w14:solidFill>
          </w14:textFill>
        </w:rPr>
        <w:t>响应</w:t>
      </w:r>
      <w:r>
        <w:rPr>
          <w:rFonts w:hint="eastAsia" w:ascii="宋体" w:hAnsi="宋体" w:eastAsia="宋体" w:cs="Times New Roman"/>
          <w:color w:val="000000" w:themeColor="text1"/>
          <w:sz w:val="24"/>
          <w:highlight w:val="none"/>
          <w14:textFill>
            <w14:solidFill>
              <w14:schemeClr w14:val="tx1"/>
            </w14:solidFill>
          </w14:textFill>
        </w:rPr>
        <w:t>文件递交至</w:t>
      </w:r>
      <w:r>
        <w:rPr>
          <w:rFonts w:hint="eastAsia" w:ascii="宋体" w:hAnsi="宋体" w:eastAsia="宋体" w:cs="Times New Roman"/>
          <w:color w:val="000000" w:themeColor="text1"/>
          <w:sz w:val="24"/>
          <w:highlight w:val="none"/>
          <w:u w:val="single"/>
          <w14:textFill>
            <w14:solidFill>
              <w14:schemeClr w14:val="tx1"/>
            </w14:solidFill>
          </w14:textFill>
        </w:rPr>
        <w:t>河北省沧州市黄骅市渤海新区馨民佳苑飞英搏击112室</w:t>
      </w:r>
      <w:r>
        <w:rPr>
          <w:rFonts w:hint="eastAsia" w:ascii="宋体" w:hAnsi="宋体" w:eastAsia="宋体" w:cs="Times New Roman"/>
          <w:color w:val="000000" w:themeColor="text1"/>
          <w:sz w:val="24"/>
          <w:highlight w:val="none"/>
          <w14:textFill>
            <w14:solidFill>
              <w14:schemeClr w14:val="tx1"/>
            </w14:solidFill>
          </w14:textFill>
        </w:rPr>
        <w:t>。</w:t>
      </w:r>
    </w:p>
    <w:p w14:paraId="462E76B8">
      <w:pPr>
        <w:spacing w:line="360" w:lineRule="auto"/>
        <w:ind w:firstLine="480" w:firstLineChars="200"/>
        <w:rPr>
          <w:rFonts w:hint="eastAsia" w:ascii="宋体" w:hAnsi="宋体" w:eastAsia="宋体" w:cs="Times New Roman"/>
          <w:color w:val="000000" w:themeColor="text1"/>
          <w:sz w:val="24"/>
          <w:highlight w:val="none"/>
          <w14:textFill>
            <w14:solidFill>
              <w14:schemeClr w14:val="tx1"/>
            </w14:solidFill>
          </w14:textFill>
        </w:rPr>
      </w:pPr>
      <w:r>
        <w:rPr>
          <w:rFonts w:hint="eastAsia" w:ascii="宋体" w:hAnsi="宋体" w:eastAsia="宋体" w:cs="Times New Roman"/>
          <w:color w:val="000000" w:themeColor="text1"/>
          <w:sz w:val="24"/>
          <w:highlight w:val="none"/>
          <w14:textFill>
            <w14:solidFill>
              <w14:schemeClr w14:val="tx1"/>
            </w14:solidFill>
          </w14:textFill>
        </w:rPr>
        <w:t>5</w:t>
      </w:r>
      <w:r>
        <w:rPr>
          <w:rFonts w:ascii="宋体" w:hAnsi="宋体" w:eastAsia="宋体" w:cs="Times New Roman"/>
          <w:color w:val="000000" w:themeColor="text1"/>
          <w:sz w:val="24"/>
          <w:highlight w:val="none"/>
          <w14:textFill>
            <w14:solidFill>
              <w14:schemeClr w14:val="tx1"/>
            </w14:solidFill>
          </w14:textFill>
        </w:rPr>
        <w:t xml:space="preserve">.2 </w:t>
      </w:r>
      <w:r>
        <w:rPr>
          <w:rFonts w:hint="eastAsia" w:ascii="宋体" w:hAnsi="宋体" w:eastAsia="宋体" w:cs="Times New Roman"/>
          <w:color w:val="000000" w:themeColor="text1"/>
          <w:sz w:val="24"/>
          <w:highlight w:val="none"/>
          <w14:textFill>
            <w14:solidFill>
              <w14:schemeClr w14:val="tx1"/>
            </w14:solidFill>
          </w14:textFill>
        </w:rPr>
        <w:t>逾期送达或者未送达指定地点的、未按采购文件要求密封、未按采购文件要求提交</w:t>
      </w:r>
      <w:r>
        <w:rPr>
          <w:rFonts w:hint="eastAsia" w:ascii="宋体" w:hAnsi="宋体" w:eastAsia="宋体" w:cs="Times New Roman"/>
          <w:color w:val="000000" w:themeColor="text1"/>
          <w:sz w:val="24"/>
          <w:highlight w:val="none"/>
          <w:lang w:val="en-US" w:eastAsia="zh-CN"/>
          <w14:textFill>
            <w14:solidFill>
              <w14:schemeClr w14:val="tx1"/>
            </w14:solidFill>
          </w14:textFill>
        </w:rPr>
        <w:t>响应</w:t>
      </w:r>
      <w:r>
        <w:rPr>
          <w:rFonts w:hint="eastAsia" w:ascii="宋体" w:hAnsi="宋体" w:eastAsia="宋体" w:cs="Times New Roman"/>
          <w:color w:val="000000" w:themeColor="text1"/>
          <w:sz w:val="24"/>
          <w:highlight w:val="none"/>
          <w14:textFill>
            <w14:solidFill>
              <w14:schemeClr w14:val="tx1"/>
            </w14:solidFill>
          </w14:textFill>
        </w:rPr>
        <w:t>担保的</w:t>
      </w:r>
      <w:r>
        <w:rPr>
          <w:rFonts w:hint="eastAsia" w:ascii="宋体" w:hAnsi="宋体" w:eastAsia="宋体" w:cs="Times New Roman"/>
          <w:color w:val="000000" w:themeColor="text1"/>
          <w:sz w:val="24"/>
          <w:highlight w:val="none"/>
          <w:lang w:val="en-US" w:eastAsia="zh-CN"/>
          <w14:textFill>
            <w14:solidFill>
              <w14:schemeClr w14:val="tx1"/>
            </w14:solidFill>
          </w14:textFill>
        </w:rPr>
        <w:t>响应</w:t>
      </w:r>
      <w:r>
        <w:rPr>
          <w:rFonts w:hint="eastAsia" w:ascii="宋体" w:hAnsi="宋体" w:eastAsia="宋体" w:cs="Times New Roman"/>
          <w:color w:val="000000" w:themeColor="text1"/>
          <w:sz w:val="24"/>
          <w:highlight w:val="none"/>
          <w14:textFill>
            <w14:solidFill>
              <w14:schemeClr w14:val="tx1"/>
            </w14:solidFill>
          </w14:textFill>
        </w:rPr>
        <w:t>文件，采购人不予受理。</w:t>
      </w:r>
    </w:p>
    <w:p w14:paraId="73718E1D">
      <w:pPr>
        <w:spacing w:line="360" w:lineRule="auto"/>
        <w:ind w:firstLine="480" w:firstLineChars="200"/>
        <w:rPr>
          <w:rFonts w:hint="eastAsia" w:ascii="宋体" w:hAnsi="宋体" w:eastAsia="宋体" w:cs="Times New Roman"/>
          <w:color w:val="000000" w:themeColor="text1"/>
          <w:sz w:val="24"/>
          <w:highlight w:val="none"/>
          <w14:textFill>
            <w14:solidFill>
              <w14:schemeClr w14:val="tx1"/>
            </w14:solidFill>
          </w14:textFill>
        </w:rPr>
      </w:pPr>
      <w:r>
        <w:rPr>
          <w:rFonts w:ascii="宋体" w:hAnsi="宋体" w:eastAsia="宋体" w:cs="Times New Roman"/>
          <w:color w:val="000000" w:themeColor="text1"/>
          <w:sz w:val="24"/>
          <w:highlight w:val="none"/>
          <w14:textFill>
            <w14:solidFill>
              <w14:schemeClr w14:val="tx1"/>
            </w14:solidFill>
          </w14:textFill>
        </w:rPr>
        <w:t>5</w:t>
      </w:r>
      <w:r>
        <w:rPr>
          <w:rFonts w:hint="eastAsia" w:ascii="宋体" w:hAnsi="宋体" w:eastAsia="宋体" w:cs="Times New Roman"/>
          <w:color w:val="000000" w:themeColor="text1"/>
          <w:sz w:val="24"/>
          <w:highlight w:val="none"/>
          <w14:textFill>
            <w14:solidFill>
              <w14:schemeClr w14:val="tx1"/>
            </w14:solidFill>
          </w14:textFill>
        </w:rPr>
        <w:t>.3 响应文件应符合采购文件所列其他要求。</w:t>
      </w:r>
    </w:p>
    <w:p w14:paraId="51E6EAFF">
      <w:pPr>
        <w:spacing w:line="360" w:lineRule="auto"/>
        <w:rPr>
          <w:rFonts w:hint="eastAsia" w:ascii="宋体" w:hAnsi="宋体" w:eastAsia="宋体" w:cs="Times New Roman"/>
          <w:b/>
          <w:color w:val="000000" w:themeColor="text1"/>
          <w:sz w:val="28"/>
          <w:szCs w:val="28"/>
          <w:highlight w:val="none"/>
          <w14:textFill>
            <w14:solidFill>
              <w14:schemeClr w14:val="tx1"/>
            </w14:solidFill>
          </w14:textFill>
        </w:rPr>
      </w:pPr>
      <w:bookmarkStart w:id="28" w:name="_Toc235071708"/>
      <w:bookmarkStart w:id="29" w:name="_Toc232836824"/>
      <w:bookmarkStart w:id="30" w:name="_Toc234932520"/>
      <w:bookmarkStart w:id="31" w:name="_Toc184704559"/>
      <w:r>
        <w:rPr>
          <w:rFonts w:hint="eastAsia" w:ascii="宋体" w:hAnsi="宋体" w:eastAsia="宋体" w:cs="Times New Roman"/>
          <w:b/>
          <w:color w:val="000000" w:themeColor="text1"/>
          <w:sz w:val="28"/>
          <w:szCs w:val="28"/>
          <w:highlight w:val="none"/>
          <w14:textFill>
            <w14:solidFill>
              <w14:schemeClr w14:val="tx1"/>
            </w14:solidFill>
          </w14:textFill>
        </w:rPr>
        <w:t>6. 发布公告的媒介</w:t>
      </w:r>
      <w:bookmarkEnd w:id="28"/>
      <w:bookmarkEnd w:id="29"/>
      <w:bookmarkEnd w:id="30"/>
      <w:bookmarkEnd w:id="31"/>
    </w:p>
    <w:p w14:paraId="29797899">
      <w:pPr>
        <w:spacing w:line="360" w:lineRule="auto"/>
        <w:ind w:firstLine="480" w:firstLineChars="200"/>
        <w:rPr>
          <w:rFonts w:hint="eastAsia" w:ascii="宋体" w:hAnsi="宋体" w:eastAsia="宋体" w:cs="Times New Roman"/>
          <w:color w:val="000000" w:themeColor="text1"/>
          <w:sz w:val="24"/>
          <w:highlight w:val="none"/>
          <w14:textFill>
            <w14:solidFill>
              <w14:schemeClr w14:val="tx1"/>
            </w14:solidFill>
          </w14:textFill>
        </w:rPr>
      </w:pPr>
      <w:r>
        <w:rPr>
          <w:rFonts w:hint="eastAsia" w:ascii="宋体" w:hAnsi="宋体" w:eastAsia="宋体" w:cs="Times New Roman"/>
          <w:color w:val="000000" w:themeColor="text1"/>
          <w:sz w:val="24"/>
          <w:highlight w:val="none"/>
          <w14:textFill>
            <w14:solidFill>
              <w14:schemeClr w14:val="tx1"/>
            </w14:solidFill>
          </w14:textFill>
        </w:rPr>
        <w:t>本次采购公告同时在</w:t>
      </w:r>
      <w:r>
        <w:rPr>
          <w:rFonts w:hint="eastAsia" w:ascii="宋体" w:hAnsi="宋体" w:eastAsia="宋体" w:cs="Times New Roman"/>
          <w:color w:val="000000" w:themeColor="text1"/>
          <w:sz w:val="24"/>
          <w:highlight w:val="none"/>
          <w:u w:val="single"/>
          <w14:textFill>
            <w14:solidFill>
              <w14:schemeClr w14:val="tx1"/>
            </w14:solidFill>
          </w14:textFill>
        </w:rPr>
        <w:t xml:space="preserve"> 中建路桥集团官方网站</w:t>
      </w:r>
      <w:r>
        <w:rPr>
          <w:rFonts w:hint="eastAsia" w:ascii="宋体" w:hAnsi="宋体" w:eastAsia="宋体" w:cs="Times New Roman"/>
          <w:color w:val="000000" w:themeColor="text1"/>
          <w:sz w:val="24"/>
          <w:highlight w:val="none"/>
          <w14:textFill>
            <w14:solidFill>
              <w14:schemeClr w14:val="tx1"/>
            </w14:solidFill>
          </w14:textFill>
        </w:rPr>
        <w:t>上发布。</w:t>
      </w:r>
    </w:p>
    <w:p w14:paraId="11D3DC7E">
      <w:pPr>
        <w:spacing w:line="360" w:lineRule="auto"/>
        <w:rPr>
          <w:rFonts w:hint="eastAsia" w:ascii="宋体" w:hAnsi="宋体" w:eastAsia="宋体" w:cs="Times New Roman"/>
          <w:b/>
          <w:color w:val="000000" w:themeColor="text1"/>
          <w:sz w:val="28"/>
          <w:szCs w:val="28"/>
          <w:highlight w:val="none"/>
          <w14:textFill>
            <w14:solidFill>
              <w14:schemeClr w14:val="tx1"/>
            </w14:solidFill>
          </w14:textFill>
        </w:rPr>
      </w:pPr>
      <w:r>
        <w:rPr>
          <w:rFonts w:hint="eastAsia" w:ascii="宋体" w:hAnsi="宋体" w:eastAsia="宋体" w:cs="Times New Roman"/>
          <w:b/>
          <w:color w:val="000000" w:themeColor="text1"/>
          <w:sz w:val="28"/>
          <w:szCs w:val="28"/>
          <w:highlight w:val="none"/>
          <w14:textFill>
            <w14:solidFill>
              <w14:schemeClr w14:val="tx1"/>
            </w14:solidFill>
          </w14:textFill>
        </w:rPr>
        <w:t>7. 联系方式</w:t>
      </w:r>
    </w:p>
    <w:p w14:paraId="63EEEA96">
      <w:pPr>
        <w:spacing w:line="360" w:lineRule="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采 购 人：</w:t>
      </w:r>
      <w:r>
        <w:rPr>
          <w:rFonts w:hint="eastAsia" w:ascii="宋体" w:hAnsi="宋体" w:eastAsia="宋体" w:cs="宋体"/>
          <w:color w:val="000000" w:themeColor="text1"/>
          <w:sz w:val="24"/>
          <w:highlight w:val="none"/>
          <w:u w:val="single"/>
          <w14:textFill>
            <w14:solidFill>
              <w14:schemeClr w14:val="tx1"/>
            </w14:solidFill>
          </w14:textFill>
        </w:rPr>
        <w:t xml:space="preserve"> 中建路桥集团</w:t>
      </w:r>
      <w:r>
        <w:rPr>
          <w:rFonts w:hint="eastAsia" w:ascii="宋体" w:hAnsi="宋体" w:eastAsia="宋体" w:cs="宋体"/>
          <w:color w:val="000000" w:themeColor="text1"/>
          <w:sz w:val="24"/>
          <w:highlight w:val="none"/>
          <w:u w:val="single"/>
          <w:lang w:val="en-US" w:eastAsia="zh-CN"/>
          <w14:textFill>
            <w14:solidFill>
              <w14:schemeClr w14:val="tx1"/>
            </w14:solidFill>
          </w14:textFill>
        </w:rPr>
        <w:t>第二工程</w:t>
      </w:r>
      <w:r>
        <w:rPr>
          <w:rFonts w:hint="eastAsia" w:ascii="宋体" w:hAnsi="宋体" w:eastAsia="宋体" w:cs="宋体"/>
          <w:color w:val="000000" w:themeColor="text1"/>
          <w:sz w:val="24"/>
          <w:highlight w:val="none"/>
          <w:u w:val="single"/>
          <w14:textFill>
            <w14:solidFill>
              <w14:schemeClr w14:val="tx1"/>
            </w14:solidFill>
          </w14:textFill>
        </w:rPr>
        <w:t xml:space="preserve">有限公司 </w:t>
      </w:r>
    </w:p>
    <w:p w14:paraId="0B3E19D9">
      <w:pPr>
        <w:spacing w:line="360" w:lineRule="auto"/>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邮    编：</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u w:val="single"/>
          <w:lang w:val="en-US" w:eastAsia="zh-CN"/>
          <w14:textFill>
            <w14:solidFill>
              <w14:schemeClr w14:val="tx1"/>
            </w14:solidFill>
          </w14:textFill>
        </w:rPr>
        <w:t>050090</w:t>
      </w:r>
      <w:r>
        <w:rPr>
          <w:rFonts w:hint="eastAsia" w:ascii="宋体" w:hAnsi="宋体" w:eastAsia="宋体" w:cs="宋体"/>
          <w:color w:val="000000" w:themeColor="text1"/>
          <w:sz w:val="24"/>
          <w:highlight w:val="none"/>
          <w:u w:val="single"/>
          <w14:textFill>
            <w14:solidFill>
              <w14:schemeClr w14:val="tx1"/>
            </w14:solidFill>
          </w14:textFill>
        </w:rPr>
        <w:t xml:space="preserve">         </w:t>
      </w:r>
    </w:p>
    <w:p w14:paraId="4AA66DAA">
      <w:pPr>
        <w:spacing w:line="360" w:lineRule="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地    址：</w:t>
      </w:r>
      <w:r>
        <w:rPr>
          <w:rFonts w:hint="eastAsia" w:ascii="宋体" w:hAnsi="宋体" w:eastAsia="宋体" w:cs="宋体"/>
          <w:color w:val="000000" w:themeColor="text1"/>
          <w:sz w:val="24"/>
          <w:highlight w:val="none"/>
          <w:u w:val="single"/>
          <w14:textFill>
            <w14:solidFill>
              <w14:schemeClr w14:val="tx1"/>
            </w14:solidFill>
          </w14:textFill>
        </w:rPr>
        <w:t xml:space="preserve"> 河北省石家庄市桥西区新石北路362号 </w:t>
      </w:r>
    </w:p>
    <w:p w14:paraId="166503F1">
      <w:pPr>
        <w:spacing w:line="360" w:lineRule="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电    话：</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u w:val="single"/>
          <w:lang w:val="en-US" w:eastAsia="zh-CN"/>
          <w14:textFill>
            <w14:solidFill>
              <w14:schemeClr w14:val="tx1"/>
            </w14:solidFill>
          </w14:textFill>
        </w:rPr>
        <w:t>13501301834</w:t>
      </w:r>
      <w:r>
        <w:rPr>
          <w:rFonts w:hint="eastAsia" w:ascii="宋体" w:hAnsi="宋体" w:eastAsia="宋体" w:cs="宋体"/>
          <w:color w:val="000000" w:themeColor="text1"/>
          <w:sz w:val="24"/>
          <w:highlight w:val="none"/>
          <w:u w:val="single"/>
          <w14:textFill>
            <w14:solidFill>
              <w14:schemeClr w14:val="tx1"/>
            </w14:solidFill>
          </w14:textFill>
        </w:rPr>
        <w:t xml:space="preserve">       </w:t>
      </w:r>
    </w:p>
    <w:p w14:paraId="0FBAFC34">
      <w:pPr>
        <w:spacing w:line="360" w:lineRule="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联 系 人：</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u w:val="single"/>
          <w:lang w:val="en-US" w:eastAsia="zh-CN"/>
          <w14:textFill>
            <w14:solidFill>
              <w14:schemeClr w14:val="tx1"/>
            </w14:solidFill>
          </w14:textFill>
        </w:rPr>
        <w:t>孙文特</w:t>
      </w:r>
      <w:r>
        <w:rPr>
          <w:rFonts w:hint="eastAsia" w:ascii="宋体" w:hAnsi="宋体" w:eastAsia="宋体" w:cs="宋体"/>
          <w:color w:val="000000" w:themeColor="text1"/>
          <w:sz w:val="24"/>
          <w:highlight w:val="none"/>
          <w:u w:val="single"/>
          <w14:textFill>
            <w14:solidFill>
              <w14:schemeClr w14:val="tx1"/>
            </w14:solidFill>
          </w14:textFill>
        </w:rPr>
        <w:t xml:space="preserve">        </w:t>
      </w:r>
    </w:p>
    <w:p w14:paraId="28F6A85C">
      <w:pPr>
        <w:rPr>
          <w:color w:val="000000" w:themeColor="text1"/>
          <w:highlight w:val="none"/>
          <w14:textFill>
            <w14:solidFill>
              <w14:schemeClr w14:val="tx1"/>
            </w14:solidFill>
          </w14:textFill>
        </w:rPr>
      </w:pPr>
      <w:r>
        <w:rPr>
          <w:rFonts w:hint="eastAsia" w:ascii="Times New Roman" w:hAnsi="Times New Roman" w:eastAsia="宋体" w:cs="Times New Roman"/>
          <w:b/>
          <w:color w:val="000000" w:themeColor="text1"/>
          <w:highlight w:val="none"/>
          <w14:textFill>
            <w14:solidFill>
              <w14:schemeClr w14:val="tx1"/>
            </w14:solidFill>
          </w14:textFill>
        </w:rPr>
        <w:t xml:space="preserve">                                                   </w:t>
      </w:r>
      <w:r>
        <w:rPr>
          <w:rFonts w:hint="eastAsia" w:ascii="Times New Roman" w:hAnsi="Times New Roman" w:eastAsia="宋体" w:cs="Times New Roman"/>
          <w:color w:val="000000" w:themeColor="text1"/>
          <w:highlight w:val="none"/>
          <w:u w:val="single"/>
          <w14:textFill>
            <w14:solidFill>
              <w14:schemeClr w14:val="tx1"/>
            </w14:solidFill>
          </w14:textFill>
        </w:rPr>
        <w:t xml:space="preserve">  </w:t>
      </w:r>
      <w:r>
        <w:rPr>
          <w:rFonts w:hint="eastAsia" w:ascii="Times New Roman" w:hAnsi="Times New Roman" w:eastAsia="宋体" w:cs="Times New Roman"/>
          <w:color w:val="000000" w:themeColor="text1"/>
          <w:highlight w:val="none"/>
          <w:u w:val="single"/>
          <w:lang w:val="en-US" w:eastAsia="zh-CN"/>
          <w14:textFill>
            <w14:solidFill>
              <w14:schemeClr w14:val="tx1"/>
            </w14:solidFill>
          </w14:textFill>
        </w:rPr>
        <w:t>2026</w:t>
      </w:r>
      <w:r>
        <w:rPr>
          <w:rFonts w:hint="eastAsia" w:ascii="Times New Roman" w:hAnsi="Times New Roman" w:eastAsia="宋体" w:cs="Times New Roman"/>
          <w:color w:val="000000" w:themeColor="text1"/>
          <w:highlight w:val="none"/>
          <w:u w:val="single"/>
          <w14:textFill>
            <w14:solidFill>
              <w14:schemeClr w14:val="tx1"/>
            </w14:solidFill>
          </w14:textFill>
        </w:rPr>
        <w:t xml:space="preserve"> </w:t>
      </w:r>
      <w:r>
        <w:rPr>
          <w:rFonts w:hint="eastAsia" w:ascii="Times New Roman" w:hAnsi="Times New Roman" w:eastAsia="宋体" w:cs="Times New Roman"/>
          <w:color w:val="000000" w:themeColor="text1"/>
          <w:highlight w:val="none"/>
          <w14:textFill>
            <w14:solidFill>
              <w14:schemeClr w14:val="tx1"/>
            </w14:solidFill>
          </w14:textFill>
        </w:rPr>
        <w:t xml:space="preserve"> 年</w:t>
      </w:r>
      <w:r>
        <w:rPr>
          <w:rFonts w:hint="eastAsia" w:ascii="Times New Roman" w:hAnsi="Times New Roman" w:eastAsia="宋体" w:cs="Times New Roman"/>
          <w:color w:val="000000" w:themeColor="text1"/>
          <w:highlight w:val="none"/>
          <w:u w:val="single"/>
          <w14:textFill>
            <w14:solidFill>
              <w14:schemeClr w14:val="tx1"/>
            </w14:solidFill>
          </w14:textFill>
        </w:rPr>
        <w:t xml:space="preserve">  </w:t>
      </w:r>
      <w:r>
        <w:rPr>
          <w:rFonts w:hint="eastAsia" w:ascii="Times New Roman" w:hAnsi="Times New Roman" w:eastAsia="宋体" w:cs="Times New Roman"/>
          <w:color w:val="000000" w:themeColor="text1"/>
          <w:highlight w:val="none"/>
          <w:u w:val="single"/>
          <w:lang w:val="en-US" w:eastAsia="zh-CN"/>
          <w14:textFill>
            <w14:solidFill>
              <w14:schemeClr w14:val="tx1"/>
            </w14:solidFill>
          </w14:textFill>
        </w:rPr>
        <w:t>09</w:t>
      </w:r>
      <w:r>
        <w:rPr>
          <w:rFonts w:hint="eastAsia" w:ascii="Times New Roman" w:hAnsi="Times New Roman" w:eastAsia="宋体" w:cs="Times New Roman"/>
          <w:color w:val="000000" w:themeColor="text1"/>
          <w:highlight w:val="none"/>
          <w:u w:val="single"/>
          <w14:textFill>
            <w14:solidFill>
              <w14:schemeClr w14:val="tx1"/>
            </w14:solidFill>
          </w14:textFill>
        </w:rPr>
        <w:t xml:space="preserve"> </w:t>
      </w:r>
      <w:r>
        <w:rPr>
          <w:rFonts w:hint="eastAsia" w:ascii="Times New Roman" w:hAnsi="Times New Roman" w:eastAsia="宋体" w:cs="Times New Roman"/>
          <w:color w:val="000000" w:themeColor="text1"/>
          <w:highlight w:val="none"/>
          <w14:textFill>
            <w14:solidFill>
              <w14:schemeClr w14:val="tx1"/>
            </w14:solidFill>
          </w14:textFill>
        </w:rPr>
        <w:t>月</w:t>
      </w:r>
      <w:r>
        <w:rPr>
          <w:rFonts w:hint="eastAsia" w:ascii="Times New Roman" w:hAnsi="Times New Roman" w:eastAsia="宋体" w:cs="Times New Roman"/>
          <w:color w:val="000000" w:themeColor="text1"/>
          <w:highlight w:val="none"/>
          <w:u w:val="single"/>
          <w14:textFill>
            <w14:solidFill>
              <w14:schemeClr w14:val="tx1"/>
            </w14:solidFill>
          </w14:textFill>
        </w:rPr>
        <w:t xml:space="preserve">  </w:t>
      </w:r>
      <w:r>
        <w:rPr>
          <w:rFonts w:hint="eastAsia" w:ascii="Times New Roman" w:hAnsi="Times New Roman" w:eastAsia="宋体" w:cs="Times New Roman"/>
          <w:color w:val="000000" w:themeColor="text1"/>
          <w:highlight w:val="none"/>
          <w:u w:val="single"/>
          <w:lang w:val="en-US" w:eastAsia="zh-CN"/>
          <w14:textFill>
            <w14:solidFill>
              <w14:schemeClr w14:val="tx1"/>
            </w14:solidFill>
          </w14:textFill>
        </w:rPr>
        <w:t>05</w:t>
      </w:r>
      <w:r>
        <w:rPr>
          <w:rFonts w:hint="eastAsia" w:ascii="Times New Roman" w:hAnsi="Times New Roman" w:eastAsia="宋体" w:cs="Times New Roman"/>
          <w:color w:val="000000" w:themeColor="text1"/>
          <w:highlight w:val="none"/>
          <w:u w:val="single"/>
          <w14:textFill>
            <w14:solidFill>
              <w14:schemeClr w14:val="tx1"/>
            </w14:solidFill>
          </w14:textFill>
        </w:rPr>
        <w:t xml:space="preserve"> </w:t>
      </w:r>
      <w:r>
        <w:rPr>
          <w:rFonts w:hint="eastAsia" w:ascii="Times New Roman" w:hAnsi="Times New Roman" w:eastAsia="宋体" w:cs="Times New Roman"/>
          <w:color w:val="000000" w:themeColor="text1"/>
          <w:highlight w:val="none"/>
          <w14:textFill>
            <w14:solidFill>
              <w14:schemeClr w14:val="tx1"/>
            </w14:solidFill>
          </w14:textFill>
        </w:rPr>
        <w:t>日</w:t>
      </w:r>
    </w:p>
    <w:p w14:paraId="52A2CFA4">
      <w:pPr>
        <w:pStyle w:val="2"/>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第</w:t>
      </w:r>
      <w:r>
        <w:rPr>
          <w:rFonts w:hint="eastAsia"/>
          <w:color w:val="000000" w:themeColor="text1"/>
          <w:highlight w:val="none"/>
          <w14:textFill>
            <w14:solidFill>
              <w14:schemeClr w14:val="tx1"/>
            </w14:solidFill>
          </w14:textFill>
        </w:rPr>
        <w:t>二</w:t>
      </w:r>
      <w:r>
        <w:rPr>
          <w:color w:val="000000" w:themeColor="text1"/>
          <w:highlight w:val="none"/>
          <w14:textFill>
            <w14:solidFill>
              <w14:schemeClr w14:val="tx1"/>
            </w14:solidFill>
          </w14:textFill>
        </w:rPr>
        <w:t xml:space="preserve">篇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Pr>
          <w:color w:val="000000" w:themeColor="text1"/>
          <w:highlight w:val="none"/>
          <w14:textFill>
            <w14:solidFill>
              <w14:schemeClr w14:val="tx1"/>
            </w14:solidFill>
          </w14:textFill>
        </w:rPr>
        <w:t>响应单位须知</w:t>
      </w:r>
    </w:p>
    <w:p w14:paraId="782FAB16">
      <w:pPr>
        <w:pStyle w:val="3"/>
        <w:tabs>
          <w:tab w:val="center" w:pos="4513"/>
          <w:tab w:val="left" w:pos="6930"/>
        </w:tabs>
        <w:spacing w:before="240" w:beforeLines="100" w:after="0" w:line="360" w:lineRule="auto"/>
        <w:jc w:val="center"/>
        <w:rPr>
          <w:rFonts w:ascii="Times New Roman" w:hAnsi="Times New Roman" w:eastAsia="宋体"/>
          <w:bCs w:val="0"/>
          <w:color w:val="000000" w:themeColor="text1"/>
          <w:sz w:val="28"/>
          <w:szCs w:val="28"/>
          <w:highlight w:val="none"/>
          <w14:textFill>
            <w14:solidFill>
              <w14:schemeClr w14:val="tx1"/>
            </w14:solidFill>
          </w14:textFill>
        </w:rPr>
      </w:pPr>
      <w:bookmarkStart w:id="32" w:name="_Toc145499728"/>
      <w:bookmarkStart w:id="33" w:name="_Toc284135587"/>
      <w:r>
        <w:rPr>
          <w:rStyle w:val="46"/>
          <w:rFonts w:ascii="Times New Roman" w:hAnsi="宋体" w:eastAsia="宋体"/>
          <w:b/>
          <w:bCs w:val="0"/>
          <w:color w:val="000000" w:themeColor="text1"/>
          <w:sz w:val="28"/>
          <w:szCs w:val="28"/>
          <w:highlight w:val="none"/>
          <w14:textFill>
            <w14:solidFill>
              <w14:schemeClr w14:val="tx1"/>
            </w14:solidFill>
          </w14:textFill>
        </w:rPr>
        <w:t>响应单位须知前附表</w:t>
      </w:r>
      <w:bookmarkEnd w:id="32"/>
      <w:bookmarkEnd w:id="33"/>
    </w:p>
    <w:tbl>
      <w:tblPr>
        <w:tblStyle w:val="31"/>
        <w:tblW w:w="858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98"/>
        <w:gridCol w:w="1308"/>
        <w:gridCol w:w="6478"/>
      </w:tblGrid>
      <w:tr w14:paraId="2CA7BC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53" w:hRule="atLeast"/>
          <w:tblHeader/>
          <w:jc w:val="center"/>
        </w:trPr>
        <w:tc>
          <w:tcPr>
            <w:tcW w:w="798" w:type="dxa"/>
            <w:vAlign w:val="center"/>
          </w:tcPr>
          <w:p w14:paraId="13FAA82B">
            <w:pPr>
              <w:ind w:left="-105" w:leftChars="-50" w:right="-105" w:rightChars="-50"/>
              <w:jc w:val="center"/>
              <w:rPr>
                <w:b/>
                <w:color w:val="000000" w:themeColor="text1"/>
                <w:szCs w:val="21"/>
                <w:highlight w:val="none"/>
                <w14:textFill>
                  <w14:solidFill>
                    <w14:schemeClr w14:val="tx1"/>
                  </w14:solidFill>
                </w14:textFill>
              </w:rPr>
            </w:pPr>
            <w:r>
              <w:rPr>
                <w:rFonts w:hAnsi="宋体"/>
                <w:b/>
                <w:color w:val="000000" w:themeColor="text1"/>
                <w:szCs w:val="21"/>
                <w:highlight w:val="none"/>
                <w14:textFill>
                  <w14:solidFill>
                    <w14:schemeClr w14:val="tx1"/>
                  </w14:solidFill>
                </w14:textFill>
              </w:rPr>
              <w:t>项号</w:t>
            </w:r>
          </w:p>
        </w:tc>
        <w:tc>
          <w:tcPr>
            <w:tcW w:w="1308" w:type="dxa"/>
            <w:vAlign w:val="center"/>
          </w:tcPr>
          <w:p w14:paraId="32BDE719">
            <w:pPr>
              <w:ind w:left="-42" w:leftChars="-20" w:right="-42" w:rightChars="-20"/>
              <w:jc w:val="center"/>
              <w:rPr>
                <w:b/>
                <w:color w:val="000000" w:themeColor="text1"/>
                <w:szCs w:val="21"/>
                <w:highlight w:val="none"/>
                <w14:textFill>
                  <w14:solidFill>
                    <w14:schemeClr w14:val="tx1"/>
                  </w14:solidFill>
                </w14:textFill>
              </w:rPr>
            </w:pPr>
            <w:r>
              <w:rPr>
                <w:rFonts w:hAnsi="宋体"/>
                <w:b/>
                <w:color w:val="000000" w:themeColor="text1"/>
                <w:szCs w:val="21"/>
                <w:highlight w:val="none"/>
                <w14:textFill>
                  <w14:solidFill>
                    <w14:schemeClr w14:val="tx1"/>
                  </w14:solidFill>
                </w14:textFill>
              </w:rPr>
              <w:t>内容</w:t>
            </w:r>
          </w:p>
        </w:tc>
        <w:tc>
          <w:tcPr>
            <w:tcW w:w="6478" w:type="dxa"/>
            <w:vAlign w:val="center"/>
          </w:tcPr>
          <w:p w14:paraId="2E3B7418">
            <w:pPr>
              <w:jc w:val="center"/>
              <w:rPr>
                <w:b/>
                <w:color w:val="000000" w:themeColor="text1"/>
                <w:szCs w:val="21"/>
                <w:highlight w:val="none"/>
                <w14:textFill>
                  <w14:solidFill>
                    <w14:schemeClr w14:val="tx1"/>
                  </w14:solidFill>
                </w14:textFill>
              </w:rPr>
            </w:pPr>
            <w:r>
              <w:rPr>
                <w:rFonts w:hAnsi="宋体"/>
                <w:b/>
                <w:color w:val="000000" w:themeColor="text1"/>
                <w:szCs w:val="21"/>
                <w:highlight w:val="none"/>
                <w14:textFill>
                  <w14:solidFill>
                    <w14:schemeClr w14:val="tx1"/>
                  </w14:solidFill>
                </w14:textFill>
              </w:rPr>
              <w:t>说明与要求</w:t>
            </w:r>
          </w:p>
        </w:tc>
      </w:tr>
      <w:tr w14:paraId="445C43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798" w:type="dxa"/>
            <w:vAlign w:val="center"/>
          </w:tcPr>
          <w:p w14:paraId="20E82488">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w:t>
            </w:r>
          </w:p>
        </w:tc>
        <w:tc>
          <w:tcPr>
            <w:tcW w:w="1308" w:type="dxa"/>
            <w:vAlign w:val="center"/>
          </w:tcPr>
          <w:p w14:paraId="17F85683">
            <w:pPr>
              <w:ind w:right="-42" w:rightChars="-20"/>
              <w:jc w:val="center"/>
              <w:rPr>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名</w:t>
            </w:r>
            <w:r>
              <w:rPr>
                <w:bCs/>
                <w:color w:val="000000" w:themeColor="text1"/>
                <w:szCs w:val="21"/>
                <w:highlight w:val="none"/>
                <w14:textFill>
                  <w14:solidFill>
                    <w14:schemeClr w14:val="tx1"/>
                  </w14:solidFill>
                </w14:textFill>
              </w:rPr>
              <w:t xml:space="preserve">  </w:t>
            </w:r>
            <w:r>
              <w:rPr>
                <w:rFonts w:hAnsi="宋体"/>
                <w:bCs/>
                <w:color w:val="000000" w:themeColor="text1"/>
                <w:szCs w:val="21"/>
                <w:highlight w:val="none"/>
                <w14:textFill>
                  <w14:solidFill>
                    <w14:schemeClr w14:val="tx1"/>
                  </w14:solidFill>
                </w14:textFill>
              </w:rPr>
              <w:t>称</w:t>
            </w:r>
          </w:p>
        </w:tc>
        <w:tc>
          <w:tcPr>
            <w:tcW w:w="6478" w:type="dxa"/>
            <w:vAlign w:val="center"/>
          </w:tcPr>
          <w:p w14:paraId="514099DF">
            <w:pPr>
              <w:rPr>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项目名称：</w:t>
            </w:r>
            <w:r>
              <w:rPr>
                <w:rFonts w:hint="eastAsia" w:hAnsi="宋体"/>
                <w:bCs/>
                <w:color w:val="000000" w:themeColor="text1"/>
                <w:szCs w:val="21"/>
                <w:highlight w:val="none"/>
                <w:lang w:eastAsia="zh-CN"/>
                <w14:textFill>
                  <w14:solidFill>
                    <w14:schemeClr w14:val="tx1"/>
                  </w14:solidFill>
                </w14:textFill>
              </w:rPr>
              <w:t>海兴高速项目</w:t>
            </w:r>
          </w:p>
          <w:p w14:paraId="72C5D5EA">
            <w:pPr>
              <w:rPr>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采购</w:t>
            </w:r>
            <w:r>
              <w:rPr>
                <w:rFonts w:hint="eastAsia" w:hAnsi="宋体"/>
                <w:bCs/>
                <w:color w:val="000000" w:themeColor="text1"/>
                <w:szCs w:val="21"/>
                <w:highlight w:val="none"/>
                <w14:textFill>
                  <w14:solidFill>
                    <w14:schemeClr w14:val="tx1"/>
                  </w14:solidFill>
                </w14:textFill>
              </w:rPr>
              <w:t>分包</w:t>
            </w:r>
            <w:r>
              <w:rPr>
                <w:rFonts w:hAnsi="宋体"/>
                <w:bCs/>
                <w:color w:val="000000" w:themeColor="text1"/>
                <w:szCs w:val="21"/>
                <w:highlight w:val="none"/>
                <w14:textFill>
                  <w14:solidFill>
                    <w14:schemeClr w14:val="tx1"/>
                  </w14:solidFill>
                </w14:textFill>
              </w:rPr>
              <w:t>工程名称：</w:t>
            </w:r>
            <w:r>
              <w:rPr>
                <w:rFonts w:hint="eastAsia" w:hAnsi="宋体"/>
                <w:bCs/>
                <w:color w:val="000000" w:themeColor="text1"/>
                <w:szCs w:val="21"/>
                <w:highlight w:val="none"/>
                <w14:textFill>
                  <w14:solidFill>
                    <w14:schemeClr w14:val="tx1"/>
                  </w14:solidFill>
                </w14:textFill>
              </w:rPr>
              <w:t>海兴盐场特大桥便道维修、挡捻土工布施工</w:t>
            </w:r>
          </w:p>
        </w:tc>
      </w:tr>
      <w:tr w14:paraId="052530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696" w:hRule="atLeast"/>
          <w:jc w:val="center"/>
        </w:trPr>
        <w:tc>
          <w:tcPr>
            <w:tcW w:w="798" w:type="dxa"/>
            <w:vAlign w:val="center"/>
          </w:tcPr>
          <w:p w14:paraId="4FAD3011">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w:t>
            </w:r>
          </w:p>
        </w:tc>
        <w:tc>
          <w:tcPr>
            <w:tcW w:w="1308" w:type="dxa"/>
            <w:vAlign w:val="center"/>
          </w:tcPr>
          <w:p w14:paraId="55E00D64">
            <w:pPr>
              <w:ind w:left="-42" w:leftChars="-20" w:right="-42" w:rightChars="-20"/>
              <w:jc w:val="center"/>
              <w:rPr>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采购人</w:t>
            </w:r>
          </w:p>
        </w:tc>
        <w:tc>
          <w:tcPr>
            <w:tcW w:w="6478" w:type="dxa"/>
            <w:vAlign w:val="center"/>
          </w:tcPr>
          <w:p w14:paraId="53554137">
            <w:pPr>
              <w:rPr>
                <w:rFonts w:hint="default" w:hAnsi="宋体" w:eastAsia="宋体"/>
                <w:bCs/>
                <w:color w:val="000000" w:themeColor="text1"/>
                <w:szCs w:val="21"/>
                <w:highlight w:val="none"/>
                <w:lang w:val="en-US" w:eastAsia="zh-CN"/>
                <w14:textFill>
                  <w14:solidFill>
                    <w14:schemeClr w14:val="tx1"/>
                  </w14:solidFill>
                </w14:textFill>
              </w:rPr>
            </w:pPr>
            <w:r>
              <w:rPr>
                <w:rFonts w:hAnsi="宋体"/>
                <w:bCs/>
                <w:color w:val="000000" w:themeColor="text1"/>
                <w:szCs w:val="21"/>
                <w:highlight w:val="none"/>
                <w14:textFill>
                  <w14:solidFill>
                    <w14:schemeClr w14:val="tx1"/>
                  </w14:solidFill>
                </w14:textFill>
              </w:rPr>
              <w:t>名称：</w:t>
            </w:r>
            <w:r>
              <w:rPr>
                <w:rFonts w:hint="eastAsia" w:hAnsi="宋体"/>
                <w:bCs/>
                <w:color w:val="000000" w:themeColor="text1"/>
                <w:szCs w:val="21"/>
                <w:highlight w:val="none"/>
                <w:lang w:val="en-US" w:eastAsia="zh-CN"/>
                <w14:textFill>
                  <w14:solidFill>
                    <w14:schemeClr w14:val="tx1"/>
                  </w14:solidFill>
                </w14:textFill>
              </w:rPr>
              <w:t>中建路桥集团第二工程有限公司</w:t>
            </w:r>
          </w:p>
          <w:p w14:paraId="20595593">
            <w:pPr>
              <w:rPr>
                <w:rFonts w:hint="default" w:ascii="Arial" w:hAnsi="Arial" w:eastAsia="宋体" w:cs="Arial"/>
                <w:color w:val="000000" w:themeColor="text1"/>
                <w:szCs w:val="21"/>
                <w:highlight w:val="none"/>
                <w:lang w:val="en-US" w:eastAsia="zh-CN"/>
                <w14:textFill>
                  <w14:solidFill>
                    <w14:schemeClr w14:val="tx1"/>
                  </w14:solidFill>
                </w14:textFill>
              </w:rPr>
            </w:pPr>
            <w:r>
              <w:rPr>
                <w:rFonts w:hAnsi="宋体"/>
                <w:bCs/>
                <w:color w:val="000000" w:themeColor="text1"/>
                <w:szCs w:val="21"/>
                <w:highlight w:val="none"/>
                <w14:textFill>
                  <w14:solidFill>
                    <w14:schemeClr w14:val="tx1"/>
                  </w14:solidFill>
                </w14:textFill>
              </w:rPr>
              <w:t>地址：</w:t>
            </w:r>
            <w:r>
              <w:rPr>
                <w:rFonts w:hint="eastAsia" w:hAnsi="宋体"/>
                <w:bCs/>
                <w:color w:val="000000" w:themeColor="text1"/>
                <w:szCs w:val="21"/>
                <w:highlight w:val="none"/>
                <w:lang w:val="en-US" w:eastAsia="zh-CN"/>
                <w14:textFill>
                  <w14:solidFill>
                    <w14:schemeClr w14:val="tx1"/>
                  </w14:solidFill>
                </w14:textFill>
              </w:rPr>
              <w:t>河北省、石家庄市</w:t>
            </w:r>
          </w:p>
          <w:p w14:paraId="2C965784">
            <w:pPr>
              <w:rPr>
                <w:rFonts w:hint="default" w:eastAsia="宋体"/>
                <w:bCs/>
                <w:color w:val="000000" w:themeColor="text1"/>
                <w:szCs w:val="21"/>
                <w:highlight w:val="none"/>
                <w:lang w:val="en-US" w:eastAsia="zh-CN"/>
                <w14:textFill>
                  <w14:solidFill>
                    <w14:schemeClr w14:val="tx1"/>
                  </w14:solidFill>
                </w14:textFill>
              </w:rPr>
            </w:pPr>
            <w:r>
              <w:rPr>
                <w:rFonts w:hAnsi="宋体"/>
                <w:bCs/>
                <w:color w:val="000000" w:themeColor="text1"/>
                <w:szCs w:val="21"/>
                <w:highlight w:val="none"/>
                <w14:textFill>
                  <w14:solidFill>
                    <w14:schemeClr w14:val="tx1"/>
                  </w14:solidFill>
                </w14:textFill>
              </w:rPr>
              <w:t>邮编：</w:t>
            </w:r>
            <w:r>
              <w:rPr>
                <w:rFonts w:hint="eastAsia" w:hAnsi="宋体"/>
                <w:bCs/>
                <w:color w:val="000000" w:themeColor="text1"/>
                <w:szCs w:val="21"/>
                <w:highlight w:val="none"/>
                <w:lang w:val="en-US" w:eastAsia="zh-CN"/>
                <w14:textFill>
                  <w14:solidFill>
                    <w14:schemeClr w14:val="tx1"/>
                  </w14:solidFill>
                </w14:textFill>
              </w:rPr>
              <w:t>050090</w:t>
            </w:r>
          </w:p>
          <w:p w14:paraId="5E99AA20">
            <w:pPr>
              <w:rPr>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电话：</w:t>
            </w:r>
            <w:r>
              <w:rPr>
                <w:rFonts w:hint="eastAsia" w:hAnsi="宋体"/>
                <w:bCs/>
                <w:color w:val="000000" w:themeColor="text1"/>
                <w:szCs w:val="21"/>
                <w:highlight w:val="none"/>
                <w14:textFill>
                  <w14:solidFill>
                    <w14:schemeClr w14:val="tx1"/>
                  </w14:solidFill>
                </w14:textFill>
              </w:rPr>
              <w:t>13501301834</w:t>
            </w:r>
            <w:r>
              <w:rPr>
                <w:rFonts w:hint="eastAsia"/>
                <w:bCs/>
                <w:color w:val="000000" w:themeColor="text1"/>
                <w:szCs w:val="21"/>
                <w:highlight w:val="none"/>
                <w14:textFill>
                  <w14:solidFill>
                    <w14:schemeClr w14:val="tx1"/>
                  </w14:solidFill>
                </w14:textFill>
              </w:rPr>
              <w:t xml:space="preserve">              </w:t>
            </w:r>
            <w:r>
              <w:rPr>
                <w:bCs/>
                <w:color w:val="000000" w:themeColor="text1"/>
                <w:szCs w:val="21"/>
                <w:highlight w:val="none"/>
                <w14:textFill>
                  <w14:solidFill>
                    <w14:schemeClr w14:val="tx1"/>
                  </w14:solidFill>
                </w14:textFill>
              </w:rPr>
              <w:t xml:space="preserve">  </w:t>
            </w:r>
            <w:r>
              <w:rPr>
                <w:rFonts w:hAnsi="宋体"/>
                <w:bCs/>
                <w:color w:val="000000" w:themeColor="text1"/>
                <w:szCs w:val="21"/>
                <w:highlight w:val="none"/>
                <w14:textFill>
                  <w14:solidFill>
                    <w14:schemeClr w14:val="tx1"/>
                  </w14:solidFill>
                </w14:textFill>
              </w:rPr>
              <w:t>联系人：</w:t>
            </w:r>
            <w:r>
              <w:rPr>
                <w:rFonts w:hint="eastAsia" w:hAnsi="宋体"/>
                <w:bCs/>
                <w:color w:val="000000" w:themeColor="text1"/>
                <w:szCs w:val="21"/>
                <w:highlight w:val="none"/>
                <w:lang w:val="en-US" w:eastAsia="zh-CN"/>
                <w14:textFill>
                  <w14:solidFill>
                    <w14:schemeClr w14:val="tx1"/>
                  </w14:solidFill>
                </w14:textFill>
              </w:rPr>
              <w:t>孙文特</w:t>
            </w:r>
          </w:p>
        </w:tc>
      </w:tr>
      <w:tr w14:paraId="0DA4D9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290" w:hRule="atLeast"/>
          <w:jc w:val="center"/>
        </w:trPr>
        <w:tc>
          <w:tcPr>
            <w:tcW w:w="798" w:type="dxa"/>
            <w:vAlign w:val="center"/>
          </w:tcPr>
          <w:p w14:paraId="7CF259AE">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w:t>
            </w:r>
          </w:p>
        </w:tc>
        <w:tc>
          <w:tcPr>
            <w:tcW w:w="1308" w:type="dxa"/>
            <w:vAlign w:val="center"/>
          </w:tcPr>
          <w:p w14:paraId="6738025C">
            <w:pPr>
              <w:ind w:left="-42" w:leftChars="-20" w:right="-42" w:rightChars="-20"/>
              <w:jc w:val="center"/>
              <w:rPr>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现场</w:t>
            </w:r>
            <w:r>
              <w:rPr>
                <w:rFonts w:hint="eastAsia" w:hAnsi="宋体"/>
                <w:bCs/>
                <w:color w:val="000000" w:themeColor="text1"/>
                <w:szCs w:val="21"/>
                <w:highlight w:val="none"/>
                <w14:textFill>
                  <w14:solidFill>
                    <w14:schemeClr w14:val="tx1"/>
                  </w14:solidFill>
                </w14:textFill>
              </w:rPr>
              <w:t>踏勘</w:t>
            </w:r>
          </w:p>
        </w:tc>
        <w:tc>
          <w:tcPr>
            <w:tcW w:w="6478" w:type="dxa"/>
            <w:vAlign w:val="center"/>
          </w:tcPr>
          <w:p w14:paraId="74AB5F18">
            <w:pPr>
              <w:rPr>
                <w:rFonts w:hint="eastAsia" w:hAnsi="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lang w:eastAsia="zh-CN"/>
                <w14:textFill>
                  <w14:solidFill>
                    <w14:schemeClr w14:val="tx1"/>
                  </w14:solidFill>
                </w14:textFill>
              </w:rPr>
              <w:t>☑</w:t>
            </w:r>
            <w:r>
              <w:rPr>
                <w:rFonts w:hint="eastAsia" w:hAnsi="宋体"/>
                <w:bCs/>
                <w:color w:val="000000" w:themeColor="text1"/>
                <w:szCs w:val="21"/>
                <w:highlight w:val="none"/>
                <w14:textFill>
                  <w14:solidFill>
                    <w14:schemeClr w14:val="tx1"/>
                  </w14:solidFill>
                </w14:textFill>
              </w:rPr>
              <w:t>不组织，各</w:t>
            </w:r>
            <w:r>
              <w:rPr>
                <w:rFonts w:hint="eastAsia" w:hAnsi="宋体"/>
                <w:bCs/>
                <w:color w:val="000000" w:themeColor="text1"/>
                <w:szCs w:val="21"/>
                <w:highlight w:val="none"/>
                <w:lang w:val="en-US" w:eastAsia="zh-CN"/>
                <w14:textFill>
                  <w14:solidFill>
                    <w14:schemeClr w14:val="tx1"/>
                  </w14:solidFill>
                </w14:textFill>
              </w:rPr>
              <w:t>响应单位</w:t>
            </w:r>
            <w:r>
              <w:rPr>
                <w:rFonts w:hint="eastAsia" w:hAnsi="宋体"/>
                <w:bCs/>
                <w:color w:val="000000" w:themeColor="text1"/>
                <w:szCs w:val="21"/>
                <w:highlight w:val="none"/>
                <w14:textFill>
                  <w14:solidFill>
                    <w14:schemeClr w14:val="tx1"/>
                  </w14:solidFill>
                </w14:textFill>
              </w:rPr>
              <w:t>可自行前往。</w:t>
            </w:r>
          </w:p>
          <w:p w14:paraId="32B9F3CA">
            <w:pPr>
              <w:rPr>
                <w:rFonts w:hint="eastAsia"/>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□组织，</w:t>
            </w:r>
            <w:r>
              <w:rPr>
                <w:rFonts w:hint="eastAsia" w:hAnsi="宋体"/>
                <w:bCs/>
                <w:color w:val="000000" w:themeColor="text1"/>
                <w:szCs w:val="21"/>
                <w:highlight w:val="none"/>
                <w14:textFill>
                  <w14:solidFill>
                    <w14:schemeClr w14:val="tx1"/>
                  </w14:solidFill>
                </w14:textFill>
              </w:rPr>
              <w:t>勘察</w:t>
            </w:r>
            <w:r>
              <w:rPr>
                <w:rFonts w:hAnsi="宋体"/>
                <w:bCs/>
                <w:color w:val="000000" w:themeColor="text1"/>
                <w:szCs w:val="21"/>
                <w:highlight w:val="none"/>
                <w14:textFill>
                  <w14:solidFill>
                    <w14:schemeClr w14:val="tx1"/>
                  </w14:solidFill>
                </w14:textFill>
              </w:rPr>
              <w:t>时间：</w:t>
            </w:r>
            <w:r>
              <w:rPr>
                <w:rFonts w:hint="eastAsia" w:hAnsi="宋体"/>
                <w:bCs/>
                <w:color w:val="000000" w:themeColor="text1"/>
                <w:szCs w:val="21"/>
                <w:highlight w:val="none"/>
                <w14:textFill>
                  <w14:solidFill>
                    <w14:schemeClr w14:val="tx1"/>
                  </w14:solidFill>
                </w14:textFill>
              </w:rPr>
              <w:t xml:space="preserve">  </w:t>
            </w:r>
            <w:r>
              <w:rPr>
                <w:rFonts w:hAnsi="宋体"/>
                <w:bCs/>
                <w:color w:val="000000" w:themeColor="text1"/>
                <w:szCs w:val="21"/>
                <w:highlight w:val="none"/>
                <w14:textFill>
                  <w14:solidFill>
                    <w14:schemeClr w14:val="tx1"/>
                  </w14:solidFill>
                </w14:textFill>
              </w:rPr>
              <w:t>年</w:t>
            </w:r>
            <w:r>
              <w:rPr>
                <w:rFonts w:hint="eastAsia" w:hAnsi="宋体"/>
                <w:bCs/>
                <w:color w:val="000000" w:themeColor="text1"/>
                <w:szCs w:val="21"/>
                <w:highlight w:val="none"/>
                <w14:textFill>
                  <w14:solidFill>
                    <w14:schemeClr w14:val="tx1"/>
                  </w14:solidFill>
                </w14:textFill>
              </w:rPr>
              <w:t xml:space="preserve">  </w:t>
            </w:r>
            <w:r>
              <w:rPr>
                <w:rFonts w:hAnsi="宋体"/>
                <w:bCs/>
                <w:color w:val="000000" w:themeColor="text1"/>
                <w:szCs w:val="21"/>
                <w:highlight w:val="none"/>
                <w14:textFill>
                  <w14:solidFill>
                    <w14:schemeClr w14:val="tx1"/>
                  </w14:solidFill>
                </w14:textFill>
              </w:rPr>
              <w:t>月</w:t>
            </w:r>
            <w:r>
              <w:rPr>
                <w:rFonts w:hint="eastAsia" w:hAnsi="宋体"/>
                <w:bCs/>
                <w:color w:val="000000" w:themeColor="text1"/>
                <w:szCs w:val="21"/>
                <w:highlight w:val="none"/>
                <w14:textFill>
                  <w14:solidFill>
                    <w14:schemeClr w14:val="tx1"/>
                  </w14:solidFill>
                </w14:textFill>
              </w:rPr>
              <w:t xml:space="preserve">  </w:t>
            </w:r>
            <w:r>
              <w:rPr>
                <w:rFonts w:hAnsi="宋体"/>
                <w:bCs/>
                <w:color w:val="000000" w:themeColor="text1"/>
                <w:szCs w:val="21"/>
                <w:highlight w:val="none"/>
                <w14:textFill>
                  <w14:solidFill>
                    <w14:schemeClr w14:val="tx1"/>
                  </w14:solidFill>
                </w14:textFill>
              </w:rPr>
              <w:t>日</w:t>
            </w:r>
            <w:r>
              <w:rPr>
                <w:rFonts w:hint="eastAsia" w:hAnsi="宋体"/>
                <w:bCs/>
                <w:color w:val="000000" w:themeColor="text1"/>
                <w:szCs w:val="21"/>
                <w:highlight w:val="none"/>
                <w14:textFill>
                  <w14:solidFill>
                    <w14:schemeClr w14:val="tx1"/>
                  </w14:solidFill>
                </w14:textFill>
              </w:rPr>
              <w:t xml:space="preserve">  </w:t>
            </w:r>
            <w:r>
              <w:rPr>
                <w:rFonts w:hAnsi="宋体"/>
                <w:bCs/>
                <w:color w:val="000000" w:themeColor="text1"/>
                <w:szCs w:val="21"/>
                <w:highlight w:val="none"/>
                <w14:textFill>
                  <w14:solidFill>
                    <w14:schemeClr w14:val="tx1"/>
                  </w14:solidFill>
                </w14:textFill>
              </w:rPr>
              <w:t>时</w:t>
            </w:r>
          </w:p>
          <w:p w14:paraId="7C200BD3">
            <w:pPr>
              <w:pStyle w:val="8"/>
              <w:ind w:firstLine="0" w:firstLineChars="0"/>
              <w:rPr>
                <w:rFonts w:hint="eastAsia"/>
                <w:bCs/>
                <w:color w:val="000000" w:themeColor="text1"/>
                <w:szCs w:val="21"/>
                <w:highlight w:val="none"/>
                <w14:textFill>
                  <w14:solidFill>
                    <w14:schemeClr w14:val="tx1"/>
                  </w14:solidFill>
                </w14:textFill>
              </w:rPr>
            </w:pPr>
            <w:r>
              <w:rPr>
                <w:rFonts w:hint="eastAsia" w:hAnsi="宋体"/>
                <w:bCs/>
                <w:color w:val="000000" w:themeColor="text1"/>
                <w:szCs w:val="21"/>
                <w:highlight w:val="none"/>
                <w14:textFill>
                  <w14:solidFill>
                    <w14:schemeClr w14:val="tx1"/>
                  </w14:solidFill>
                </w14:textFill>
              </w:rPr>
              <w:t>勘察</w:t>
            </w:r>
            <w:r>
              <w:rPr>
                <w:rFonts w:hAnsi="宋体"/>
                <w:bCs/>
                <w:color w:val="000000" w:themeColor="text1"/>
                <w:szCs w:val="21"/>
                <w:highlight w:val="none"/>
                <w14:textFill>
                  <w14:solidFill>
                    <w14:schemeClr w14:val="tx1"/>
                  </w14:solidFill>
                </w14:textFill>
              </w:rPr>
              <w:t>地点：</w:t>
            </w:r>
            <w:r>
              <w:rPr>
                <w:rFonts w:hint="eastAsia" w:hAnsi="宋体"/>
                <w:bCs/>
                <w:color w:val="000000" w:themeColor="text1"/>
                <w:szCs w:val="21"/>
                <w:highlight w:val="none"/>
                <w:lang w:val="en-US" w:eastAsia="zh-CN"/>
                <w14:textFill>
                  <w14:solidFill>
                    <w14:schemeClr w14:val="tx1"/>
                  </w14:solidFill>
                </w14:textFill>
              </w:rPr>
              <w:t>河北省沧州市</w:t>
            </w:r>
            <w:r>
              <w:rPr>
                <w:rFonts w:hint="eastAsia"/>
                <w:bCs/>
                <w:color w:val="000000" w:themeColor="text1"/>
                <w:szCs w:val="21"/>
                <w:highlight w:val="none"/>
                <w14:textFill>
                  <w14:solidFill>
                    <w14:schemeClr w14:val="tx1"/>
                  </w14:solidFill>
                </w14:textFill>
              </w:rPr>
              <w:t xml:space="preserve"> </w:t>
            </w:r>
          </w:p>
          <w:p w14:paraId="60CFA02E">
            <w:pPr>
              <w:rPr>
                <w:rFonts w:hint="eastAsia" w:hAnsi="宋体"/>
                <w:bCs/>
                <w:color w:val="000000" w:themeColor="text1"/>
                <w:szCs w:val="21"/>
                <w:highlight w:val="none"/>
                <w14:textFill>
                  <w14:solidFill>
                    <w14:schemeClr w14:val="tx1"/>
                  </w14:solidFill>
                </w14:textFill>
              </w:rPr>
            </w:pPr>
            <w:r>
              <w:rPr>
                <w:rFonts w:hint="eastAsia" w:hAnsi="宋体"/>
                <w:bCs/>
                <w:color w:val="000000" w:themeColor="text1"/>
                <w:szCs w:val="21"/>
                <w:highlight w:val="none"/>
                <w14:textFill>
                  <w14:solidFill>
                    <w14:schemeClr w14:val="tx1"/>
                  </w14:solidFill>
                </w14:textFill>
              </w:rPr>
              <w:t>勘察</w:t>
            </w:r>
            <w:r>
              <w:rPr>
                <w:color w:val="000000" w:themeColor="text1"/>
                <w:highlight w:val="none"/>
                <w14:textFill>
                  <w14:solidFill>
                    <w14:schemeClr w14:val="tx1"/>
                  </w14:solidFill>
                </w14:textFill>
              </w:rPr>
              <w:t>联系人：</w:t>
            </w:r>
            <w:r>
              <w:rPr>
                <w:rFonts w:hint="eastAsia"/>
                <w:color w:val="000000" w:themeColor="text1"/>
                <w:highlight w:val="none"/>
                <w:lang w:val="en-US" w:eastAsia="zh-CN"/>
                <w14:textFill>
                  <w14:solidFill>
                    <w14:schemeClr w14:val="tx1"/>
                  </w14:solidFill>
                </w14:textFill>
              </w:rPr>
              <w:t>孙新磊</w:t>
            </w:r>
            <w:r>
              <w:rPr>
                <w:rFonts w:hint="eastAsia"/>
                <w:color w:val="000000" w:themeColor="text1"/>
                <w:highlight w:val="none"/>
                <w14:textFill>
                  <w14:solidFill>
                    <w14:schemeClr w14:val="tx1"/>
                  </w14:solidFill>
                </w14:textFill>
              </w:rPr>
              <w:t xml:space="preserve">         </w:t>
            </w:r>
            <w:r>
              <w:rPr>
                <w:color w:val="000000" w:themeColor="text1"/>
                <w:highlight w:val="none"/>
                <w14:textFill>
                  <w14:solidFill>
                    <w14:schemeClr w14:val="tx1"/>
                  </w14:solidFill>
                </w14:textFill>
              </w:rPr>
              <w:t>电话：</w:t>
            </w:r>
            <w:r>
              <w:rPr>
                <w:rFonts w:hint="eastAsia"/>
                <w:color w:val="000000" w:themeColor="text1"/>
                <w:highlight w:val="none"/>
                <w:lang w:val="en-US" w:eastAsia="zh-CN"/>
                <w14:textFill>
                  <w14:solidFill>
                    <w14:schemeClr w14:val="tx1"/>
                  </w14:solidFill>
                </w14:textFill>
              </w:rPr>
              <w:t>15100536339</w:t>
            </w:r>
            <w:r>
              <w:rPr>
                <w:color w:val="000000" w:themeColor="text1"/>
                <w:highlight w:val="none"/>
                <w14:textFill>
                  <w14:solidFill>
                    <w14:schemeClr w14:val="tx1"/>
                  </w14:solidFill>
                </w14:textFill>
              </w:rPr>
              <w:t xml:space="preserve">   </w:t>
            </w:r>
          </w:p>
        </w:tc>
      </w:tr>
      <w:tr w14:paraId="33A375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33" w:hRule="atLeast"/>
          <w:jc w:val="center"/>
        </w:trPr>
        <w:tc>
          <w:tcPr>
            <w:tcW w:w="798" w:type="dxa"/>
            <w:vAlign w:val="center"/>
          </w:tcPr>
          <w:p w14:paraId="6319FAE8">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w:t>
            </w:r>
          </w:p>
        </w:tc>
        <w:tc>
          <w:tcPr>
            <w:tcW w:w="1308" w:type="dxa"/>
            <w:vAlign w:val="center"/>
          </w:tcPr>
          <w:p w14:paraId="763E9A18">
            <w:pPr>
              <w:ind w:left="-42" w:leftChars="-20" w:right="-42" w:rightChars="-20"/>
              <w:jc w:val="center"/>
              <w:rPr>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采购范围</w:t>
            </w:r>
          </w:p>
        </w:tc>
        <w:tc>
          <w:tcPr>
            <w:tcW w:w="6478" w:type="dxa"/>
            <w:vAlign w:val="center"/>
          </w:tcPr>
          <w:p w14:paraId="4BBDC918">
            <w:pPr>
              <w:rPr>
                <w:rFonts w:hint="eastAsia" w:hAnsi="宋体"/>
                <w:bCs/>
                <w:color w:val="000000" w:themeColor="text1"/>
                <w:szCs w:val="21"/>
                <w:highlight w:val="none"/>
                <w14:textFill>
                  <w14:solidFill>
                    <w14:schemeClr w14:val="tx1"/>
                  </w14:solidFill>
                </w14:textFill>
              </w:rPr>
            </w:pPr>
            <w:r>
              <w:rPr>
                <w:rFonts w:hint="eastAsia" w:hAnsi="宋体"/>
                <w:bCs/>
                <w:color w:val="000000" w:themeColor="text1"/>
                <w:szCs w:val="21"/>
                <w:highlight w:val="none"/>
                <w14:textFill>
                  <w14:solidFill>
                    <w14:schemeClr w14:val="tx1"/>
                  </w14:solidFill>
                </w14:textFill>
              </w:rPr>
              <w:t>本次</w:t>
            </w:r>
            <w:r>
              <w:rPr>
                <w:rFonts w:hint="eastAsia" w:hAnsi="宋体"/>
                <w:bCs/>
                <w:color w:val="000000" w:themeColor="text1"/>
                <w:szCs w:val="21"/>
                <w:highlight w:val="none"/>
                <w:lang w:eastAsia="zh-CN"/>
                <w14:textFill>
                  <w14:solidFill>
                    <w14:schemeClr w14:val="tx1"/>
                  </w14:solidFill>
                </w14:textFill>
              </w:rPr>
              <w:t>采购</w:t>
            </w:r>
            <w:r>
              <w:rPr>
                <w:rFonts w:hint="eastAsia" w:ascii="Times New Roman" w:hAnsi="宋体" w:eastAsia="宋体" w:cs="Times New Roman"/>
                <w:bCs/>
                <w:color w:val="000000" w:themeColor="text1"/>
                <w:szCs w:val="21"/>
                <w:highlight w:val="none"/>
                <w14:textFill>
                  <w14:solidFill>
                    <w14:schemeClr w14:val="tx1"/>
                  </w14:solidFill>
                </w14:textFill>
              </w:rPr>
              <w:t>为</w:t>
            </w:r>
            <w:r>
              <w:rPr>
                <w:rFonts w:hint="eastAsia" w:hAnsi="宋体"/>
                <w:bCs/>
                <w:color w:val="000000" w:themeColor="text1"/>
                <w:szCs w:val="21"/>
                <w:highlight w:val="none"/>
                <w:lang w:eastAsia="zh-CN"/>
                <w14:textFill>
                  <w14:solidFill>
                    <w14:schemeClr w14:val="tx1"/>
                  </w14:solidFill>
                </w14:textFill>
              </w:rPr>
              <w:t>海兴高速项目海兴盐场特大桥便道维修、挡捻土工布</w:t>
            </w:r>
            <w:r>
              <w:rPr>
                <w:rFonts w:hint="eastAsia" w:ascii="Times New Roman" w:hAnsi="宋体" w:eastAsia="宋体" w:cs="Times New Roman"/>
                <w:bCs/>
                <w:color w:val="000000" w:themeColor="text1"/>
                <w:szCs w:val="21"/>
                <w:highlight w:val="none"/>
                <w14:textFill>
                  <w14:solidFill>
                    <w14:schemeClr w14:val="tx1"/>
                  </w14:solidFill>
                </w14:textFill>
              </w:rPr>
              <w:t>施工内容，具体内容详见施工图纸及施工</w:t>
            </w:r>
            <w:r>
              <w:rPr>
                <w:rFonts w:hint="eastAsia" w:hAnsi="宋体"/>
                <w:bCs/>
                <w:color w:val="000000" w:themeColor="text1"/>
                <w:szCs w:val="21"/>
                <w:highlight w:val="none"/>
                <w14:textFill>
                  <w14:solidFill>
                    <w14:schemeClr w14:val="tx1"/>
                  </w14:solidFill>
                </w14:textFill>
              </w:rPr>
              <w:t>方案。</w:t>
            </w:r>
          </w:p>
        </w:tc>
      </w:tr>
      <w:tr w14:paraId="55B1E6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447" w:hRule="atLeast"/>
          <w:jc w:val="center"/>
        </w:trPr>
        <w:tc>
          <w:tcPr>
            <w:tcW w:w="798" w:type="dxa"/>
            <w:vAlign w:val="center"/>
          </w:tcPr>
          <w:p w14:paraId="6B30E11A">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5</w:t>
            </w:r>
          </w:p>
        </w:tc>
        <w:tc>
          <w:tcPr>
            <w:tcW w:w="1308" w:type="dxa"/>
            <w:vAlign w:val="center"/>
          </w:tcPr>
          <w:p w14:paraId="4725AB3C">
            <w:pPr>
              <w:ind w:left="-42" w:leftChars="-20" w:right="-42" w:rightChars="-20"/>
              <w:jc w:val="center"/>
              <w:rPr>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工期及</w:t>
            </w:r>
            <w:r>
              <w:rPr>
                <w:rFonts w:hint="eastAsia" w:hAnsi="宋体"/>
                <w:bCs/>
                <w:color w:val="000000" w:themeColor="text1"/>
                <w:szCs w:val="21"/>
                <w:highlight w:val="none"/>
                <w14:textFill>
                  <w14:solidFill>
                    <w14:schemeClr w14:val="tx1"/>
                  </w14:solidFill>
                </w14:textFill>
              </w:rPr>
              <w:t>质量</w:t>
            </w:r>
            <w:r>
              <w:rPr>
                <w:rFonts w:hAnsi="宋体"/>
                <w:bCs/>
                <w:color w:val="000000" w:themeColor="text1"/>
                <w:szCs w:val="21"/>
                <w:highlight w:val="none"/>
                <w14:textFill>
                  <w14:solidFill>
                    <w14:schemeClr w14:val="tx1"/>
                  </w14:solidFill>
                </w14:textFill>
              </w:rPr>
              <w:t>要求</w:t>
            </w:r>
          </w:p>
        </w:tc>
        <w:tc>
          <w:tcPr>
            <w:tcW w:w="6478" w:type="dxa"/>
            <w:vAlign w:val="center"/>
          </w:tcPr>
          <w:p w14:paraId="200623C4">
            <w:pPr>
              <w:rPr>
                <w:rFonts w:hint="eastAsia" w:eastAsia="宋体"/>
                <w:bCs/>
                <w:color w:val="000000" w:themeColor="text1"/>
                <w:szCs w:val="21"/>
                <w:highlight w:val="none"/>
                <w:lang w:eastAsia="zh-CN"/>
                <w14:textFill>
                  <w14:solidFill>
                    <w14:schemeClr w14:val="tx1"/>
                  </w14:solidFill>
                </w14:textFill>
              </w:rPr>
            </w:pPr>
            <w:r>
              <w:rPr>
                <w:rFonts w:hAnsi="宋体"/>
                <w:bCs/>
                <w:color w:val="000000" w:themeColor="text1"/>
                <w:szCs w:val="21"/>
                <w:highlight w:val="none"/>
                <w14:textFill>
                  <w14:solidFill>
                    <w14:schemeClr w14:val="tx1"/>
                  </w14:solidFill>
                </w14:textFill>
              </w:rPr>
              <w:t>计划开工日</w:t>
            </w:r>
            <w:r>
              <w:rPr>
                <w:rFonts w:hAnsi="宋体"/>
                <w:bCs/>
                <w:color w:val="000000" w:themeColor="text1"/>
                <w:szCs w:val="21"/>
                <w:highlight w:val="none"/>
                <w14:textFill>
                  <w14:solidFill>
                    <w14:schemeClr w14:val="tx1"/>
                  </w14:solidFill>
                </w14:textFill>
              </w:rPr>
              <w:t>期：</w:t>
            </w:r>
            <w:r>
              <w:rPr>
                <w:rFonts w:hint="eastAsia" w:hAnsi="宋体"/>
                <w:bCs/>
                <w:color w:val="000000" w:themeColor="text1"/>
                <w:szCs w:val="21"/>
                <w:highlight w:val="none"/>
                <w:lang w:val="en-US" w:eastAsia="zh-CN"/>
                <w14:textFill>
                  <w14:solidFill>
                    <w14:schemeClr w14:val="tx1"/>
                  </w14:solidFill>
                </w14:textFill>
              </w:rPr>
              <w:t>2026</w:t>
            </w:r>
            <w:r>
              <w:rPr>
                <w:rFonts w:hint="eastAsia" w:hAnsi="宋体"/>
                <w:bCs/>
                <w:color w:val="000000" w:themeColor="text1"/>
                <w:szCs w:val="21"/>
                <w:highlight w:val="none"/>
                <w14:textFill>
                  <w14:solidFill>
                    <w14:schemeClr w14:val="tx1"/>
                  </w14:solidFill>
                </w14:textFill>
              </w:rPr>
              <w:t>年</w:t>
            </w:r>
            <w:r>
              <w:rPr>
                <w:rFonts w:hint="eastAsia" w:hAnsi="宋体"/>
                <w:bCs/>
                <w:color w:val="000000" w:themeColor="text1"/>
                <w:szCs w:val="21"/>
                <w:highlight w:val="none"/>
                <w:lang w:val="en-US" w:eastAsia="zh-CN"/>
                <w14:textFill>
                  <w14:solidFill>
                    <w14:schemeClr w14:val="tx1"/>
                  </w14:solidFill>
                </w14:textFill>
              </w:rPr>
              <w:t>9</w:t>
            </w:r>
            <w:r>
              <w:rPr>
                <w:rFonts w:hint="eastAsia" w:hAnsi="宋体"/>
                <w:bCs/>
                <w:color w:val="000000" w:themeColor="text1"/>
                <w:szCs w:val="21"/>
                <w:highlight w:val="none"/>
                <w14:textFill>
                  <w14:solidFill>
                    <w14:schemeClr w14:val="tx1"/>
                  </w14:solidFill>
                </w14:textFill>
              </w:rPr>
              <w:t>月</w:t>
            </w:r>
            <w:r>
              <w:rPr>
                <w:rFonts w:hint="eastAsia" w:hAnsi="宋体"/>
                <w:bCs/>
                <w:color w:val="000000" w:themeColor="text1"/>
                <w:szCs w:val="21"/>
                <w:highlight w:val="none"/>
                <w:lang w:val="en-US" w:eastAsia="zh-CN"/>
                <w14:textFill>
                  <w14:solidFill>
                    <w14:schemeClr w14:val="tx1"/>
                  </w14:solidFill>
                </w14:textFill>
              </w:rPr>
              <w:t>15</w:t>
            </w:r>
            <w:r>
              <w:rPr>
                <w:rFonts w:hint="eastAsia" w:hAnsi="宋体"/>
                <w:bCs/>
                <w:color w:val="000000" w:themeColor="text1"/>
                <w:szCs w:val="21"/>
                <w:highlight w:val="none"/>
                <w14:textFill>
                  <w14:solidFill>
                    <w14:schemeClr w14:val="tx1"/>
                  </w14:solidFill>
                </w14:textFill>
              </w:rPr>
              <w:t>日</w:t>
            </w:r>
            <w:r>
              <w:rPr>
                <w:rFonts w:hint="eastAsia" w:hAnsi="宋体"/>
                <w:bCs/>
                <w:color w:val="000000" w:themeColor="text1"/>
                <w:szCs w:val="21"/>
                <w:highlight w:val="none"/>
                <w:lang w:eastAsia="zh-CN"/>
                <w14:textFill>
                  <w14:solidFill>
                    <w14:schemeClr w14:val="tx1"/>
                  </w14:solidFill>
                </w14:textFill>
              </w:rPr>
              <w:t>（</w:t>
            </w:r>
            <w:r>
              <w:rPr>
                <w:rFonts w:hint="eastAsia" w:hAnsi="宋体"/>
                <w:bCs/>
                <w:color w:val="000000" w:themeColor="text1"/>
                <w:szCs w:val="21"/>
                <w:highlight w:val="none"/>
                <w:lang w:val="en-US" w:eastAsia="zh-CN"/>
                <w14:textFill>
                  <w14:solidFill>
                    <w14:schemeClr w14:val="tx1"/>
                  </w14:solidFill>
                </w14:textFill>
              </w:rPr>
              <w:t>暂定</w:t>
            </w:r>
            <w:r>
              <w:rPr>
                <w:rFonts w:hint="eastAsia" w:hAnsi="宋体"/>
                <w:bCs/>
                <w:color w:val="000000" w:themeColor="text1"/>
                <w:szCs w:val="21"/>
                <w:highlight w:val="none"/>
                <w:lang w:eastAsia="zh-CN"/>
                <w14:textFill>
                  <w14:solidFill>
                    <w14:schemeClr w14:val="tx1"/>
                  </w14:solidFill>
                </w14:textFill>
              </w:rPr>
              <w:t>）</w:t>
            </w:r>
          </w:p>
          <w:p w14:paraId="3FEF5D52">
            <w:pPr>
              <w:rPr>
                <w:rFonts w:hint="eastAsia" w:hAnsi="宋体"/>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计划</w:t>
            </w:r>
            <w:r>
              <w:rPr>
                <w:rFonts w:hint="eastAsia" w:hAnsi="宋体"/>
                <w:bCs/>
                <w:color w:val="000000" w:themeColor="text1"/>
                <w:szCs w:val="21"/>
                <w:highlight w:val="none"/>
                <w14:textFill>
                  <w14:solidFill>
                    <w14:schemeClr w14:val="tx1"/>
                  </w14:solidFill>
                </w14:textFill>
              </w:rPr>
              <w:t>完</w:t>
            </w:r>
            <w:r>
              <w:rPr>
                <w:rFonts w:hAnsi="宋体"/>
                <w:bCs/>
                <w:color w:val="000000" w:themeColor="text1"/>
                <w:szCs w:val="21"/>
                <w:highlight w:val="none"/>
                <w14:textFill>
                  <w14:solidFill>
                    <w14:schemeClr w14:val="tx1"/>
                  </w14:solidFill>
                </w14:textFill>
              </w:rPr>
              <w:t>工日期：</w:t>
            </w:r>
            <w:r>
              <w:rPr>
                <w:rFonts w:hint="eastAsia" w:hAnsi="宋体"/>
                <w:bCs/>
                <w:color w:val="000000" w:themeColor="text1"/>
                <w:szCs w:val="21"/>
                <w:highlight w:val="none"/>
                <w:lang w:val="en-US" w:eastAsia="zh-CN"/>
                <w14:textFill>
                  <w14:solidFill>
                    <w14:schemeClr w14:val="tx1"/>
                  </w14:solidFill>
                </w14:textFill>
              </w:rPr>
              <w:t>2026</w:t>
            </w:r>
            <w:r>
              <w:rPr>
                <w:rFonts w:hint="eastAsia" w:hAnsi="宋体"/>
                <w:bCs/>
                <w:color w:val="000000" w:themeColor="text1"/>
                <w:szCs w:val="21"/>
                <w:highlight w:val="none"/>
                <w14:textFill>
                  <w14:solidFill>
                    <w14:schemeClr w14:val="tx1"/>
                  </w14:solidFill>
                </w14:textFill>
              </w:rPr>
              <w:t>年</w:t>
            </w:r>
            <w:r>
              <w:rPr>
                <w:rFonts w:hint="eastAsia" w:hAnsi="宋体"/>
                <w:bCs/>
                <w:color w:val="000000" w:themeColor="text1"/>
                <w:szCs w:val="21"/>
                <w:highlight w:val="none"/>
                <w:lang w:val="en-US" w:eastAsia="zh-CN"/>
                <w14:textFill>
                  <w14:solidFill>
                    <w14:schemeClr w14:val="tx1"/>
                  </w14:solidFill>
                </w14:textFill>
              </w:rPr>
              <w:t>11</w:t>
            </w:r>
            <w:r>
              <w:rPr>
                <w:rFonts w:hint="eastAsia" w:hAnsi="宋体"/>
                <w:bCs/>
                <w:color w:val="000000" w:themeColor="text1"/>
                <w:szCs w:val="21"/>
                <w:highlight w:val="none"/>
                <w14:textFill>
                  <w14:solidFill>
                    <w14:schemeClr w14:val="tx1"/>
                  </w14:solidFill>
                </w14:textFill>
              </w:rPr>
              <w:t>月</w:t>
            </w:r>
            <w:r>
              <w:rPr>
                <w:rFonts w:hint="eastAsia" w:hAnsi="宋体"/>
                <w:bCs/>
                <w:color w:val="000000" w:themeColor="text1"/>
                <w:szCs w:val="21"/>
                <w:highlight w:val="none"/>
                <w:lang w:val="en-US" w:eastAsia="zh-CN"/>
                <w14:textFill>
                  <w14:solidFill>
                    <w14:schemeClr w14:val="tx1"/>
                  </w14:solidFill>
                </w14:textFill>
              </w:rPr>
              <w:t>13</w:t>
            </w:r>
            <w:r>
              <w:rPr>
                <w:rFonts w:hint="eastAsia" w:hAnsi="宋体"/>
                <w:bCs/>
                <w:color w:val="000000" w:themeColor="text1"/>
                <w:szCs w:val="21"/>
                <w:highlight w:val="none"/>
                <w14:textFill>
                  <w14:solidFill>
                    <w14:schemeClr w14:val="tx1"/>
                  </w14:solidFill>
                </w14:textFill>
              </w:rPr>
              <w:t>日</w:t>
            </w:r>
            <w:r>
              <w:rPr>
                <w:rFonts w:hint="eastAsia" w:hAnsi="宋体"/>
                <w:bCs/>
                <w:color w:val="000000" w:themeColor="text1"/>
                <w:szCs w:val="21"/>
                <w:highlight w:val="none"/>
                <w:lang w:eastAsia="zh-CN"/>
                <w14:textFill>
                  <w14:solidFill>
                    <w14:schemeClr w14:val="tx1"/>
                  </w14:solidFill>
                </w14:textFill>
              </w:rPr>
              <w:t>（</w:t>
            </w:r>
            <w:r>
              <w:rPr>
                <w:rFonts w:hint="eastAsia" w:hAnsi="宋体"/>
                <w:bCs/>
                <w:color w:val="000000" w:themeColor="text1"/>
                <w:szCs w:val="21"/>
                <w:highlight w:val="none"/>
                <w:lang w:val="en-US" w:eastAsia="zh-CN"/>
                <w14:textFill>
                  <w14:solidFill>
                    <w14:schemeClr w14:val="tx1"/>
                  </w14:solidFill>
                </w14:textFill>
              </w:rPr>
              <w:t>暂定</w:t>
            </w:r>
            <w:r>
              <w:rPr>
                <w:rFonts w:hint="eastAsia" w:hAnsi="宋体"/>
                <w:bCs/>
                <w:color w:val="000000" w:themeColor="text1"/>
                <w:szCs w:val="21"/>
                <w:highlight w:val="none"/>
                <w:lang w:eastAsia="zh-CN"/>
                <w14:textFill>
                  <w14:solidFill>
                    <w14:schemeClr w14:val="tx1"/>
                  </w14:solidFill>
                </w14:textFill>
              </w:rPr>
              <w:t>）</w:t>
            </w:r>
          </w:p>
          <w:p w14:paraId="30FB2C75">
            <w:pPr>
              <w:rPr>
                <w:rFonts w:hint="eastAsia" w:hAnsi="宋体"/>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计划合同工期：</w:t>
            </w:r>
            <w:r>
              <w:rPr>
                <w:rFonts w:hint="eastAsia" w:hAnsi="宋体"/>
                <w:bCs/>
                <w:color w:val="000000" w:themeColor="text1"/>
                <w:szCs w:val="21"/>
                <w:highlight w:val="none"/>
                <w:lang w:val="en-US" w:eastAsia="zh-CN"/>
                <w14:textFill>
                  <w14:solidFill>
                    <w14:schemeClr w14:val="tx1"/>
                  </w14:solidFill>
                </w14:textFill>
              </w:rPr>
              <w:t>60</w:t>
            </w:r>
            <w:r>
              <w:rPr>
                <w:rFonts w:hint="eastAsia" w:hAnsi="宋体"/>
                <w:bCs/>
                <w:color w:val="000000" w:themeColor="text1"/>
                <w:szCs w:val="21"/>
                <w:highlight w:val="none"/>
                <w14:textFill>
                  <w14:solidFill>
                    <w14:schemeClr w14:val="tx1"/>
                  </w14:solidFill>
                </w14:textFill>
              </w:rPr>
              <w:t>日历天</w:t>
            </w:r>
            <w:r>
              <w:rPr>
                <w:rFonts w:hint="eastAsia" w:hAnsi="宋体"/>
                <w:bCs/>
                <w:color w:val="000000" w:themeColor="text1"/>
                <w:szCs w:val="21"/>
                <w:highlight w:val="none"/>
                <w:lang w:eastAsia="zh-CN"/>
                <w14:textFill>
                  <w14:solidFill>
                    <w14:schemeClr w14:val="tx1"/>
                  </w14:solidFill>
                </w14:textFill>
              </w:rPr>
              <w:t>（</w:t>
            </w:r>
            <w:r>
              <w:rPr>
                <w:rFonts w:hint="eastAsia" w:hAnsi="宋体"/>
                <w:bCs/>
                <w:color w:val="000000" w:themeColor="text1"/>
                <w:szCs w:val="21"/>
                <w:highlight w:val="none"/>
                <w:lang w:val="en-US" w:eastAsia="zh-CN"/>
                <w14:textFill>
                  <w14:solidFill>
                    <w14:schemeClr w14:val="tx1"/>
                  </w14:solidFill>
                </w14:textFill>
              </w:rPr>
              <w:t>暂定</w:t>
            </w:r>
            <w:r>
              <w:rPr>
                <w:rFonts w:hint="eastAsia" w:hAnsi="宋体"/>
                <w:bCs/>
                <w:color w:val="000000" w:themeColor="text1"/>
                <w:szCs w:val="21"/>
                <w:highlight w:val="none"/>
                <w:lang w:eastAsia="zh-CN"/>
                <w14:textFill>
                  <w14:solidFill>
                    <w14:schemeClr w14:val="tx1"/>
                  </w14:solidFill>
                </w14:textFill>
              </w:rPr>
              <w:t>）</w:t>
            </w:r>
          </w:p>
          <w:p w14:paraId="1EB2968C">
            <w:pPr>
              <w:rPr>
                <w:bCs/>
                <w:color w:val="000000" w:themeColor="text1"/>
                <w:szCs w:val="21"/>
                <w:highlight w:val="none"/>
                <w14:textFill>
                  <w14:solidFill>
                    <w14:schemeClr w14:val="tx1"/>
                  </w14:solidFill>
                </w14:textFill>
              </w:rPr>
            </w:pPr>
            <w:r>
              <w:rPr>
                <w:rFonts w:hint="eastAsia" w:hAnsi="宋体"/>
                <w:bCs/>
                <w:color w:val="000000" w:themeColor="text1"/>
                <w:szCs w:val="21"/>
                <w:highlight w:val="none"/>
                <w14:textFill>
                  <w14:solidFill>
                    <w14:schemeClr w14:val="tx1"/>
                  </w14:solidFill>
                </w14:textFill>
              </w:rPr>
              <w:t>质量要求：</w:t>
            </w:r>
            <w:r>
              <w:rPr>
                <w:rFonts w:hint="eastAsia" w:hAnsi="宋体"/>
                <w:bCs/>
                <w:color w:val="000000" w:themeColor="text1"/>
                <w:szCs w:val="21"/>
                <w:highlight w:val="none"/>
                <w:lang w:val="en-US" w:eastAsia="zh-CN"/>
                <w14:textFill>
                  <w14:solidFill>
                    <w14:schemeClr w14:val="tx1"/>
                  </w14:solidFill>
                </w14:textFill>
              </w:rPr>
              <w:t>合格</w:t>
            </w:r>
          </w:p>
        </w:tc>
      </w:tr>
      <w:tr w14:paraId="1E0C44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33" w:hRule="atLeast"/>
          <w:jc w:val="center"/>
        </w:trPr>
        <w:tc>
          <w:tcPr>
            <w:tcW w:w="798" w:type="dxa"/>
            <w:vAlign w:val="center"/>
          </w:tcPr>
          <w:p w14:paraId="2FAA55EA">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6</w:t>
            </w:r>
          </w:p>
        </w:tc>
        <w:tc>
          <w:tcPr>
            <w:tcW w:w="1308" w:type="dxa"/>
            <w:vAlign w:val="center"/>
          </w:tcPr>
          <w:p w14:paraId="41459CB9">
            <w:pPr>
              <w:ind w:left="-42" w:leftChars="-20" w:right="-42" w:rightChars="-20"/>
              <w:jc w:val="center"/>
              <w:rPr>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采购文件</w:t>
            </w:r>
          </w:p>
          <w:p w14:paraId="5FD66120">
            <w:pPr>
              <w:jc w:val="center"/>
              <w:rPr>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的澄清</w:t>
            </w:r>
          </w:p>
        </w:tc>
        <w:tc>
          <w:tcPr>
            <w:tcW w:w="6478" w:type="dxa"/>
            <w:vAlign w:val="center"/>
          </w:tcPr>
          <w:p w14:paraId="75A6AF3B">
            <w:pPr>
              <w:rPr>
                <w:rFonts w:hint="eastAsia"/>
                <w:bCs/>
                <w:color w:val="000000" w:themeColor="text1"/>
                <w:szCs w:val="21"/>
                <w:highlight w:val="none"/>
                <w14:textFill>
                  <w14:solidFill>
                    <w14:schemeClr w14:val="tx1"/>
                  </w14:solidFill>
                </w14:textFill>
              </w:rPr>
            </w:pPr>
            <w:r>
              <w:rPr>
                <w:rFonts w:hint="eastAsia" w:hAnsi="宋体"/>
                <w:bCs/>
                <w:color w:val="000000" w:themeColor="text1"/>
                <w:szCs w:val="21"/>
                <w:highlight w:val="none"/>
                <w14:textFill>
                  <w14:solidFill>
                    <w14:schemeClr w14:val="tx1"/>
                  </w14:solidFill>
                </w14:textFill>
              </w:rPr>
              <w:t>可以书面形式或致电质疑</w:t>
            </w:r>
            <w:r>
              <w:rPr>
                <w:rFonts w:hint="eastAsia"/>
                <w:bCs/>
                <w:color w:val="000000" w:themeColor="text1"/>
                <w:szCs w:val="21"/>
                <w:highlight w:val="none"/>
                <w14:textFill>
                  <w14:solidFill>
                    <w14:schemeClr w14:val="tx1"/>
                  </w14:solidFill>
                </w14:textFill>
              </w:rPr>
              <w:t>，</w:t>
            </w:r>
            <w:r>
              <w:rPr>
                <w:rFonts w:hAnsi="宋体"/>
                <w:bCs/>
                <w:color w:val="000000" w:themeColor="text1"/>
                <w:szCs w:val="21"/>
                <w:highlight w:val="none"/>
                <w14:textFill>
                  <w14:solidFill>
                    <w14:schemeClr w14:val="tx1"/>
                  </w14:solidFill>
                </w14:textFill>
              </w:rPr>
              <w:t>接收人</w:t>
            </w:r>
            <w:r>
              <w:rPr>
                <w:rFonts w:hint="eastAsia" w:hAnsi="宋体"/>
                <w:bCs/>
                <w:color w:val="000000" w:themeColor="text1"/>
                <w:szCs w:val="21"/>
                <w:highlight w:val="none"/>
                <w:lang w:eastAsia="zh-CN"/>
                <w14:textFill>
                  <w14:solidFill>
                    <w14:schemeClr w14:val="tx1"/>
                  </w14:solidFill>
                </w14:textFill>
              </w:rPr>
              <w:t>：</w:t>
            </w:r>
            <w:r>
              <w:rPr>
                <w:rFonts w:hint="eastAsia" w:hAnsi="宋体"/>
                <w:bCs/>
                <w:color w:val="000000" w:themeColor="text1"/>
                <w:szCs w:val="21"/>
                <w:highlight w:val="none"/>
                <w:lang w:val="en-US" w:eastAsia="zh-CN"/>
                <w14:textFill>
                  <w14:solidFill>
                    <w14:schemeClr w14:val="tx1"/>
                  </w14:solidFill>
                </w14:textFill>
              </w:rPr>
              <w:t>孙文特</w:t>
            </w:r>
            <w:r>
              <w:rPr>
                <w:rFonts w:hint="eastAsia"/>
                <w:bCs/>
                <w:color w:val="000000" w:themeColor="text1"/>
                <w:szCs w:val="21"/>
                <w:highlight w:val="none"/>
                <w14:textFill>
                  <w14:solidFill>
                    <w14:schemeClr w14:val="tx1"/>
                  </w14:solidFill>
                </w14:textFill>
              </w:rPr>
              <w:t xml:space="preserve"> </w:t>
            </w:r>
            <w:r>
              <w:rPr>
                <w:bCs/>
                <w:color w:val="000000" w:themeColor="text1"/>
                <w:szCs w:val="21"/>
                <w:highlight w:val="none"/>
                <w14:textFill>
                  <w14:solidFill>
                    <w14:schemeClr w14:val="tx1"/>
                  </w14:solidFill>
                </w14:textFill>
              </w:rPr>
              <w:t xml:space="preserve"> </w:t>
            </w:r>
            <w:r>
              <w:rPr>
                <w:rFonts w:hAnsi="宋体"/>
                <w:bCs/>
                <w:color w:val="000000" w:themeColor="text1"/>
                <w:szCs w:val="21"/>
                <w:highlight w:val="none"/>
                <w14:textFill>
                  <w14:solidFill>
                    <w14:schemeClr w14:val="tx1"/>
                  </w14:solidFill>
                </w14:textFill>
              </w:rPr>
              <w:t>电话：</w:t>
            </w:r>
            <w:r>
              <w:rPr>
                <w:rFonts w:hint="eastAsia" w:hAnsi="宋体"/>
                <w:bCs/>
                <w:color w:val="000000" w:themeColor="text1"/>
                <w:szCs w:val="21"/>
                <w:highlight w:val="none"/>
                <w14:textFill>
                  <w14:solidFill>
                    <w14:schemeClr w14:val="tx1"/>
                  </w14:solidFill>
                </w14:textFill>
              </w:rPr>
              <w:t>13501301834</w:t>
            </w:r>
            <w:r>
              <w:rPr>
                <w:bCs/>
                <w:color w:val="000000" w:themeColor="text1"/>
                <w:szCs w:val="21"/>
                <w:highlight w:val="none"/>
                <w14:textFill>
                  <w14:solidFill>
                    <w14:schemeClr w14:val="tx1"/>
                  </w14:solidFill>
                </w14:textFill>
              </w:rPr>
              <w:t xml:space="preserve"> </w:t>
            </w:r>
          </w:p>
          <w:p w14:paraId="6B6FC455">
            <w:pP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澄清截止日期：</w:t>
            </w:r>
            <w:r>
              <w:rPr>
                <w:rFonts w:hint="eastAsia"/>
                <w:bCs/>
                <w:color w:val="000000" w:themeColor="text1"/>
                <w:szCs w:val="21"/>
                <w:highlight w:val="none"/>
                <w:lang w:val="en-US" w:eastAsia="zh-CN"/>
                <w14:textFill>
                  <w14:solidFill>
                    <w14:schemeClr w14:val="tx1"/>
                  </w14:solidFill>
                </w14:textFill>
              </w:rPr>
              <w:t>2026</w:t>
            </w:r>
            <w:r>
              <w:rPr>
                <w:rFonts w:hint="eastAsia"/>
                <w:bCs/>
                <w:color w:val="000000" w:themeColor="text1"/>
                <w:szCs w:val="21"/>
                <w:highlight w:val="none"/>
                <w14:textFill>
                  <w14:solidFill>
                    <w14:schemeClr w14:val="tx1"/>
                  </w14:solidFill>
                </w14:textFill>
              </w:rPr>
              <w:t>年</w:t>
            </w:r>
            <w:r>
              <w:rPr>
                <w:rFonts w:hint="eastAsia"/>
                <w:bCs/>
                <w:color w:val="000000" w:themeColor="text1"/>
                <w:szCs w:val="21"/>
                <w:highlight w:val="none"/>
                <w:lang w:val="en-US" w:eastAsia="zh-CN"/>
                <w14:textFill>
                  <w14:solidFill>
                    <w14:schemeClr w14:val="tx1"/>
                  </w14:solidFill>
                </w14:textFill>
              </w:rPr>
              <w:t xml:space="preserve"> 09 </w:t>
            </w:r>
            <w:r>
              <w:rPr>
                <w:rFonts w:hint="eastAsia"/>
                <w:bCs/>
                <w:color w:val="000000" w:themeColor="text1"/>
                <w:szCs w:val="21"/>
                <w:highlight w:val="none"/>
                <w14:textFill>
                  <w14:solidFill>
                    <w14:schemeClr w14:val="tx1"/>
                  </w14:solidFill>
                </w14:textFill>
              </w:rPr>
              <w:t xml:space="preserve">月 </w:t>
            </w:r>
            <w:r>
              <w:rPr>
                <w:rFonts w:hint="eastAsia"/>
                <w:bCs/>
                <w:color w:val="000000" w:themeColor="text1"/>
                <w:szCs w:val="21"/>
                <w:highlight w:val="none"/>
                <w:lang w:val="en-US" w:eastAsia="zh-CN"/>
                <w14:textFill>
                  <w14:solidFill>
                    <w14:schemeClr w14:val="tx1"/>
                  </w14:solidFill>
                </w14:textFill>
              </w:rPr>
              <w:t xml:space="preserve">06 </w:t>
            </w:r>
            <w:r>
              <w:rPr>
                <w:rFonts w:hint="eastAsia"/>
                <w:bCs/>
                <w:color w:val="000000" w:themeColor="text1"/>
                <w:szCs w:val="21"/>
                <w:highlight w:val="none"/>
                <w14:textFill>
                  <w14:solidFill>
                    <w14:schemeClr w14:val="tx1"/>
                  </w14:solidFill>
                </w14:textFill>
              </w:rPr>
              <w:t xml:space="preserve">日 </w:t>
            </w:r>
            <w:r>
              <w:rPr>
                <w:rFonts w:hint="eastAsia"/>
                <w:bCs/>
                <w:color w:val="000000" w:themeColor="text1"/>
                <w:szCs w:val="21"/>
                <w:highlight w:val="none"/>
                <w:lang w:val="en-US" w:eastAsia="zh-CN"/>
                <w14:textFill>
                  <w14:solidFill>
                    <w14:schemeClr w14:val="tx1"/>
                  </w14:solidFill>
                </w14:textFill>
              </w:rPr>
              <w:t>15</w:t>
            </w:r>
            <w:r>
              <w:rPr>
                <w:rFonts w:hint="eastAsia"/>
                <w:bCs/>
                <w:color w:val="000000" w:themeColor="text1"/>
                <w:szCs w:val="21"/>
                <w:highlight w:val="none"/>
                <w14:textFill>
                  <w14:solidFill>
                    <w14:schemeClr w14:val="tx1"/>
                  </w14:solidFill>
                </w14:textFill>
              </w:rPr>
              <w:t xml:space="preserve"> 时</w:t>
            </w:r>
          </w:p>
        </w:tc>
      </w:tr>
      <w:tr w14:paraId="70693A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33" w:hRule="atLeast"/>
          <w:jc w:val="center"/>
        </w:trPr>
        <w:tc>
          <w:tcPr>
            <w:tcW w:w="798" w:type="dxa"/>
            <w:vAlign w:val="center"/>
          </w:tcPr>
          <w:p w14:paraId="54134A26">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7</w:t>
            </w:r>
          </w:p>
        </w:tc>
        <w:tc>
          <w:tcPr>
            <w:tcW w:w="1308" w:type="dxa"/>
            <w:vAlign w:val="center"/>
          </w:tcPr>
          <w:p w14:paraId="786728B5">
            <w:pPr>
              <w:ind w:left="-42" w:leftChars="-20" w:right="-42" w:rightChars="-20"/>
              <w:jc w:val="center"/>
              <w:rPr>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采购文件的修改</w:t>
            </w:r>
          </w:p>
        </w:tc>
        <w:tc>
          <w:tcPr>
            <w:tcW w:w="6478" w:type="dxa"/>
            <w:vAlign w:val="center"/>
          </w:tcPr>
          <w:p w14:paraId="5F09F1D8">
            <w:pPr>
              <w:rPr>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采购人在响应文件递交截止日</w:t>
            </w:r>
            <w:r>
              <w:rPr>
                <w:bCs/>
                <w:color w:val="000000" w:themeColor="text1"/>
                <w:szCs w:val="21"/>
                <w:highlight w:val="none"/>
                <w:u w:val="single"/>
                <w14:textFill>
                  <w14:solidFill>
                    <w14:schemeClr w14:val="tx1"/>
                  </w14:solidFill>
                </w14:textFill>
              </w:rPr>
              <w:t xml:space="preserve"> </w:t>
            </w:r>
            <w:r>
              <w:rPr>
                <w:rFonts w:hint="eastAsia"/>
                <w:bCs/>
                <w:color w:val="000000" w:themeColor="text1"/>
                <w:szCs w:val="21"/>
                <w:highlight w:val="none"/>
                <w:u w:val="single"/>
                <w14:textFill>
                  <w14:solidFill>
                    <w14:schemeClr w14:val="tx1"/>
                  </w14:solidFill>
                </w14:textFill>
              </w:rPr>
              <w:t>1</w:t>
            </w:r>
            <w:r>
              <w:rPr>
                <w:rFonts w:hAnsi="宋体"/>
                <w:bCs/>
                <w:color w:val="000000" w:themeColor="text1"/>
                <w:szCs w:val="21"/>
                <w:highlight w:val="none"/>
                <w:u w:val="single"/>
                <w14:textFill>
                  <w14:solidFill>
                    <w14:schemeClr w14:val="tx1"/>
                  </w14:solidFill>
                </w14:textFill>
              </w:rPr>
              <w:t>天</w:t>
            </w:r>
            <w:r>
              <w:rPr>
                <w:bCs/>
                <w:color w:val="000000" w:themeColor="text1"/>
                <w:szCs w:val="21"/>
                <w:highlight w:val="none"/>
                <w:u w:val="single"/>
                <w14:textFill>
                  <w14:solidFill>
                    <w14:schemeClr w14:val="tx1"/>
                  </w14:solidFill>
                </w14:textFill>
              </w:rPr>
              <w:t xml:space="preserve"> </w:t>
            </w:r>
            <w:r>
              <w:rPr>
                <w:rFonts w:hAnsi="宋体"/>
                <w:bCs/>
                <w:color w:val="000000" w:themeColor="text1"/>
                <w:szCs w:val="21"/>
                <w:highlight w:val="none"/>
                <w14:textFill>
                  <w14:solidFill>
                    <w14:schemeClr w14:val="tx1"/>
                  </w14:solidFill>
                </w14:textFill>
              </w:rPr>
              <w:t>前，可因任何原因，以</w:t>
            </w:r>
            <w:r>
              <w:rPr>
                <w:bCs/>
                <w:color w:val="000000" w:themeColor="text1"/>
                <w:szCs w:val="21"/>
                <w:highlight w:val="none"/>
                <w14:textFill>
                  <w14:solidFill>
                    <w14:schemeClr w14:val="tx1"/>
                  </w14:solidFill>
                </w14:textFill>
              </w:rPr>
              <w:t>“</w:t>
            </w:r>
            <w:r>
              <w:rPr>
                <w:rFonts w:hAnsi="宋体"/>
                <w:bCs/>
                <w:color w:val="000000" w:themeColor="text1"/>
                <w:szCs w:val="21"/>
                <w:highlight w:val="none"/>
                <w14:textFill>
                  <w14:solidFill>
                    <w14:schemeClr w14:val="tx1"/>
                  </w14:solidFill>
                </w14:textFill>
              </w:rPr>
              <w:t>补充采购文件</w:t>
            </w:r>
            <w:r>
              <w:rPr>
                <w:bCs/>
                <w:color w:val="000000" w:themeColor="text1"/>
                <w:szCs w:val="21"/>
                <w:highlight w:val="none"/>
                <w14:textFill>
                  <w14:solidFill>
                    <w14:schemeClr w14:val="tx1"/>
                  </w14:solidFill>
                </w14:textFill>
              </w:rPr>
              <w:t>”</w:t>
            </w:r>
            <w:r>
              <w:rPr>
                <w:rFonts w:hAnsi="宋体"/>
                <w:bCs/>
                <w:color w:val="000000" w:themeColor="text1"/>
                <w:szCs w:val="21"/>
                <w:highlight w:val="none"/>
                <w14:textFill>
                  <w14:solidFill>
                    <w14:schemeClr w14:val="tx1"/>
                  </w14:solidFill>
                </w14:textFill>
              </w:rPr>
              <w:t>形式对采购文件进行修改。</w:t>
            </w:r>
          </w:p>
        </w:tc>
      </w:tr>
      <w:tr w14:paraId="51AE50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226" w:hRule="atLeast"/>
          <w:jc w:val="center"/>
        </w:trPr>
        <w:tc>
          <w:tcPr>
            <w:tcW w:w="798" w:type="dxa"/>
            <w:vAlign w:val="center"/>
          </w:tcPr>
          <w:p w14:paraId="78511876">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8</w:t>
            </w:r>
          </w:p>
        </w:tc>
        <w:tc>
          <w:tcPr>
            <w:tcW w:w="1308" w:type="dxa"/>
            <w:vAlign w:val="center"/>
          </w:tcPr>
          <w:p w14:paraId="032C680A">
            <w:pPr>
              <w:ind w:left="-42" w:leftChars="-20" w:right="-42" w:rightChars="-20"/>
              <w:jc w:val="center"/>
              <w:rPr>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响应文件的份数</w:t>
            </w:r>
          </w:p>
        </w:tc>
        <w:tc>
          <w:tcPr>
            <w:tcW w:w="6478" w:type="dxa"/>
            <w:vAlign w:val="center"/>
          </w:tcPr>
          <w:p w14:paraId="411F98CE">
            <w:pPr>
              <w:rPr>
                <w:rFonts w:hint="eastAsia" w:hAnsi="宋体"/>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响应单位应按照</w:t>
            </w:r>
            <w:r>
              <w:rPr>
                <w:rFonts w:hint="eastAsia" w:hAnsi="宋体"/>
                <w:bCs/>
                <w:color w:val="000000" w:themeColor="text1"/>
                <w:szCs w:val="21"/>
                <w:highlight w:val="none"/>
                <w14:textFill>
                  <w14:solidFill>
                    <w14:schemeClr w14:val="tx1"/>
                  </w14:solidFill>
                </w14:textFill>
              </w:rPr>
              <w:t>采购文件要求</w:t>
            </w:r>
            <w:r>
              <w:rPr>
                <w:rFonts w:hAnsi="宋体"/>
                <w:bCs/>
                <w:color w:val="000000" w:themeColor="text1"/>
                <w:szCs w:val="21"/>
                <w:highlight w:val="none"/>
                <w14:textFill>
                  <w14:solidFill>
                    <w14:schemeClr w14:val="tx1"/>
                  </w14:solidFill>
                </w14:textFill>
              </w:rPr>
              <w:t>编制响应文件</w:t>
            </w:r>
            <w:r>
              <w:rPr>
                <w:rFonts w:hint="eastAsia" w:hAnsi="宋体"/>
                <w:bCs/>
                <w:color w:val="000000" w:themeColor="text1"/>
                <w:szCs w:val="21"/>
                <w:highlight w:val="none"/>
                <w14:textFill>
                  <w14:solidFill>
                    <w14:schemeClr w14:val="tx1"/>
                  </w14:solidFill>
                </w14:textFill>
              </w:rPr>
              <w:t>。</w:t>
            </w:r>
          </w:p>
          <w:p w14:paraId="0F993E28">
            <w:pPr>
              <w:rPr>
                <w:bCs/>
                <w:color w:val="000000" w:themeColor="text1"/>
                <w:szCs w:val="21"/>
                <w:highlight w:val="none"/>
                <w14:textFill>
                  <w14:solidFill>
                    <w14:schemeClr w14:val="tx1"/>
                  </w14:solidFill>
                </w14:textFill>
              </w:rPr>
            </w:pPr>
            <w:r>
              <w:rPr>
                <w:rFonts w:hint="eastAsia" w:hAnsi="宋体"/>
                <w:bCs/>
                <w:color w:val="000000" w:themeColor="text1"/>
                <w:szCs w:val="21"/>
                <w:highlight w:val="none"/>
                <w14:textFill>
                  <w14:solidFill>
                    <w14:schemeClr w14:val="tx1"/>
                  </w14:solidFill>
                </w14:textFill>
              </w:rPr>
              <w:t>电子版响应文件要求：云筑网上传盖章签字响应文件完整扫描件（P</w:t>
            </w:r>
            <w:r>
              <w:rPr>
                <w:rFonts w:hAnsi="宋体"/>
                <w:bCs/>
                <w:color w:val="000000" w:themeColor="text1"/>
                <w:szCs w:val="21"/>
                <w:highlight w:val="none"/>
                <w14:textFill>
                  <w14:solidFill>
                    <w14:schemeClr w14:val="tx1"/>
                  </w14:solidFill>
                </w14:textFill>
              </w:rPr>
              <w:t>DF</w:t>
            </w:r>
            <w:r>
              <w:rPr>
                <w:rFonts w:hint="eastAsia" w:hAnsi="宋体"/>
                <w:bCs/>
                <w:color w:val="000000" w:themeColor="text1"/>
                <w:szCs w:val="21"/>
                <w:highlight w:val="none"/>
                <w14:textFill>
                  <w14:solidFill>
                    <w14:schemeClr w14:val="tx1"/>
                  </w14:solidFill>
                </w14:textFill>
              </w:rPr>
              <w:t>格式，彩色，清晰度不低于2</w:t>
            </w:r>
            <w:r>
              <w:rPr>
                <w:rFonts w:hAnsi="宋体"/>
                <w:bCs/>
                <w:color w:val="000000" w:themeColor="text1"/>
                <w:szCs w:val="21"/>
                <w:highlight w:val="none"/>
                <w14:textFill>
                  <w14:solidFill>
                    <w14:schemeClr w14:val="tx1"/>
                  </w14:solidFill>
                </w14:textFill>
              </w:rPr>
              <w:t>00</w:t>
            </w:r>
            <w:r>
              <w:rPr>
                <w:rFonts w:hint="eastAsia" w:hAnsi="宋体"/>
                <w:bCs/>
                <w:color w:val="000000" w:themeColor="text1"/>
                <w:szCs w:val="21"/>
                <w:highlight w:val="none"/>
                <w14:textFill>
                  <w14:solidFill>
                    <w14:schemeClr w14:val="tx1"/>
                  </w14:solidFill>
                </w14:textFill>
              </w:rPr>
              <w:t>dpi）</w:t>
            </w:r>
          </w:p>
        </w:tc>
      </w:tr>
      <w:tr w14:paraId="0D8EF1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239" w:hRule="atLeast"/>
          <w:jc w:val="center"/>
        </w:trPr>
        <w:tc>
          <w:tcPr>
            <w:tcW w:w="798" w:type="dxa"/>
            <w:vAlign w:val="center"/>
          </w:tcPr>
          <w:p w14:paraId="22A6E3B0">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9</w:t>
            </w:r>
          </w:p>
        </w:tc>
        <w:tc>
          <w:tcPr>
            <w:tcW w:w="1308" w:type="dxa"/>
            <w:vAlign w:val="center"/>
          </w:tcPr>
          <w:p w14:paraId="6D41FB29">
            <w:pPr>
              <w:ind w:left="-42" w:leftChars="-20" w:right="-42" w:rightChars="-20"/>
              <w:jc w:val="center"/>
              <w:rPr>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响应文件的封面</w:t>
            </w:r>
          </w:p>
        </w:tc>
        <w:tc>
          <w:tcPr>
            <w:tcW w:w="6478" w:type="dxa"/>
            <w:vAlign w:val="center"/>
          </w:tcPr>
          <w:p w14:paraId="2DC38082">
            <w:pPr>
              <w:rPr>
                <w:rFonts w:hint="eastAsia" w:hAnsi="宋体"/>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响应文件为A4大小</w:t>
            </w:r>
            <w:r>
              <w:rPr>
                <w:rFonts w:hint="eastAsia" w:hAnsi="宋体"/>
                <w:bCs/>
                <w:color w:val="000000" w:themeColor="text1"/>
                <w:szCs w:val="21"/>
                <w:highlight w:val="none"/>
                <w14:textFill>
                  <w14:solidFill>
                    <w14:schemeClr w14:val="tx1"/>
                  </w14:solidFill>
                </w14:textFill>
              </w:rPr>
              <w:t>，采用胶装方式装订；</w:t>
            </w:r>
          </w:p>
          <w:p w14:paraId="1502E811">
            <w:pPr>
              <w:rPr>
                <w:rFonts w:hint="eastAsia" w:hAnsi="宋体"/>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封面均</w:t>
            </w:r>
            <w:r>
              <w:rPr>
                <w:rFonts w:hint="eastAsia" w:hAnsi="宋体"/>
                <w:bCs/>
                <w:color w:val="000000" w:themeColor="text1"/>
                <w:szCs w:val="21"/>
                <w:highlight w:val="none"/>
                <w14:textFill>
                  <w14:solidFill>
                    <w14:schemeClr w14:val="tx1"/>
                  </w14:solidFill>
                </w14:textFill>
              </w:rPr>
              <w:t>按采购文件要求</w:t>
            </w:r>
            <w:r>
              <w:rPr>
                <w:rFonts w:hAnsi="宋体"/>
                <w:bCs/>
                <w:color w:val="000000" w:themeColor="text1"/>
                <w:szCs w:val="21"/>
                <w:highlight w:val="none"/>
                <w14:textFill>
                  <w14:solidFill>
                    <w14:schemeClr w14:val="tx1"/>
                  </w14:solidFill>
                </w14:textFill>
              </w:rPr>
              <w:t>以</w:t>
            </w:r>
            <w:r>
              <w:rPr>
                <w:rFonts w:hint="eastAsia" w:hAnsi="宋体"/>
                <w:bCs/>
                <w:color w:val="000000" w:themeColor="text1"/>
                <w:szCs w:val="21"/>
                <w:highlight w:val="none"/>
                <w14:textFill>
                  <w14:solidFill>
                    <w14:schemeClr w14:val="tx1"/>
                  </w14:solidFill>
                </w14:textFill>
              </w:rPr>
              <w:t>黑体字标明工程名称；</w:t>
            </w:r>
          </w:p>
          <w:p w14:paraId="490DDE27">
            <w:pPr>
              <w:rPr>
                <w:rFonts w:hint="eastAsia" w:hAnsi="宋体"/>
                <w:bCs/>
                <w:color w:val="000000" w:themeColor="text1"/>
                <w:szCs w:val="21"/>
                <w:highlight w:val="none"/>
                <w14:textFill>
                  <w14:solidFill>
                    <w14:schemeClr w14:val="tx1"/>
                  </w14:solidFill>
                </w14:textFill>
              </w:rPr>
            </w:pPr>
            <w:r>
              <w:rPr>
                <w:rFonts w:hint="eastAsia" w:hAnsi="宋体"/>
                <w:bCs/>
                <w:color w:val="000000" w:themeColor="text1"/>
                <w:szCs w:val="21"/>
                <w:highlight w:val="none"/>
                <w14:textFill>
                  <w14:solidFill>
                    <w14:schemeClr w14:val="tx1"/>
                  </w14:solidFill>
                </w14:textFill>
              </w:rPr>
              <w:t>封面内容、格式见“</w:t>
            </w:r>
            <w:r>
              <w:rPr>
                <w:color w:val="000000" w:themeColor="text1"/>
                <w:highlight w:val="none"/>
                <w14:textFill>
                  <w14:solidFill>
                    <w14:schemeClr w14:val="tx1"/>
                  </w14:solidFill>
                </w14:textFill>
              </w:rPr>
              <w:t>第</w:t>
            </w:r>
            <w:r>
              <w:rPr>
                <w:rFonts w:hint="eastAsia"/>
                <w:color w:val="000000" w:themeColor="text1"/>
                <w:highlight w:val="none"/>
                <w14:textFill>
                  <w14:solidFill>
                    <w14:schemeClr w14:val="tx1"/>
                  </w14:solidFill>
                </w14:textFill>
              </w:rPr>
              <w:t>六</w:t>
            </w:r>
            <w:r>
              <w:rPr>
                <w:color w:val="000000" w:themeColor="text1"/>
                <w:highlight w:val="none"/>
                <w14:textFill>
                  <w14:solidFill>
                    <w14:schemeClr w14:val="tx1"/>
                  </w14:solidFill>
                </w14:textFill>
              </w:rPr>
              <w:t>篇  响应文件格式</w:t>
            </w:r>
            <w:r>
              <w:rPr>
                <w:rFonts w:hint="eastAsia"/>
                <w:color w:val="000000" w:themeColor="text1"/>
                <w:highlight w:val="none"/>
                <w14:textFill>
                  <w14:solidFill>
                    <w14:schemeClr w14:val="tx1"/>
                  </w14:solidFill>
                </w14:textFill>
              </w:rPr>
              <w:t>”</w:t>
            </w:r>
          </w:p>
        </w:tc>
      </w:tr>
      <w:tr w14:paraId="2CDB3B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28" w:hRule="atLeast"/>
          <w:jc w:val="center"/>
        </w:trPr>
        <w:tc>
          <w:tcPr>
            <w:tcW w:w="798" w:type="dxa"/>
            <w:vAlign w:val="center"/>
          </w:tcPr>
          <w:p w14:paraId="087798D0">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w:t>
            </w:r>
            <w:r>
              <w:rPr>
                <w:rFonts w:hint="eastAsia"/>
                <w:color w:val="000000" w:themeColor="text1"/>
                <w:szCs w:val="21"/>
                <w:highlight w:val="none"/>
                <w14:textFill>
                  <w14:solidFill>
                    <w14:schemeClr w14:val="tx1"/>
                  </w14:solidFill>
                </w14:textFill>
              </w:rPr>
              <w:t>0</w:t>
            </w:r>
          </w:p>
        </w:tc>
        <w:tc>
          <w:tcPr>
            <w:tcW w:w="1308" w:type="dxa"/>
            <w:vAlign w:val="center"/>
          </w:tcPr>
          <w:p w14:paraId="5BF990A8">
            <w:pPr>
              <w:ind w:left="-42" w:leftChars="-20" w:right="-42" w:rightChars="-20"/>
              <w:jc w:val="center"/>
              <w:rPr>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响应文件</w:t>
            </w:r>
          </w:p>
          <w:p w14:paraId="1D921F11">
            <w:pPr>
              <w:jc w:val="center"/>
              <w:rPr>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有效期</w:t>
            </w:r>
          </w:p>
        </w:tc>
        <w:tc>
          <w:tcPr>
            <w:tcW w:w="6478" w:type="dxa"/>
            <w:vAlign w:val="center"/>
          </w:tcPr>
          <w:p w14:paraId="7AAB2753">
            <w:pPr>
              <w:rPr>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自响应文件递交截止日后</w:t>
            </w:r>
            <w:r>
              <w:rPr>
                <w:rFonts w:hint="eastAsia"/>
                <w:bCs/>
                <w:color w:val="000000" w:themeColor="text1"/>
                <w:szCs w:val="21"/>
                <w:highlight w:val="none"/>
                <w14:textFill>
                  <w14:solidFill>
                    <w14:schemeClr w14:val="tx1"/>
                  </w14:solidFill>
                </w14:textFill>
              </w:rPr>
              <w:t>90</w:t>
            </w:r>
            <w:r>
              <w:rPr>
                <w:rFonts w:hAnsi="宋体"/>
                <w:bCs/>
                <w:color w:val="000000" w:themeColor="text1"/>
                <w:szCs w:val="21"/>
                <w:highlight w:val="none"/>
                <w14:textFill>
                  <w14:solidFill>
                    <w14:schemeClr w14:val="tx1"/>
                  </w14:solidFill>
                </w14:textFill>
              </w:rPr>
              <w:t>日历天。</w:t>
            </w:r>
          </w:p>
        </w:tc>
      </w:tr>
      <w:tr w14:paraId="432E26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750" w:hRule="atLeast"/>
          <w:jc w:val="center"/>
        </w:trPr>
        <w:tc>
          <w:tcPr>
            <w:tcW w:w="798" w:type="dxa"/>
            <w:vAlign w:val="center"/>
          </w:tcPr>
          <w:p w14:paraId="0CC0CDAD">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w:t>
            </w:r>
            <w:r>
              <w:rPr>
                <w:rFonts w:hint="eastAsia"/>
                <w:color w:val="000000" w:themeColor="text1"/>
                <w:szCs w:val="21"/>
                <w:highlight w:val="none"/>
                <w14:textFill>
                  <w14:solidFill>
                    <w14:schemeClr w14:val="tx1"/>
                  </w14:solidFill>
                </w14:textFill>
              </w:rPr>
              <w:t>1</w:t>
            </w:r>
          </w:p>
        </w:tc>
        <w:tc>
          <w:tcPr>
            <w:tcW w:w="1308" w:type="dxa"/>
            <w:vAlign w:val="center"/>
          </w:tcPr>
          <w:p w14:paraId="1308A316">
            <w:pPr>
              <w:ind w:left="-42" w:leftChars="-20" w:right="-42" w:rightChars="-20"/>
              <w:jc w:val="center"/>
              <w:rPr>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响应担保</w:t>
            </w:r>
          </w:p>
        </w:tc>
        <w:tc>
          <w:tcPr>
            <w:tcW w:w="6478" w:type="dxa"/>
            <w:vAlign w:val="center"/>
          </w:tcPr>
          <w:p w14:paraId="7D666D21">
            <w:pPr>
              <w:rPr>
                <w:rFonts w:hint="eastAsia" w:hAnsi="宋体"/>
                <w:bCs/>
                <w:color w:val="000000" w:themeColor="text1"/>
                <w:szCs w:val="21"/>
                <w:highlight w:val="none"/>
                <w14:textFill>
                  <w14:solidFill>
                    <w14:schemeClr w14:val="tx1"/>
                  </w14:solidFill>
                </w14:textFill>
              </w:rPr>
            </w:pPr>
            <w:r>
              <w:rPr>
                <w:rFonts w:hint="eastAsia" w:hAnsi="宋体"/>
                <w:bCs/>
                <w:color w:val="000000" w:themeColor="text1"/>
                <w:szCs w:val="21"/>
                <w:highlight w:val="none"/>
                <w14:textFill>
                  <w14:solidFill>
                    <w14:schemeClr w14:val="tx1"/>
                  </w14:solidFill>
                </w14:textFill>
              </w:rPr>
              <w:t>响应担保金额：小写：</w:t>
            </w:r>
            <w:r>
              <w:rPr>
                <w:rFonts w:hint="eastAsia" w:hAnsi="宋体"/>
                <w:bCs/>
                <w:color w:val="000000" w:themeColor="text1"/>
                <w:szCs w:val="21"/>
                <w:highlight w:val="none"/>
                <w:lang w:val="en-US" w:eastAsia="zh-CN"/>
                <w14:textFill>
                  <w14:solidFill>
                    <w14:schemeClr w14:val="tx1"/>
                  </w14:solidFill>
                </w14:textFill>
              </w:rPr>
              <w:t>30000</w:t>
            </w:r>
            <w:r>
              <w:rPr>
                <w:rFonts w:hint="eastAsia" w:hAnsi="宋体"/>
                <w:bCs/>
                <w:color w:val="000000" w:themeColor="text1"/>
                <w:szCs w:val="21"/>
                <w:highlight w:val="none"/>
                <w14:textFill>
                  <w14:solidFill>
                    <w14:schemeClr w14:val="tx1"/>
                  </w14:solidFill>
                </w14:textFill>
              </w:rPr>
              <w:t>大写：</w:t>
            </w:r>
            <w:r>
              <w:rPr>
                <w:rFonts w:hint="eastAsia" w:hAnsi="宋体"/>
                <w:bCs/>
                <w:color w:val="000000" w:themeColor="text1"/>
                <w:szCs w:val="21"/>
                <w:highlight w:val="none"/>
                <w:u w:val="single"/>
                <w14:textFill>
                  <w14:solidFill>
                    <w14:schemeClr w14:val="tx1"/>
                  </w14:solidFill>
                </w14:textFill>
              </w:rPr>
              <w:t xml:space="preserve"> </w:t>
            </w:r>
            <w:r>
              <w:rPr>
                <w:rFonts w:hint="eastAsia" w:hAnsi="宋体"/>
                <w:bCs/>
                <w:color w:val="000000" w:themeColor="text1"/>
                <w:szCs w:val="21"/>
                <w:highlight w:val="none"/>
                <w:u w:val="single"/>
                <w:lang w:val="en-US" w:eastAsia="zh-CN"/>
                <w14:textFill>
                  <w14:solidFill>
                    <w14:schemeClr w14:val="tx1"/>
                  </w14:solidFill>
                </w14:textFill>
              </w:rPr>
              <w:t>叁</w:t>
            </w:r>
            <w:r>
              <w:rPr>
                <w:rFonts w:hint="eastAsia" w:hAnsi="宋体"/>
                <w:bCs/>
                <w:color w:val="000000" w:themeColor="text1"/>
                <w:szCs w:val="21"/>
                <w:highlight w:val="none"/>
                <w:u w:val="single"/>
                <w14:textFill>
                  <w14:solidFill>
                    <w14:schemeClr w14:val="tx1"/>
                  </w14:solidFill>
                </w14:textFill>
              </w:rPr>
              <w:t>万元</w:t>
            </w:r>
            <w:r>
              <w:rPr>
                <w:rFonts w:hint="eastAsia" w:hAnsi="宋体"/>
                <w:bCs/>
                <w:color w:val="000000" w:themeColor="text1"/>
                <w:szCs w:val="21"/>
                <w:highlight w:val="none"/>
                <w14:textFill>
                  <w14:solidFill>
                    <w14:schemeClr w14:val="tx1"/>
                  </w14:solidFill>
                </w14:textFill>
              </w:rPr>
              <w:t>整</w:t>
            </w:r>
          </w:p>
          <w:p w14:paraId="122EAC5C">
            <w:pPr>
              <w:rPr>
                <w:rFonts w:hint="eastAsia" w:hAnsi="宋体"/>
                <w:bCs/>
                <w:color w:val="000000" w:themeColor="text1"/>
                <w:szCs w:val="21"/>
                <w:highlight w:val="none"/>
                <w14:textFill>
                  <w14:solidFill>
                    <w14:schemeClr w14:val="tx1"/>
                  </w14:solidFill>
                </w14:textFill>
              </w:rPr>
            </w:pPr>
            <w:r>
              <w:rPr>
                <w:rFonts w:hint="eastAsia" w:hAnsi="宋体"/>
                <w:bCs/>
                <w:color w:val="000000" w:themeColor="text1"/>
                <w:szCs w:val="21"/>
                <w:highlight w:val="none"/>
                <w14:textFill>
                  <w14:solidFill>
                    <w14:schemeClr w14:val="tx1"/>
                  </w14:solidFill>
                </w14:textFill>
              </w:rPr>
              <w:t>响应保证金，在上交响应文件之前电汇汇入下列账户</w:t>
            </w:r>
          </w:p>
          <w:p w14:paraId="3D1C5669">
            <w:pPr>
              <w:rPr>
                <w:rFonts w:hint="eastAsia" w:hAnsi="宋体"/>
                <w:bCs/>
                <w:color w:val="000000" w:themeColor="text1"/>
                <w:szCs w:val="21"/>
                <w:highlight w:val="none"/>
                <w:lang w:val="en-US" w:eastAsia="zh-CN"/>
                <w14:textFill>
                  <w14:solidFill>
                    <w14:schemeClr w14:val="tx1"/>
                  </w14:solidFill>
                </w14:textFill>
              </w:rPr>
            </w:pPr>
            <w:r>
              <w:rPr>
                <w:rFonts w:hAnsi="宋体"/>
                <w:bCs/>
                <w:color w:val="000000" w:themeColor="text1"/>
                <w:szCs w:val="21"/>
                <w:highlight w:val="none"/>
                <w14:textFill>
                  <w14:solidFill>
                    <w14:schemeClr w14:val="tx1"/>
                  </w14:solidFill>
                </w14:textFill>
              </w:rPr>
              <w:t>账户名</w:t>
            </w:r>
            <w:r>
              <w:rPr>
                <w:rFonts w:hint="eastAsia" w:ascii="Times New Roman" w:hAnsi="宋体" w:eastAsia="宋体" w:cs="Times New Roman"/>
                <w:bCs/>
                <w:color w:val="000000" w:themeColor="text1"/>
                <w:szCs w:val="21"/>
                <w:highlight w:val="none"/>
                <w14:textFill>
                  <w14:solidFill>
                    <w14:schemeClr w14:val="tx1"/>
                  </w14:solidFill>
                </w14:textFill>
              </w:rPr>
              <w:t>称：中建路桥集团第二工程有限公司</w:t>
            </w:r>
          </w:p>
          <w:p w14:paraId="3A650F60">
            <w:pPr>
              <w:rPr>
                <w:rFonts w:hAnsi="宋体"/>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账</w:t>
            </w:r>
            <w:r>
              <w:rPr>
                <w:rFonts w:hint="eastAsia" w:hAnsi="宋体"/>
                <w:bCs/>
                <w:color w:val="000000" w:themeColor="text1"/>
                <w:szCs w:val="21"/>
                <w:highlight w:val="none"/>
                <w14:textFill>
                  <w14:solidFill>
                    <w14:schemeClr w14:val="tx1"/>
                  </w14:solidFill>
                </w14:textFill>
              </w:rPr>
              <w:t xml:space="preserve">    </w:t>
            </w:r>
            <w:r>
              <w:rPr>
                <w:rFonts w:hAnsi="宋体"/>
                <w:bCs/>
                <w:color w:val="000000" w:themeColor="text1"/>
                <w:szCs w:val="21"/>
                <w:highlight w:val="none"/>
                <w14:textFill>
                  <w14:solidFill>
                    <w14:schemeClr w14:val="tx1"/>
                  </w14:solidFill>
                </w14:textFill>
              </w:rPr>
              <w:t>号</w:t>
            </w:r>
            <w:r>
              <w:rPr>
                <w:rFonts w:hint="eastAsia" w:ascii="Times New Roman" w:hAnsi="宋体" w:eastAsia="宋体" w:cs="Times New Roman"/>
                <w:bCs/>
                <w:color w:val="000000" w:themeColor="text1"/>
                <w:szCs w:val="21"/>
                <w:highlight w:val="none"/>
                <w14:textFill>
                  <w14:solidFill>
                    <w14:schemeClr w14:val="tx1"/>
                  </w14:solidFill>
                </w14:textFill>
              </w:rPr>
              <w:t xml:space="preserve">：800136608100016 </w:t>
            </w:r>
          </w:p>
          <w:p w14:paraId="117554AA">
            <w:pPr>
              <w:rPr>
                <w:rFonts w:hint="eastAsia"/>
                <w:color w:val="000000" w:themeColor="text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开户银</w:t>
            </w:r>
            <w:r>
              <w:rPr>
                <w:rFonts w:hint="eastAsia" w:ascii="Times New Roman" w:hAnsi="宋体" w:eastAsia="宋体" w:cs="Times New Roman"/>
                <w:bCs/>
                <w:color w:val="000000" w:themeColor="text1"/>
                <w:szCs w:val="21"/>
                <w:highlight w:val="none"/>
                <w14:textFill>
                  <w14:solidFill>
                    <w14:schemeClr w14:val="tx1"/>
                  </w14:solidFill>
                </w14:textFill>
              </w:rPr>
              <w:t>行：广西北部湾银行南宁市琅东支行</w:t>
            </w:r>
          </w:p>
          <w:p w14:paraId="0D5763E2">
            <w:pPr>
              <w:rPr>
                <w:rFonts w:hint="eastAsia" w:hAnsi="宋体"/>
                <w:bCs/>
                <w:color w:val="000000" w:themeColor="text1"/>
                <w:szCs w:val="21"/>
                <w:highlight w:val="none"/>
                <w14:textFill>
                  <w14:solidFill>
                    <w14:schemeClr w14:val="tx1"/>
                  </w14:solidFill>
                </w14:textFill>
              </w:rPr>
            </w:pPr>
            <w:r>
              <w:rPr>
                <w:rFonts w:hint="eastAsia" w:hAnsi="宋体"/>
                <w:bCs/>
                <w:color w:val="000000" w:themeColor="text1"/>
                <w:szCs w:val="21"/>
                <w:highlight w:val="none"/>
                <w14:textFill>
                  <w14:solidFill>
                    <w14:schemeClr w14:val="tx1"/>
                  </w14:solidFill>
                </w14:textFill>
              </w:rPr>
              <w:t>重要说明：以</w:t>
            </w:r>
            <w:r>
              <w:rPr>
                <w:rFonts w:hint="eastAsia" w:hAnsi="宋体"/>
                <w:bCs/>
                <w:color w:val="000000" w:themeColor="text1"/>
                <w:szCs w:val="21"/>
                <w:highlight w:val="none"/>
                <w:lang w:val="en-US" w:eastAsia="zh-CN"/>
                <w14:textFill>
                  <w14:solidFill>
                    <w14:schemeClr w14:val="tx1"/>
                  </w14:solidFill>
                </w14:textFill>
              </w:rPr>
              <w:t>响应单位</w:t>
            </w:r>
            <w:r>
              <w:rPr>
                <w:rFonts w:hint="eastAsia" w:hAnsi="宋体"/>
                <w:bCs/>
                <w:color w:val="000000" w:themeColor="text1"/>
                <w:szCs w:val="21"/>
                <w:highlight w:val="none"/>
                <w14:textFill>
                  <w14:solidFill>
                    <w14:schemeClr w14:val="tx1"/>
                  </w14:solidFill>
                </w14:textFill>
              </w:rPr>
              <w:t>基本账户汇入，请注明“</w:t>
            </w:r>
            <w:r>
              <w:rPr>
                <w:rFonts w:hint="eastAsia" w:hAnsi="宋体"/>
                <w:bCs/>
                <w:color w:val="000000" w:themeColor="text1"/>
                <w:szCs w:val="21"/>
                <w:highlight w:val="none"/>
                <w:lang w:eastAsia="zh-CN"/>
                <w14:textFill>
                  <w14:solidFill>
                    <w14:schemeClr w14:val="tx1"/>
                  </w14:solidFill>
                </w14:textFill>
              </w:rPr>
              <w:t>海兴高速项目海兴盐场特大桥便道维修、挡捻土工布施工</w:t>
            </w:r>
            <w:r>
              <w:rPr>
                <w:rFonts w:hint="eastAsia" w:hAnsi="宋体"/>
                <w:bCs/>
                <w:color w:val="000000" w:themeColor="text1"/>
                <w:szCs w:val="21"/>
                <w:highlight w:val="none"/>
                <w14:textFill>
                  <w14:solidFill>
                    <w14:schemeClr w14:val="tx1"/>
                  </w14:solidFill>
                </w14:textFill>
              </w:rPr>
              <w:t>工程</w:t>
            </w:r>
            <w:r>
              <w:rPr>
                <w:rFonts w:hint="eastAsia" w:hAnsi="宋体"/>
                <w:bCs/>
                <w:color w:val="000000" w:themeColor="text1"/>
                <w:szCs w:val="21"/>
                <w:highlight w:val="none"/>
                <w:lang w:val="en-US" w:eastAsia="zh-CN"/>
                <w14:textFill>
                  <w14:solidFill>
                    <w14:schemeClr w14:val="tx1"/>
                  </w14:solidFill>
                </w14:textFill>
              </w:rPr>
              <w:t>响应</w:t>
            </w:r>
            <w:r>
              <w:rPr>
                <w:rFonts w:hint="eastAsia"/>
                <w:color w:val="000000" w:themeColor="text1"/>
                <w:highlight w:val="none"/>
                <w:lang w:val="en-US" w:eastAsia="zh-CN"/>
                <w14:textFill>
                  <w14:solidFill>
                    <w14:schemeClr w14:val="tx1"/>
                  </w14:solidFill>
                </w14:textFill>
              </w:rPr>
              <w:t>保证金</w:t>
            </w:r>
            <w:r>
              <w:rPr>
                <w:rFonts w:hint="eastAsia" w:hAnsi="宋体"/>
                <w:bCs/>
                <w:color w:val="000000" w:themeColor="text1"/>
                <w:szCs w:val="21"/>
                <w:highlight w:val="none"/>
                <w14:textFill>
                  <w14:solidFill>
                    <w14:schemeClr w14:val="tx1"/>
                  </w14:solidFill>
                </w14:textFill>
              </w:rPr>
              <w:t>”。</w:t>
            </w:r>
          </w:p>
          <w:p w14:paraId="04FBC4A5">
            <w:pPr>
              <w:rPr>
                <w:rFonts w:hint="default" w:hAnsi="宋体" w:eastAsia="宋体"/>
                <w:bCs/>
                <w:color w:val="000000" w:themeColor="text1"/>
                <w:szCs w:val="21"/>
                <w:highlight w:val="none"/>
                <w:lang w:val="en-US" w:eastAsia="zh-CN"/>
                <w14:textFill>
                  <w14:solidFill>
                    <w14:schemeClr w14:val="tx1"/>
                  </w14:solidFill>
                </w14:textFill>
              </w:rPr>
            </w:pPr>
            <w:r>
              <w:rPr>
                <w:rFonts w:hint="eastAsia" w:hAnsi="宋体"/>
                <w:bCs/>
                <w:color w:val="000000" w:themeColor="text1"/>
                <w:szCs w:val="21"/>
                <w:highlight w:val="none"/>
                <w:lang w:val="en-US" w:eastAsia="zh-CN"/>
                <w14:textFill>
                  <w14:solidFill>
                    <w14:schemeClr w14:val="tx1"/>
                  </w14:solidFill>
                </w14:textFill>
              </w:rPr>
              <w:t>响应单位提供响应担保时也可选择电子保函（保险）等方式，由响应单位自主进行选择。</w:t>
            </w:r>
          </w:p>
          <w:p w14:paraId="74DC6916">
            <w:pPr>
              <w:rPr>
                <w:rFonts w:hint="eastAsia" w:hAnsi="宋体"/>
                <w:b/>
                <w:color w:val="000000" w:themeColor="text1"/>
                <w:szCs w:val="21"/>
                <w:highlight w:val="none"/>
                <w14:textFill>
                  <w14:solidFill>
                    <w14:schemeClr w14:val="tx1"/>
                  </w14:solidFill>
                </w14:textFill>
              </w:rPr>
            </w:pPr>
            <w:r>
              <w:rPr>
                <w:rFonts w:hint="eastAsia" w:hAnsi="宋体"/>
                <w:b/>
                <w:bCs w:val="0"/>
                <w:color w:val="000000" w:themeColor="text1"/>
                <w:szCs w:val="21"/>
                <w:highlight w:val="none"/>
                <w14:textFill>
                  <w14:solidFill>
                    <w14:schemeClr w14:val="tx1"/>
                  </w14:solidFill>
                </w14:textFill>
              </w:rPr>
              <w:t>采用银行保函时，须为见索即付保函</w:t>
            </w:r>
            <w:r>
              <w:rPr>
                <w:rFonts w:hint="eastAsia" w:hAnsi="宋体"/>
                <w:bCs/>
                <w:color w:val="000000" w:themeColor="text1"/>
                <w:szCs w:val="21"/>
                <w:highlight w:val="none"/>
                <w14:textFill>
                  <w14:solidFill>
                    <w14:schemeClr w14:val="tx1"/>
                  </w14:solidFill>
                </w14:textFill>
              </w:rPr>
              <w:t>。</w:t>
            </w:r>
          </w:p>
        </w:tc>
      </w:tr>
      <w:tr w14:paraId="72D14A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247" w:hRule="atLeast"/>
          <w:jc w:val="center"/>
        </w:trPr>
        <w:tc>
          <w:tcPr>
            <w:tcW w:w="798" w:type="dxa"/>
            <w:vAlign w:val="center"/>
          </w:tcPr>
          <w:p w14:paraId="0F2503D5">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xml:space="preserve">12 </w:t>
            </w:r>
          </w:p>
        </w:tc>
        <w:tc>
          <w:tcPr>
            <w:tcW w:w="1308" w:type="dxa"/>
            <w:vAlign w:val="center"/>
          </w:tcPr>
          <w:p w14:paraId="1D6C1936">
            <w:pPr>
              <w:ind w:left="-42" w:leftChars="-20" w:right="-42" w:rightChars="-20"/>
              <w:jc w:val="center"/>
              <w:rPr>
                <w:rFonts w:hint="eastAsia" w:hAnsi="宋体"/>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采购控制价</w:t>
            </w:r>
          </w:p>
        </w:tc>
        <w:tc>
          <w:tcPr>
            <w:tcW w:w="6478" w:type="dxa"/>
            <w:vAlign w:val="center"/>
          </w:tcPr>
          <w:p w14:paraId="4B12CFBC">
            <w:pPr>
              <w:rPr>
                <w:rFonts w:hint="eastAsia" w:hAnsi="宋体"/>
                <w:bCs/>
                <w:color w:val="000000" w:themeColor="text1"/>
                <w:szCs w:val="21"/>
                <w:highlight w:val="none"/>
                <w:u w:val="single"/>
                <w14:textFill>
                  <w14:solidFill>
                    <w14:schemeClr w14:val="tx1"/>
                  </w14:solidFill>
                </w14:textFill>
              </w:rPr>
            </w:pPr>
            <w:r>
              <w:rPr>
                <w:rFonts w:hAnsi="宋体"/>
                <w:bCs/>
                <w:color w:val="000000" w:themeColor="text1"/>
                <w:szCs w:val="21"/>
                <w:highlight w:val="none"/>
                <w14:textFill>
                  <w14:solidFill>
                    <w14:schemeClr w14:val="tx1"/>
                  </w14:solidFill>
                </w14:textFill>
              </w:rPr>
              <w:t>最高</w:t>
            </w:r>
            <w:r>
              <w:rPr>
                <w:rFonts w:hint="eastAsia" w:hAnsi="宋体"/>
                <w:bCs/>
                <w:color w:val="000000" w:themeColor="text1"/>
                <w:szCs w:val="21"/>
                <w:highlight w:val="none"/>
                <w14:textFill>
                  <w14:solidFill>
                    <w14:schemeClr w14:val="tx1"/>
                  </w14:solidFill>
                </w14:textFill>
              </w:rPr>
              <w:t>采购</w:t>
            </w:r>
            <w:r>
              <w:rPr>
                <w:rFonts w:hAnsi="宋体"/>
                <w:bCs/>
                <w:color w:val="000000" w:themeColor="text1"/>
                <w:szCs w:val="21"/>
                <w:highlight w:val="none"/>
                <w14:textFill>
                  <w14:solidFill>
                    <w14:schemeClr w14:val="tx1"/>
                  </w14:solidFill>
                </w14:textFill>
              </w:rPr>
              <w:t>限价为</w:t>
            </w:r>
            <w:r>
              <w:rPr>
                <w:rFonts w:hint="eastAsia" w:hAnsi="宋体"/>
                <w:bCs/>
                <w:color w:val="000000" w:themeColor="text1"/>
                <w:szCs w:val="21"/>
                <w:highlight w:val="none"/>
                <w:u w:val="single"/>
                <w14:textFill>
                  <w14:solidFill>
                    <w14:schemeClr w14:val="tx1"/>
                  </w14:solidFill>
                </w14:textFill>
              </w:rPr>
              <w:t xml:space="preserve"> </w:t>
            </w:r>
            <w:r>
              <w:rPr>
                <w:rFonts w:hint="eastAsia" w:hAnsi="宋体"/>
                <w:bCs/>
                <w:color w:val="000000" w:themeColor="text1"/>
                <w:szCs w:val="21"/>
                <w:highlight w:val="none"/>
                <w:u w:val="single"/>
                <w:lang w:val="en-US" w:eastAsia="zh-CN"/>
                <w14:textFill>
                  <w14:solidFill>
                    <w14:schemeClr w14:val="tx1"/>
                  </w14:solidFill>
                </w14:textFill>
              </w:rPr>
              <w:t>4613861.48</w:t>
            </w:r>
            <w:r>
              <w:rPr>
                <w:rFonts w:hint="eastAsia" w:hAnsi="宋体"/>
                <w:bCs/>
                <w:color w:val="000000" w:themeColor="text1"/>
                <w:szCs w:val="21"/>
                <w:highlight w:val="none"/>
                <w14:textFill>
                  <w14:solidFill>
                    <w14:schemeClr w14:val="tx1"/>
                  </w14:solidFill>
                </w14:textFill>
              </w:rPr>
              <w:t>元</w:t>
            </w:r>
            <w:r>
              <w:rPr>
                <w:rFonts w:hint="eastAsia" w:hAnsi="宋体"/>
                <w:bCs/>
                <w:color w:val="000000" w:themeColor="text1"/>
                <w:szCs w:val="21"/>
                <w:highlight w:val="none"/>
                <w14:textFill>
                  <w14:solidFill>
                    <w14:schemeClr w14:val="tx1"/>
                  </w14:solidFill>
                </w14:textFill>
              </w:rPr>
              <w:t>，报价金额超过最高采购限价的，按废标处理。</w:t>
            </w:r>
          </w:p>
        </w:tc>
      </w:tr>
      <w:tr w14:paraId="03C2BA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55" w:hRule="atLeast"/>
          <w:jc w:val="center"/>
        </w:trPr>
        <w:tc>
          <w:tcPr>
            <w:tcW w:w="798" w:type="dxa"/>
            <w:vAlign w:val="center"/>
          </w:tcPr>
          <w:p w14:paraId="41B3CC93">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13</w:t>
            </w:r>
          </w:p>
        </w:tc>
        <w:tc>
          <w:tcPr>
            <w:tcW w:w="1308" w:type="dxa"/>
            <w:vAlign w:val="center"/>
          </w:tcPr>
          <w:p w14:paraId="359FB49E">
            <w:pPr>
              <w:ind w:left="-42" w:leftChars="-20" w:right="-42" w:rightChars="-20"/>
              <w:jc w:val="center"/>
              <w:rPr>
                <w:rFonts w:hint="eastAsia" w:hAnsi="宋体"/>
                <w:bCs/>
                <w:color w:val="000000" w:themeColor="text1"/>
                <w:szCs w:val="21"/>
                <w:highlight w:val="none"/>
                <w14:textFill>
                  <w14:solidFill>
                    <w14:schemeClr w14:val="tx1"/>
                  </w14:solidFill>
                </w14:textFill>
              </w:rPr>
            </w:pPr>
            <w:r>
              <w:rPr>
                <w:rFonts w:hint="eastAsia" w:hAnsi="宋体"/>
                <w:bCs/>
                <w:color w:val="000000" w:themeColor="text1"/>
                <w:szCs w:val="21"/>
                <w:highlight w:val="none"/>
                <w14:textFill>
                  <w14:solidFill>
                    <w14:schemeClr w14:val="tx1"/>
                  </w14:solidFill>
                </w14:textFill>
              </w:rPr>
              <w:t>响应</w:t>
            </w:r>
            <w:r>
              <w:rPr>
                <w:rFonts w:hAnsi="宋体"/>
                <w:bCs/>
                <w:color w:val="000000" w:themeColor="text1"/>
                <w:szCs w:val="21"/>
                <w:highlight w:val="none"/>
                <w14:textFill>
                  <w14:solidFill>
                    <w14:schemeClr w14:val="tx1"/>
                  </w14:solidFill>
                </w14:textFill>
              </w:rPr>
              <w:t>截止</w:t>
            </w:r>
          </w:p>
          <w:p w14:paraId="7677B63A">
            <w:pPr>
              <w:ind w:left="-42" w:leftChars="-20" w:right="-42" w:rightChars="-20"/>
              <w:jc w:val="center"/>
              <w:rPr>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时间</w:t>
            </w:r>
          </w:p>
        </w:tc>
        <w:tc>
          <w:tcPr>
            <w:tcW w:w="6478" w:type="dxa"/>
            <w:vAlign w:val="center"/>
          </w:tcPr>
          <w:p w14:paraId="41E9530E">
            <w:pPr>
              <w:rPr>
                <w:bCs/>
                <w:color w:val="000000" w:themeColor="text1"/>
                <w:szCs w:val="21"/>
                <w:highlight w:val="none"/>
                <w14:textFill>
                  <w14:solidFill>
                    <w14:schemeClr w14:val="tx1"/>
                  </w14:solidFill>
                </w14:textFill>
              </w:rPr>
            </w:pPr>
            <w:r>
              <w:rPr>
                <w:rFonts w:hint="eastAsia" w:hAnsi="宋体"/>
                <w:color w:val="000000" w:themeColor="text1"/>
                <w:szCs w:val="21"/>
                <w:highlight w:val="none"/>
                <w:u w:val="single"/>
                <w14:textFill>
                  <w14:solidFill>
                    <w14:schemeClr w14:val="tx1"/>
                  </w14:solidFill>
                </w14:textFill>
              </w:rPr>
              <w:t>海兴高速项目海兴盐场特大桥便道维修、挡捻土工布施工分包工程</w:t>
            </w:r>
            <w:r>
              <w:rPr>
                <w:rFonts w:hint="eastAsia" w:hAnsi="宋体"/>
                <w:bCs/>
                <w:color w:val="000000" w:themeColor="text1"/>
                <w:szCs w:val="21"/>
                <w:highlight w:val="none"/>
                <w:lang w:val="en-US" w:eastAsia="zh-CN"/>
                <w14:textFill>
                  <w14:solidFill>
                    <w14:schemeClr w14:val="tx1"/>
                  </w14:solidFill>
                </w14:textFill>
              </w:rPr>
              <w:t>采购</w:t>
            </w:r>
            <w:r>
              <w:rPr>
                <w:rFonts w:hAnsi="宋体"/>
                <w:bCs/>
                <w:color w:val="000000" w:themeColor="text1"/>
                <w:szCs w:val="21"/>
                <w:highlight w:val="none"/>
                <w14:textFill>
                  <w14:solidFill>
                    <w14:schemeClr w14:val="tx1"/>
                  </w14:solidFill>
                </w14:textFill>
              </w:rPr>
              <w:t>文件</w:t>
            </w:r>
            <w:r>
              <w:rPr>
                <w:rFonts w:hint="eastAsia" w:hAnsi="宋体"/>
                <w:bCs/>
                <w:color w:val="000000" w:themeColor="text1"/>
                <w:szCs w:val="21"/>
                <w:highlight w:val="none"/>
                <w:lang w:eastAsia="zh-CN"/>
                <w14:textFill>
                  <w14:solidFill>
                    <w14:schemeClr w14:val="tx1"/>
                  </w14:solidFill>
                </w14:textFill>
              </w:rPr>
              <w:t>；</w:t>
            </w:r>
            <w:r>
              <w:rPr>
                <w:rFonts w:hAnsi="宋体"/>
                <w:bCs/>
                <w:color w:val="000000" w:themeColor="text1"/>
                <w:szCs w:val="21"/>
                <w:highlight w:val="none"/>
                <w14:textFill>
                  <w14:solidFill>
                    <w14:schemeClr w14:val="tx1"/>
                  </w14:solidFill>
                </w14:textFill>
              </w:rPr>
              <w:t>本文件在</w:t>
            </w:r>
            <w:r>
              <w:rPr>
                <w:rFonts w:hint="eastAsia"/>
                <w:bCs/>
                <w:color w:val="000000" w:themeColor="text1"/>
                <w:szCs w:val="21"/>
                <w:highlight w:val="none"/>
                <w:lang w:val="en-US" w:eastAsia="zh-CN"/>
                <w14:textFill>
                  <w14:solidFill>
                    <w14:schemeClr w14:val="tx1"/>
                  </w14:solidFill>
                </w14:textFill>
              </w:rPr>
              <w:t>2026</w:t>
            </w:r>
            <w:r>
              <w:rPr>
                <w:rFonts w:hAnsi="宋体"/>
                <w:bCs/>
                <w:color w:val="000000" w:themeColor="text1"/>
                <w:szCs w:val="21"/>
                <w:highlight w:val="none"/>
                <w14:textFill>
                  <w14:solidFill>
                    <w14:schemeClr w14:val="tx1"/>
                  </w14:solidFill>
                </w14:textFill>
              </w:rPr>
              <w:t>年</w:t>
            </w:r>
            <w:r>
              <w:rPr>
                <w:rFonts w:hint="eastAsia"/>
                <w:bCs/>
                <w:color w:val="000000" w:themeColor="text1"/>
                <w:szCs w:val="21"/>
                <w:highlight w:val="none"/>
                <w14:textFill>
                  <w14:solidFill>
                    <w14:schemeClr w14:val="tx1"/>
                  </w14:solidFill>
                </w14:textFill>
              </w:rPr>
              <w:t xml:space="preserve"> </w:t>
            </w:r>
            <w:r>
              <w:rPr>
                <w:rFonts w:hint="eastAsia"/>
                <w:bCs/>
                <w:color w:val="000000" w:themeColor="text1"/>
                <w:szCs w:val="21"/>
                <w:highlight w:val="none"/>
                <w:lang w:val="en-US" w:eastAsia="zh-CN"/>
                <w14:textFill>
                  <w14:solidFill>
                    <w14:schemeClr w14:val="tx1"/>
                  </w14:solidFill>
                </w14:textFill>
              </w:rPr>
              <w:t xml:space="preserve">09 </w:t>
            </w:r>
            <w:r>
              <w:rPr>
                <w:rFonts w:hAnsi="宋体"/>
                <w:bCs/>
                <w:color w:val="000000" w:themeColor="text1"/>
                <w:szCs w:val="21"/>
                <w:highlight w:val="none"/>
                <w14:textFill>
                  <w14:solidFill>
                    <w14:schemeClr w14:val="tx1"/>
                  </w14:solidFill>
                </w14:textFill>
              </w:rPr>
              <w:t>月</w:t>
            </w:r>
            <w:r>
              <w:rPr>
                <w:rFonts w:hint="eastAsia" w:hAnsi="宋体"/>
                <w:bCs/>
                <w:color w:val="000000" w:themeColor="text1"/>
                <w:szCs w:val="21"/>
                <w:highlight w:val="none"/>
                <w:lang w:val="en-US" w:eastAsia="zh-CN"/>
                <w14:textFill>
                  <w14:solidFill>
                    <w14:schemeClr w14:val="tx1"/>
                  </w14:solidFill>
                </w14:textFill>
              </w:rPr>
              <w:t>08</w:t>
            </w:r>
            <w:r>
              <w:rPr>
                <w:rFonts w:hAnsi="宋体"/>
                <w:bCs/>
                <w:color w:val="000000" w:themeColor="text1"/>
                <w:szCs w:val="21"/>
                <w:highlight w:val="none"/>
                <w14:textFill>
                  <w14:solidFill>
                    <w14:schemeClr w14:val="tx1"/>
                  </w14:solidFill>
                </w14:textFill>
              </w:rPr>
              <w:t>日</w:t>
            </w:r>
            <w:r>
              <w:rPr>
                <w:rFonts w:hint="eastAsia" w:hAnsi="宋体"/>
                <w:bCs/>
                <w:color w:val="000000" w:themeColor="text1"/>
                <w:szCs w:val="21"/>
                <w:highlight w:val="none"/>
                <w14:textFill>
                  <w14:solidFill>
                    <w14:schemeClr w14:val="tx1"/>
                  </w14:solidFill>
                </w14:textFill>
              </w:rPr>
              <w:t xml:space="preserve"> </w:t>
            </w:r>
            <w:r>
              <w:rPr>
                <w:rFonts w:hint="eastAsia" w:hAnsi="宋体"/>
                <w:bCs/>
                <w:color w:val="000000" w:themeColor="text1"/>
                <w:szCs w:val="21"/>
                <w:highlight w:val="none"/>
                <w:lang w:val="en-US" w:eastAsia="zh-CN"/>
                <w14:textFill>
                  <w14:solidFill>
                    <w14:schemeClr w14:val="tx1"/>
                  </w14:solidFill>
                </w14:textFill>
              </w:rPr>
              <w:t>15</w:t>
            </w:r>
            <w:r>
              <w:rPr>
                <w:rFonts w:hint="eastAsia" w:hAnsi="宋体"/>
                <w:bCs/>
                <w:color w:val="000000" w:themeColor="text1"/>
                <w:szCs w:val="21"/>
                <w:highlight w:val="none"/>
                <w14:textFill>
                  <w14:solidFill>
                    <w14:schemeClr w14:val="tx1"/>
                  </w14:solidFill>
                </w14:textFill>
              </w:rPr>
              <w:t xml:space="preserve"> </w:t>
            </w:r>
            <w:r>
              <w:rPr>
                <w:rFonts w:hAnsi="宋体"/>
                <w:bCs/>
                <w:color w:val="000000" w:themeColor="text1"/>
                <w:szCs w:val="21"/>
                <w:highlight w:val="none"/>
                <w14:textFill>
                  <w14:solidFill>
                    <w14:schemeClr w14:val="tx1"/>
                  </w14:solidFill>
                </w14:textFill>
              </w:rPr>
              <w:t>时</w:t>
            </w:r>
            <w:r>
              <w:rPr>
                <w:rFonts w:hAnsi="宋体"/>
                <w:bCs/>
                <w:color w:val="000000" w:themeColor="text1"/>
                <w:szCs w:val="21"/>
                <w:highlight w:val="none"/>
                <w14:textFill>
                  <w14:solidFill>
                    <w14:schemeClr w14:val="tx1"/>
                  </w14:solidFill>
                </w14:textFill>
              </w:rPr>
              <w:t>前不得开封</w:t>
            </w:r>
          </w:p>
        </w:tc>
      </w:tr>
      <w:tr w14:paraId="7A1DC7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55" w:hRule="atLeast"/>
          <w:jc w:val="center"/>
        </w:trPr>
        <w:tc>
          <w:tcPr>
            <w:tcW w:w="798" w:type="dxa"/>
            <w:vAlign w:val="center"/>
          </w:tcPr>
          <w:p w14:paraId="11939926">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w:t>
            </w:r>
            <w:r>
              <w:rPr>
                <w:rFonts w:hint="eastAsia"/>
                <w:color w:val="000000" w:themeColor="text1"/>
                <w:szCs w:val="21"/>
                <w:highlight w:val="none"/>
                <w14:textFill>
                  <w14:solidFill>
                    <w14:schemeClr w14:val="tx1"/>
                  </w14:solidFill>
                </w14:textFill>
              </w:rPr>
              <w:t>5</w:t>
            </w:r>
          </w:p>
        </w:tc>
        <w:tc>
          <w:tcPr>
            <w:tcW w:w="1308" w:type="dxa"/>
            <w:vAlign w:val="center"/>
          </w:tcPr>
          <w:p w14:paraId="29763378">
            <w:pPr>
              <w:ind w:left="-42" w:leftChars="-20" w:right="-42" w:rightChars="-20"/>
              <w:jc w:val="center"/>
              <w:rPr>
                <w:bCs/>
                <w:color w:val="000000" w:themeColor="text1"/>
                <w:szCs w:val="21"/>
                <w:highlight w:val="none"/>
                <w14:textFill>
                  <w14:solidFill>
                    <w14:schemeClr w14:val="tx1"/>
                  </w14:solidFill>
                </w14:textFill>
              </w:rPr>
            </w:pPr>
            <w:r>
              <w:rPr>
                <w:rFonts w:hint="eastAsia" w:hAnsi="宋体"/>
                <w:bCs/>
                <w:color w:val="000000" w:themeColor="text1"/>
                <w:szCs w:val="21"/>
                <w:highlight w:val="none"/>
                <w14:textFill>
                  <w14:solidFill>
                    <w14:schemeClr w14:val="tx1"/>
                  </w14:solidFill>
                </w14:textFill>
              </w:rPr>
              <w:t>开启响应文件</w:t>
            </w:r>
          </w:p>
        </w:tc>
        <w:tc>
          <w:tcPr>
            <w:tcW w:w="6478" w:type="dxa"/>
            <w:vAlign w:val="center"/>
          </w:tcPr>
          <w:p w14:paraId="76D785E3">
            <w:pPr>
              <w:rPr>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开启响应文件时间：</w:t>
            </w:r>
            <w:r>
              <w:rPr>
                <w:rFonts w:hint="eastAsia" w:hAnsi="宋体"/>
                <w:bCs/>
                <w:color w:val="000000" w:themeColor="text1"/>
                <w:szCs w:val="21"/>
                <w:highlight w:val="none"/>
                <w:lang w:val="en-US" w:eastAsia="zh-CN"/>
                <w14:textFill>
                  <w14:solidFill>
                    <w14:schemeClr w14:val="tx1"/>
                  </w14:solidFill>
                </w14:textFill>
              </w:rPr>
              <w:t>2026</w:t>
            </w:r>
            <w:r>
              <w:rPr>
                <w:rFonts w:hAnsi="宋体"/>
                <w:bCs/>
                <w:color w:val="000000" w:themeColor="text1"/>
                <w:szCs w:val="21"/>
                <w:highlight w:val="none"/>
                <w14:textFill>
                  <w14:solidFill>
                    <w14:schemeClr w14:val="tx1"/>
                  </w14:solidFill>
                </w14:textFill>
              </w:rPr>
              <w:t>年</w:t>
            </w:r>
            <w:r>
              <w:rPr>
                <w:rFonts w:hint="eastAsia" w:hAnsi="宋体"/>
                <w:bCs/>
                <w:color w:val="000000" w:themeColor="text1"/>
                <w:szCs w:val="21"/>
                <w:highlight w:val="none"/>
                <w:lang w:val="en-US" w:eastAsia="zh-CN"/>
                <w14:textFill>
                  <w14:solidFill>
                    <w14:schemeClr w14:val="tx1"/>
                  </w14:solidFill>
                </w14:textFill>
              </w:rPr>
              <w:t>09</w:t>
            </w:r>
            <w:r>
              <w:rPr>
                <w:rFonts w:hAnsi="宋体"/>
                <w:bCs/>
                <w:color w:val="000000" w:themeColor="text1"/>
                <w:szCs w:val="21"/>
                <w:highlight w:val="none"/>
                <w14:textFill>
                  <w14:solidFill>
                    <w14:schemeClr w14:val="tx1"/>
                  </w14:solidFill>
                </w14:textFill>
              </w:rPr>
              <w:t>月</w:t>
            </w:r>
            <w:r>
              <w:rPr>
                <w:rFonts w:hint="eastAsia" w:hAnsi="宋体"/>
                <w:bCs/>
                <w:color w:val="000000" w:themeColor="text1"/>
                <w:szCs w:val="21"/>
                <w:highlight w:val="none"/>
                <w:lang w:val="en-US" w:eastAsia="zh-CN"/>
                <w14:textFill>
                  <w14:solidFill>
                    <w14:schemeClr w14:val="tx1"/>
                  </w14:solidFill>
                </w14:textFill>
              </w:rPr>
              <w:t>08</w:t>
            </w:r>
            <w:r>
              <w:rPr>
                <w:rFonts w:hAnsi="宋体"/>
                <w:bCs/>
                <w:color w:val="000000" w:themeColor="text1"/>
                <w:szCs w:val="21"/>
                <w:highlight w:val="none"/>
                <w14:textFill>
                  <w14:solidFill>
                    <w14:schemeClr w14:val="tx1"/>
                  </w14:solidFill>
                </w14:textFill>
              </w:rPr>
              <w:t>日</w:t>
            </w:r>
            <w:r>
              <w:rPr>
                <w:rFonts w:hint="eastAsia" w:hAnsi="宋体"/>
                <w:bCs/>
                <w:color w:val="000000" w:themeColor="text1"/>
                <w:szCs w:val="21"/>
                <w:highlight w:val="none"/>
                <w:lang w:val="en-US" w:eastAsia="zh-CN"/>
                <w14:textFill>
                  <w14:solidFill>
                    <w14:schemeClr w14:val="tx1"/>
                  </w14:solidFill>
                </w14:textFill>
              </w:rPr>
              <w:t>15</w:t>
            </w:r>
            <w:r>
              <w:rPr>
                <w:rFonts w:hint="eastAsia" w:hAnsi="宋体"/>
                <w:bCs/>
                <w:color w:val="000000" w:themeColor="text1"/>
                <w:szCs w:val="21"/>
                <w:highlight w:val="none"/>
                <w14:textFill>
                  <w14:solidFill>
                    <w14:schemeClr w14:val="tx1"/>
                  </w14:solidFill>
                </w14:textFill>
              </w:rPr>
              <w:t>时</w:t>
            </w:r>
            <w:r>
              <w:rPr>
                <w:rFonts w:hAnsi="宋体"/>
                <w:bCs/>
                <w:color w:val="000000" w:themeColor="text1"/>
                <w:szCs w:val="21"/>
                <w:highlight w:val="none"/>
                <w14:textFill>
                  <w14:solidFill>
                    <w14:schemeClr w14:val="tx1"/>
                  </w14:solidFill>
                </w14:textFill>
              </w:rPr>
              <w:t>；</w:t>
            </w:r>
          </w:p>
          <w:p w14:paraId="12344EA6">
            <w:pPr>
              <w:contextualSpacing/>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开启响应文件方式：见采购公告及相关补遗文件。</w:t>
            </w:r>
          </w:p>
        </w:tc>
      </w:tr>
      <w:tr w14:paraId="550AD7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96" w:hRule="atLeast"/>
          <w:jc w:val="center"/>
        </w:trPr>
        <w:tc>
          <w:tcPr>
            <w:tcW w:w="798" w:type="dxa"/>
            <w:vAlign w:val="center"/>
          </w:tcPr>
          <w:p w14:paraId="77A828CA">
            <w:pPr>
              <w:ind w:left="-42" w:leftChars="-20" w:right="-42" w:rightChars="-2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w:t>
            </w:r>
            <w:r>
              <w:rPr>
                <w:rFonts w:hint="eastAsia"/>
                <w:color w:val="000000" w:themeColor="text1"/>
                <w:szCs w:val="21"/>
                <w:highlight w:val="none"/>
                <w14:textFill>
                  <w14:solidFill>
                    <w14:schemeClr w14:val="tx1"/>
                  </w14:solidFill>
                </w14:textFill>
              </w:rPr>
              <w:t>6</w:t>
            </w:r>
          </w:p>
        </w:tc>
        <w:tc>
          <w:tcPr>
            <w:tcW w:w="1308" w:type="dxa"/>
            <w:vAlign w:val="center"/>
          </w:tcPr>
          <w:p w14:paraId="687DDEC1">
            <w:pPr>
              <w:ind w:left="-42" w:leftChars="-20" w:right="-42" w:rightChars="-20"/>
              <w:jc w:val="center"/>
              <w:rPr>
                <w:bCs/>
                <w:color w:val="000000" w:themeColor="text1"/>
                <w:szCs w:val="21"/>
                <w:highlight w:val="none"/>
                <w14:textFill>
                  <w14:solidFill>
                    <w14:schemeClr w14:val="tx1"/>
                  </w14:solidFill>
                </w14:textFill>
              </w:rPr>
            </w:pPr>
            <w:r>
              <w:rPr>
                <w:rFonts w:hint="eastAsia" w:hAnsi="宋体"/>
                <w:bCs/>
                <w:color w:val="000000" w:themeColor="text1"/>
                <w:szCs w:val="21"/>
                <w:highlight w:val="none"/>
                <w14:textFill>
                  <w14:solidFill>
                    <w14:schemeClr w14:val="tx1"/>
                  </w14:solidFill>
                </w14:textFill>
              </w:rPr>
              <w:t>评审响应文件</w:t>
            </w:r>
          </w:p>
        </w:tc>
        <w:tc>
          <w:tcPr>
            <w:tcW w:w="6478" w:type="dxa"/>
            <w:vAlign w:val="center"/>
          </w:tcPr>
          <w:p w14:paraId="6EC354F1">
            <w:pPr>
              <w:rPr>
                <w:bCs/>
                <w:color w:val="000000" w:themeColor="text1"/>
                <w:szCs w:val="21"/>
                <w:highlight w:val="none"/>
                <w14:textFill>
                  <w14:solidFill>
                    <w14:schemeClr w14:val="tx1"/>
                  </w14:solidFill>
                </w14:textFill>
              </w:rPr>
            </w:pPr>
            <w:r>
              <w:rPr>
                <w:rFonts w:hint="eastAsia" w:hAnsi="宋体"/>
                <w:bCs/>
                <w:color w:val="000000" w:themeColor="text1"/>
                <w:szCs w:val="21"/>
                <w:highlight w:val="none"/>
                <w14:textFill>
                  <w14:solidFill>
                    <w14:schemeClr w14:val="tx1"/>
                  </w14:solidFill>
                </w14:textFill>
              </w:rPr>
              <w:t>综合评分法，其中商务部分</w:t>
            </w:r>
            <w:r>
              <w:rPr>
                <w:rFonts w:hint="eastAsia" w:hAnsi="宋体"/>
                <w:bCs/>
                <w:color w:val="000000" w:themeColor="text1"/>
                <w:szCs w:val="21"/>
                <w:highlight w:val="none"/>
                <w:lang w:val="en-US" w:eastAsia="zh-CN"/>
                <w14:textFill>
                  <w14:solidFill>
                    <w14:schemeClr w14:val="tx1"/>
                  </w14:solidFill>
                </w14:textFill>
              </w:rPr>
              <w:t>20</w:t>
            </w:r>
            <w:r>
              <w:rPr>
                <w:rFonts w:hint="eastAsia" w:hAnsi="宋体"/>
                <w:bCs/>
                <w:color w:val="000000" w:themeColor="text1"/>
                <w:szCs w:val="21"/>
                <w:highlight w:val="none"/>
                <w14:textFill>
                  <w14:solidFill>
                    <w14:schemeClr w14:val="tx1"/>
                  </w14:solidFill>
                </w14:textFill>
              </w:rPr>
              <w:t>分，技术部分</w:t>
            </w:r>
            <w:r>
              <w:rPr>
                <w:rFonts w:hint="eastAsia" w:hAnsi="宋体"/>
                <w:bCs/>
                <w:color w:val="000000" w:themeColor="text1"/>
                <w:szCs w:val="21"/>
                <w:highlight w:val="none"/>
                <w:lang w:val="en-US" w:eastAsia="zh-CN"/>
                <w14:textFill>
                  <w14:solidFill>
                    <w14:schemeClr w14:val="tx1"/>
                  </w14:solidFill>
                </w14:textFill>
              </w:rPr>
              <w:t>20</w:t>
            </w:r>
            <w:r>
              <w:rPr>
                <w:rFonts w:hint="eastAsia" w:hAnsi="宋体"/>
                <w:bCs/>
                <w:color w:val="000000" w:themeColor="text1"/>
                <w:szCs w:val="21"/>
                <w:highlight w:val="none"/>
                <w14:textFill>
                  <w14:solidFill>
                    <w14:schemeClr w14:val="tx1"/>
                  </w14:solidFill>
                </w14:textFill>
              </w:rPr>
              <w:t>分，经济部分</w:t>
            </w:r>
            <w:r>
              <w:rPr>
                <w:rFonts w:hint="eastAsia" w:hAnsi="宋体"/>
                <w:bCs/>
                <w:color w:val="000000" w:themeColor="text1"/>
                <w:szCs w:val="21"/>
                <w:highlight w:val="none"/>
                <w:lang w:val="en-US" w:eastAsia="zh-CN"/>
                <w14:textFill>
                  <w14:solidFill>
                    <w14:schemeClr w14:val="tx1"/>
                  </w14:solidFill>
                </w14:textFill>
              </w:rPr>
              <w:t>60</w:t>
            </w:r>
            <w:r>
              <w:rPr>
                <w:rFonts w:hint="eastAsia" w:hAnsi="宋体"/>
                <w:bCs/>
                <w:color w:val="000000" w:themeColor="text1"/>
                <w:szCs w:val="21"/>
                <w:highlight w:val="none"/>
                <w14:textFill>
                  <w14:solidFill>
                    <w14:schemeClr w14:val="tx1"/>
                  </w14:solidFill>
                </w14:textFill>
              </w:rPr>
              <w:t>分，具体详见评审办法。</w:t>
            </w:r>
          </w:p>
        </w:tc>
      </w:tr>
      <w:tr w14:paraId="4E8BDC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55" w:hRule="atLeast"/>
          <w:jc w:val="center"/>
        </w:trPr>
        <w:tc>
          <w:tcPr>
            <w:tcW w:w="798" w:type="dxa"/>
            <w:vAlign w:val="center"/>
          </w:tcPr>
          <w:p w14:paraId="3D1280EE">
            <w:pPr>
              <w:ind w:left="-42" w:leftChars="-20" w:right="-42" w:rightChars="-2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w:t>
            </w:r>
            <w:r>
              <w:rPr>
                <w:rFonts w:hint="eastAsia"/>
                <w:color w:val="000000" w:themeColor="text1"/>
                <w:szCs w:val="21"/>
                <w:highlight w:val="none"/>
                <w14:textFill>
                  <w14:solidFill>
                    <w14:schemeClr w14:val="tx1"/>
                  </w14:solidFill>
                </w14:textFill>
              </w:rPr>
              <w:t>7</w:t>
            </w:r>
          </w:p>
        </w:tc>
        <w:tc>
          <w:tcPr>
            <w:tcW w:w="1308" w:type="dxa"/>
            <w:vAlign w:val="center"/>
          </w:tcPr>
          <w:p w14:paraId="24E3EC8C">
            <w:pPr>
              <w:ind w:left="-42" w:leftChars="-20" w:right="-42" w:rightChars="-20"/>
              <w:jc w:val="center"/>
              <w:rPr>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履约担保</w:t>
            </w:r>
          </w:p>
        </w:tc>
        <w:tc>
          <w:tcPr>
            <w:tcW w:w="6478" w:type="dxa"/>
            <w:vAlign w:val="center"/>
          </w:tcPr>
          <w:p w14:paraId="48AA9CA0">
            <w:pPr>
              <w:rPr>
                <w:bCs/>
                <w:color w:val="000000" w:themeColor="text1"/>
                <w:szCs w:val="21"/>
                <w:highlight w:val="none"/>
                <w14:textFill>
                  <w14:solidFill>
                    <w14:schemeClr w14:val="tx1"/>
                  </w14:solidFill>
                </w14:textFill>
              </w:rPr>
            </w:pPr>
            <w:r>
              <w:rPr>
                <w:rFonts w:hint="eastAsia" w:hAnsi="宋体"/>
                <w:bCs/>
                <w:color w:val="000000" w:themeColor="text1"/>
                <w:szCs w:val="21"/>
                <w:highlight w:val="none"/>
                <w14:textFill>
                  <w14:solidFill>
                    <w14:schemeClr w14:val="tx1"/>
                  </w14:solidFill>
                </w14:textFill>
              </w:rPr>
              <w:t>履约担保以现金/保函形式支付，</w:t>
            </w:r>
            <w:r>
              <w:rPr>
                <w:rFonts w:hAnsi="宋体"/>
                <w:bCs/>
                <w:color w:val="000000" w:themeColor="text1"/>
                <w:szCs w:val="21"/>
                <w:highlight w:val="none"/>
                <w14:textFill>
                  <w14:solidFill>
                    <w14:schemeClr w14:val="tx1"/>
                  </w14:solidFill>
                </w14:textFill>
              </w:rPr>
              <w:t>保</w:t>
            </w:r>
            <w:r>
              <w:rPr>
                <w:rFonts w:hint="eastAsia" w:hAnsi="宋体"/>
                <w:bCs/>
                <w:color w:val="000000" w:themeColor="text1"/>
                <w:szCs w:val="21"/>
                <w:highlight w:val="none"/>
                <w14:textFill>
                  <w14:solidFill>
                    <w14:schemeClr w14:val="tx1"/>
                  </w14:solidFill>
                </w14:textFill>
              </w:rPr>
              <w:t>证金</w:t>
            </w:r>
            <w:r>
              <w:rPr>
                <w:rFonts w:hAnsi="宋体"/>
                <w:bCs/>
                <w:color w:val="000000" w:themeColor="text1"/>
                <w:szCs w:val="21"/>
                <w:highlight w:val="none"/>
                <w14:textFill>
                  <w14:solidFill>
                    <w14:schemeClr w14:val="tx1"/>
                  </w14:solidFill>
                </w14:textFill>
              </w:rPr>
              <w:t>额度：</w:t>
            </w:r>
            <w:r>
              <w:rPr>
                <w:rFonts w:hint="eastAsia" w:hAnsi="宋体"/>
                <w:bCs/>
                <w:color w:val="000000" w:themeColor="text1"/>
                <w:szCs w:val="21"/>
                <w:highlight w:val="none"/>
                <w:lang w:val="en-US" w:eastAsia="zh-CN"/>
                <w14:textFill>
                  <w14:solidFill>
                    <w14:schemeClr w14:val="tx1"/>
                  </w14:solidFill>
                </w14:textFill>
              </w:rPr>
              <w:t>中标额的5%</w:t>
            </w:r>
            <w:r>
              <w:rPr>
                <w:rFonts w:hAnsi="宋体"/>
                <w:bCs/>
                <w:color w:val="000000" w:themeColor="text1"/>
                <w:szCs w:val="21"/>
                <w:highlight w:val="none"/>
                <w14:textFill>
                  <w14:solidFill>
                    <w14:schemeClr w14:val="tx1"/>
                  </w14:solidFill>
                </w14:textFill>
              </w:rPr>
              <w:t>；</w:t>
            </w:r>
          </w:p>
          <w:p w14:paraId="1CF2F4CA">
            <w:pPr>
              <w:pStyle w:val="8"/>
              <w:ind w:firstLine="0" w:firstLineChars="0"/>
              <w:rPr>
                <w:rFonts w:hint="eastAsia" w:hAnsi="宋体"/>
                <w:bCs/>
                <w:color w:val="000000" w:themeColor="text1"/>
                <w:szCs w:val="21"/>
                <w:highlight w:val="none"/>
                <w14:textFill>
                  <w14:solidFill>
                    <w14:schemeClr w14:val="tx1"/>
                  </w14:solidFill>
                </w14:textFill>
              </w:rPr>
            </w:pPr>
            <w:r>
              <w:rPr>
                <w:rFonts w:hint="eastAsia" w:hAnsi="宋体"/>
                <w:bCs/>
                <w:color w:val="000000" w:themeColor="text1"/>
                <w:szCs w:val="21"/>
                <w:highlight w:val="none"/>
                <w14:textFill>
                  <w14:solidFill>
                    <w14:schemeClr w14:val="tx1"/>
                  </w14:solidFill>
                </w14:textFill>
              </w:rPr>
              <w:t>履约保证金</w:t>
            </w:r>
            <w:r>
              <w:rPr>
                <w:rFonts w:hAnsi="宋体"/>
                <w:bCs/>
                <w:color w:val="000000" w:themeColor="text1"/>
                <w:szCs w:val="21"/>
                <w:highlight w:val="none"/>
                <w14:textFill>
                  <w14:solidFill>
                    <w14:schemeClr w14:val="tx1"/>
                  </w14:solidFill>
                </w14:textFill>
              </w:rPr>
              <w:t>提交截止时间：签订合同时。</w:t>
            </w:r>
          </w:p>
          <w:p w14:paraId="2076EC4D">
            <w:pPr>
              <w:pStyle w:val="8"/>
              <w:ind w:firstLine="0" w:firstLineChars="0"/>
              <w:rPr>
                <w:rFonts w:hint="eastAsia" w:hAnsi="宋体"/>
                <w:bCs/>
                <w:color w:val="000000" w:themeColor="text1"/>
                <w:szCs w:val="21"/>
                <w:highlight w:val="none"/>
                <w14:textFill>
                  <w14:solidFill>
                    <w14:schemeClr w14:val="tx1"/>
                  </w14:solidFill>
                </w14:textFill>
              </w:rPr>
            </w:pPr>
            <w:r>
              <w:rPr>
                <w:rFonts w:hint="eastAsia" w:hAnsi="宋体"/>
                <w:bCs/>
                <w:color w:val="000000" w:themeColor="text1"/>
                <w:szCs w:val="21"/>
                <w:highlight w:val="none"/>
                <w14:textFill>
                  <w14:solidFill>
                    <w14:schemeClr w14:val="tx1"/>
                  </w14:solidFill>
                </w14:textFill>
              </w:rPr>
              <w:t>如已支付响应保证金的，成交后响应保证金转为履约保证金。</w:t>
            </w:r>
          </w:p>
          <w:p w14:paraId="077FE8B4">
            <w:pPr>
              <w:pStyle w:val="8"/>
              <w:ind w:firstLine="0" w:firstLineChars="0"/>
              <w:rPr>
                <w:b/>
                <w:color w:val="000000" w:themeColor="text1"/>
                <w:szCs w:val="21"/>
                <w:highlight w:val="none"/>
                <w14:textFill>
                  <w14:solidFill>
                    <w14:schemeClr w14:val="tx1"/>
                  </w14:solidFill>
                </w14:textFill>
              </w:rPr>
            </w:pPr>
            <w:r>
              <w:rPr>
                <w:rFonts w:hint="eastAsia" w:hAnsi="宋体"/>
                <w:b/>
                <w:color w:val="000000" w:themeColor="text1"/>
                <w:szCs w:val="21"/>
                <w:highlight w:val="none"/>
                <w14:textFill>
                  <w14:solidFill>
                    <w14:schemeClr w14:val="tx1"/>
                  </w14:solidFill>
                </w14:textFill>
              </w:rPr>
              <w:t>采用银行保函时，须为见索即付保函。</w:t>
            </w:r>
          </w:p>
        </w:tc>
      </w:tr>
      <w:tr w14:paraId="5AC45B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798" w:type="dxa"/>
            <w:vAlign w:val="center"/>
          </w:tcPr>
          <w:p w14:paraId="3AF01DDF">
            <w:pPr>
              <w:ind w:left="-42" w:leftChars="-20" w:right="-42" w:rightChars="-20"/>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18</w:t>
            </w:r>
          </w:p>
        </w:tc>
        <w:tc>
          <w:tcPr>
            <w:tcW w:w="1308" w:type="dxa"/>
            <w:vAlign w:val="center"/>
          </w:tcPr>
          <w:p w14:paraId="169E7338">
            <w:pPr>
              <w:ind w:left="-42" w:leftChars="-20" w:right="-42" w:rightChars="-20"/>
              <w:jc w:val="center"/>
              <w:rPr>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合同协议书的签署</w:t>
            </w:r>
          </w:p>
        </w:tc>
        <w:tc>
          <w:tcPr>
            <w:tcW w:w="6478" w:type="dxa"/>
            <w:vAlign w:val="center"/>
          </w:tcPr>
          <w:p w14:paraId="26DD7D7B">
            <w:pPr>
              <w:rPr>
                <w:bCs/>
                <w:color w:val="000000" w:themeColor="text1"/>
                <w:szCs w:val="2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合同协议书的签署期限：签发成交通知书后</w:t>
            </w:r>
            <w:r>
              <w:rPr>
                <w:bCs/>
                <w:color w:val="000000" w:themeColor="text1"/>
                <w:szCs w:val="21"/>
                <w:highlight w:val="none"/>
                <w:u w:val="single"/>
                <w14:textFill>
                  <w14:solidFill>
                    <w14:schemeClr w14:val="tx1"/>
                  </w14:solidFill>
                </w14:textFill>
              </w:rPr>
              <w:t xml:space="preserve"> 30 </w:t>
            </w:r>
            <w:r>
              <w:rPr>
                <w:rFonts w:hAnsi="宋体"/>
                <w:bCs/>
                <w:color w:val="000000" w:themeColor="text1"/>
                <w:szCs w:val="21"/>
                <w:highlight w:val="none"/>
                <w14:textFill>
                  <w14:solidFill>
                    <w14:schemeClr w14:val="tx1"/>
                  </w14:solidFill>
                </w14:textFill>
              </w:rPr>
              <w:t>天内。</w:t>
            </w:r>
          </w:p>
        </w:tc>
      </w:tr>
    </w:tbl>
    <w:p w14:paraId="65B7F338">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column"/>
      </w:r>
    </w:p>
    <w:p w14:paraId="7AB1D120">
      <w:pPr>
        <w:rPr>
          <w:color w:val="000000" w:themeColor="text1"/>
          <w:highlight w:val="none"/>
          <w14:textFill>
            <w14:solidFill>
              <w14:schemeClr w14:val="tx1"/>
            </w14:solidFill>
          </w14:textFill>
        </w:rPr>
      </w:pPr>
    </w:p>
    <w:p w14:paraId="0D4D90F0">
      <w:pPr>
        <w:rPr>
          <w:color w:val="000000" w:themeColor="text1"/>
          <w:highlight w:val="none"/>
          <w14:textFill>
            <w14:solidFill>
              <w14:schemeClr w14:val="tx1"/>
            </w14:solidFill>
          </w14:textFill>
        </w:rPr>
      </w:pPr>
    </w:p>
    <w:p w14:paraId="73BDF737">
      <w:pPr>
        <w:pStyle w:val="3"/>
        <w:spacing w:before="240" w:beforeLines="100" w:after="120" w:afterLines="50" w:line="360" w:lineRule="auto"/>
        <w:jc w:val="center"/>
        <w:rPr>
          <w:rStyle w:val="46"/>
          <w:rFonts w:ascii="Times New Roman" w:hAnsi="Times New Roman" w:eastAsia="宋体"/>
          <w:b/>
          <w:bCs w:val="0"/>
          <w:color w:val="000000" w:themeColor="text1"/>
          <w:sz w:val="28"/>
          <w:szCs w:val="28"/>
          <w:highlight w:val="none"/>
          <w14:textFill>
            <w14:solidFill>
              <w14:schemeClr w14:val="tx1"/>
            </w14:solidFill>
          </w14:textFill>
        </w:rPr>
      </w:pPr>
      <w:bookmarkStart w:id="34" w:name="_Toc53945772"/>
      <w:bookmarkStart w:id="35" w:name="_Toc53936507"/>
      <w:bookmarkStart w:id="36" w:name="_Toc284135588"/>
      <w:bookmarkStart w:id="37" w:name="_Toc53939571"/>
      <w:bookmarkStart w:id="38" w:name="_Toc54279930"/>
      <w:bookmarkStart w:id="39" w:name="_Toc145499729"/>
      <w:bookmarkStart w:id="40" w:name="_Toc53948748"/>
      <w:bookmarkStart w:id="41" w:name="_Toc54280356"/>
      <w:bookmarkStart w:id="42" w:name="_Toc54280782"/>
      <w:bookmarkStart w:id="43" w:name="_Toc53948327"/>
      <w:bookmarkStart w:id="44" w:name="_Toc53918798"/>
      <w:bookmarkStart w:id="45" w:name="_Toc53949169"/>
      <w:bookmarkStart w:id="46" w:name="_Toc54281208"/>
      <w:r>
        <w:rPr>
          <w:rStyle w:val="46"/>
          <w:rFonts w:ascii="Times New Roman" w:hAnsi="宋体" w:eastAsia="宋体"/>
          <w:b/>
          <w:bCs w:val="0"/>
          <w:color w:val="000000" w:themeColor="text1"/>
          <w:sz w:val="28"/>
          <w:szCs w:val="28"/>
          <w:highlight w:val="none"/>
          <w14:textFill>
            <w14:solidFill>
              <w14:schemeClr w14:val="tx1"/>
            </w14:solidFill>
          </w14:textFill>
        </w:rPr>
        <w:t>第一章</w:t>
      </w:r>
      <w:r>
        <w:rPr>
          <w:rStyle w:val="46"/>
          <w:rFonts w:ascii="Times New Roman" w:hAnsi="Times New Roman" w:eastAsia="宋体"/>
          <w:b/>
          <w:bCs w:val="0"/>
          <w:color w:val="000000" w:themeColor="text1"/>
          <w:sz w:val="28"/>
          <w:szCs w:val="28"/>
          <w:highlight w:val="none"/>
          <w14:textFill>
            <w14:solidFill>
              <w14:schemeClr w14:val="tx1"/>
            </w14:solidFill>
          </w14:textFill>
        </w:rPr>
        <w:t xml:space="preserve">  </w:t>
      </w:r>
      <w:r>
        <w:rPr>
          <w:rStyle w:val="46"/>
          <w:rFonts w:ascii="Times New Roman" w:hAnsi="宋体" w:eastAsia="宋体"/>
          <w:b/>
          <w:bCs w:val="0"/>
          <w:color w:val="000000" w:themeColor="text1"/>
          <w:sz w:val="28"/>
          <w:szCs w:val="28"/>
          <w:highlight w:val="none"/>
          <w14:textFill>
            <w14:solidFill>
              <w14:schemeClr w14:val="tx1"/>
            </w14:solidFill>
          </w14:textFill>
        </w:rPr>
        <w:t>总</w:t>
      </w:r>
      <w:bookmarkStart w:id="47" w:name="_Hlt15790948"/>
      <w:r>
        <w:rPr>
          <w:rStyle w:val="46"/>
          <w:rFonts w:ascii="Times New Roman" w:hAnsi="宋体" w:eastAsia="宋体"/>
          <w:b/>
          <w:bCs w:val="0"/>
          <w:color w:val="000000" w:themeColor="text1"/>
          <w:sz w:val="28"/>
          <w:szCs w:val="28"/>
          <w:highlight w:val="none"/>
          <w14:textFill>
            <w14:solidFill>
              <w14:schemeClr w14:val="tx1"/>
            </w14:solidFill>
          </w14:textFill>
        </w:rPr>
        <w:t>则</w:t>
      </w:r>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59C1E361">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48" w:name="_Toc53918799"/>
      <w:bookmarkStart w:id="49" w:name="_Toc145499730"/>
      <w:bookmarkStart w:id="50" w:name="_Toc53948328"/>
      <w:bookmarkStart w:id="51" w:name="_Toc53936508"/>
      <w:bookmarkStart w:id="52" w:name="_Toc53949170"/>
      <w:bookmarkStart w:id="53" w:name="_Toc53939572"/>
      <w:bookmarkStart w:id="54" w:name="_Toc54280357"/>
      <w:bookmarkStart w:id="55" w:name="_Toc54280783"/>
      <w:bookmarkStart w:id="56" w:name="_Toc53948749"/>
      <w:bookmarkStart w:id="57" w:name="_Toc53945773"/>
      <w:bookmarkStart w:id="58" w:name="_Toc54281209"/>
      <w:bookmarkStart w:id="59" w:name="_Toc54279931"/>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1.项目概述</w:t>
      </w:r>
      <w:bookmarkEnd w:id="48"/>
      <w:bookmarkEnd w:id="49"/>
      <w:bookmarkEnd w:id="50"/>
      <w:bookmarkEnd w:id="51"/>
      <w:bookmarkEnd w:id="52"/>
      <w:bookmarkEnd w:id="53"/>
      <w:bookmarkEnd w:id="54"/>
      <w:bookmarkEnd w:id="55"/>
      <w:bookmarkEnd w:id="56"/>
      <w:bookmarkEnd w:id="57"/>
      <w:bookmarkEnd w:id="58"/>
      <w:bookmarkEnd w:id="59"/>
    </w:p>
    <w:p w14:paraId="7E3CD760">
      <w:pPr>
        <w:spacing w:line="360" w:lineRule="auto"/>
        <w:ind w:left="371" w:leftChars="1" w:hanging="369" w:hangingChars="176"/>
        <w:rPr>
          <w:color w:val="000000" w:themeColor="text1"/>
          <w:szCs w:val="21"/>
          <w:highlight w:val="none"/>
          <w14:textFill>
            <w14:solidFill>
              <w14:schemeClr w14:val="tx1"/>
            </w14:solidFill>
          </w14:textFill>
        </w:rPr>
      </w:pPr>
      <w:bookmarkStart w:id="60" w:name="_Toc54279932"/>
      <w:bookmarkStart w:id="61" w:name="_Toc53918800"/>
      <w:bookmarkStart w:id="62" w:name="_Toc53936509"/>
      <w:bookmarkStart w:id="63" w:name="_Toc53945774"/>
      <w:bookmarkStart w:id="64" w:name="_Toc54281210"/>
      <w:bookmarkStart w:id="65" w:name="_Toc53948329"/>
      <w:bookmarkStart w:id="66" w:name="_Toc54280784"/>
      <w:bookmarkStart w:id="67" w:name="_Toc54280358"/>
      <w:bookmarkStart w:id="68" w:name="_Toc53939573"/>
      <w:bookmarkStart w:id="69" w:name="_Toc53948750"/>
      <w:bookmarkStart w:id="70" w:name="_Toc145499731"/>
      <w:bookmarkStart w:id="71" w:name="_Toc53949171"/>
      <w:r>
        <w:rPr>
          <w:rFonts w:hint="eastAsia"/>
          <w:color w:val="000000" w:themeColor="text1"/>
          <w:szCs w:val="21"/>
          <w:highlight w:val="none"/>
          <w14:textFill>
            <w14:solidFill>
              <w14:schemeClr w14:val="tx1"/>
            </w14:solidFill>
          </w14:textFill>
        </w:rPr>
        <w:t>1.1项目名称、地点及概况：海兴盐场特大桥跨越大浪淀排水渠，大桩号146号桥墩与青锋枢纽互通的AK1+037.853、BK1+472.242相接。桥梁共146跨，桥梁总长度为4500.5m。</w:t>
      </w:r>
    </w:p>
    <w:p w14:paraId="7F1F8797">
      <w:pPr>
        <w:spacing w:line="360" w:lineRule="auto"/>
        <w:ind w:left="371" w:leftChars="151" w:hanging="54" w:hangingChars="26"/>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采购分包工程名称：海兴盐场特大桥</w:t>
      </w:r>
      <w:r>
        <w:rPr>
          <w:rFonts w:hint="eastAsia"/>
          <w:color w:val="000000" w:themeColor="text1"/>
          <w:szCs w:val="21"/>
          <w:highlight w:val="none"/>
          <w14:textFill>
            <w14:solidFill>
              <w14:schemeClr w14:val="tx1"/>
            </w14:solidFill>
          </w14:textFill>
        </w:rPr>
        <w:t>桥梁基础及下部结构施工</w:t>
      </w:r>
    </w:p>
    <w:p w14:paraId="77A1A6A9">
      <w:pPr>
        <w:spacing w:line="360" w:lineRule="auto"/>
        <w:ind w:left="371" w:leftChars="1" w:hanging="369" w:hangingChars="176"/>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1.2采购人信息参见</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相应单位</w:t>
      </w:r>
      <w:r>
        <w:rPr>
          <w:color w:val="000000" w:themeColor="text1"/>
          <w:szCs w:val="21"/>
          <w:highlight w:val="none"/>
          <w14:textFill>
            <w14:solidFill>
              <w14:schemeClr w14:val="tx1"/>
            </w14:solidFill>
          </w14:textFill>
        </w:rPr>
        <w:t>须知前附表》</w:t>
      </w:r>
      <w:r>
        <w:rPr>
          <w:rFonts w:hint="eastAsia"/>
          <w:color w:val="000000" w:themeColor="text1"/>
          <w:szCs w:val="21"/>
          <w:highlight w:val="none"/>
          <w14:textFill>
            <w14:solidFill>
              <w14:schemeClr w14:val="tx1"/>
            </w14:solidFill>
          </w14:textFill>
        </w:rPr>
        <w:t>第2项。</w:t>
      </w:r>
    </w:p>
    <w:bookmarkEnd w:id="60"/>
    <w:bookmarkEnd w:id="61"/>
    <w:bookmarkEnd w:id="62"/>
    <w:bookmarkEnd w:id="63"/>
    <w:bookmarkEnd w:id="64"/>
    <w:bookmarkEnd w:id="65"/>
    <w:bookmarkEnd w:id="66"/>
    <w:bookmarkEnd w:id="67"/>
    <w:bookmarkEnd w:id="68"/>
    <w:bookmarkEnd w:id="69"/>
    <w:bookmarkEnd w:id="70"/>
    <w:bookmarkEnd w:id="71"/>
    <w:p w14:paraId="0F839683">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72" w:name="_Toc54281211"/>
      <w:bookmarkStart w:id="73" w:name="_Toc53948330"/>
      <w:bookmarkStart w:id="74" w:name="_Toc145499732"/>
      <w:bookmarkStart w:id="75" w:name="_Toc53945775"/>
      <w:bookmarkStart w:id="76" w:name="_Toc53949172"/>
      <w:bookmarkStart w:id="77" w:name="_Toc53936510"/>
      <w:bookmarkStart w:id="78" w:name="_Toc53918801"/>
      <w:bookmarkStart w:id="79" w:name="_Toc54280359"/>
      <w:bookmarkStart w:id="80" w:name="_Toc54279933"/>
      <w:bookmarkStart w:id="81" w:name="_Toc54280785"/>
      <w:bookmarkStart w:id="82" w:name="_Toc53948751"/>
      <w:bookmarkStart w:id="83" w:name="_Toc53939574"/>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2</w:t>
      </w:r>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.响应单位的合格条件</w:t>
      </w:r>
      <w:bookmarkEnd w:id="72"/>
      <w:bookmarkEnd w:id="73"/>
      <w:bookmarkEnd w:id="74"/>
      <w:bookmarkEnd w:id="75"/>
      <w:bookmarkEnd w:id="76"/>
      <w:bookmarkEnd w:id="77"/>
      <w:bookmarkEnd w:id="78"/>
      <w:bookmarkEnd w:id="79"/>
      <w:bookmarkEnd w:id="80"/>
      <w:bookmarkEnd w:id="81"/>
      <w:bookmarkEnd w:id="82"/>
      <w:bookmarkEnd w:id="83"/>
    </w:p>
    <w:p w14:paraId="4631CF78">
      <w:pPr>
        <w:widowControl/>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2.1响应单位应具备的合格条件：</w:t>
      </w:r>
    </w:p>
    <w:p w14:paraId="7FF10B0D">
      <w:pPr>
        <w:widowControl/>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2.1.1合格响应单位应是具有独立法人资格，能够自主经营、独立核算，持有建筑施工企业安全生产许可证、且在</w:t>
      </w:r>
      <w:r>
        <w:rPr>
          <w:rFonts w:hint="eastAsia"/>
          <w:color w:val="000000" w:themeColor="text1"/>
          <w:szCs w:val="21"/>
          <w:highlight w:val="none"/>
          <w14:textFill>
            <w14:solidFill>
              <w14:schemeClr w14:val="tx1"/>
            </w14:solidFill>
          </w14:textFill>
        </w:rPr>
        <w:t>采购活动</w:t>
      </w:r>
      <w:r>
        <w:rPr>
          <w:color w:val="000000" w:themeColor="text1"/>
          <w:szCs w:val="21"/>
          <w:highlight w:val="none"/>
          <w14:textFill>
            <w14:solidFill>
              <w14:schemeClr w14:val="tx1"/>
            </w14:solidFill>
          </w14:textFill>
        </w:rPr>
        <w:t>期间（成交通知书签发之前）未被暂扣；</w:t>
      </w:r>
    </w:p>
    <w:p w14:paraId="46BF9946">
      <w:pPr>
        <w:widowControl/>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2.1.2应具备下列施工资质：</w:t>
      </w:r>
      <w:r>
        <w:rPr>
          <w:rFonts w:hint="eastAsia"/>
          <w:color w:val="000000" w:themeColor="text1"/>
          <w:szCs w:val="21"/>
          <w:highlight w:val="none"/>
          <w:lang w:val="en-US" w:eastAsia="zh-CN"/>
          <w14:textFill>
            <w14:solidFill>
              <w14:schemeClr w14:val="tx1"/>
            </w14:solidFill>
          </w14:textFill>
        </w:rPr>
        <w:t>施工劳务不分等级</w:t>
      </w:r>
      <w:r>
        <w:rPr>
          <w:color w:val="000000" w:themeColor="text1"/>
          <w:szCs w:val="21"/>
          <w:highlight w:val="none"/>
          <w14:textFill>
            <w14:solidFill>
              <w14:schemeClr w14:val="tx1"/>
            </w14:solidFill>
          </w14:textFill>
        </w:rPr>
        <w:t>；</w:t>
      </w:r>
      <w:bookmarkStart w:id="1886" w:name="_GoBack"/>
      <w:bookmarkEnd w:id="1886"/>
    </w:p>
    <w:p w14:paraId="1224B621">
      <w:pPr>
        <w:widowControl/>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2.1.3且</w:t>
      </w:r>
      <w:r>
        <w:rPr>
          <w:rFonts w:hint="eastAsia"/>
          <w:color w:val="000000" w:themeColor="text1"/>
          <w:szCs w:val="21"/>
          <w:highlight w:val="none"/>
          <w14:textFill>
            <w14:solidFill>
              <w14:schemeClr w14:val="tx1"/>
            </w14:solidFill>
          </w14:textFill>
        </w:rPr>
        <w:t>近5年内</w:t>
      </w:r>
      <w:r>
        <w:rPr>
          <w:color w:val="000000" w:themeColor="text1"/>
          <w:szCs w:val="21"/>
          <w:highlight w:val="none"/>
          <w14:textFill>
            <w14:solidFill>
              <w14:schemeClr w14:val="tx1"/>
            </w14:solidFill>
          </w14:textFill>
        </w:rPr>
        <w:t>具备类似业绩</w:t>
      </w:r>
      <w:r>
        <w:rPr>
          <w:rFonts w:hint="eastAsia"/>
          <w:color w:val="000000" w:themeColor="text1"/>
          <w:szCs w:val="21"/>
          <w:highlight w:val="none"/>
          <w:lang w:val="en-US" w:eastAsia="zh-CN"/>
          <w14:textFill>
            <w14:solidFill>
              <w14:schemeClr w14:val="tx1"/>
            </w14:solidFill>
          </w14:textFill>
        </w:rPr>
        <w:t>1</w:t>
      </w:r>
      <w:r>
        <w:rPr>
          <w:rFonts w:hint="eastAsia"/>
          <w:color w:val="000000" w:themeColor="text1"/>
          <w:szCs w:val="21"/>
          <w:highlight w:val="none"/>
          <w14:textFill>
            <w14:solidFill>
              <w14:schemeClr w14:val="tx1"/>
            </w14:solidFill>
          </w14:textFill>
        </w:rPr>
        <w:t>个及以上</w:t>
      </w:r>
      <w:r>
        <w:rPr>
          <w:color w:val="000000" w:themeColor="text1"/>
          <w:szCs w:val="21"/>
          <w:highlight w:val="none"/>
          <w14:textFill>
            <w14:solidFill>
              <w14:schemeClr w14:val="tx1"/>
            </w14:solidFill>
          </w14:textFill>
        </w:rPr>
        <w:t>；</w:t>
      </w:r>
    </w:p>
    <w:p w14:paraId="256BBDB2">
      <w:pPr>
        <w:widowControl/>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2.1.4拟派项目</w:t>
      </w:r>
      <w:r>
        <w:rPr>
          <w:rFonts w:hint="eastAsia"/>
          <w:color w:val="000000" w:themeColor="text1"/>
          <w:szCs w:val="21"/>
          <w:highlight w:val="none"/>
          <w14:textFill>
            <w14:solidFill>
              <w14:schemeClr w14:val="tx1"/>
            </w14:solidFill>
          </w14:textFill>
        </w:rPr>
        <w:t>负责人需具备符合当地要求的相应证书，且在采购活动期间（成交通知书签发之前）未发生被有关部门暂扣情况；</w:t>
      </w:r>
      <w:r>
        <w:rPr>
          <w:color w:val="000000" w:themeColor="text1"/>
          <w:szCs w:val="21"/>
          <w:highlight w:val="none"/>
          <w14:textFill>
            <w14:solidFill>
              <w14:schemeClr w14:val="tx1"/>
            </w14:solidFill>
          </w14:textFill>
        </w:rPr>
        <w:t xml:space="preserve"> </w:t>
      </w:r>
    </w:p>
    <w:p w14:paraId="315927DD">
      <w:pPr>
        <w:widowControl/>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2.1.5</w:t>
      </w:r>
      <w:r>
        <w:rPr>
          <w:rFonts w:hint="eastAsia"/>
          <w:color w:val="000000" w:themeColor="text1"/>
          <w:szCs w:val="21"/>
          <w:highlight w:val="none"/>
          <w14:textFill>
            <w14:solidFill>
              <w14:schemeClr w14:val="tx1"/>
            </w14:solidFill>
          </w14:textFill>
        </w:rPr>
        <w:t>响应单位没有处于被责令停业，响应资格被取消，财产被接管、冻结、破产状态；未列入全国人民法院失信被执行人名单。</w:t>
      </w:r>
    </w:p>
    <w:p w14:paraId="445B06BA">
      <w:pPr>
        <w:widowControl/>
        <w:spacing w:line="360" w:lineRule="auto"/>
        <w:ind w:left="1035" w:leftChars="247" w:hanging="516" w:hangingChars="246"/>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2.1.6响应单位在最近3年内没有骗取中标（采购成交）和严重违约及重大工程质量事故。</w:t>
      </w:r>
    </w:p>
    <w:p w14:paraId="731DE54F">
      <w:pPr>
        <w:widowControl/>
        <w:spacing w:line="360" w:lineRule="auto"/>
        <w:ind w:left="489" w:leftChars="23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2.1.7响应单位需在中建路桥集团合格分供商名录中，未在中建系统不合格（含不良行为）名册中。</w:t>
      </w:r>
    </w:p>
    <w:p w14:paraId="5CF2FC70">
      <w:pPr>
        <w:widowControl/>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2.2本工程采购是并被认为其具有2.1款中所规定的合格条件，且按</w:t>
      </w:r>
      <w:r>
        <w:rPr>
          <w:rFonts w:hint="eastAsia"/>
          <w:color w:val="000000" w:themeColor="text1"/>
          <w:szCs w:val="21"/>
          <w:highlight w:val="none"/>
          <w14:textFill>
            <w14:solidFill>
              <w14:schemeClr w14:val="tx1"/>
            </w14:solidFill>
          </w14:textFill>
        </w:rPr>
        <w:t>采购</w:t>
      </w:r>
      <w:r>
        <w:rPr>
          <w:color w:val="000000" w:themeColor="text1"/>
          <w:szCs w:val="21"/>
          <w:highlight w:val="none"/>
          <w14:textFill>
            <w14:solidFill>
              <w14:schemeClr w14:val="tx1"/>
            </w14:solidFill>
          </w14:textFill>
        </w:rPr>
        <w:t>文件的要求如实填报了一切必要的材料。</w:t>
      </w:r>
    </w:p>
    <w:p w14:paraId="70CB2E86">
      <w:pPr>
        <w:widowControl/>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2.3响应单位应真实、完整地填报响应文件。如响应单位刻意隐瞒所报资料的真实性或采购活动期间在施项目发生重大质量或安全事故，采购人将保留取消其</w:t>
      </w:r>
      <w:r>
        <w:rPr>
          <w:rFonts w:hint="eastAsia"/>
          <w:color w:val="000000" w:themeColor="text1"/>
          <w:szCs w:val="21"/>
          <w:highlight w:val="none"/>
          <w14:textFill>
            <w14:solidFill>
              <w14:schemeClr w14:val="tx1"/>
            </w14:solidFill>
          </w14:textFill>
        </w:rPr>
        <w:t>响应/成交</w:t>
      </w:r>
      <w:r>
        <w:rPr>
          <w:color w:val="000000" w:themeColor="text1"/>
          <w:szCs w:val="21"/>
          <w:highlight w:val="none"/>
          <w14:textFill>
            <w14:solidFill>
              <w14:schemeClr w14:val="tx1"/>
            </w14:solidFill>
          </w14:textFill>
        </w:rPr>
        <w:t>资格的权力。</w:t>
      </w:r>
    </w:p>
    <w:p w14:paraId="3DC4C2B7">
      <w:pPr>
        <w:widowControl/>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2.4响应单位应慎重选择和填报拟投入人员，确保他们满足采购人的要求，并保证一旦</w:t>
      </w:r>
      <w:r>
        <w:rPr>
          <w:rFonts w:hint="eastAsia"/>
          <w:color w:val="000000" w:themeColor="text1"/>
          <w:szCs w:val="21"/>
          <w:highlight w:val="none"/>
          <w14:textFill>
            <w14:solidFill>
              <w14:schemeClr w14:val="tx1"/>
            </w14:solidFill>
          </w14:textFill>
        </w:rPr>
        <w:t>成交</w:t>
      </w:r>
      <w:r>
        <w:rPr>
          <w:color w:val="000000" w:themeColor="text1"/>
          <w:szCs w:val="21"/>
          <w:highlight w:val="none"/>
          <w14:textFill>
            <w14:solidFill>
              <w14:schemeClr w14:val="tx1"/>
            </w14:solidFill>
          </w14:textFill>
        </w:rPr>
        <w:t>能够按时进场。</w:t>
      </w:r>
      <w:r>
        <w:rPr>
          <w:rFonts w:hint="eastAsia"/>
          <w:color w:val="000000" w:themeColor="text1"/>
          <w:szCs w:val="21"/>
          <w:highlight w:val="none"/>
          <w14:textFill>
            <w14:solidFill>
              <w14:schemeClr w14:val="tx1"/>
            </w14:solidFill>
          </w14:textFill>
        </w:rPr>
        <w:t>合同签订后，若</w:t>
      </w:r>
      <w:r>
        <w:rPr>
          <w:color w:val="000000" w:themeColor="text1"/>
          <w:szCs w:val="21"/>
          <w:highlight w:val="none"/>
          <w14:textFill>
            <w14:solidFill>
              <w14:schemeClr w14:val="tx1"/>
            </w14:solidFill>
          </w14:textFill>
        </w:rPr>
        <w:t>非采购人主动要求，响应单位自行更换进场人员的，</w:t>
      </w:r>
      <w:r>
        <w:rPr>
          <w:rFonts w:hint="eastAsia"/>
          <w:color w:val="000000" w:themeColor="text1"/>
          <w:szCs w:val="21"/>
          <w:highlight w:val="none"/>
          <w14:textFill>
            <w14:solidFill>
              <w14:schemeClr w14:val="tx1"/>
            </w14:solidFill>
          </w14:textFill>
        </w:rPr>
        <w:t>需经</w:t>
      </w:r>
      <w:r>
        <w:rPr>
          <w:color w:val="000000" w:themeColor="text1"/>
          <w:szCs w:val="21"/>
          <w:highlight w:val="none"/>
          <w14:textFill>
            <w14:solidFill>
              <w14:schemeClr w14:val="tx1"/>
            </w14:solidFill>
          </w14:textFill>
        </w:rPr>
        <w:t>采购人同意，</w:t>
      </w:r>
      <w:r>
        <w:rPr>
          <w:rFonts w:hint="eastAsia"/>
          <w:color w:val="000000" w:themeColor="text1"/>
          <w:szCs w:val="21"/>
          <w:highlight w:val="none"/>
          <w14:textFill>
            <w14:solidFill>
              <w14:schemeClr w14:val="tx1"/>
            </w14:solidFill>
          </w14:textFill>
        </w:rPr>
        <w:t>否则</w:t>
      </w:r>
      <w:r>
        <w:rPr>
          <w:color w:val="000000" w:themeColor="text1"/>
          <w:szCs w:val="21"/>
          <w:highlight w:val="none"/>
          <w14:textFill>
            <w14:solidFill>
              <w14:schemeClr w14:val="tx1"/>
            </w14:solidFill>
          </w14:textFill>
        </w:rPr>
        <w:t>将从其</w:t>
      </w:r>
      <w:r>
        <w:rPr>
          <w:rFonts w:hint="eastAsia"/>
          <w:color w:val="000000" w:themeColor="text1"/>
          <w:szCs w:val="21"/>
          <w:highlight w:val="none"/>
          <w14:textFill>
            <w14:solidFill>
              <w14:schemeClr w14:val="tx1"/>
            </w14:solidFill>
          </w14:textFill>
        </w:rPr>
        <w:t>成交</w:t>
      </w:r>
      <w:r>
        <w:rPr>
          <w:color w:val="000000" w:themeColor="text1"/>
          <w:szCs w:val="21"/>
          <w:highlight w:val="none"/>
          <w14:textFill>
            <w14:solidFill>
              <w14:schemeClr w14:val="tx1"/>
            </w14:solidFill>
          </w14:textFill>
        </w:rPr>
        <w:t>金额中扣取一定的违约金。项目</w:t>
      </w:r>
      <w:r>
        <w:rPr>
          <w:rFonts w:hint="eastAsia"/>
          <w:color w:val="000000" w:themeColor="text1"/>
          <w:szCs w:val="21"/>
          <w:highlight w:val="none"/>
          <w14:textFill>
            <w14:solidFill>
              <w14:schemeClr w14:val="tx1"/>
            </w14:solidFill>
          </w14:textFill>
        </w:rPr>
        <w:t>负责人</w:t>
      </w:r>
      <w:r>
        <w:rPr>
          <w:color w:val="000000" w:themeColor="text1"/>
          <w:szCs w:val="21"/>
          <w:highlight w:val="none"/>
          <w14:textFill>
            <w14:solidFill>
              <w14:schemeClr w14:val="tx1"/>
            </w14:solidFill>
          </w14:textFill>
        </w:rPr>
        <w:t>或技术负责人扣款标准为：</w:t>
      </w:r>
      <w:r>
        <w:rPr>
          <w:rFonts w:hint="eastAsia"/>
          <w:color w:val="000000" w:themeColor="text1"/>
          <w:szCs w:val="21"/>
          <w:highlight w:val="none"/>
          <w14:textFill>
            <w14:solidFill>
              <w14:schemeClr w14:val="tx1"/>
            </w14:solidFill>
          </w14:textFill>
        </w:rPr>
        <w:t>成交</w:t>
      </w:r>
      <w:r>
        <w:rPr>
          <w:color w:val="000000" w:themeColor="text1"/>
          <w:szCs w:val="21"/>
          <w:highlight w:val="none"/>
          <w14:textFill>
            <w14:solidFill>
              <w14:schemeClr w14:val="tx1"/>
            </w14:solidFill>
          </w14:textFill>
        </w:rPr>
        <w:t>金额*5‰/人</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次</w:t>
      </w:r>
      <w:r>
        <w:rPr>
          <w:rFonts w:hint="eastAsia"/>
          <w:color w:val="000000" w:themeColor="text1"/>
          <w:szCs w:val="21"/>
          <w:highlight w:val="none"/>
          <w14:textFill>
            <w14:solidFill>
              <w14:schemeClr w14:val="tx1"/>
            </w14:solidFill>
          </w14:textFill>
        </w:rPr>
        <w:t>（不小于贰</w:t>
      </w:r>
      <w:r>
        <w:rPr>
          <w:color w:val="000000" w:themeColor="text1"/>
          <w:szCs w:val="21"/>
          <w:highlight w:val="none"/>
          <w14:textFill>
            <w14:solidFill>
              <w14:schemeClr w14:val="tx1"/>
            </w14:solidFill>
          </w14:textFill>
        </w:rPr>
        <w:t>万元/人</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次。</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；除此外其他人员为</w:t>
      </w:r>
      <w:r>
        <w:rPr>
          <w:rFonts w:hint="eastAsia"/>
          <w:color w:val="000000" w:themeColor="text1"/>
          <w:szCs w:val="21"/>
          <w:highlight w:val="none"/>
          <w14:textFill>
            <w14:solidFill>
              <w14:schemeClr w14:val="tx1"/>
            </w14:solidFill>
          </w14:textFill>
        </w:rPr>
        <w:t>壹</w:t>
      </w:r>
      <w:r>
        <w:rPr>
          <w:color w:val="000000" w:themeColor="text1"/>
          <w:szCs w:val="21"/>
          <w:highlight w:val="none"/>
          <w14:textFill>
            <w14:solidFill>
              <w14:schemeClr w14:val="tx1"/>
            </w14:solidFill>
          </w14:textFill>
        </w:rPr>
        <w:t>万元/人</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次。</w:t>
      </w:r>
    </w:p>
    <w:p w14:paraId="406EC005">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84" w:name="_Toc54281212"/>
      <w:bookmarkStart w:id="85" w:name="_Toc53939575"/>
      <w:bookmarkStart w:id="86" w:name="_Toc54279934"/>
      <w:bookmarkStart w:id="87" w:name="_Toc53918802"/>
      <w:bookmarkStart w:id="88" w:name="_Toc145499733"/>
      <w:bookmarkStart w:id="89" w:name="_Toc53948331"/>
      <w:bookmarkStart w:id="90" w:name="_Toc54280786"/>
      <w:bookmarkStart w:id="91" w:name="_Toc53948752"/>
      <w:bookmarkStart w:id="92" w:name="_Toc53949173"/>
      <w:bookmarkStart w:id="93" w:name="_Toc53936511"/>
      <w:bookmarkStart w:id="94" w:name="_Toc53945776"/>
      <w:bookmarkStart w:id="95" w:name="_Toc54280360"/>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3</w:t>
      </w:r>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.联合体</w:t>
      </w:r>
      <w:bookmarkEnd w:id="84"/>
      <w:bookmarkEnd w:id="85"/>
      <w:bookmarkEnd w:id="86"/>
      <w:bookmarkEnd w:id="87"/>
      <w:bookmarkEnd w:id="88"/>
      <w:bookmarkEnd w:id="89"/>
      <w:bookmarkEnd w:id="90"/>
      <w:bookmarkEnd w:id="91"/>
      <w:bookmarkEnd w:id="92"/>
      <w:bookmarkEnd w:id="93"/>
      <w:bookmarkEnd w:id="94"/>
      <w:bookmarkEnd w:id="95"/>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响应采购</w:t>
      </w:r>
    </w:p>
    <w:p w14:paraId="73C95BFA">
      <w:pPr>
        <w:widowControl/>
        <w:spacing w:line="360" w:lineRule="auto"/>
        <w:ind w:left="419" w:leftChars="33" w:hanging="350" w:hangingChars="167"/>
        <w:rPr>
          <w:color w:val="000000" w:themeColor="text1"/>
          <w:szCs w:val="21"/>
          <w:highlight w:val="none"/>
          <w14:textFill>
            <w14:solidFill>
              <w14:schemeClr w14:val="tx1"/>
            </w14:solidFill>
          </w14:textFill>
        </w:rPr>
      </w:pPr>
      <w:bookmarkStart w:id="96" w:name="_Toc53945777"/>
      <w:bookmarkStart w:id="97" w:name="_Toc53948753"/>
      <w:bookmarkStart w:id="98" w:name="_Toc53948332"/>
      <w:bookmarkStart w:id="99" w:name="_Toc54281213"/>
      <w:bookmarkStart w:id="100" w:name="_Toc53918803"/>
      <w:bookmarkStart w:id="101" w:name="_Toc53936512"/>
      <w:bookmarkStart w:id="102" w:name="_Toc54280361"/>
      <w:bookmarkStart w:id="103" w:name="_Toc53939576"/>
      <w:bookmarkStart w:id="104" w:name="_Toc54280787"/>
      <w:bookmarkStart w:id="105" w:name="_Toc53949174"/>
      <w:bookmarkStart w:id="106" w:name="_Toc54279935"/>
      <w:r>
        <w:rPr>
          <w:rFonts w:hint="eastAsia"/>
          <w:color w:val="000000" w:themeColor="text1"/>
          <w:szCs w:val="21"/>
          <w:highlight w:val="none"/>
          <w14:textFill>
            <w14:solidFill>
              <w14:schemeClr w14:val="tx1"/>
            </w14:solidFill>
          </w14:textFill>
        </w:rPr>
        <w:t>3.1本分包工程采购人不接受联合体参与采购活动。</w:t>
      </w:r>
    </w:p>
    <w:p w14:paraId="0EDA6FB3">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107" w:name="_Toc145499734"/>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4</w:t>
      </w:r>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w:t>
      </w:r>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采购响应</w:t>
      </w:r>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费用</w:t>
      </w:r>
      <w:bookmarkEnd w:id="96"/>
      <w:bookmarkEnd w:id="97"/>
      <w:bookmarkEnd w:id="98"/>
      <w:bookmarkEnd w:id="99"/>
      <w:bookmarkEnd w:id="100"/>
      <w:bookmarkEnd w:id="101"/>
      <w:bookmarkEnd w:id="102"/>
      <w:bookmarkEnd w:id="103"/>
      <w:bookmarkEnd w:id="104"/>
      <w:bookmarkEnd w:id="105"/>
      <w:bookmarkEnd w:id="106"/>
      <w:bookmarkEnd w:id="107"/>
    </w:p>
    <w:p w14:paraId="6CFBCC77">
      <w:pPr>
        <w:widowControl/>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w:t>
      </w:r>
      <w:r>
        <w:rPr>
          <w:color w:val="000000" w:themeColor="text1"/>
          <w:szCs w:val="21"/>
          <w:highlight w:val="none"/>
          <w14:textFill>
            <w14:solidFill>
              <w14:schemeClr w14:val="tx1"/>
            </w14:solidFill>
          </w14:textFill>
        </w:rPr>
        <w:t>.1响应单位在</w:t>
      </w:r>
      <w:r>
        <w:rPr>
          <w:rFonts w:hint="eastAsia"/>
          <w:color w:val="000000" w:themeColor="text1"/>
          <w:szCs w:val="21"/>
          <w:highlight w:val="none"/>
          <w14:textFill>
            <w14:solidFill>
              <w14:schemeClr w14:val="tx1"/>
            </w14:solidFill>
          </w14:textFill>
        </w:rPr>
        <w:t>采购</w:t>
      </w:r>
      <w:r>
        <w:rPr>
          <w:color w:val="000000" w:themeColor="text1"/>
          <w:szCs w:val="21"/>
          <w:highlight w:val="none"/>
          <w14:textFill>
            <w14:solidFill>
              <w14:schemeClr w14:val="tx1"/>
            </w14:solidFill>
          </w14:textFill>
        </w:rPr>
        <w:t>过程中的一切费用，不论</w:t>
      </w:r>
      <w:r>
        <w:rPr>
          <w:rFonts w:hint="eastAsia"/>
          <w:color w:val="000000" w:themeColor="text1"/>
          <w:szCs w:val="21"/>
          <w:highlight w:val="none"/>
          <w14:textFill>
            <w14:solidFill>
              <w14:schemeClr w14:val="tx1"/>
            </w14:solidFill>
          </w14:textFill>
        </w:rPr>
        <w:t>成交</w:t>
      </w:r>
      <w:r>
        <w:rPr>
          <w:color w:val="000000" w:themeColor="text1"/>
          <w:szCs w:val="21"/>
          <w:highlight w:val="none"/>
          <w14:textFill>
            <w14:solidFill>
              <w14:schemeClr w14:val="tx1"/>
            </w14:solidFill>
          </w14:textFill>
        </w:rPr>
        <w:t>与否，均由响应单位自负。</w:t>
      </w:r>
    </w:p>
    <w:p w14:paraId="12DFD20A">
      <w:pPr>
        <w:widowControl/>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w:t>
      </w:r>
      <w:r>
        <w:rPr>
          <w:color w:val="000000" w:themeColor="text1"/>
          <w:szCs w:val="21"/>
          <w:highlight w:val="none"/>
          <w14:textFill>
            <w14:solidFill>
              <w14:schemeClr w14:val="tx1"/>
            </w14:solidFill>
          </w14:textFill>
        </w:rPr>
        <w:t>.2采购人对未</w:t>
      </w:r>
      <w:r>
        <w:rPr>
          <w:rFonts w:hint="eastAsia"/>
          <w:color w:val="000000" w:themeColor="text1"/>
          <w:szCs w:val="21"/>
          <w:highlight w:val="none"/>
          <w14:textFill>
            <w14:solidFill>
              <w14:schemeClr w14:val="tx1"/>
            </w14:solidFill>
          </w14:textFill>
        </w:rPr>
        <w:t>成交响应单位</w:t>
      </w:r>
      <w:r>
        <w:rPr>
          <w:color w:val="000000" w:themeColor="text1"/>
          <w:szCs w:val="21"/>
          <w:highlight w:val="none"/>
          <w14:textFill>
            <w14:solidFill>
              <w14:schemeClr w14:val="tx1"/>
            </w14:solidFill>
          </w14:textFill>
        </w:rPr>
        <w:t>不予补偿。</w:t>
      </w:r>
    </w:p>
    <w:p w14:paraId="2F89972F">
      <w:pPr>
        <w:widowControl/>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4.3采购文件工本费：无。</w:t>
      </w:r>
    </w:p>
    <w:p w14:paraId="4C79BFD6">
      <w:pPr>
        <w:widowControl/>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4.4图纸押金：无。（如有纸质图纸，可按需约定）</w:t>
      </w:r>
    </w:p>
    <w:p w14:paraId="75C165CE">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108" w:name="_Toc53939577"/>
      <w:bookmarkStart w:id="109" w:name="_Toc53918804"/>
      <w:bookmarkStart w:id="110" w:name="_Toc54280362"/>
      <w:bookmarkStart w:id="111" w:name="_Toc54280788"/>
      <w:bookmarkStart w:id="112" w:name="_Toc53948754"/>
      <w:bookmarkStart w:id="113" w:name="_Toc54279936"/>
      <w:bookmarkStart w:id="114" w:name="_Toc54281214"/>
      <w:bookmarkStart w:id="115" w:name="_Toc53936513"/>
      <w:bookmarkStart w:id="116" w:name="_Toc53948333"/>
      <w:bookmarkStart w:id="117" w:name="_Toc53949175"/>
      <w:bookmarkStart w:id="118" w:name="_Toc53945778"/>
      <w:bookmarkStart w:id="119" w:name="_Toc145499735"/>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5</w:t>
      </w:r>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w:t>
      </w:r>
      <w:bookmarkEnd w:id="108"/>
      <w:bookmarkEnd w:id="109"/>
      <w:bookmarkEnd w:id="110"/>
      <w:bookmarkEnd w:id="111"/>
      <w:bookmarkEnd w:id="112"/>
      <w:bookmarkEnd w:id="113"/>
      <w:bookmarkEnd w:id="114"/>
      <w:bookmarkEnd w:id="115"/>
      <w:bookmarkEnd w:id="116"/>
      <w:bookmarkEnd w:id="117"/>
      <w:bookmarkEnd w:id="118"/>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现场</w:t>
      </w:r>
      <w:bookmarkEnd w:id="119"/>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踏勘</w:t>
      </w:r>
    </w:p>
    <w:p w14:paraId="176B93B6">
      <w:pPr>
        <w:widowControl/>
        <w:spacing w:line="360" w:lineRule="auto"/>
        <w:ind w:left="419" w:leftChars="33" w:hanging="350" w:hangingChars="167"/>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5.1响应单位应按照《响应单位须知前附表》中第</w:t>
      </w:r>
      <w:r>
        <w:rPr>
          <w:rFonts w:hint="eastAsia"/>
          <w:color w:val="000000" w:themeColor="text1"/>
          <w:szCs w:val="21"/>
          <w:highlight w:val="none"/>
          <w14:textFill>
            <w14:solidFill>
              <w14:schemeClr w14:val="tx1"/>
            </w14:solidFill>
          </w14:textFill>
        </w:rPr>
        <w:t>3</w:t>
      </w:r>
      <w:r>
        <w:rPr>
          <w:color w:val="000000" w:themeColor="text1"/>
          <w:szCs w:val="21"/>
          <w:highlight w:val="none"/>
          <w14:textFill>
            <w14:solidFill>
              <w14:schemeClr w14:val="tx1"/>
            </w14:solidFill>
          </w14:textFill>
        </w:rPr>
        <w:t>项要求的时间和地址，</w:t>
      </w:r>
      <w:r>
        <w:rPr>
          <w:rFonts w:hint="eastAsia"/>
          <w:color w:val="000000" w:themeColor="text1"/>
          <w:szCs w:val="21"/>
          <w:highlight w:val="none"/>
          <w14:textFill>
            <w14:solidFill>
              <w14:schemeClr w14:val="tx1"/>
            </w14:solidFill>
          </w14:textFill>
        </w:rPr>
        <w:t>自行组织前往对</w:t>
      </w:r>
      <w:r>
        <w:rPr>
          <w:color w:val="000000" w:themeColor="text1"/>
          <w:szCs w:val="21"/>
          <w:highlight w:val="none"/>
          <w14:textFill>
            <w14:solidFill>
              <w14:schemeClr w14:val="tx1"/>
            </w14:solidFill>
          </w14:textFill>
        </w:rPr>
        <w:t>现场及其周围环境进行的</w:t>
      </w:r>
      <w:r>
        <w:rPr>
          <w:rFonts w:hint="eastAsia"/>
          <w:color w:val="000000" w:themeColor="text1"/>
          <w:szCs w:val="21"/>
          <w:highlight w:val="none"/>
          <w14:textFill>
            <w14:solidFill>
              <w14:schemeClr w14:val="tx1"/>
            </w14:solidFill>
          </w14:textFill>
        </w:rPr>
        <w:t>踏勘</w:t>
      </w:r>
      <w:r>
        <w:rPr>
          <w:color w:val="000000" w:themeColor="text1"/>
          <w:szCs w:val="21"/>
          <w:highlight w:val="none"/>
          <w14:textFill>
            <w14:solidFill>
              <w14:schemeClr w14:val="tx1"/>
            </w14:solidFill>
          </w14:textFill>
        </w:rPr>
        <w:t>，以便使响应单位自行查明或核实有关编制响应文件和签订合同所必需的一切资料。</w:t>
      </w:r>
    </w:p>
    <w:p w14:paraId="150E7AF8">
      <w:pPr>
        <w:widowControl/>
        <w:spacing w:line="360" w:lineRule="auto"/>
        <w:ind w:left="419" w:leftChars="33" w:hanging="350" w:hangingChars="167"/>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5.2现场</w:t>
      </w:r>
      <w:r>
        <w:rPr>
          <w:rFonts w:hint="eastAsia"/>
          <w:color w:val="000000" w:themeColor="text1"/>
          <w:szCs w:val="21"/>
          <w:highlight w:val="none"/>
          <w14:textFill>
            <w14:solidFill>
              <w14:schemeClr w14:val="tx1"/>
            </w14:solidFill>
          </w14:textFill>
        </w:rPr>
        <w:t>踏勘</w:t>
      </w:r>
      <w:r>
        <w:rPr>
          <w:color w:val="000000" w:themeColor="text1"/>
          <w:szCs w:val="21"/>
          <w:highlight w:val="none"/>
          <w14:textFill>
            <w14:solidFill>
              <w14:schemeClr w14:val="tx1"/>
            </w14:solidFill>
          </w14:textFill>
        </w:rPr>
        <w:t>时，采购人</w:t>
      </w:r>
      <w:r>
        <w:rPr>
          <w:rFonts w:hint="eastAsia"/>
          <w:color w:val="000000" w:themeColor="text1"/>
          <w:szCs w:val="21"/>
          <w:highlight w:val="none"/>
          <w14:textFill>
            <w14:solidFill>
              <w14:schemeClr w14:val="tx1"/>
            </w14:solidFill>
          </w14:textFill>
        </w:rPr>
        <w:t>相关负责人</w:t>
      </w:r>
      <w:r>
        <w:rPr>
          <w:color w:val="000000" w:themeColor="text1"/>
          <w:szCs w:val="21"/>
          <w:highlight w:val="none"/>
          <w14:textFill>
            <w14:solidFill>
              <w14:schemeClr w14:val="tx1"/>
            </w14:solidFill>
          </w14:textFill>
        </w:rPr>
        <w:t>将介绍工程的地形、地貌、水文、地质、气象、料场、水源、电源、通讯、交通条件等，以帮助响应单位了解现场情况，利于编制响应文件。</w:t>
      </w:r>
    </w:p>
    <w:p w14:paraId="67904B5E">
      <w:pPr>
        <w:widowControl/>
        <w:spacing w:line="360" w:lineRule="auto"/>
        <w:ind w:left="419" w:leftChars="33" w:hanging="350" w:hangingChars="167"/>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5.</w:t>
      </w:r>
      <w:r>
        <w:rPr>
          <w:rFonts w:hint="eastAsia"/>
          <w:color w:val="000000" w:themeColor="text1"/>
          <w:szCs w:val="21"/>
          <w:highlight w:val="none"/>
          <w14:textFill>
            <w14:solidFill>
              <w14:schemeClr w14:val="tx1"/>
            </w14:solidFill>
          </w14:textFill>
        </w:rPr>
        <w:t>3</w:t>
      </w:r>
      <w:r>
        <w:rPr>
          <w:color w:val="000000" w:themeColor="text1"/>
          <w:szCs w:val="21"/>
          <w:highlight w:val="none"/>
          <w14:textFill>
            <w14:solidFill>
              <w14:schemeClr w14:val="tx1"/>
            </w14:solidFill>
          </w14:textFill>
        </w:rPr>
        <w:t>现场</w:t>
      </w:r>
      <w:r>
        <w:rPr>
          <w:rFonts w:hint="eastAsia"/>
          <w:color w:val="000000" w:themeColor="text1"/>
          <w:szCs w:val="21"/>
          <w:highlight w:val="none"/>
          <w14:textFill>
            <w14:solidFill>
              <w14:schemeClr w14:val="tx1"/>
            </w14:solidFill>
          </w14:textFill>
        </w:rPr>
        <w:t>踏勘</w:t>
      </w:r>
      <w:r>
        <w:rPr>
          <w:color w:val="000000" w:themeColor="text1"/>
          <w:szCs w:val="21"/>
          <w:highlight w:val="none"/>
          <w14:textFill>
            <w14:solidFill>
              <w14:schemeClr w14:val="tx1"/>
            </w14:solidFill>
          </w14:textFill>
        </w:rPr>
        <w:t>期间，响应单位如果发生人身伤亡、财物或其他损失，无论何种原因造成，采购人均不负责。</w:t>
      </w:r>
    </w:p>
    <w:p w14:paraId="25A835BC">
      <w:pPr>
        <w:widowControl/>
        <w:spacing w:line="360" w:lineRule="auto"/>
        <w:ind w:left="419" w:leftChars="33" w:hanging="350" w:hangingChars="167"/>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5.</w:t>
      </w:r>
      <w:r>
        <w:rPr>
          <w:rFonts w:hint="eastAsia"/>
          <w:color w:val="000000" w:themeColor="text1"/>
          <w:szCs w:val="21"/>
          <w:highlight w:val="none"/>
          <w14:textFill>
            <w14:solidFill>
              <w14:schemeClr w14:val="tx1"/>
            </w14:solidFill>
          </w14:textFill>
        </w:rPr>
        <w:t>4</w:t>
      </w:r>
      <w:r>
        <w:rPr>
          <w:color w:val="000000" w:themeColor="text1"/>
          <w:szCs w:val="21"/>
          <w:highlight w:val="none"/>
          <w14:textFill>
            <w14:solidFill>
              <w14:schemeClr w14:val="tx1"/>
            </w14:solidFill>
          </w14:textFill>
        </w:rPr>
        <w:t>现场</w:t>
      </w:r>
      <w:r>
        <w:rPr>
          <w:rFonts w:hint="eastAsia"/>
          <w:color w:val="000000" w:themeColor="text1"/>
          <w:szCs w:val="21"/>
          <w:highlight w:val="none"/>
          <w14:textFill>
            <w14:solidFill>
              <w14:schemeClr w14:val="tx1"/>
            </w14:solidFill>
          </w14:textFill>
        </w:rPr>
        <w:t>踏勘</w:t>
      </w:r>
      <w:r>
        <w:rPr>
          <w:color w:val="000000" w:themeColor="text1"/>
          <w:szCs w:val="21"/>
          <w:highlight w:val="none"/>
          <w14:textFill>
            <w14:solidFill>
              <w14:schemeClr w14:val="tx1"/>
            </w14:solidFill>
          </w14:textFill>
        </w:rPr>
        <w:t>期间，响应单位应自备车辆，其食宿</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费用、风险自理。</w:t>
      </w:r>
    </w:p>
    <w:p w14:paraId="412225F1">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120" w:name="_Toc53936515"/>
      <w:bookmarkStart w:id="121" w:name="_Toc54280790"/>
      <w:bookmarkStart w:id="122" w:name="_Toc53918806"/>
      <w:bookmarkStart w:id="123" w:name="_Toc53939579"/>
      <w:bookmarkStart w:id="124" w:name="_Toc145499737"/>
      <w:bookmarkStart w:id="125" w:name="_Toc53948335"/>
      <w:bookmarkStart w:id="126" w:name="_Toc53945780"/>
      <w:bookmarkStart w:id="127" w:name="_Toc53949177"/>
      <w:bookmarkStart w:id="128" w:name="_Toc53948756"/>
      <w:bookmarkStart w:id="129" w:name="_Toc54280364"/>
      <w:bookmarkStart w:id="130" w:name="_Toc54281216"/>
      <w:bookmarkStart w:id="131" w:name="_Toc54279938"/>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6</w:t>
      </w:r>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.水文及地表以下资料</w:t>
      </w:r>
      <w:bookmarkEnd w:id="120"/>
      <w:bookmarkEnd w:id="121"/>
      <w:bookmarkEnd w:id="122"/>
      <w:bookmarkEnd w:id="123"/>
      <w:bookmarkEnd w:id="124"/>
      <w:bookmarkEnd w:id="125"/>
      <w:bookmarkEnd w:id="126"/>
      <w:bookmarkEnd w:id="127"/>
      <w:bookmarkEnd w:id="128"/>
      <w:bookmarkEnd w:id="129"/>
      <w:bookmarkEnd w:id="130"/>
      <w:bookmarkEnd w:id="131"/>
    </w:p>
    <w:p w14:paraId="561674AD">
      <w:pPr>
        <w:widowControl/>
        <w:spacing w:line="360" w:lineRule="auto"/>
        <w:ind w:left="419" w:leftChars="33" w:hanging="350" w:hangingChars="167"/>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6</w:t>
      </w:r>
      <w:r>
        <w:rPr>
          <w:color w:val="000000" w:themeColor="text1"/>
          <w:szCs w:val="21"/>
          <w:highlight w:val="none"/>
          <w14:textFill>
            <w14:solidFill>
              <w14:schemeClr w14:val="tx1"/>
            </w14:solidFill>
          </w14:textFill>
        </w:rPr>
        <w:t>.1采购人</w:t>
      </w:r>
      <w:r>
        <w:rPr>
          <w:rFonts w:hint="eastAsia"/>
          <w:color w:val="000000" w:themeColor="text1"/>
          <w:szCs w:val="21"/>
          <w:highlight w:val="none"/>
          <w14:textFill>
            <w14:solidFill>
              <w14:schemeClr w14:val="tx1"/>
            </w14:solidFill>
          </w14:textFill>
        </w:rPr>
        <w:t>若有且需要提供给响应单位的，采购人可提供水文</w:t>
      </w:r>
      <w:r>
        <w:rPr>
          <w:color w:val="000000" w:themeColor="text1"/>
          <w:szCs w:val="21"/>
          <w:highlight w:val="none"/>
          <w14:textFill>
            <w14:solidFill>
              <w14:schemeClr w14:val="tx1"/>
            </w14:solidFill>
          </w14:textFill>
        </w:rPr>
        <w:t>及</w:t>
      </w:r>
      <w:r>
        <w:rPr>
          <w:rFonts w:hint="eastAsia"/>
          <w:color w:val="000000" w:themeColor="text1"/>
          <w:szCs w:val="21"/>
          <w:highlight w:val="none"/>
          <w14:textFill>
            <w14:solidFill>
              <w14:schemeClr w14:val="tx1"/>
            </w14:solidFill>
          </w14:textFill>
        </w:rPr>
        <w:t>地表以下</w:t>
      </w:r>
      <w:r>
        <w:rPr>
          <w:color w:val="000000" w:themeColor="text1"/>
          <w:szCs w:val="21"/>
          <w:highlight w:val="none"/>
          <w14:textFill>
            <w14:solidFill>
              <w14:schemeClr w14:val="tx1"/>
            </w14:solidFill>
          </w14:textFill>
        </w:rPr>
        <w:t>等其它资料</w:t>
      </w:r>
      <w:r>
        <w:rPr>
          <w:rFonts w:hint="eastAsia"/>
          <w:color w:val="000000" w:themeColor="text1"/>
          <w:szCs w:val="21"/>
          <w:highlight w:val="none"/>
          <w14:textFill>
            <w14:solidFill>
              <w14:schemeClr w14:val="tx1"/>
            </w14:solidFill>
          </w14:textFill>
        </w:rPr>
        <w:t>。</w:t>
      </w:r>
    </w:p>
    <w:p w14:paraId="368700CB">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132" w:name="_Toc53949178"/>
      <w:bookmarkStart w:id="133" w:name="_Toc54280365"/>
      <w:bookmarkStart w:id="134" w:name="_Toc53939580"/>
      <w:bookmarkStart w:id="135" w:name="_Toc53945781"/>
      <w:bookmarkStart w:id="136" w:name="_Toc53918807"/>
      <w:bookmarkStart w:id="137" w:name="_Toc54280791"/>
      <w:bookmarkStart w:id="138" w:name="_Toc53948336"/>
      <w:bookmarkStart w:id="139" w:name="_Toc54281217"/>
      <w:bookmarkStart w:id="140" w:name="_Toc53948757"/>
      <w:bookmarkStart w:id="141" w:name="_Toc53936516"/>
      <w:bookmarkStart w:id="142" w:name="_Toc54279939"/>
      <w:bookmarkStart w:id="143" w:name="_Toc145499738"/>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7</w:t>
      </w:r>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.采购人式</w:t>
      </w:r>
      <w:bookmarkEnd w:id="132"/>
      <w:bookmarkEnd w:id="133"/>
      <w:bookmarkEnd w:id="134"/>
      <w:bookmarkEnd w:id="135"/>
      <w:bookmarkEnd w:id="136"/>
      <w:bookmarkEnd w:id="137"/>
      <w:bookmarkEnd w:id="138"/>
      <w:bookmarkEnd w:id="139"/>
      <w:bookmarkEnd w:id="140"/>
      <w:bookmarkEnd w:id="141"/>
      <w:bookmarkEnd w:id="142"/>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和范围</w:t>
      </w:r>
      <w:bookmarkEnd w:id="143"/>
    </w:p>
    <w:p w14:paraId="74362D75">
      <w:pPr>
        <w:widowControl/>
        <w:spacing w:line="360" w:lineRule="auto"/>
        <w:ind w:left="419" w:leftChars="33" w:hanging="350" w:hangingChars="167"/>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7</w:t>
      </w:r>
      <w:r>
        <w:rPr>
          <w:color w:val="000000" w:themeColor="text1"/>
          <w:szCs w:val="21"/>
          <w:highlight w:val="none"/>
          <w14:textFill>
            <w14:solidFill>
              <w14:schemeClr w14:val="tx1"/>
            </w14:solidFill>
          </w14:textFill>
        </w:rPr>
        <w:t>.1本工程将</w:t>
      </w:r>
      <w:r>
        <w:rPr>
          <w:rFonts w:hint="eastAsia"/>
          <w:color w:val="000000" w:themeColor="text1"/>
          <w:szCs w:val="21"/>
          <w:highlight w:val="none"/>
          <w14:textFill>
            <w14:solidFill>
              <w14:schemeClr w14:val="tx1"/>
            </w14:solidFill>
          </w14:textFill>
        </w:rPr>
        <w:t>采取</w:t>
      </w:r>
      <w:r>
        <w:rPr>
          <w:rFonts w:hint="eastAsia"/>
          <w:color w:val="000000" w:themeColor="text1"/>
          <w:szCs w:val="21"/>
          <w:highlight w:val="none"/>
          <w14:textFill>
            <w14:solidFill>
              <w14:schemeClr w14:val="tx1"/>
            </w14:solidFill>
          </w14:textFill>
        </w:rPr>
        <w:t>公开</w:t>
      </w:r>
      <w:r>
        <w:rPr>
          <w:color w:val="000000" w:themeColor="text1"/>
          <w:szCs w:val="21"/>
          <w:highlight w:val="none"/>
          <w14:textFill>
            <w14:solidFill>
              <w14:schemeClr w14:val="tx1"/>
            </w14:solidFill>
          </w14:textFill>
        </w:rPr>
        <w:t>采购的方式，</w:t>
      </w:r>
      <w:r>
        <w:rPr>
          <w:rFonts w:hint="eastAsia"/>
          <w:color w:val="000000" w:themeColor="text1"/>
          <w:szCs w:val="21"/>
          <w:highlight w:val="none"/>
          <w14:textFill>
            <w14:solidFill>
              <w14:schemeClr w14:val="tx1"/>
            </w14:solidFill>
          </w14:textFill>
        </w:rPr>
        <w:t>遵循公平、公正、</w:t>
      </w:r>
      <w:r>
        <w:rPr>
          <w:color w:val="000000" w:themeColor="text1"/>
          <w:szCs w:val="21"/>
          <w:highlight w:val="none"/>
          <w14:textFill>
            <w14:solidFill>
              <w14:schemeClr w14:val="tx1"/>
            </w14:solidFill>
          </w14:textFill>
        </w:rPr>
        <w:t>科学、择优的原则，综合评选出</w:t>
      </w:r>
      <w:r>
        <w:rPr>
          <w:rFonts w:hint="eastAsia"/>
          <w:color w:val="000000" w:themeColor="text1"/>
          <w:szCs w:val="21"/>
          <w:highlight w:val="none"/>
          <w14:textFill>
            <w14:solidFill>
              <w14:schemeClr w14:val="tx1"/>
            </w14:solidFill>
          </w14:textFill>
        </w:rPr>
        <w:t>成交单位，不保证最低价成交，也不对成交结果作任何解释。</w:t>
      </w:r>
    </w:p>
    <w:p w14:paraId="5D7AC6CE">
      <w:pPr>
        <w:widowControl/>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7</w:t>
      </w:r>
      <w:r>
        <w:rPr>
          <w:color w:val="000000" w:themeColor="text1"/>
          <w:szCs w:val="21"/>
          <w:highlight w:val="none"/>
          <w14:textFill>
            <w14:solidFill>
              <w14:schemeClr w14:val="tx1"/>
            </w14:solidFill>
          </w14:textFill>
        </w:rPr>
        <w:t>.2本工程的采购范围见《</w:t>
      </w:r>
      <w:r>
        <w:rPr>
          <w:rFonts w:hint="eastAsia"/>
          <w:color w:val="000000" w:themeColor="text1"/>
          <w:szCs w:val="21"/>
          <w:highlight w:val="none"/>
          <w14:textFill>
            <w14:solidFill>
              <w14:schemeClr w14:val="tx1"/>
            </w14:solidFill>
          </w14:textFill>
        </w:rPr>
        <w:t>相应单位</w:t>
      </w:r>
      <w:r>
        <w:rPr>
          <w:color w:val="000000" w:themeColor="text1"/>
          <w:szCs w:val="21"/>
          <w:highlight w:val="none"/>
          <w14:textFill>
            <w14:solidFill>
              <w14:schemeClr w14:val="tx1"/>
            </w14:solidFill>
          </w14:textFill>
        </w:rPr>
        <w:t>须知前附表》第</w:t>
      </w:r>
      <w:r>
        <w:rPr>
          <w:rFonts w:hint="eastAsia"/>
          <w:color w:val="000000" w:themeColor="text1"/>
          <w:szCs w:val="21"/>
          <w:highlight w:val="none"/>
          <w14:textFill>
            <w14:solidFill>
              <w14:schemeClr w14:val="tx1"/>
            </w14:solidFill>
          </w14:textFill>
        </w:rPr>
        <w:t>4</w:t>
      </w:r>
      <w:r>
        <w:rPr>
          <w:color w:val="000000" w:themeColor="text1"/>
          <w:szCs w:val="21"/>
          <w:highlight w:val="none"/>
          <w14:textFill>
            <w14:solidFill>
              <w14:schemeClr w14:val="tx1"/>
            </w14:solidFill>
          </w14:textFill>
        </w:rPr>
        <w:t>项说明</w:t>
      </w:r>
      <w:r>
        <w:rPr>
          <w:rFonts w:hint="eastAsia"/>
          <w:color w:val="000000" w:themeColor="text1"/>
          <w:szCs w:val="21"/>
          <w:highlight w:val="none"/>
          <w14:textFill>
            <w14:solidFill>
              <w14:schemeClr w14:val="tx1"/>
            </w14:solidFill>
          </w14:textFill>
        </w:rPr>
        <w:t>。</w:t>
      </w:r>
      <w:bookmarkStart w:id="144" w:name="_Toc53949179"/>
      <w:bookmarkStart w:id="145" w:name="_Toc53918808"/>
      <w:bookmarkStart w:id="146" w:name="_Toc54281218"/>
      <w:bookmarkStart w:id="147" w:name="_Toc54280792"/>
      <w:bookmarkStart w:id="148" w:name="_Toc53945782"/>
      <w:bookmarkStart w:id="149" w:name="_Toc53939581"/>
      <w:bookmarkStart w:id="150" w:name="_Toc54279940"/>
      <w:bookmarkStart w:id="151" w:name="_Toc53948758"/>
      <w:bookmarkStart w:id="152" w:name="_Toc54280366"/>
      <w:bookmarkStart w:id="153" w:name="_Toc53936517"/>
      <w:bookmarkStart w:id="154" w:name="_Toc53948337"/>
      <w:bookmarkStart w:id="155" w:name="_Toc145499739"/>
    </w:p>
    <w:p w14:paraId="4A29BCDA">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8</w:t>
      </w:r>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w:t>
      </w:r>
      <w:bookmarkEnd w:id="144"/>
      <w:bookmarkEnd w:id="145"/>
      <w:bookmarkEnd w:id="146"/>
      <w:bookmarkEnd w:id="147"/>
      <w:bookmarkEnd w:id="148"/>
      <w:bookmarkEnd w:id="149"/>
      <w:bookmarkEnd w:id="150"/>
      <w:bookmarkEnd w:id="151"/>
      <w:bookmarkEnd w:id="152"/>
      <w:bookmarkEnd w:id="153"/>
      <w:bookmarkEnd w:id="154"/>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合同</w:t>
      </w:r>
      <w:bookmarkEnd w:id="155"/>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文件及价款方式</w:t>
      </w:r>
    </w:p>
    <w:p w14:paraId="3E3EE63D">
      <w:pPr>
        <w:widowControl/>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8</w:t>
      </w:r>
      <w:r>
        <w:rPr>
          <w:color w:val="000000" w:themeColor="text1"/>
          <w:szCs w:val="21"/>
          <w:highlight w:val="none"/>
          <w14:textFill>
            <w14:solidFill>
              <w14:schemeClr w14:val="tx1"/>
            </w14:solidFill>
          </w14:textFill>
        </w:rPr>
        <w:t>.1本工程的合同价款确定方式采用</w:t>
      </w:r>
      <w:r>
        <w:rPr>
          <w:color w:val="000000" w:themeColor="text1"/>
          <w:szCs w:val="21"/>
          <w:highlight w:val="none"/>
          <w14:textFill>
            <w14:solidFill>
              <w14:schemeClr w14:val="tx1"/>
            </w14:solidFill>
          </w14:textFill>
        </w:rPr>
        <w:t>固定</w:t>
      </w:r>
      <w:r>
        <w:rPr>
          <w:rFonts w:hint="eastAsia"/>
          <w:color w:val="000000" w:themeColor="text1"/>
          <w:szCs w:val="21"/>
          <w:highlight w:val="none"/>
          <w14:textFill>
            <w14:solidFill>
              <w14:schemeClr w14:val="tx1"/>
            </w14:solidFill>
          </w14:textFill>
        </w:rPr>
        <w:t>综合</w:t>
      </w:r>
      <w:r>
        <w:rPr>
          <w:color w:val="000000" w:themeColor="text1"/>
          <w:szCs w:val="21"/>
          <w:highlight w:val="none"/>
          <w14:textFill>
            <w14:solidFill>
              <w14:schemeClr w14:val="tx1"/>
            </w14:solidFill>
          </w14:textFill>
        </w:rPr>
        <w:t>单价</w:t>
      </w:r>
      <w:r>
        <w:rPr>
          <w:color w:val="000000" w:themeColor="text1"/>
          <w:szCs w:val="21"/>
          <w:highlight w:val="none"/>
          <w14:textFill>
            <w14:solidFill>
              <w14:schemeClr w14:val="tx1"/>
            </w14:solidFill>
          </w14:textFill>
        </w:rPr>
        <w:t>合同方式。</w:t>
      </w:r>
    </w:p>
    <w:p w14:paraId="0E139358">
      <w:pPr>
        <w:widowControl/>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8</w:t>
      </w:r>
      <w:r>
        <w:rPr>
          <w:color w:val="000000" w:themeColor="text1"/>
          <w:szCs w:val="21"/>
          <w:highlight w:val="none"/>
          <w14:textFill>
            <w14:solidFill>
              <w14:schemeClr w14:val="tx1"/>
            </w14:solidFill>
          </w14:textFill>
        </w:rPr>
        <w:t>.2本工程的合同文件格式详见本采购文件第</w:t>
      </w:r>
      <w:r>
        <w:rPr>
          <w:rFonts w:hint="eastAsia"/>
          <w:color w:val="000000" w:themeColor="text1"/>
          <w:szCs w:val="21"/>
          <w:highlight w:val="none"/>
          <w14:textFill>
            <w14:solidFill>
              <w14:schemeClr w14:val="tx1"/>
            </w14:solidFill>
          </w14:textFill>
        </w:rPr>
        <w:t>三</w:t>
      </w:r>
      <w:r>
        <w:rPr>
          <w:color w:val="000000" w:themeColor="text1"/>
          <w:szCs w:val="21"/>
          <w:highlight w:val="none"/>
          <w14:textFill>
            <w14:solidFill>
              <w14:schemeClr w14:val="tx1"/>
            </w14:solidFill>
          </w14:textFill>
        </w:rPr>
        <w:t>篇《</w:t>
      </w:r>
      <w:r>
        <w:rPr>
          <w:rFonts w:hint="eastAsia"/>
          <w:color w:val="000000" w:themeColor="text1"/>
          <w:szCs w:val="21"/>
          <w:highlight w:val="none"/>
          <w14:textFill>
            <w14:solidFill>
              <w14:schemeClr w14:val="tx1"/>
            </w14:solidFill>
          </w14:textFill>
        </w:rPr>
        <w:t>分包合同条款</w:t>
      </w:r>
      <w:r>
        <w:rPr>
          <w:color w:val="000000" w:themeColor="text1"/>
          <w:szCs w:val="21"/>
          <w:highlight w:val="none"/>
          <w14:textFill>
            <w14:solidFill>
              <w14:schemeClr w14:val="tx1"/>
            </w14:solidFill>
          </w14:textFill>
        </w:rPr>
        <w:t>》的相应内容。</w:t>
      </w:r>
    </w:p>
    <w:p w14:paraId="20086100">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156" w:name="_Toc53948759"/>
      <w:bookmarkStart w:id="157" w:name="_Toc53918809"/>
      <w:bookmarkStart w:id="158" w:name="_Toc54280367"/>
      <w:bookmarkStart w:id="159" w:name="_Toc53939582"/>
      <w:bookmarkStart w:id="160" w:name="_Toc53936518"/>
      <w:bookmarkStart w:id="161" w:name="_Toc54279941"/>
      <w:bookmarkStart w:id="162" w:name="_Toc53949180"/>
      <w:bookmarkStart w:id="163" w:name="_Toc53945783"/>
      <w:bookmarkStart w:id="164" w:name="_Toc54281219"/>
      <w:bookmarkStart w:id="165" w:name="_Toc53948338"/>
      <w:bookmarkStart w:id="166" w:name="_Toc54280793"/>
      <w:bookmarkStart w:id="167" w:name="_Toc145499740"/>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9</w:t>
      </w:r>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w:t>
      </w:r>
      <w:bookmarkEnd w:id="156"/>
      <w:bookmarkEnd w:id="157"/>
      <w:bookmarkEnd w:id="158"/>
      <w:bookmarkEnd w:id="159"/>
      <w:bookmarkEnd w:id="160"/>
      <w:bookmarkEnd w:id="161"/>
      <w:bookmarkEnd w:id="162"/>
      <w:bookmarkEnd w:id="163"/>
      <w:bookmarkEnd w:id="164"/>
      <w:bookmarkEnd w:id="165"/>
      <w:bookmarkEnd w:id="166"/>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响应文件</w:t>
      </w:r>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语言及单位</w:t>
      </w:r>
      <w:bookmarkEnd w:id="167"/>
    </w:p>
    <w:p w14:paraId="7C7E0228">
      <w:pPr>
        <w:widowControl/>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9</w:t>
      </w:r>
      <w:r>
        <w:rPr>
          <w:color w:val="000000" w:themeColor="text1"/>
          <w:szCs w:val="21"/>
          <w:highlight w:val="none"/>
          <w14:textFill>
            <w14:solidFill>
              <w14:schemeClr w14:val="tx1"/>
            </w14:solidFill>
          </w14:textFill>
        </w:rPr>
        <w:t>.1响应单位应使用中文进行响应文件编制或与采购人沟通交流。</w:t>
      </w:r>
    </w:p>
    <w:p w14:paraId="0925AB7A">
      <w:pPr>
        <w:widowControl/>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9</w:t>
      </w:r>
      <w:r>
        <w:rPr>
          <w:color w:val="000000" w:themeColor="text1"/>
          <w:szCs w:val="21"/>
          <w:highlight w:val="none"/>
          <w14:textFill>
            <w14:solidFill>
              <w14:schemeClr w14:val="tx1"/>
            </w14:solidFill>
          </w14:textFill>
        </w:rPr>
        <w:t>.2除工程规范另有规定外，响应文件使用的度量衡单位，均采用中华人民共和国法定计量单位。</w:t>
      </w:r>
    </w:p>
    <w:p w14:paraId="05300D03">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168" w:name="_Toc53918811"/>
      <w:bookmarkStart w:id="169" w:name="_Toc54280795"/>
      <w:bookmarkStart w:id="170" w:name="_Toc54280369"/>
      <w:bookmarkStart w:id="171" w:name="_Toc54281221"/>
      <w:bookmarkStart w:id="172" w:name="_Toc145499741"/>
      <w:bookmarkStart w:id="173" w:name="_Toc53945785"/>
      <w:bookmarkStart w:id="174" w:name="_Toc53948761"/>
      <w:bookmarkStart w:id="175" w:name="_Toc53948340"/>
      <w:bookmarkStart w:id="176" w:name="_Toc53949182"/>
      <w:bookmarkStart w:id="177" w:name="_Toc53939584"/>
      <w:bookmarkStart w:id="178" w:name="_Toc54279943"/>
      <w:bookmarkStart w:id="179" w:name="_Toc53936520"/>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1</w:t>
      </w:r>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0</w:t>
      </w:r>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.工程质量标准</w:t>
      </w:r>
      <w:bookmarkEnd w:id="168"/>
      <w:bookmarkEnd w:id="169"/>
      <w:bookmarkEnd w:id="170"/>
      <w:bookmarkEnd w:id="171"/>
      <w:bookmarkEnd w:id="172"/>
      <w:bookmarkEnd w:id="173"/>
      <w:bookmarkEnd w:id="174"/>
      <w:bookmarkEnd w:id="175"/>
      <w:bookmarkEnd w:id="176"/>
      <w:bookmarkEnd w:id="177"/>
      <w:bookmarkEnd w:id="178"/>
      <w:bookmarkEnd w:id="179"/>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及技术要求</w:t>
      </w:r>
    </w:p>
    <w:p w14:paraId="1F6FED94">
      <w:pPr>
        <w:widowControl/>
        <w:spacing w:line="360" w:lineRule="auto"/>
        <w:ind w:left="516" w:leftChars="33" w:hanging="447" w:hangingChars="213"/>
        <w:rPr>
          <w:color w:val="000000" w:themeColor="text1"/>
          <w:szCs w:val="21"/>
          <w:highlight w:val="none"/>
          <w14:textFill>
            <w14:solidFill>
              <w14:schemeClr w14:val="tx1"/>
            </w14:solidFill>
          </w14:textFill>
        </w:rPr>
      </w:pPr>
      <w:bookmarkStart w:id="180" w:name="_Toc53949183"/>
      <w:bookmarkStart w:id="181" w:name="_Toc54280796"/>
      <w:bookmarkStart w:id="182" w:name="_Toc54281222"/>
      <w:bookmarkStart w:id="183" w:name="_Toc54280370"/>
      <w:bookmarkStart w:id="184" w:name="_Toc53948762"/>
      <w:bookmarkStart w:id="185" w:name="_Toc53936521"/>
      <w:bookmarkStart w:id="186" w:name="_Toc53939585"/>
      <w:bookmarkStart w:id="187" w:name="_Toc54279944"/>
      <w:bookmarkStart w:id="188" w:name="_Toc53918812"/>
      <w:bookmarkStart w:id="189" w:name="_Toc53945786"/>
      <w:bookmarkStart w:id="190" w:name="_Toc53948341"/>
      <w:r>
        <w:rPr>
          <w:color w:val="000000" w:themeColor="text1"/>
          <w:szCs w:val="21"/>
          <w:highlight w:val="none"/>
          <w14:textFill>
            <w14:solidFill>
              <w14:schemeClr w14:val="tx1"/>
            </w14:solidFill>
          </w14:textFill>
        </w:rPr>
        <w:t>10.1工程质量标准约定如下：</w:t>
      </w:r>
    </w:p>
    <w:p w14:paraId="23FA172A">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10.1.1工程质量等级：</w:t>
      </w:r>
      <w:r>
        <w:rPr>
          <w:rFonts w:hint="eastAsia"/>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u w:val="single"/>
          <w:lang w:val="en-US" w:eastAsia="zh-CN"/>
          <w14:textFill>
            <w14:solidFill>
              <w14:schemeClr w14:val="tx1"/>
            </w14:solidFill>
          </w14:textFill>
        </w:rPr>
        <w:t>合格</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w:t>
      </w:r>
    </w:p>
    <w:p w14:paraId="4C577C46">
      <w:pPr>
        <w:widowControl/>
        <w:spacing w:line="360" w:lineRule="auto"/>
        <w:ind w:left="510" w:leftChars="233" w:hanging="21" w:hangingChars="1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10.1.2优质奖项要求：</w:t>
      </w:r>
      <w:r>
        <w:rPr>
          <w:rFonts w:hint="eastAsia"/>
          <w:color w:val="000000" w:themeColor="text1"/>
          <w:szCs w:val="21"/>
          <w:highlight w:val="none"/>
          <w:u w:val="single"/>
          <w14:textFill>
            <w14:solidFill>
              <w14:schemeClr w14:val="tx1"/>
            </w14:solidFill>
          </w14:textFill>
        </w:rPr>
        <w:t xml:space="preserve"> </w:t>
      </w:r>
      <w:r>
        <w:rPr>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u w:val="single"/>
          <w:lang w:val="en-US" w:eastAsia="zh-CN"/>
          <w14:textFill>
            <w14:solidFill>
              <w14:schemeClr w14:val="tx1"/>
            </w14:solidFill>
          </w14:textFill>
        </w:rPr>
        <w:t>无</w:t>
      </w:r>
      <w:r>
        <w:rPr>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14:textFill>
            <w14:solidFill>
              <w14:schemeClr w14:val="tx1"/>
            </w14:solidFill>
          </w14:textFill>
        </w:rPr>
        <w:t>。</w:t>
      </w:r>
    </w:p>
    <w:p w14:paraId="53477759">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10.1.</w:t>
      </w:r>
      <w:r>
        <w:rPr>
          <w:rFonts w:hint="eastAsia"/>
          <w:color w:val="000000" w:themeColor="text1"/>
          <w:szCs w:val="21"/>
          <w:highlight w:val="none"/>
          <w14:textFill>
            <w14:solidFill>
              <w14:schemeClr w14:val="tx1"/>
            </w14:solidFill>
          </w14:textFill>
        </w:rPr>
        <w:t>3</w:t>
      </w:r>
      <w:r>
        <w:rPr>
          <w:color w:val="000000" w:themeColor="text1"/>
          <w:szCs w:val="21"/>
          <w:highlight w:val="none"/>
          <w14:textFill>
            <w14:solidFill>
              <w14:schemeClr w14:val="tx1"/>
            </w14:solidFill>
          </w14:textFill>
        </w:rPr>
        <w:t>特别说明：本采购工程质量标准必须符合中华人民共和国国家标准，如果本采购文件中规定的执行标准高于国家标准，则按本采购文件中规定的标准执行，如果低于国家标准，则按国家标准执行</w:t>
      </w:r>
      <w:r>
        <w:rPr>
          <w:rFonts w:hint="eastAsia"/>
          <w:color w:val="000000" w:themeColor="text1"/>
          <w:szCs w:val="21"/>
          <w:highlight w:val="none"/>
          <w14:textFill>
            <w14:solidFill>
              <w14:schemeClr w14:val="tx1"/>
            </w14:solidFill>
          </w14:textFill>
        </w:rPr>
        <w:t>，如果期间相关标准国家、部委有更新的，则按照更新的标准执行</w:t>
      </w:r>
      <w:r>
        <w:rPr>
          <w:color w:val="000000" w:themeColor="text1"/>
          <w:szCs w:val="21"/>
          <w:highlight w:val="none"/>
          <w14:textFill>
            <w14:solidFill>
              <w14:schemeClr w14:val="tx1"/>
            </w14:solidFill>
          </w14:textFill>
        </w:rPr>
        <w:t>。</w:t>
      </w:r>
    </w:p>
    <w:p w14:paraId="77BA7D13">
      <w:pPr>
        <w:widowControl/>
        <w:spacing w:line="360" w:lineRule="auto"/>
        <w:ind w:left="514" w:leftChars="83" w:hanging="340" w:hangingChars="162"/>
        <w:rPr>
          <w:rFonts w:hint="eastAsia" w:eastAsia="宋体"/>
          <w:color w:val="000000" w:themeColor="text1"/>
          <w:szCs w:val="21"/>
          <w:highlight w:val="none"/>
          <w:lang w:val="en-US" w:eastAsia="zh-CN"/>
          <w14:textFill>
            <w14:solidFill>
              <w14:schemeClr w14:val="tx1"/>
            </w14:solidFill>
          </w14:textFill>
        </w:rPr>
      </w:pPr>
      <w:r>
        <w:rPr>
          <w:color w:val="000000" w:themeColor="text1"/>
          <w:szCs w:val="21"/>
          <w:highlight w:val="none"/>
          <w14:textFill>
            <w14:solidFill>
              <w14:schemeClr w14:val="tx1"/>
            </w14:solidFill>
          </w14:textFill>
        </w:rPr>
        <w:t>10.2</w:t>
      </w:r>
      <w:r>
        <w:rPr>
          <w:rFonts w:hint="eastAsia"/>
          <w:color w:val="000000" w:themeColor="text1"/>
          <w:szCs w:val="21"/>
          <w:highlight w:val="none"/>
          <w14:textFill>
            <w14:solidFill>
              <w14:schemeClr w14:val="tx1"/>
            </w14:solidFill>
          </w14:textFill>
        </w:rPr>
        <w:t>工程技术要求：</w:t>
      </w:r>
      <w:r>
        <w:rPr>
          <w:rFonts w:hint="eastAsia"/>
          <w:color w:val="000000" w:themeColor="text1"/>
          <w:szCs w:val="21"/>
          <w:highlight w:val="none"/>
          <w:lang w:val="en-US" w:eastAsia="zh-CN"/>
          <w14:textFill>
            <w14:solidFill>
              <w14:schemeClr w14:val="tx1"/>
            </w14:solidFill>
          </w14:textFill>
        </w:rPr>
        <w:t>/</w:t>
      </w:r>
    </w:p>
    <w:p w14:paraId="485D49BF">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191" w:name="_Toc145499742"/>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1</w:t>
      </w:r>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1</w:t>
      </w:r>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.工期及安全要求</w:t>
      </w:r>
      <w:bookmarkEnd w:id="180"/>
      <w:bookmarkEnd w:id="181"/>
      <w:bookmarkEnd w:id="182"/>
      <w:bookmarkEnd w:id="183"/>
      <w:bookmarkEnd w:id="184"/>
      <w:bookmarkEnd w:id="185"/>
      <w:bookmarkEnd w:id="186"/>
      <w:bookmarkEnd w:id="187"/>
      <w:bookmarkEnd w:id="188"/>
      <w:bookmarkEnd w:id="189"/>
      <w:bookmarkEnd w:id="190"/>
      <w:bookmarkEnd w:id="191"/>
    </w:p>
    <w:p w14:paraId="3DE30A5D">
      <w:pPr>
        <w:widowControl/>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w:t>
      </w:r>
      <w:r>
        <w:rPr>
          <w:rFonts w:hint="eastAsia"/>
          <w:color w:val="000000" w:themeColor="text1"/>
          <w:szCs w:val="21"/>
          <w:highlight w:val="none"/>
          <w14:textFill>
            <w14:solidFill>
              <w14:schemeClr w14:val="tx1"/>
            </w14:solidFill>
          </w14:textFill>
        </w:rPr>
        <w:t>1</w:t>
      </w:r>
      <w:r>
        <w:rPr>
          <w:color w:val="000000" w:themeColor="text1"/>
          <w:szCs w:val="21"/>
          <w:highlight w:val="none"/>
          <w14:textFill>
            <w14:solidFill>
              <w14:schemeClr w14:val="tx1"/>
            </w14:solidFill>
          </w14:textFill>
        </w:rPr>
        <w:t>.1响应单位应按照《响应单位须知前附表》第</w:t>
      </w:r>
      <w:r>
        <w:rPr>
          <w:rFonts w:hint="eastAsia"/>
          <w:color w:val="000000" w:themeColor="text1"/>
          <w:szCs w:val="21"/>
          <w:highlight w:val="none"/>
          <w14:textFill>
            <w14:solidFill>
              <w14:schemeClr w14:val="tx1"/>
            </w14:solidFill>
          </w14:textFill>
        </w:rPr>
        <w:t>5</w:t>
      </w:r>
      <w:r>
        <w:rPr>
          <w:color w:val="000000" w:themeColor="text1"/>
          <w:szCs w:val="21"/>
          <w:highlight w:val="none"/>
          <w14:textFill>
            <w14:solidFill>
              <w14:schemeClr w14:val="tx1"/>
            </w14:solidFill>
          </w14:textFill>
        </w:rPr>
        <w:t>项要求的计划开工日期、计划竣工日期和计划合同工期编制响应文件。</w:t>
      </w:r>
    </w:p>
    <w:p w14:paraId="4A1173CB">
      <w:pPr>
        <w:widowControl/>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w:t>
      </w:r>
      <w:r>
        <w:rPr>
          <w:rFonts w:hint="eastAsia"/>
          <w:color w:val="000000" w:themeColor="text1"/>
          <w:szCs w:val="21"/>
          <w:highlight w:val="none"/>
          <w14:textFill>
            <w14:solidFill>
              <w14:schemeClr w14:val="tx1"/>
            </w14:solidFill>
          </w14:textFill>
        </w:rPr>
        <w:t>1</w:t>
      </w:r>
      <w:r>
        <w:rPr>
          <w:color w:val="000000" w:themeColor="text1"/>
          <w:szCs w:val="21"/>
          <w:highlight w:val="none"/>
          <w14:textFill>
            <w14:solidFill>
              <w14:schemeClr w14:val="tx1"/>
            </w14:solidFill>
          </w14:textFill>
        </w:rPr>
        <w:t>.2响应单位可以在坚持其报价的前提下，对前款规定的计划竣工日期予以提前，并据此编制响应文件。</w:t>
      </w:r>
    </w:p>
    <w:p w14:paraId="1A93FCB4">
      <w:pPr>
        <w:widowControl/>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w:t>
      </w:r>
      <w:r>
        <w:rPr>
          <w:rFonts w:hint="eastAsia"/>
          <w:color w:val="000000" w:themeColor="text1"/>
          <w:szCs w:val="21"/>
          <w:highlight w:val="none"/>
          <w14:textFill>
            <w14:solidFill>
              <w14:schemeClr w14:val="tx1"/>
            </w14:solidFill>
          </w14:textFill>
        </w:rPr>
        <w:t>1</w:t>
      </w:r>
      <w:r>
        <w:rPr>
          <w:color w:val="000000" w:themeColor="text1"/>
          <w:szCs w:val="21"/>
          <w:highlight w:val="none"/>
          <w14:textFill>
            <w14:solidFill>
              <w14:schemeClr w14:val="tx1"/>
            </w14:solidFill>
          </w14:textFill>
        </w:rPr>
        <w:t>.3</w:t>
      </w:r>
      <w:r>
        <w:rPr>
          <w:rFonts w:hint="eastAsia"/>
          <w:color w:val="000000" w:themeColor="text1"/>
          <w:szCs w:val="21"/>
          <w:highlight w:val="none"/>
          <w14:textFill>
            <w14:solidFill>
              <w14:schemeClr w14:val="tx1"/>
            </w14:solidFill>
          </w14:textFill>
        </w:rPr>
        <w:t>响应单位应按照有关安全生产法律法规和有关主管部门文件的要求</w:t>
      </w:r>
      <w:r>
        <w:rPr>
          <w:color w:val="000000" w:themeColor="text1"/>
          <w:szCs w:val="21"/>
          <w:highlight w:val="none"/>
          <w14:textFill>
            <w14:solidFill>
              <w14:schemeClr w14:val="tx1"/>
            </w14:solidFill>
          </w14:textFill>
        </w:rPr>
        <w:t>，在响应文件中</w:t>
      </w:r>
      <w:r>
        <w:rPr>
          <w:rFonts w:hint="eastAsia"/>
          <w:color w:val="000000" w:themeColor="text1"/>
          <w:szCs w:val="21"/>
          <w:highlight w:val="none"/>
          <w14:textFill>
            <w14:solidFill>
              <w14:schemeClr w14:val="tx1"/>
            </w14:solidFill>
          </w14:textFill>
        </w:rPr>
        <w:t>编制安全施工措施，计取安全防护、文明施工措施费用</w:t>
      </w:r>
      <w:r>
        <w:rPr>
          <w:color w:val="000000" w:themeColor="text1"/>
          <w:szCs w:val="21"/>
          <w:highlight w:val="none"/>
          <w14:textFill>
            <w14:solidFill>
              <w14:schemeClr w14:val="tx1"/>
            </w14:solidFill>
          </w14:textFill>
        </w:rPr>
        <w:t>，并承担安全施工责任。</w:t>
      </w:r>
    </w:p>
    <w:p w14:paraId="3A524395">
      <w:pPr>
        <w:pStyle w:val="3"/>
        <w:spacing w:before="240" w:beforeLines="100" w:after="120" w:afterLines="50" w:line="360" w:lineRule="auto"/>
        <w:jc w:val="center"/>
        <w:rPr>
          <w:rStyle w:val="46"/>
          <w:rFonts w:ascii="Times New Roman" w:hAnsi="Times New Roman" w:eastAsia="宋体"/>
          <w:b/>
          <w:bCs w:val="0"/>
          <w:color w:val="000000" w:themeColor="text1"/>
          <w:sz w:val="28"/>
          <w:szCs w:val="28"/>
          <w:highlight w:val="none"/>
          <w14:textFill>
            <w14:solidFill>
              <w14:schemeClr w14:val="tx1"/>
            </w14:solidFill>
          </w14:textFill>
        </w:rPr>
      </w:pPr>
      <w:bookmarkStart w:id="192" w:name="_Toc53939586"/>
      <w:bookmarkStart w:id="193" w:name="_Toc54281223"/>
      <w:bookmarkStart w:id="194" w:name="_Toc53936522"/>
      <w:bookmarkStart w:id="195" w:name="_Toc54280797"/>
      <w:bookmarkStart w:id="196" w:name="_Toc53948763"/>
      <w:bookmarkStart w:id="197" w:name="_Toc53948342"/>
      <w:bookmarkStart w:id="198" w:name="_Toc284135589"/>
      <w:bookmarkStart w:id="199" w:name="_Toc54279945"/>
      <w:bookmarkStart w:id="200" w:name="_Toc145499743"/>
      <w:bookmarkStart w:id="201" w:name="_Toc53918813"/>
      <w:bookmarkStart w:id="202" w:name="_Toc53949184"/>
      <w:bookmarkStart w:id="203" w:name="_Toc54280371"/>
      <w:bookmarkStart w:id="204" w:name="_Toc53945787"/>
      <w:r>
        <w:rPr>
          <w:rStyle w:val="46"/>
          <w:rFonts w:ascii="Times New Roman" w:hAnsi="宋体" w:eastAsia="宋体"/>
          <w:b/>
          <w:bCs w:val="0"/>
          <w:color w:val="000000" w:themeColor="text1"/>
          <w:sz w:val="28"/>
          <w:szCs w:val="28"/>
          <w:highlight w:val="none"/>
          <w14:textFill>
            <w14:solidFill>
              <w14:schemeClr w14:val="tx1"/>
            </w14:solidFill>
          </w14:textFill>
        </w:rPr>
        <w:t>第二章</w:t>
      </w:r>
      <w:r>
        <w:rPr>
          <w:rStyle w:val="46"/>
          <w:rFonts w:ascii="Times New Roman" w:hAnsi="Times New Roman" w:eastAsia="宋体"/>
          <w:b/>
          <w:bCs w:val="0"/>
          <w:color w:val="000000" w:themeColor="text1"/>
          <w:sz w:val="28"/>
          <w:szCs w:val="28"/>
          <w:highlight w:val="none"/>
          <w14:textFill>
            <w14:solidFill>
              <w14:schemeClr w14:val="tx1"/>
            </w14:solidFill>
          </w14:textFill>
        </w:rPr>
        <w:t xml:space="preserve">  </w:t>
      </w:r>
      <w:r>
        <w:rPr>
          <w:rStyle w:val="46"/>
          <w:rFonts w:ascii="Times New Roman" w:hAnsi="宋体" w:eastAsia="宋体"/>
          <w:b/>
          <w:bCs w:val="0"/>
          <w:color w:val="000000" w:themeColor="text1"/>
          <w:sz w:val="28"/>
          <w:szCs w:val="28"/>
          <w:highlight w:val="none"/>
          <w14:textFill>
            <w14:solidFill>
              <w14:schemeClr w14:val="tx1"/>
            </w14:solidFill>
          </w14:textFill>
        </w:rPr>
        <w:t>采购文件</w:t>
      </w:r>
      <w:bookmarkEnd w:id="192"/>
      <w:bookmarkEnd w:id="193"/>
      <w:bookmarkEnd w:id="194"/>
      <w:bookmarkEnd w:id="195"/>
      <w:bookmarkEnd w:id="196"/>
      <w:bookmarkEnd w:id="197"/>
      <w:bookmarkEnd w:id="198"/>
      <w:bookmarkEnd w:id="199"/>
      <w:bookmarkEnd w:id="200"/>
      <w:bookmarkEnd w:id="201"/>
      <w:bookmarkEnd w:id="202"/>
      <w:bookmarkEnd w:id="203"/>
      <w:bookmarkEnd w:id="204"/>
    </w:p>
    <w:p w14:paraId="00F77BD5">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205" w:name="_Toc53939587"/>
      <w:bookmarkStart w:id="206" w:name="_Toc53948764"/>
      <w:bookmarkStart w:id="207" w:name="_Toc54281224"/>
      <w:bookmarkStart w:id="208" w:name="_Toc54280372"/>
      <w:bookmarkStart w:id="209" w:name="_Toc53948343"/>
      <w:bookmarkStart w:id="210" w:name="_Toc53918814"/>
      <w:bookmarkStart w:id="211" w:name="_Toc53945788"/>
      <w:bookmarkStart w:id="212" w:name="_Toc53949185"/>
      <w:bookmarkStart w:id="213" w:name="_Toc54279946"/>
      <w:bookmarkStart w:id="214" w:name="_Toc53936523"/>
      <w:bookmarkStart w:id="215" w:name="_Toc54280798"/>
      <w:bookmarkStart w:id="216" w:name="_Toc145499744"/>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12.采购文件的内容</w:t>
      </w:r>
      <w:bookmarkEnd w:id="205"/>
      <w:bookmarkEnd w:id="206"/>
      <w:bookmarkEnd w:id="207"/>
      <w:bookmarkEnd w:id="208"/>
      <w:bookmarkEnd w:id="209"/>
      <w:bookmarkEnd w:id="210"/>
      <w:bookmarkEnd w:id="211"/>
      <w:bookmarkEnd w:id="212"/>
      <w:bookmarkEnd w:id="213"/>
      <w:bookmarkEnd w:id="214"/>
      <w:bookmarkEnd w:id="215"/>
      <w:bookmarkEnd w:id="216"/>
    </w:p>
    <w:p w14:paraId="31563F8B">
      <w:pPr>
        <w:widowControl/>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12.1采购文件包括下列文件及所有按本《响应单位须知前附表》第</w:t>
      </w:r>
      <w:r>
        <w:rPr>
          <w:rFonts w:hint="eastAsia"/>
          <w:color w:val="000000" w:themeColor="text1"/>
          <w:szCs w:val="21"/>
          <w:highlight w:val="none"/>
          <w14:textFill>
            <w14:solidFill>
              <w14:schemeClr w14:val="tx1"/>
            </w14:solidFill>
          </w14:textFill>
        </w:rPr>
        <w:t>6</w:t>
      </w:r>
      <w:r>
        <w:rPr>
          <w:color w:val="000000" w:themeColor="text1"/>
          <w:szCs w:val="21"/>
          <w:highlight w:val="none"/>
          <w14:textFill>
            <w14:solidFill>
              <w14:schemeClr w14:val="tx1"/>
            </w14:solidFill>
          </w14:textFill>
        </w:rPr>
        <w:t>条和第</w:t>
      </w:r>
      <w:r>
        <w:rPr>
          <w:rFonts w:hint="eastAsia"/>
          <w:color w:val="000000" w:themeColor="text1"/>
          <w:szCs w:val="21"/>
          <w:highlight w:val="none"/>
          <w14:textFill>
            <w14:solidFill>
              <w14:schemeClr w14:val="tx1"/>
            </w14:solidFill>
          </w14:textFill>
        </w:rPr>
        <w:t>7</w:t>
      </w:r>
      <w:r>
        <w:rPr>
          <w:color w:val="000000" w:themeColor="text1"/>
          <w:szCs w:val="21"/>
          <w:highlight w:val="none"/>
          <w14:textFill>
            <w14:solidFill>
              <w14:schemeClr w14:val="tx1"/>
            </w14:solidFill>
          </w14:textFill>
        </w:rPr>
        <w:t>条发出的补充采购文件和任何答疑会纪要：</w:t>
      </w:r>
    </w:p>
    <w:p w14:paraId="54D094EF">
      <w:pPr>
        <w:spacing w:line="360" w:lineRule="auto"/>
        <w:ind w:left="1035" w:leftChars="247" w:hanging="516" w:hangingChars="246"/>
        <w:rPr>
          <w:color w:val="000000" w:themeColor="text1"/>
          <w:szCs w:val="21"/>
          <w:highlight w:val="none"/>
          <w14:textFill>
            <w14:solidFill>
              <w14:schemeClr w14:val="tx1"/>
            </w14:solidFill>
          </w14:textFill>
        </w:rPr>
      </w:pPr>
      <w:bookmarkStart w:id="217" w:name="_13、招标文件的澄清"/>
      <w:bookmarkEnd w:id="217"/>
      <w:r>
        <w:rPr>
          <w:color w:val="000000" w:themeColor="text1"/>
          <w:szCs w:val="21"/>
          <w:highlight w:val="none"/>
          <w14:textFill>
            <w14:solidFill>
              <w14:schemeClr w14:val="tx1"/>
            </w14:solidFill>
          </w14:textFill>
        </w:rPr>
        <w:t>12.1.1</w:t>
      </w:r>
      <w:r>
        <w:rPr>
          <w:rFonts w:hAnsi="宋体"/>
          <w:color w:val="000000" w:themeColor="text1"/>
          <w:szCs w:val="21"/>
          <w:highlight w:val="none"/>
          <w14:textFill>
            <w14:solidFill>
              <w14:schemeClr w14:val="tx1"/>
            </w14:solidFill>
          </w14:textFill>
        </w:rPr>
        <w:t>第一篇</w:t>
      </w:r>
      <w:r>
        <w:rPr>
          <w:color w:val="000000" w:themeColor="text1"/>
          <w:szCs w:val="21"/>
          <w:highlight w:val="none"/>
          <w14:textFill>
            <w14:solidFill>
              <w14:schemeClr w14:val="tx1"/>
            </w14:solidFill>
          </w14:textFill>
        </w:rPr>
        <w:t xml:space="preserve">  </w:t>
      </w:r>
      <w:r>
        <w:rPr>
          <w:rFonts w:hint="eastAsia"/>
          <w:color w:val="000000" w:themeColor="text1"/>
          <w:szCs w:val="21"/>
          <w:highlight w:val="none"/>
          <w14:textFill>
            <w14:solidFill>
              <w14:schemeClr w14:val="tx1"/>
            </w14:solidFill>
          </w14:textFill>
        </w:rPr>
        <w:t>采购公告（邀请书）</w:t>
      </w:r>
    </w:p>
    <w:p w14:paraId="60EE6735">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12.1.</w:t>
      </w:r>
      <w:r>
        <w:rPr>
          <w:rFonts w:hint="eastAsia"/>
          <w:color w:val="000000" w:themeColor="text1"/>
          <w:szCs w:val="21"/>
          <w:highlight w:val="none"/>
          <w14:textFill>
            <w14:solidFill>
              <w14:schemeClr w14:val="tx1"/>
            </w14:solidFill>
          </w14:textFill>
        </w:rPr>
        <w:t>2第二篇  响应单位须知</w:t>
      </w:r>
    </w:p>
    <w:p w14:paraId="34FA3E43">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12.1.</w:t>
      </w:r>
      <w:r>
        <w:rPr>
          <w:rFonts w:hint="eastAsia"/>
          <w:color w:val="000000" w:themeColor="text1"/>
          <w:szCs w:val="21"/>
          <w:highlight w:val="none"/>
          <w14:textFill>
            <w14:solidFill>
              <w14:schemeClr w14:val="tx1"/>
            </w14:solidFill>
          </w14:textFill>
        </w:rPr>
        <w:t>3</w:t>
      </w:r>
      <w:r>
        <w:rPr>
          <w:rFonts w:hAnsi="宋体"/>
          <w:color w:val="000000" w:themeColor="text1"/>
          <w:szCs w:val="21"/>
          <w:highlight w:val="none"/>
          <w14:textFill>
            <w14:solidFill>
              <w14:schemeClr w14:val="tx1"/>
            </w14:solidFill>
          </w14:textFill>
        </w:rPr>
        <w:t>第</w:t>
      </w:r>
      <w:r>
        <w:rPr>
          <w:rFonts w:hint="eastAsia" w:hAnsi="宋体"/>
          <w:color w:val="000000" w:themeColor="text1"/>
          <w:szCs w:val="21"/>
          <w:highlight w:val="none"/>
          <w14:textFill>
            <w14:solidFill>
              <w14:schemeClr w14:val="tx1"/>
            </w14:solidFill>
          </w14:textFill>
        </w:rPr>
        <w:t>三</w:t>
      </w:r>
      <w:r>
        <w:rPr>
          <w:rFonts w:hAnsi="宋体"/>
          <w:color w:val="000000" w:themeColor="text1"/>
          <w:szCs w:val="21"/>
          <w:highlight w:val="none"/>
          <w14:textFill>
            <w14:solidFill>
              <w14:schemeClr w14:val="tx1"/>
            </w14:solidFill>
          </w14:textFill>
        </w:rPr>
        <w:t>篇</w:t>
      </w:r>
      <w:r>
        <w:rPr>
          <w:color w:val="000000" w:themeColor="text1"/>
          <w:szCs w:val="21"/>
          <w:highlight w:val="none"/>
          <w14:textFill>
            <w14:solidFill>
              <w14:schemeClr w14:val="tx1"/>
            </w14:solidFill>
          </w14:textFill>
        </w:rPr>
        <w:t xml:space="preserve">  </w:t>
      </w:r>
      <w:r>
        <w:rPr>
          <w:rFonts w:hint="eastAsia" w:hAnsi="宋体"/>
          <w:color w:val="000000" w:themeColor="text1"/>
          <w:szCs w:val="21"/>
          <w:highlight w:val="none"/>
          <w14:textFill>
            <w14:solidFill>
              <w14:schemeClr w14:val="tx1"/>
            </w14:solidFill>
          </w14:textFill>
        </w:rPr>
        <w:t>分包合同条款</w:t>
      </w:r>
    </w:p>
    <w:p w14:paraId="7F335A4A">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12.1.</w:t>
      </w:r>
      <w:r>
        <w:rPr>
          <w:rFonts w:hint="eastAsia"/>
          <w:color w:val="000000" w:themeColor="text1"/>
          <w:szCs w:val="21"/>
          <w:highlight w:val="none"/>
          <w14:textFill>
            <w14:solidFill>
              <w14:schemeClr w14:val="tx1"/>
            </w14:solidFill>
          </w14:textFill>
        </w:rPr>
        <w:t>3</w:t>
      </w:r>
      <w:r>
        <w:rPr>
          <w:rFonts w:hAnsi="宋体"/>
          <w:color w:val="000000" w:themeColor="text1"/>
          <w:szCs w:val="21"/>
          <w:highlight w:val="none"/>
          <w14:textFill>
            <w14:solidFill>
              <w14:schemeClr w14:val="tx1"/>
            </w14:solidFill>
          </w14:textFill>
        </w:rPr>
        <w:t>第</w:t>
      </w:r>
      <w:r>
        <w:rPr>
          <w:rFonts w:hint="eastAsia" w:hAnsi="宋体"/>
          <w:color w:val="000000" w:themeColor="text1"/>
          <w:szCs w:val="21"/>
          <w:highlight w:val="none"/>
          <w14:textFill>
            <w14:solidFill>
              <w14:schemeClr w14:val="tx1"/>
            </w14:solidFill>
          </w14:textFill>
        </w:rPr>
        <w:t>四</w:t>
      </w:r>
      <w:r>
        <w:rPr>
          <w:rFonts w:hAnsi="宋体"/>
          <w:color w:val="000000" w:themeColor="text1"/>
          <w:szCs w:val="21"/>
          <w:highlight w:val="none"/>
          <w14:textFill>
            <w14:solidFill>
              <w14:schemeClr w14:val="tx1"/>
            </w14:solidFill>
          </w14:textFill>
        </w:rPr>
        <w:t>篇</w:t>
      </w:r>
      <w:r>
        <w:rPr>
          <w:color w:val="000000" w:themeColor="text1"/>
          <w:szCs w:val="21"/>
          <w:highlight w:val="none"/>
          <w14:textFill>
            <w14:solidFill>
              <w14:schemeClr w14:val="tx1"/>
            </w14:solidFill>
          </w14:textFill>
        </w:rPr>
        <w:t xml:space="preserve">  </w:t>
      </w:r>
      <w:r>
        <w:rPr>
          <w:rFonts w:hAnsi="宋体"/>
          <w:color w:val="000000" w:themeColor="text1"/>
          <w:szCs w:val="21"/>
          <w:highlight w:val="none"/>
          <w14:textFill>
            <w14:solidFill>
              <w14:schemeClr w14:val="tx1"/>
            </w14:solidFill>
          </w14:textFill>
        </w:rPr>
        <w:t>图纸</w:t>
      </w:r>
      <w:r>
        <w:rPr>
          <w:rFonts w:hint="eastAsia" w:hAnsi="宋体"/>
          <w:color w:val="000000" w:themeColor="text1"/>
          <w:szCs w:val="21"/>
          <w:highlight w:val="none"/>
          <w14:textFill>
            <w14:solidFill>
              <w14:schemeClr w14:val="tx1"/>
            </w14:solidFill>
          </w14:textFill>
        </w:rPr>
        <w:t>（如有）</w:t>
      </w:r>
    </w:p>
    <w:p w14:paraId="701BD3CC">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12.1.</w:t>
      </w:r>
      <w:r>
        <w:rPr>
          <w:rFonts w:hint="eastAsia"/>
          <w:color w:val="000000" w:themeColor="text1"/>
          <w:szCs w:val="21"/>
          <w:highlight w:val="none"/>
          <w14:textFill>
            <w14:solidFill>
              <w14:schemeClr w14:val="tx1"/>
            </w14:solidFill>
          </w14:textFill>
        </w:rPr>
        <w:t>4</w:t>
      </w:r>
      <w:r>
        <w:rPr>
          <w:rFonts w:hAnsi="宋体"/>
          <w:color w:val="000000" w:themeColor="text1"/>
          <w:szCs w:val="21"/>
          <w:highlight w:val="none"/>
          <w14:textFill>
            <w14:solidFill>
              <w14:schemeClr w14:val="tx1"/>
            </w14:solidFill>
          </w14:textFill>
        </w:rPr>
        <w:t>第</w:t>
      </w:r>
      <w:r>
        <w:rPr>
          <w:rFonts w:hint="eastAsia" w:hAnsi="宋体"/>
          <w:color w:val="000000" w:themeColor="text1"/>
          <w:szCs w:val="21"/>
          <w:highlight w:val="none"/>
          <w14:textFill>
            <w14:solidFill>
              <w14:schemeClr w14:val="tx1"/>
            </w14:solidFill>
          </w14:textFill>
        </w:rPr>
        <w:t>五</w:t>
      </w:r>
      <w:r>
        <w:rPr>
          <w:rFonts w:hAnsi="宋体"/>
          <w:color w:val="000000" w:themeColor="text1"/>
          <w:szCs w:val="21"/>
          <w:highlight w:val="none"/>
          <w14:textFill>
            <w14:solidFill>
              <w14:schemeClr w14:val="tx1"/>
            </w14:solidFill>
          </w14:textFill>
        </w:rPr>
        <w:t>篇</w:t>
      </w:r>
      <w:r>
        <w:rPr>
          <w:color w:val="000000" w:themeColor="text1"/>
          <w:szCs w:val="21"/>
          <w:highlight w:val="none"/>
          <w14:textFill>
            <w14:solidFill>
              <w14:schemeClr w14:val="tx1"/>
            </w14:solidFill>
          </w14:textFill>
        </w:rPr>
        <w:t xml:space="preserve">  </w:t>
      </w:r>
      <w:r>
        <w:rPr>
          <w:rFonts w:hAnsi="宋体"/>
          <w:color w:val="000000" w:themeColor="text1"/>
          <w:szCs w:val="21"/>
          <w:highlight w:val="none"/>
          <w14:textFill>
            <w14:solidFill>
              <w14:schemeClr w14:val="tx1"/>
            </w14:solidFill>
          </w14:textFill>
        </w:rPr>
        <w:t>工程量清单</w:t>
      </w:r>
    </w:p>
    <w:p w14:paraId="76993051">
      <w:pPr>
        <w:spacing w:line="360" w:lineRule="auto"/>
        <w:ind w:left="1035" w:leftChars="247" w:hanging="516" w:hangingChars="246"/>
        <w:rPr>
          <w:rFonts w:hint="eastAsia" w:hAnsi="宋体"/>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12.1.</w:t>
      </w:r>
      <w:r>
        <w:rPr>
          <w:rFonts w:hint="eastAsia"/>
          <w:color w:val="000000" w:themeColor="text1"/>
          <w:szCs w:val="21"/>
          <w:highlight w:val="none"/>
          <w14:textFill>
            <w14:solidFill>
              <w14:schemeClr w14:val="tx1"/>
            </w14:solidFill>
          </w14:textFill>
        </w:rPr>
        <w:t>5</w:t>
      </w:r>
      <w:r>
        <w:rPr>
          <w:rFonts w:hAnsi="宋体"/>
          <w:color w:val="000000" w:themeColor="text1"/>
          <w:szCs w:val="21"/>
          <w:highlight w:val="none"/>
          <w14:textFill>
            <w14:solidFill>
              <w14:schemeClr w14:val="tx1"/>
            </w14:solidFill>
          </w14:textFill>
        </w:rPr>
        <w:t>第</w:t>
      </w:r>
      <w:r>
        <w:rPr>
          <w:rFonts w:hint="eastAsia" w:hAnsi="宋体"/>
          <w:color w:val="000000" w:themeColor="text1"/>
          <w:szCs w:val="21"/>
          <w:highlight w:val="none"/>
          <w14:textFill>
            <w14:solidFill>
              <w14:schemeClr w14:val="tx1"/>
            </w14:solidFill>
          </w14:textFill>
        </w:rPr>
        <w:t>六</w:t>
      </w:r>
      <w:r>
        <w:rPr>
          <w:rFonts w:hAnsi="宋体"/>
          <w:color w:val="000000" w:themeColor="text1"/>
          <w:szCs w:val="21"/>
          <w:highlight w:val="none"/>
          <w14:textFill>
            <w14:solidFill>
              <w14:schemeClr w14:val="tx1"/>
            </w14:solidFill>
          </w14:textFill>
        </w:rPr>
        <w:t>篇</w:t>
      </w:r>
      <w:r>
        <w:rPr>
          <w:color w:val="000000" w:themeColor="text1"/>
          <w:szCs w:val="21"/>
          <w:highlight w:val="none"/>
          <w14:textFill>
            <w14:solidFill>
              <w14:schemeClr w14:val="tx1"/>
            </w14:solidFill>
          </w14:textFill>
        </w:rPr>
        <w:t xml:space="preserve">  </w:t>
      </w:r>
      <w:r>
        <w:rPr>
          <w:rFonts w:hAnsi="宋体"/>
          <w:color w:val="000000" w:themeColor="text1"/>
          <w:szCs w:val="21"/>
          <w:highlight w:val="none"/>
          <w14:textFill>
            <w14:solidFill>
              <w14:schemeClr w14:val="tx1"/>
            </w14:solidFill>
          </w14:textFill>
        </w:rPr>
        <w:t>响应文件格式</w:t>
      </w:r>
    </w:p>
    <w:p w14:paraId="6DDF9353">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此外，采购人在采购期间发出的问题答复、补遗书和其</w:t>
      </w:r>
      <w:r>
        <w:rPr>
          <w:rFonts w:hint="eastAsia" w:ascii="宋体" w:hAnsi="宋体"/>
          <w:color w:val="000000" w:themeColor="text1"/>
          <w:szCs w:val="21"/>
          <w:highlight w:val="none"/>
          <w14:textFill>
            <w14:solidFill>
              <w14:schemeClr w14:val="tx1"/>
            </w14:solidFill>
          </w14:textFill>
        </w:rPr>
        <w:t>他</w:t>
      </w:r>
      <w:r>
        <w:rPr>
          <w:rFonts w:ascii="宋体" w:hAnsi="宋体"/>
          <w:color w:val="000000" w:themeColor="text1"/>
          <w:szCs w:val="21"/>
          <w:highlight w:val="none"/>
          <w14:textFill>
            <w14:solidFill>
              <w14:schemeClr w14:val="tx1"/>
            </w14:solidFill>
          </w14:textFill>
        </w:rPr>
        <w:t>正式函件，均作为采购文件的组成部分，响应单位应一并阅读。</w:t>
      </w:r>
    </w:p>
    <w:p w14:paraId="3523D9C1">
      <w:pPr>
        <w:widowControl/>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12.2响应单位应认真审阅采购文件中《响应单位须知前附表》、</w:t>
      </w:r>
      <w:r>
        <w:rPr>
          <w:rFonts w:hint="eastAsia" w:hAnsi="宋体"/>
          <w:color w:val="000000" w:themeColor="text1"/>
          <w:szCs w:val="21"/>
          <w:highlight w:val="none"/>
          <w14:textFill>
            <w14:solidFill>
              <w14:schemeClr w14:val="tx1"/>
            </w14:solidFill>
          </w14:textFill>
        </w:rPr>
        <w:t>分包合同条款</w:t>
      </w:r>
      <w:r>
        <w:rPr>
          <w:color w:val="000000" w:themeColor="text1"/>
          <w:szCs w:val="21"/>
          <w:highlight w:val="none"/>
          <w14:textFill>
            <w14:solidFill>
              <w14:schemeClr w14:val="tx1"/>
            </w14:solidFill>
          </w14:textFill>
        </w:rPr>
        <w:t>、响应文件格式、工程量清单、技术标准、规范、图纸等所有内容。如果响应单位的响应文件不能满足本《响应单位须知前附表》的各项要求，责任由响应单位自负。实质性不符合采购文件要求的响应文件将被拒绝。</w:t>
      </w:r>
    </w:p>
    <w:p w14:paraId="3B658BAB">
      <w:pPr>
        <w:widowControl/>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12.3响应单位应认真检查采购文件是否完整，若发现缺页或附件不全时，应及时向采购人提出，以便补齐。</w:t>
      </w:r>
    </w:p>
    <w:p w14:paraId="41ABEEB2">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218" w:name="_Toc53936524"/>
      <w:bookmarkStart w:id="219" w:name="_Toc54280799"/>
      <w:bookmarkStart w:id="220" w:name="_Toc53945789"/>
      <w:bookmarkStart w:id="221" w:name="_Toc53939588"/>
      <w:bookmarkStart w:id="222" w:name="_Toc53948765"/>
      <w:bookmarkStart w:id="223" w:name="_Toc54280373"/>
      <w:bookmarkStart w:id="224" w:name="_Toc54279947"/>
      <w:bookmarkStart w:id="225" w:name="_Toc53948344"/>
      <w:bookmarkStart w:id="226" w:name="_Toc145499745"/>
      <w:bookmarkStart w:id="227" w:name="_Toc53918815"/>
      <w:bookmarkStart w:id="228" w:name="_Toc53949186"/>
      <w:bookmarkStart w:id="229" w:name="_Toc54281225"/>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13.采购文件的澄清</w:t>
      </w:r>
      <w:bookmarkEnd w:id="218"/>
      <w:bookmarkEnd w:id="219"/>
      <w:bookmarkEnd w:id="220"/>
      <w:bookmarkEnd w:id="221"/>
      <w:bookmarkEnd w:id="222"/>
      <w:bookmarkEnd w:id="223"/>
      <w:bookmarkEnd w:id="224"/>
      <w:bookmarkEnd w:id="225"/>
      <w:bookmarkEnd w:id="226"/>
      <w:bookmarkEnd w:id="227"/>
      <w:bookmarkEnd w:id="228"/>
      <w:bookmarkEnd w:id="229"/>
    </w:p>
    <w:p w14:paraId="7BF0F8C1">
      <w:pPr>
        <w:widowControl/>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13.1要求对采购文件进行澄清和解答的响应单位，应在《响应单位须知前附表》第</w:t>
      </w:r>
      <w:r>
        <w:rPr>
          <w:rFonts w:hint="eastAsia"/>
          <w:color w:val="000000" w:themeColor="text1"/>
          <w:szCs w:val="21"/>
          <w:highlight w:val="none"/>
          <w14:textFill>
            <w14:solidFill>
              <w14:schemeClr w14:val="tx1"/>
            </w14:solidFill>
          </w14:textFill>
        </w:rPr>
        <w:t>6</w:t>
      </w:r>
      <w:r>
        <w:rPr>
          <w:color w:val="000000" w:themeColor="text1"/>
          <w:szCs w:val="21"/>
          <w:highlight w:val="none"/>
          <w14:textFill>
            <w14:solidFill>
              <w14:schemeClr w14:val="tx1"/>
            </w14:solidFill>
          </w14:textFill>
        </w:rPr>
        <w:t>项要求的截止时间之前，将要澄清和解答的问题以加盖公章的函件方式送达采购人</w:t>
      </w:r>
      <w:r>
        <w:rPr>
          <w:rFonts w:hint="eastAsia"/>
          <w:color w:val="000000" w:themeColor="text1"/>
          <w:szCs w:val="21"/>
          <w:highlight w:val="none"/>
          <w14:textFill>
            <w14:solidFill>
              <w14:schemeClr w14:val="tx1"/>
            </w14:solidFill>
          </w14:textFill>
        </w:rPr>
        <w:t>或电话联系</w:t>
      </w:r>
      <w:r>
        <w:rPr>
          <w:color w:val="000000" w:themeColor="text1"/>
          <w:szCs w:val="21"/>
          <w:highlight w:val="none"/>
          <w14:textFill>
            <w14:solidFill>
              <w14:schemeClr w14:val="tx1"/>
            </w14:solidFill>
          </w14:textFill>
        </w:rPr>
        <w:t>。</w:t>
      </w:r>
    </w:p>
    <w:p w14:paraId="6683F900">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230" w:name="_Toc54280800"/>
      <w:bookmarkStart w:id="231" w:name="_Toc53945790"/>
      <w:bookmarkStart w:id="232" w:name="_Toc53948766"/>
      <w:bookmarkStart w:id="233" w:name="_Toc53936525"/>
      <w:bookmarkStart w:id="234" w:name="_Toc53918816"/>
      <w:bookmarkStart w:id="235" w:name="_Toc53949187"/>
      <w:bookmarkStart w:id="236" w:name="_Toc54280374"/>
      <w:bookmarkStart w:id="237" w:name="_Toc54281226"/>
      <w:bookmarkStart w:id="238" w:name="_Toc54279948"/>
      <w:bookmarkStart w:id="239" w:name="_Toc53948345"/>
      <w:bookmarkStart w:id="240" w:name="_Toc53939589"/>
      <w:bookmarkStart w:id="241" w:name="_Toc145499746"/>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14.采购文件的修改</w:t>
      </w:r>
      <w:bookmarkEnd w:id="230"/>
      <w:bookmarkEnd w:id="231"/>
      <w:bookmarkEnd w:id="232"/>
      <w:bookmarkEnd w:id="233"/>
      <w:bookmarkEnd w:id="234"/>
      <w:bookmarkEnd w:id="235"/>
      <w:bookmarkEnd w:id="236"/>
      <w:bookmarkEnd w:id="237"/>
      <w:bookmarkEnd w:id="238"/>
      <w:bookmarkEnd w:id="239"/>
      <w:bookmarkEnd w:id="240"/>
      <w:bookmarkEnd w:id="241"/>
    </w:p>
    <w:p w14:paraId="6FF45CA0">
      <w:pPr>
        <w:widowControl/>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14.1采购人应在《响应单位须知前附表》第</w:t>
      </w:r>
      <w:r>
        <w:rPr>
          <w:rFonts w:hint="eastAsia"/>
          <w:color w:val="000000" w:themeColor="text1"/>
          <w:szCs w:val="21"/>
          <w:highlight w:val="none"/>
          <w14:textFill>
            <w14:solidFill>
              <w14:schemeClr w14:val="tx1"/>
            </w14:solidFill>
          </w14:textFill>
        </w:rPr>
        <w:t>7</w:t>
      </w:r>
      <w:r>
        <w:rPr>
          <w:color w:val="000000" w:themeColor="text1"/>
          <w:szCs w:val="21"/>
          <w:highlight w:val="none"/>
          <w14:textFill>
            <w14:solidFill>
              <w14:schemeClr w14:val="tx1"/>
            </w14:solidFill>
          </w14:textFill>
        </w:rPr>
        <w:t>项要求的截止时间之前，可因任何原因，对采购文件进行修改。这种修改可能是采购人主动做出的，也可能是为了解答响应单位要求澄清的问题而做出的。</w:t>
      </w:r>
    </w:p>
    <w:p w14:paraId="0C9247FC">
      <w:pPr>
        <w:widowControl/>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14.</w:t>
      </w:r>
      <w:r>
        <w:rPr>
          <w:rFonts w:hint="eastAsia"/>
          <w:color w:val="000000" w:themeColor="text1"/>
          <w:szCs w:val="21"/>
          <w:highlight w:val="none"/>
          <w14:textFill>
            <w14:solidFill>
              <w14:schemeClr w14:val="tx1"/>
            </w14:solidFill>
          </w14:textFill>
        </w:rPr>
        <w:t>2</w:t>
      </w:r>
      <w:r>
        <w:rPr>
          <w:color w:val="000000" w:themeColor="text1"/>
          <w:szCs w:val="21"/>
          <w:highlight w:val="none"/>
          <w14:textFill>
            <w14:solidFill>
              <w14:schemeClr w14:val="tx1"/>
            </w14:solidFill>
          </w14:textFill>
        </w:rPr>
        <w:t>如果采购文件作了修改，采购人应在响应文件递交截止之日</w:t>
      </w:r>
      <w:r>
        <w:rPr>
          <w:rFonts w:hint="eastAsia"/>
          <w:color w:val="000000" w:themeColor="text1"/>
          <w:szCs w:val="21"/>
          <w:highlight w:val="none"/>
          <w14:textFill>
            <w14:solidFill>
              <w14:schemeClr w14:val="tx1"/>
            </w14:solidFill>
          </w14:textFill>
        </w:rPr>
        <w:t>1</w:t>
      </w:r>
      <w:r>
        <w:rPr>
          <w:color w:val="000000" w:themeColor="text1"/>
          <w:szCs w:val="21"/>
          <w:highlight w:val="none"/>
          <w14:textFill>
            <w14:solidFill>
              <w14:schemeClr w14:val="tx1"/>
            </w14:solidFill>
          </w14:textFill>
        </w:rPr>
        <w:t>天前，</w:t>
      </w:r>
      <w:r>
        <w:rPr>
          <w:rFonts w:hint="eastAsia"/>
          <w:color w:val="000000" w:themeColor="text1"/>
          <w:szCs w:val="21"/>
          <w:highlight w:val="none"/>
          <w14:textFill>
            <w14:solidFill>
              <w14:schemeClr w14:val="tx1"/>
            </w14:solidFill>
          </w14:textFill>
        </w:rPr>
        <w:t>以书面的</w:t>
      </w:r>
      <w:r>
        <w:rPr>
          <w:color w:val="000000" w:themeColor="text1"/>
          <w:szCs w:val="21"/>
          <w:highlight w:val="none"/>
          <w14:textFill>
            <w14:solidFill>
              <w14:schemeClr w14:val="tx1"/>
            </w14:solidFill>
          </w14:textFill>
        </w:rPr>
        <w:t>补充采购文件形式，送达所有已购买采购文件的响应单位。</w:t>
      </w:r>
    </w:p>
    <w:p w14:paraId="62E04AB6">
      <w:pPr>
        <w:widowControl/>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14.</w:t>
      </w:r>
      <w:r>
        <w:rPr>
          <w:rFonts w:hint="eastAsia"/>
          <w:color w:val="000000" w:themeColor="text1"/>
          <w:szCs w:val="21"/>
          <w:highlight w:val="none"/>
          <w14:textFill>
            <w14:solidFill>
              <w14:schemeClr w14:val="tx1"/>
            </w14:solidFill>
          </w14:textFill>
        </w:rPr>
        <w:t>3</w:t>
      </w:r>
      <w:r>
        <w:rPr>
          <w:color w:val="000000" w:themeColor="text1"/>
          <w:szCs w:val="21"/>
          <w:highlight w:val="none"/>
          <w14:textFill>
            <w14:solidFill>
              <w14:schemeClr w14:val="tx1"/>
            </w14:solidFill>
          </w14:textFill>
        </w:rPr>
        <w:t>响应单位有责任和义务对工程量清单进行校核，如发现错漏项或数量偏差应在</w:t>
      </w:r>
      <w:r>
        <w:rPr>
          <w:rFonts w:hint="eastAsia"/>
          <w:color w:val="000000" w:themeColor="text1"/>
          <w:szCs w:val="21"/>
          <w:highlight w:val="none"/>
          <w14:textFill>
            <w14:solidFill>
              <w14:schemeClr w14:val="tx1"/>
            </w14:solidFill>
          </w14:textFill>
        </w:rPr>
        <w:t>采购</w:t>
      </w:r>
      <w:r>
        <w:rPr>
          <w:color w:val="000000" w:themeColor="text1"/>
          <w:szCs w:val="21"/>
          <w:highlight w:val="none"/>
          <w14:textFill>
            <w14:solidFill>
              <w14:schemeClr w14:val="tx1"/>
            </w14:solidFill>
          </w14:textFill>
        </w:rPr>
        <w:t>阶段提出质疑，采购人确认后以补充采购文件的方式进行修正。</w:t>
      </w:r>
    </w:p>
    <w:p w14:paraId="519F22D9">
      <w:pPr>
        <w:widowControl/>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14.</w:t>
      </w:r>
      <w:r>
        <w:rPr>
          <w:rFonts w:hint="eastAsia"/>
          <w:color w:val="000000" w:themeColor="text1"/>
          <w:szCs w:val="21"/>
          <w:highlight w:val="none"/>
          <w14:textFill>
            <w14:solidFill>
              <w14:schemeClr w14:val="tx1"/>
            </w14:solidFill>
          </w14:textFill>
        </w:rPr>
        <w:t>4</w:t>
      </w:r>
      <w:r>
        <w:rPr>
          <w:color w:val="000000" w:themeColor="text1"/>
          <w:szCs w:val="21"/>
          <w:highlight w:val="none"/>
          <w14:textFill>
            <w14:solidFill>
              <w14:schemeClr w14:val="tx1"/>
            </w14:solidFill>
          </w14:textFill>
        </w:rPr>
        <w:t>如果采购人前后发放的补充采购文件内容不一致或相互抵触时，则以后发出的补充采购文件为准。</w:t>
      </w:r>
    </w:p>
    <w:p w14:paraId="6108CCE6">
      <w:pPr>
        <w:widowControl/>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14.5</w:t>
      </w:r>
      <w:r>
        <w:rPr>
          <w:color w:val="000000" w:themeColor="text1"/>
          <w:szCs w:val="21"/>
          <w:highlight w:val="none"/>
          <w14:textFill>
            <w14:solidFill>
              <w14:schemeClr w14:val="tx1"/>
            </w14:solidFill>
          </w14:textFill>
        </w:rPr>
        <w:t>响应单位在收到该补充采购文件后，应</w:t>
      </w:r>
      <w:r>
        <w:rPr>
          <w:rFonts w:hint="eastAsia"/>
          <w:color w:val="000000" w:themeColor="text1"/>
          <w:szCs w:val="21"/>
          <w:highlight w:val="none"/>
          <w14:textFill>
            <w14:solidFill>
              <w14:schemeClr w14:val="tx1"/>
            </w14:solidFill>
          </w14:textFill>
        </w:rPr>
        <w:t>当场签收或</w:t>
      </w:r>
      <w:r>
        <w:rPr>
          <w:color w:val="000000" w:themeColor="text1"/>
          <w:szCs w:val="21"/>
          <w:highlight w:val="none"/>
          <w14:textFill>
            <w14:solidFill>
              <w14:schemeClr w14:val="tx1"/>
            </w14:solidFill>
          </w14:textFill>
        </w:rPr>
        <w:t>立即以加盖公章的函件方式向采购人确认收悉。</w:t>
      </w:r>
    </w:p>
    <w:p w14:paraId="29A98D3D">
      <w:pPr>
        <w:pStyle w:val="3"/>
        <w:spacing w:before="240" w:beforeLines="100" w:after="120" w:afterLines="50" w:line="360" w:lineRule="auto"/>
        <w:jc w:val="center"/>
        <w:rPr>
          <w:rStyle w:val="46"/>
          <w:rFonts w:ascii="Times New Roman" w:hAnsi="Times New Roman" w:eastAsia="宋体"/>
          <w:b/>
          <w:bCs w:val="0"/>
          <w:color w:val="000000" w:themeColor="text1"/>
          <w:sz w:val="28"/>
          <w:szCs w:val="28"/>
          <w:highlight w:val="none"/>
          <w14:textFill>
            <w14:solidFill>
              <w14:schemeClr w14:val="tx1"/>
            </w14:solidFill>
          </w14:textFill>
        </w:rPr>
      </w:pPr>
      <w:bookmarkStart w:id="242" w:name="_Toc53939590"/>
      <w:bookmarkStart w:id="243" w:name="_Toc53918817"/>
      <w:bookmarkStart w:id="244" w:name="_Toc53948346"/>
      <w:bookmarkStart w:id="245" w:name="_Toc54280375"/>
      <w:bookmarkStart w:id="246" w:name="_Toc53936526"/>
      <w:bookmarkStart w:id="247" w:name="_Toc54279949"/>
      <w:bookmarkStart w:id="248" w:name="_Toc53948767"/>
      <w:bookmarkStart w:id="249" w:name="_Toc53949188"/>
      <w:bookmarkStart w:id="250" w:name="_Toc54280801"/>
      <w:bookmarkStart w:id="251" w:name="_Toc53945791"/>
      <w:bookmarkStart w:id="252" w:name="_Toc284135590"/>
      <w:bookmarkStart w:id="253" w:name="_Toc54281227"/>
      <w:bookmarkStart w:id="254" w:name="_Toc145499747"/>
      <w:r>
        <w:rPr>
          <w:rStyle w:val="46"/>
          <w:rFonts w:ascii="Times New Roman" w:hAnsi="宋体" w:eastAsia="宋体"/>
          <w:b/>
          <w:bCs w:val="0"/>
          <w:color w:val="000000" w:themeColor="text1"/>
          <w:sz w:val="28"/>
          <w:szCs w:val="28"/>
          <w:highlight w:val="none"/>
          <w14:textFill>
            <w14:solidFill>
              <w14:schemeClr w14:val="tx1"/>
            </w14:solidFill>
          </w14:textFill>
        </w:rPr>
        <w:t>第三章</w:t>
      </w:r>
      <w:r>
        <w:rPr>
          <w:rStyle w:val="46"/>
          <w:rFonts w:ascii="Times New Roman" w:hAnsi="Times New Roman" w:eastAsia="宋体"/>
          <w:b/>
          <w:bCs w:val="0"/>
          <w:color w:val="000000" w:themeColor="text1"/>
          <w:sz w:val="28"/>
          <w:szCs w:val="28"/>
          <w:highlight w:val="none"/>
          <w14:textFill>
            <w14:solidFill>
              <w14:schemeClr w14:val="tx1"/>
            </w14:solidFill>
          </w14:textFill>
        </w:rPr>
        <w:t xml:space="preserve">  </w:t>
      </w:r>
      <w:r>
        <w:rPr>
          <w:rStyle w:val="46"/>
          <w:rFonts w:ascii="Times New Roman" w:hAnsi="宋体" w:eastAsia="宋体"/>
          <w:b/>
          <w:bCs w:val="0"/>
          <w:color w:val="000000" w:themeColor="text1"/>
          <w:sz w:val="28"/>
          <w:szCs w:val="28"/>
          <w:highlight w:val="none"/>
          <w14:textFill>
            <w14:solidFill>
              <w14:schemeClr w14:val="tx1"/>
            </w14:solidFill>
          </w14:textFill>
        </w:rPr>
        <w:t>响应文件</w:t>
      </w:r>
      <w:bookmarkEnd w:id="242"/>
      <w:bookmarkEnd w:id="243"/>
      <w:bookmarkEnd w:id="244"/>
      <w:bookmarkEnd w:id="245"/>
      <w:bookmarkEnd w:id="246"/>
      <w:bookmarkEnd w:id="247"/>
      <w:bookmarkEnd w:id="248"/>
      <w:bookmarkEnd w:id="249"/>
      <w:bookmarkEnd w:id="250"/>
      <w:bookmarkEnd w:id="251"/>
      <w:bookmarkEnd w:id="252"/>
      <w:bookmarkEnd w:id="253"/>
      <w:bookmarkEnd w:id="254"/>
    </w:p>
    <w:p w14:paraId="689C3666">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255" w:name="_Toc53936527"/>
      <w:bookmarkStart w:id="256" w:name="_Toc54280376"/>
      <w:bookmarkStart w:id="257" w:name="_Toc53948768"/>
      <w:bookmarkStart w:id="258" w:name="_Toc54281228"/>
      <w:bookmarkStart w:id="259" w:name="_Toc53948347"/>
      <w:bookmarkStart w:id="260" w:name="_Toc53918818"/>
      <w:bookmarkStart w:id="261" w:name="_Toc54280802"/>
      <w:bookmarkStart w:id="262" w:name="_Toc53949189"/>
      <w:bookmarkStart w:id="263" w:name="_Toc54279950"/>
      <w:bookmarkStart w:id="264" w:name="_Toc53939591"/>
      <w:bookmarkStart w:id="265" w:name="_Toc53945792"/>
      <w:bookmarkStart w:id="266" w:name="_Toc145499748"/>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15.响应文件的组成</w:t>
      </w:r>
      <w:bookmarkEnd w:id="255"/>
      <w:bookmarkEnd w:id="256"/>
      <w:bookmarkEnd w:id="257"/>
      <w:bookmarkEnd w:id="258"/>
      <w:bookmarkEnd w:id="259"/>
      <w:bookmarkEnd w:id="260"/>
      <w:bookmarkEnd w:id="261"/>
      <w:bookmarkEnd w:id="262"/>
      <w:bookmarkEnd w:id="263"/>
      <w:bookmarkEnd w:id="264"/>
      <w:bookmarkEnd w:id="265"/>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及格式</w:t>
      </w:r>
      <w:bookmarkEnd w:id="266"/>
    </w:p>
    <w:p w14:paraId="4BDFCDB5">
      <w:pPr>
        <w:widowControl/>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15.1响应文件由第一</w:t>
      </w:r>
      <w:r>
        <w:rPr>
          <w:rFonts w:hint="eastAsia"/>
          <w:color w:val="000000" w:themeColor="text1"/>
          <w:szCs w:val="21"/>
          <w:highlight w:val="none"/>
          <w14:textFill>
            <w14:solidFill>
              <w14:schemeClr w14:val="tx1"/>
            </w14:solidFill>
          </w14:textFill>
        </w:rPr>
        <w:t>部分</w:t>
      </w:r>
      <w:r>
        <w:rPr>
          <w:color w:val="000000" w:themeColor="text1"/>
          <w:szCs w:val="21"/>
          <w:highlight w:val="none"/>
          <w14:textFill>
            <w14:solidFill>
              <w14:schemeClr w14:val="tx1"/>
            </w14:solidFill>
          </w14:textFill>
        </w:rPr>
        <w:t>《经济部分》、第二</w:t>
      </w:r>
      <w:r>
        <w:rPr>
          <w:rFonts w:hint="eastAsia"/>
          <w:color w:val="000000" w:themeColor="text1"/>
          <w:szCs w:val="21"/>
          <w:highlight w:val="none"/>
          <w14:textFill>
            <w14:solidFill>
              <w14:schemeClr w14:val="tx1"/>
            </w14:solidFill>
          </w14:textFill>
        </w:rPr>
        <w:t>部分</w:t>
      </w:r>
      <w:r>
        <w:rPr>
          <w:color w:val="000000" w:themeColor="text1"/>
          <w:szCs w:val="21"/>
          <w:highlight w:val="none"/>
          <w14:textFill>
            <w14:solidFill>
              <w14:schemeClr w14:val="tx1"/>
            </w14:solidFill>
          </w14:textFill>
        </w:rPr>
        <w:t>《技术部分》及第三</w:t>
      </w:r>
      <w:r>
        <w:rPr>
          <w:rFonts w:hint="eastAsia"/>
          <w:color w:val="000000" w:themeColor="text1"/>
          <w:szCs w:val="21"/>
          <w:highlight w:val="none"/>
          <w14:textFill>
            <w14:solidFill>
              <w14:schemeClr w14:val="tx1"/>
            </w14:solidFill>
          </w14:textFill>
        </w:rPr>
        <w:t>部</w:t>
      </w:r>
      <w:r>
        <w:rPr>
          <w:color w:val="000000" w:themeColor="text1"/>
          <w:szCs w:val="21"/>
          <w:highlight w:val="none"/>
          <w14:textFill>
            <w14:solidFill>
              <w14:schemeClr w14:val="tx1"/>
            </w14:solidFill>
          </w14:textFill>
        </w:rPr>
        <w:t>《商务部分》</w:t>
      </w:r>
      <w:r>
        <w:rPr>
          <w:rFonts w:hint="eastAsia"/>
          <w:color w:val="000000" w:themeColor="text1"/>
          <w:szCs w:val="21"/>
          <w:highlight w:val="none"/>
          <w14:textFill>
            <w14:solidFill>
              <w14:schemeClr w14:val="tx1"/>
            </w14:solidFill>
          </w14:textFill>
        </w:rPr>
        <w:t>分</w:t>
      </w:r>
      <w:r>
        <w:rPr>
          <w:color w:val="000000" w:themeColor="text1"/>
          <w:szCs w:val="21"/>
          <w:highlight w:val="none"/>
          <w14:textFill>
            <w14:solidFill>
              <w14:schemeClr w14:val="tx1"/>
            </w14:solidFill>
          </w14:textFill>
        </w:rPr>
        <w:t>三部分组成。</w:t>
      </w:r>
    </w:p>
    <w:p w14:paraId="63E36CBF">
      <w:pPr>
        <w:widowControl/>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15.2响应单位应毫无例外地使用采购文件中的规定格式编制响应文件</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表格可按同样格式扩展和复制</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；未有规定格式的，响应单位可自行编制。</w:t>
      </w:r>
    </w:p>
    <w:p w14:paraId="26CFCCFB">
      <w:pPr>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w:t>
      </w:r>
      <w:r>
        <w:rPr>
          <w:color w:val="000000" w:themeColor="text1"/>
          <w:szCs w:val="21"/>
          <w:highlight w:val="none"/>
          <w14:textFill>
            <w14:solidFill>
              <w14:schemeClr w14:val="tx1"/>
            </w14:solidFill>
          </w14:textFill>
        </w:rPr>
        <w:t>5.</w:t>
      </w:r>
      <w:r>
        <w:rPr>
          <w:rFonts w:hint="eastAsia"/>
          <w:color w:val="000000" w:themeColor="text1"/>
          <w:szCs w:val="21"/>
          <w:highlight w:val="none"/>
          <w14:textFill>
            <w14:solidFill>
              <w14:schemeClr w14:val="tx1"/>
            </w14:solidFill>
          </w14:textFill>
        </w:rPr>
        <w:t>3</w:t>
      </w:r>
      <w:r>
        <w:rPr>
          <w:rFonts w:hAnsi="宋体"/>
          <w:color w:val="000000" w:themeColor="text1"/>
          <w:szCs w:val="21"/>
          <w:highlight w:val="none"/>
          <w14:textFill>
            <w14:solidFill>
              <w14:schemeClr w14:val="tx1"/>
            </w14:solidFill>
          </w14:textFill>
        </w:rPr>
        <w:t>第</w:t>
      </w:r>
      <w:r>
        <w:rPr>
          <w:rFonts w:hint="eastAsia" w:hAnsi="宋体"/>
          <w:color w:val="000000" w:themeColor="text1"/>
          <w:szCs w:val="21"/>
          <w:highlight w:val="none"/>
          <w14:textFill>
            <w14:solidFill>
              <w14:schemeClr w14:val="tx1"/>
            </w14:solidFill>
          </w14:textFill>
        </w:rPr>
        <w:t>一部分</w:t>
      </w:r>
      <w:r>
        <w:rPr>
          <w:rFonts w:hAnsi="宋体"/>
          <w:color w:val="000000" w:themeColor="text1"/>
          <w:szCs w:val="21"/>
          <w:highlight w:val="none"/>
          <w14:textFill>
            <w14:solidFill>
              <w14:schemeClr w14:val="tx1"/>
            </w14:solidFill>
          </w14:textFill>
        </w:rPr>
        <w:t>《经济部分》包括并不限于下列内容：</w:t>
      </w:r>
    </w:p>
    <w:p w14:paraId="0CF77AC0">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w:t>
      </w:r>
      <w:r>
        <w:rPr>
          <w:rFonts w:hint="eastAsia"/>
          <w:color w:val="000000" w:themeColor="text1"/>
          <w:szCs w:val="21"/>
          <w:highlight w:val="none"/>
          <w14:textFill>
            <w14:solidFill>
              <w14:schemeClr w14:val="tx1"/>
            </w14:solidFill>
          </w14:textFill>
        </w:rPr>
        <w:t>3</w:t>
      </w:r>
      <w:r>
        <w:rPr>
          <w:color w:val="000000" w:themeColor="text1"/>
          <w:szCs w:val="21"/>
          <w:highlight w:val="none"/>
          <w14:textFill>
            <w14:solidFill>
              <w14:schemeClr w14:val="tx1"/>
            </w14:solidFill>
          </w14:textFill>
        </w:rPr>
        <w:t>.1</w:t>
      </w:r>
      <w:r>
        <w:rPr>
          <w:rFonts w:hint="eastAsia" w:hAnsi="宋体"/>
          <w:color w:val="000000" w:themeColor="text1"/>
          <w:szCs w:val="21"/>
          <w:highlight w:val="none"/>
          <w14:textFill>
            <w14:solidFill>
              <w14:schemeClr w14:val="tx1"/>
            </w14:solidFill>
          </w14:textFill>
        </w:rPr>
        <w:t>响应</w:t>
      </w:r>
      <w:r>
        <w:rPr>
          <w:rFonts w:hAnsi="宋体"/>
          <w:color w:val="000000" w:themeColor="text1"/>
          <w:szCs w:val="21"/>
          <w:highlight w:val="none"/>
          <w14:textFill>
            <w14:solidFill>
              <w14:schemeClr w14:val="tx1"/>
            </w14:solidFill>
          </w14:textFill>
        </w:rPr>
        <w:t>函</w:t>
      </w:r>
      <w:r>
        <w:rPr>
          <w:rFonts w:hint="eastAsia"/>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格式见第</w:t>
      </w:r>
      <w:r>
        <w:rPr>
          <w:rFonts w:hint="eastAsia" w:hAnsi="宋体"/>
          <w:color w:val="000000" w:themeColor="text1"/>
          <w:szCs w:val="21"/>
          <w:highlight w:val="none"/>
          <w14:textFill>
            <w14:solidFill>
              <w14:schemeClr w14:val="tx1"/>
            </w14:solidFill>
          </w14:textFill>
        </w:rPr>
        <w:t>六</w:t>
      </w:r>
      <w:r>
        <w:rPr>
          <w:rFonts w:hAnsi="宋体"/>
          <w:color w:val="000000" w:themeColor="text1"/>
          <w:szCs w:val="21"/>
          <w:highlight w:val="none"/>
          <w14:textFill>
            <w14:solidFill>
              <w14:schemeClr w14:val="tx1"/>
            </w14:solidFill>
          </w14:textFill>
        </w:rPr>
        <w:t>篇</w:t>
      </w:r>
      <w:r>
        <w:rPr>
          <w:rFonts w:hint="eastAsia"/>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w:t>
      </w:r>
    </w:p>
    <w:p w14:paraId="0D2CC8C2">
      <w:pPr>
        <w:spacing w:line="360" w:lineRule="auto"/>
        <w:ind w:left="1035" w:leftChars="247" w:hanging="516" w:hangingChars="246"/>
        <w:rPr>
          <w:rFonts w:hint="eastAsia" w:hAnsi="宋体"/>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w:t>
      </w:r>
      <w:r>
        <w:rPr>
          <w:rFonts w:hint="eastAsia"/>
          <w:color w:val="000000" w:themeColor="text1"/>
          <w:szCs w:val="21"/>
          <w:highlight w:val="none"/>
          <w14:textFill>
            <w14:solidFill>
              <w14:schemeClr w14:val="tx1"/>
            </w14:solidFill>
          </w14:textFill>
        </w:rPr>
        <w:t>3</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2</w:t>
      </w:r>
      <w:r>
        <w:rPr>
          <w:rFonts w:hAnsi="宋体"/>
          <w:color w:val="000000" w:themeColor="text1"/>
          <w:szCs w:val="21"/>
          <w:highlight w:val="none"/>
          <w14:textFill>
            <w14:solidFill>
              <w14:schemeClr w14:val="tx1"/>
            </w14:solidFill>
          </w14:textFill>
        </w:rPr>
        <w:t>法定代表人证明书或授权委托书</w:t>
      </w:r>
      <w:r>
        <w:rPr>
          <w:rFonts w:hint="eastAsia"/>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格式见第</w:t>
      </w:r>
      <w:r>
        <w:rPr>
          <w:rFonts w:hint="eastAsia" w:hAnsi="宋体"/>
          <w:color w:val="000000" w:themeColor="text1"/>
          <w:szCs w:val="21"/>
          <w:highlight w:val="none"/>
          <w14:textFill>
            <w14:solidFill>
              <w14:schemeClr w14:val="tx1"/>
            </w14:solidFill>
          </w14:textFill>
        </w:rPr>
        <w:t>六</w:t>
      </w:r>
      <w:r>
        <w:rPr>
          <w:rFonts w:hAnsi="宋体"/>
          <w:color w:val="000000" w:themeColor="text1"/>
          <w:szCs w:val="21"/>
          <w:highlight w:val="none"/>
          <w14:textFill>
            <w14:solidFill>
              <w14:schemeClr w14:val="tx1"/>
            </w14:solidFill>
          </w14:textFill>
        </w:rPr>
        <w:t>篇</w:t>
      </w:r>
      <w:r>
        <w:rPr>
          <w:rFonts w:hint="eastAsia"/>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w:t>
      </w:r>
    </w:p>
    <w:p w14:paraId="0A1E6603">
      <w:pPr>
        <w:spacing w:line="360" w:lineRule="auto"/>
        <w:ind w:left="1035" w:leftChars="247" w:hanging="516" w:hangingChars="246"/>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15.3.</w:t>
      </w:r>
      <w:r>
        <w:rPr>
          <w:color w:val="000000" w:themeColor="text1"/>
          <w:szCs w:val="21"/>
          <w:highlight w:val="none"/>
          <w14:textFill>
            <w14:solidFill>
              <w14:schemeClr w14:val="tx1"/>
            </w14:solidFill>
          </w14:textFill>
        </w:rPr>
        <w:t>3</w:t>
      </w:r>
      <w:r>
        <w:rPr>
          <w:rFonts w:hint="eastAsia"/>
          <w:color w:val="000000" w:themeColor="text1"/>
          <w:szCs w:val="21"/>
          <w:highlight w:val="none"/>
          <w14:textFill>
            <w14:solidFill>
              <w14:schemeClr w14:val="tx1"/>
            </w14:solidFill>
          </w14:textFill>
        </w:rPr>
        <w:t>响应担保；</w:t>
      </w:r>
    </w:p>
    <w:p w14:paraId="4B3C4905">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w:t>
      </w:r>
      <w:r>
        <w:rPr>
          <w:rFonts w:hint="eastAsia"/>
          <w:color w:val="000000" w:themeColor="text1"/>
          <w:szCs w:val="21"/>
          <w:highlight w:val="none"/>
          <w14:textFill>
            <w14:solidFill>
              <w14:schemeClr w14:val="tx1"/>
            </w14:solidFill>
          </w14:textFill>
        </w:rPr>
        <w:t>3</w:t>
      </w:r>
      <w:r>
        <w:rPr>
          <w:color w:val="000000" w:themeColor="text1"/>
          <w:szCs w:val="21"/>
          <w:highlight w:val="none"/>
          <w14:textFill>
            <w14:solidFill>
              <w14:schemeClr w14:val="tx1"/>
            </w14:solidFill>
          </w14:textFill>
        </w:rPr>
        <w:t>.4</w:t>
      </w:r>
      <w:r>
        <w:rPr>
          <w:rFonts w:hint="eastAsia"/>
          <w:color w:val="000000" w:themeColor="text1"/>
          <w:szCs w:val="21"/>
          <w:highlight w:val="none"/>
          <w14:textFill>
            <w14:solidFill>
              <w14:schemeClr w14:val="tx1"/>
            </w14:solidFill>
          </w14:textFill>
        </w:rPr>
        <w:t>总报价（</w:t>
      </w:r>
      <w:r>
        <w:rPr>
          <w:rFonts w:hAnsi="宋体"/>
          <w:color w:val="000000" w:themeColor="text1"/>
          <w:szCs w:val="21"/>
          <w:highlight w:val="none"/>
          <w14:textFill>
            <w14:solidFill>
              <w14:schemeClr w14:val="tx1"/>
            </w14:solidFill>
          </w14:textFill>
        </w:rPr>
        <w:t>格式见第</w:t>
      </w:r>
      <w:r>
        <w:rPr>
          <w:rFonts w:hint="eastAsia" w:hAnsi="宋体"/>
          <w:color w:val="000000" w:themeColor="text1"/>
          <w:szCs w:val="21"/>
          <w:highlight w:val="none"/>
          <w14:textFill>
            <w14:solidFill>
              <w14:schemeClr w14:val="tx1"/>
            </w14:solidFill>
          </w14:textFill>
        </w:rPr>
        <w:t>六</w:t>
      </w:r>
      <w:r>
        <w:rPr>
          <w:rFonts w:hAnsi="宋体"/>
          <w:color w:val="000000" w:themeColor="text1"/>
          <w:szCs w:val="21"/>
          <w:highlight w:val="none"/>
          <w14:textFill>
            <w14:solidFill>
              <w14:schemeClr w14:val="tx1"/>
            </w14:solidFill>
          </w14:textFill>
        </w:rPr>
        <w:t>篇</w:t>
      </w:r>
      <w:r>
        <w:rPr>
          <w:rFonts w:hint="eastAsia"/>
          <w:color w:val="000000" w:themeColor="text1"/>
          <w:szCs w:val="21"/>
          <w:highlight w:val="none"/>
          <w14:textFill>
            <w14:solidFill>
              <w14:schemeClr w14:val="tx1"/>
            </w14:solidFill>
          </w14:textFill>
        </w:rPr>
        <w:t>）</w:t>
      </w:r>
      <w:r>
        <w:rPr>
          <w:rFonts w:hint="eastAsia" w:hAnsi="宋体"/>
          <w:color w:val="000000" w:themeColor="text1"/>
          <w:szCs w:val="21"/>
          <w:highlight w:val="none"/>
          <w14:textFill>
            <w14:solidFill>
              <w14:schemeClr w14:val="tx1"/>
            </w14:solidFill>
          </w14:textFill>
        </w:rPr>
        <w:t>；</w:t>
      </w:r>
    </w:p>
    <w:p w14:paraId="62CA2D0A">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w:t>
      </w:r>
      <w:r>
        <w:rPr>
          <w:rFonts w:hint="eastAsia"/>
          <w:color w:val="000000" w:themeColor="text1"/>
          <w:szCs w:val="21"/>
          <w:highlight w:val="none"/>
          <w14:textFill>
            <w14:solidFill>
              <w14:schemeClr w14:val="tx1"/>
            </w14:solidFill>
          </w14:textFill>
        </w:rPr>
        <w:t>3</w:t>
      </w:r>
      <w:r>
        <w:rPr>
          <w:color w:val="000000" w:themeColor="text1"/>
          <w:szCs w:val="21"/>
          <w:highlight w:val="none"/>
          <w14:textFill>
            <w14:solidFill>
              <w14:schemeClr w14:val="tx1"/>
            </w14:solidFill>
          </w14:textFill>
        </w:rPr>
        <w:t>.5</w:t>
      </w:r>
      <w:r>
        <w:rPr>
          <w:rFonts w:hint="eastAsia"/>
          <w:color w:val="000000" w:themeColor="text1"/>
          <w:szCs w:val="21"/>
          <w:highlight w:val="none"/>
          <w14:textFill>
            <w14:solidFill>
              <w14:schemeClr w14:val="tx1"/>
            </w14:solidFill>
          </w14:textFill>
        </w:rPr>
        <w:t>工程量清单计价表（</w:t>
      </w:r>
      <w:r>
        <w:rPr>
          <w:rFonts w:hAnsi="宋体"/>
          <w:color w:val="000000" w:themeColor="text1"/>
          <w:szCs w:val="21"/>
          <w:highlight w:val="none"/>
          <w14:textFill>
            <w14:solidFill>
              <w14:schemeClr w14:val="tx1"/>
            </w14:solidFill>
          </w14:textFill>
        </w:rPr>
        <w:t>格式见第</w:t>
      </w:r>
      <w:r>
        <w:rPr>
          <w:rFonts w:hint="eastAsia" w:hAnsi="宋体"/>
          <w:color w:val="000000" w:themeColor="text1"/>
          <w:szCs w:val="21"/>
          <w:highlight w:val="none"/>
          <w14:textFill>
            <w14:solidFill>
              <w14:schemeClr w14:val="tx1"/>
            </w14:solidFill>
          </w14:textFill>
        </w:rPr>
        <w:t>六</w:t>
      </w:r>
      <w:r>
        <w:rPr>
          <w:rFonts w:hAnsi="宋体"/>
          <w:color w:val="000000" w:themeColor="text1"/>
          <w:szCs w:val="21"/>
          <w:highlight w:val="none"/>
          <w14:textFill>
            <w14:solidFill>
              <w14:schemeClr w14:val="tx1"/>
            </w14:solidFill>
          </w14:textFill>
        </w:rPr>
        <w:t>篇</w:t>
      </w:r>
      <w:r>
        <w:rPr>
          <w:rFonts w:hint="eastAsia"/>
          <w:color w:val="000000" w:themeColor="text1"/>
          <w:szCs w:val="21"/>
          <w:highlight w:val="none"/>
          <w14:textFill>
            <w14:solidFill>
              <w14:schemeClr w14:val="tx1"/>
            </w14:solidFill>
          </w14:textFill>
        </w:rPr>
        <w:t>）</w:t>
      </w:r>
      <w:r>
        <w:rPr>
          <w:rFonts w:hint="eastAsia" w:hAnsi="宋体"/>
          <w:color w:val="000000" w:themeColor="text1"/>
          <w:szCs w:val="21"/>
          <w:highlight w:val="none"/>
          <w14:textFill>
            <w14:solidFill>
              <w14:schemeClr w14:val="tx1"/>
            </w14:solidFill>
          </w14:textFill>
        </w:rPr>
        <w:t>；</w:t>
      </w:r>
    </w:p>
    <w:p w14:paraId="012ECBE0">
      <w:pPr>
        <w:spacing w:line="360" w:lineRule="auto"/>
        <w:ind w:left="1035" w:leftChars="247" w:hanging="516" w:hangingChars="246"/>
        <w:rPr>
          <w:rFonts w:hint="eastAsia" w:hAnsi="宋体"/>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w:t>
      </w:r>
      <w:r>
        <w:rPr>
          <w:rFonts w:hint="eastAsia"/>
          <w:color w:val="000000" w:themeColor="text1"/>
          <w:szCs w:val="21"/>
          <w:highlight w:val="none"/>
          <w14:textFill>
            <w14:solidFill>
              <w14:schemeClr w14:val="tx1"/>
            </w14:solidFill>
          </w14:textFill>
        </w:rPr>
        <w:t>3</w:t>
      </w:r>
      <w:r>
        <w:rPr>
          <w:color w:val="000000" w:themeColor="text1"/>
          <w:szCs w:val="21"/>
          <w:highlight w:val="none"/>
          <w14:textFill>
            <w14:solidFill>
              <w14:schemeClr w14:val="tx1"/>
            </w14:solidFill>
          </w14:textFill>
        </w:rPr>
        <w:t>.6</w:t>
      </w:r>
      <w:r>
        <w:rPr>
          <w:rFonts w:hint="eastAsia"/>
          <w:color w:val="000000" w:themeColor="text1"/>
          <w:szCs w:val="21"/>
          <w:highlight w:val="none"/>
          <w14:textFill>
            <w14:solidFill>
              <w14:schemeClr w14:val="tx1"/>
            </w14:solidFill>
          </w14:textFill>
        </w:rPr>
        <w:t>工程量清单综合单价分析表（</w:t>
      </w:r>
      <w:r>
        <w:rPr>
          <w:rFonts w:hAnsi="宋体"/>
          <w:color w:val="000000" w:themeColor="text1"/>
          <w:szCs w:val="21"/>
          <w:highlight w:val="none"/>
          <w14:textFill>
            <w14:solidFill>
              <w14:schemeClr w14:val="tx1"/>
            </w14:solidFill>
          </w14:textFill>
        </w:rPr>
        <w:t>格式见第</w:t>
      </w:r>
      <w:r>
        <w:rPr>
          <w:rFonts w:hint="eastAsia" w:hAnsi="宋体"/>
          <w:color w:val="000000" w:themeColor="text1"/>
          <w:szCs w:val="21"/>
          <w:highlight w:val="none"/>
          <w14:textFill>
            <w14:solidFill>
              <w14:schemeClr w14:val="tx1"/>
            </w14:solidFill>
          </w14:textFill>
        </w:rPr>
        <w:t>六</w:t>
      </w:r>
      <w:r>
        <w:rPr>
          <w:rFonts w:hAnsi="宋体"/>
          <w:color w:val="000000" w:themeColor="text1"/>
          <w:szCs w:val="21"/>
          <w:highlight w:val="none"/>
          <w14:textFill>
            <w14:solidFill>
              <w14:schemeClr w14:val="tx1"/>
            </w14:solidFill>
          </w14:textFill>
        </w:rPr>
        <w:t>篇</w:t>
      </w:r>
      <w:r>
        <w:rPr>
          <w:rFonts w:hint="eastAsia"/>
          <w:color w:val="000000" w:themeColor="text1"/>
          <w:szCs w:val="21"/>
          <w:highlight w:val="none"/>
          <w14:textFill>
            <w14:solidFill>
              <w14:schemeClr w14:val="tx1"/>
            </w14:solidFill>
          </w14:textFill>
        </w:rPr>
        <w:t>）</w:t>
      </w:r>
      <w:r>
        <w:rPr>
          <w:rFonts w:hint="eastAsia" w:hAnsi="宋体"/>
          <w:color w:val="000000" w:themeColor="text1"/>
          <w:szCs w:val="21"/>
          <w:highlight w:val="none"/>
          <w14:textFill>
            <w14:solidFill>
              <w14:schemeClr w14:val="tx1"/>
            </w14:solidFill>
          </w14:textFill>
        </w:rPr>
        <w:t>。（如需）</w:t>
      </w:r>
    </w:p>
    <w:p w14:paraId="7B5011C9">
      <w:pPr>
        <w:widowControl/>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w:t>
      </w:r>
      <w:r>
        <w:rPr>
          <w:rFonts w:hint="eastAsia"/>
          <w:color w:val="000000" w:themeColor="text1"/>
          <w:szCs w:val="21"/>
          <w:highlight w:val="none"/>
          <w14:textFill>
            <w14:solidFill>
              <w14:schemeClr w14:val="tx1"/>
            </w14:solidFill>
          </w14:textFill>
        </w:rPr>
        <w:t>4</w:t>
      </w:r>
      <w:r>
        <w:rPr>
          <w:color w:val="000000" w:themeColor="text1"/>
          <w:szCs w:val="21"/>
          <w:highlight w:val="none"/>
          <w14:textFill>
            <w14:solidFill>
              <w14:schemeClr w14:val="tx1"/>
            </w14:solidFill>
          </w14:textFill>
        </w:rPr>
        <w:t>第</w:t>
      </w:r>
      <w:r>
        <w:rPr>
          <w:rFonts w:hint="eastAsia"/>
          <w:color w:val="000000" w:themeColor="text1"/>
          <w:szCs w:val="21"/>
          <w:highlight w:val="none"/>
          <w14:textFill>
            <w14:solidFill>
              <w14:schemeClr w14:val="tx1"/>
            </w14:solidFill>
          </w14:textFill>
        </w:rPr>
        <w:t>二部分</w:t>
      </w:r>
      <w:r>
        <w:rPr>
          <w:color w:val="000000" w:themeColor="text1"/>
          <w:szCs w:val="21"/>
          <w:highlight w:val="none"/>
          <w14:textFill>
            <w14:solidFill>
              <w14:schemeClr w14:val="tx1"/>
            </w14:solidFill>
          </w14:textFill>
        </w:rPr>
        <w:t>《技术部分》即施工组织设计，包括并不限于下列内容：</w:t>
      </w:r>
    </w:p>
    <w:p w14:paraId="49C73BD0">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15.4.1</w:t>
      </w:r>
      <w:r>
        <w:rPr>
          <w:rFonts w:hAnsi="宋体"/>
          <w:color w:val="000000" w:themeColor="text1"/>
          <w:szCs w:val="21"/>
          <w:highlight w:val="none"/>
          <w14:textFill>
            <w14:solidFill>
              <w14:schemeClr w14:val="tx1"/>
            </w14:solidFill>
          </w14:textFill>
        </w:rPr>
        <w:t>主要施工方案；</w:t>
      </w:r>
    </w:p>
    <w:p w14:paraId="7B4E803D">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15.4.2</w:t>
      </w:r>
      <w:r>
        <w:rPr>
          <w:rFonts w:hAnsi="宋体"/>
          <w:color w:val="000000" w:themeColor="text1"/>
          <w:szCs w:val="21"/>
          <w:highlight w:val="none"/>
          <w14:textFill>
            <w14:solidFill>
              <w14:schemeClr w14:val="tx1"/>
            </w14:solidFill>
          </w14:textFill>
        </w:rPr>
        <w:t>进度计划及措施；</w:t>
      </w:r>
    </w:p>
    <w:p w14:paraId="0D9A90A9">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15.4.3</w:t>
      </w:r>
      <w:r>
        <w:rPr>
          <w:rFonts w:hAnsi="宋体"/>
          <w:color w:val="000000" w:themeColor="text1"/>
          <w:szCs w:val="21"/>
          <w:highlight w:val="none"/>
          <w14:textFill>
            <w14:solidFill>
              <w14:schemeClr w14:val="tx1"/>
            </w14:solidFill>
          </w14:textFill>
        </w:rPr>
        <w:t>质量保证及措施；</w:t>
      </w:r>
    </w:p>
    <w:p w14:paraId="7DAC5777">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15.4.4</w:t>
      </w:r>
      <w:r>
        <w:rPr>
          <w:rFonts w:hAnsi="宋体"/>
          <w:color w:val="000000" w:themeColor="text1"/>
          <w:szCs w:val="21"/>
          <w:highlight w:val="none"/>
          <w14:textFill>
            <w14:solidFill>
              <w14:schemeClr w14:val="tx1"/>
            </w14:solidFill>
          </w14:textFill>
        </w:rPr>
        <w:t>安全管理及措施；</w:t>
      </w:r>
    </w:p>
    <w:p w14:paraId="57A479A6">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15.4.5</w:t>
      </w:r>
      <w:r>
        <w:rPr>
          <w:rFonts w:hAnsi="宋体"/>
          <w:color w:val="000000" w:themeColor="text1"/>
          <w:szCs w:val="21"/>
          <w:highlight w:val="none"/>
          <w14:textFill>
            <w14:solidFill>
              <w14:schemeClr w14:val="tx1"/>
            </w14:solidFill>
          </w14:textFill>
        </w:rPr>
        <w:t>文明施工、环境保护及措施；</w:t>
      </w:r>
    </w:p>
    <w:p w14:paraId="5BDBB43D">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15.4.6</w:t>
      </w:r>
      <w:r>
        <w:rPr>
          <w:rFonts w:hAnsi="宋体"/>
          <w:color w:val="000000" w:themeColor="text1"/>
          <w:szCs w:val="21"/>
          <w:highlight w:val="none"/>
          <w14:textFill>
            <w14:solidFill>
              <w14:schemeClr w14:val="tx1"/>
            </w14:solidFill>
          </w14:textFill>
        </w:rPr>
        <w:t>消防、保卫、健康及措施；</w:t>
      </w:r>
    </w:p>
    <w:p w14:paraId="169E6752">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15.4.7</w:t>
      </w:r>
      <w:r>
        <w:rPr>
          <w:rFonts w:hAnsi="宋体"/>
          <w:color w:val="000000" w:themeColor="text1"/>
          <w:szCs w:val="21"/>
          <w:highlight w:val="none"/>
          <w14:textFill>
            <w14:solidFill>
              <w14:schemeClr w14:val="tx1"/>
            </w14:solidFill>
          </w14:textFill>
        </w:rPr>
        <w:t>机械设备配置及保障；</w:t>
      </w:r>
    </w:p>
    <w:p w14:paraId="55EE827D">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15.4.8</w:t>
      </w:r>
      <w:r>
        <w:rPr>
          <w:rFonts w:hAnsi="宋体"/>
          <w:color w:val="000000" w:themeColor="text1"/>
          <w:szCs w:val="21"/>
          <w:highlight w:val="none"/>
          <w14:textFill>
            <w14:solidFill>
              <w14:schemeClr w14:val="tx1"/>
            </w14:solidFill>
          </w14:textFill>
        </w:rPr>
        <w:t>劳动力、材料配置计划及保障；</w:t>
      </w:r>
    </w:p>
    <w:p w14:paraId="3A10DD1D">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15.4.</w:t>
      </w:r>
      <w:r>
        <w:rPr>
          <w:rFonts w:hint="eastAsia"/>
          <w:color w:val="000000" w:themeColor="text1"/>
          <w:szCs w:val="21"/>
          <w:highlight w:val="none"/>
          <w14:textFill>
            <w14:solidFill>
              <w14:schemeClr w14:val="tx1"/>
            </w14:solidFill>
          </w14:textFill>
        </w:rPr>
        <w:t>9</w:t>
      </w:r>
      <w:r>
        <w:rPr>
          <w:rFonts w:hAnsi="宋体"/>
          <w:color w:val="000000" w:themeColor="text1"/>
          <w:szCs w:val="21"/>
          <w:highlight w:val="none"/>
          <w14:textFill>
            <w14:solidFill>
              <w14:schemeClr w14:val="tx1"/>
            </w14:solidFill>
          </w14:textFill>
        </w:rPr>
        <w:t>协调配合措施；</w:t>
      </w:r>
    </w:p>
    <w:p w14:paraId="33FF63FF">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15.4.1</w:t>
      </w:r>
      <w:r>
        <w:rPr>
          <w:rFonts w:hint="eastAsia"/>
          <w:color w:val="000000" w:themeColor="text1"/>
          <w:szCs w:val="21"/>
          <w:highlight w:val="none"/>
          <w14:textFill>
            <w14:solidFill>
              <w14:schemeClr w14:val="tx1"/>
            </w14:solidFill>
          </w14:textFill>
        </w:rPr>
        <w:t>0</w:t>
      </w:r>
      <w:r>
        <w:rPr>
          <w:rFonts w:hAnsi="宋体"/>
          <w:color w:val="000000" w:themeColor="text1"/>
          <w:szCs w:val="21"/>
          <w:highlight w:val="none"/>
          <w14:textFill>
            <w14:solidFill>
              <w14:schemeClr w14:val="tx1"/>
            </w14:solidFill>
          </w14:textFill>
        </w:rPr>
        <w:t>施工现场平面图；</w:t>
      </w:r>
      <w:r>
        <w:rPr>
          <w:rFonts w:hint="eastAsia" w:hAnsi="宋体"/>
          <w:color w:val="000000" w:themeColor="text1"/>
          <w:szCs w:val="21"/>
          <w:highlight w:val="none"/>
          <w14:textFill>
            <w14:solidFill>
              <w14:schemeClr w14:val="tx1"/>
            </w14:solidFill>
          </w14:textFill>
        </w:rPr>
        <w:t>（如需）</w:t>
      </w:r>
    </w:p>
    <w:p w14:paraId="67AC0BE5">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15.4.1</w:t>
      </w:r>
      <w:r>
        <w:rPr>
          <w:rFonts w:hint="eastAsia"/>
          <w:color w:val="000000" w:themeColor="text1"/>
          <w:szCs w:val="21"/>
          <w:highlight w:val="none"/>
          <w14:textFill>
            <w14:solidFill>
              <w14:schemeClr w14:val="tx1"/>
            </w14:solidFill>
          </w14:textFill>
        </w:rPr>
        <w:t>1</w:t>
      </w:r>
      <w:r>
        <w:rPr>
          <w:rFonts w:hAnsi="宋体"/>
          <w:color w:val="000000" w:themeColor="text1"/>
          <w:szCs w:val="21"/>
          <w:highlight w:val="none"/>
          <w14:textFill>
            <w14:solidFill>
              <w14:schemeClr w14:val="tx1"/>
            </w14:solidFill>
          </w14:textFill>
        </w:rPr>
        <w:t>现场组织机构框图及职责；</w:t>
      </w:r>
    </w:p>
    <w:p w14:paraId="4E513D5D">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15.4.1</w:t>
      </w:r>
      <w:r>
        <w:rPr>
          <w:rFonts w:hint="eastAsia"/>
          <w:color w:val="000000" w:themeColor="text1"/>
          <w:szCs w:val="21"/>
          <w:highlight w:val="none"/>
          <w14:textFill>
            <w14:solidFill>
              <w14:schemeClr w14:val="tx1"/>
            </w14:solidFill>
          </w14:textFill>
        </w:rPr>
        <w:t>2</w:t>
      </w:r>
      <w:r>
        <w:rPr>
          <w:rFonts w:ascii="Arial" w:hAnsi="Arial" w:cs="Arial"/>
          <w:color w:val="000000" w:themeColor="text1"/>
          <w:highlight w:val="none"/>
          <w14:textFill>
            <w14:solidFill>
              <w14:schemeClr w14:val="tx1"/>
            </w14:solidFill>
          </w14:textFill>
        </w:rPr>
        <w:t>冬季和雨季施工方案</w:t>
      </w:r>
      <w:r>
        <w:rPr>
          <w:rFonts w:hint="eastAsia" w:ascii="Arial" w:hAnsi="Arial" w:cs="Arial"/>
          <w:color w:val="000000" w:themeColor="text1"/>
          <w:highlight w:val="none"/>
          <w14:textFill>
            <w14:solidFill>
              <w14:schemeClr w14:val="tx1"/>
            </w14:solidFill>
          </w14:textFill>
        </w:rPr>
        <w:t>；</w:t>
      </w:r>
    </w:p>
    <w:p w14:paraId="1DABE537">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15.4.1</w:t>
      </w:r>
      <w:r>
        <w:rPr>
          <w:rFonts w:hint="eastAsia"/>
          <w:color w:val="000000" w:themeColor="text1"/>
          <w:szCs w:val="21"/>
          <w:highlight w:val="none"/>
          <w14:textFill>
            <w14:solidFill>
              <w14:schemeClr w14:val="tx1"/>
            </w14:solidFill>
          </w14:textFill>
        </w:rPr>
        <w:t>3</w:t>
      </w:r>
      <w:r>
        <w:rPr>
          <w:rFonts w:hint="eastAsia"/>
          <w:color w:val="000000" w:themeColor="text1"/>
          <w:kern w:val="0"/>
          <w:highlight w:val="none"/>
          <w14:textFill>
            <w14:solidFill>
              <w14:schemeClr w14:val="tx1"/>
            </w14:solidFill>
          </w14:textFill>
        </w:rPr>
        <w:t>方案或设计优化的合理化建议；</w:t>
      </w:r>
    </w:p>
    <w:p w14:paraId="66852CF2">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w:t>
      </w:r>
      <w:r>
        <w:rPr>
          <w:rFonts w:hint="eastAsia"/>
          <w:color w:val="000000" w:themeColor="text1"/>
          <w:szCs w:val="21"/>
          <w:highlight w:val="none"/>
          <w14:textFill>
            <w14:solidFill>
              <w14:schemeClr w14:val="tx1"/>
            </w14:solidFill>
          </w14:textFill>
        </w:rPr>
        <w:t>5</w:t>
      </w:r>
      <w:r>
        <w:rPr>
          <w:rFonts w:hAnsi="宋体"/>
          <w:color w:val="000000" w:themeColor="text1"/>
          <w:szCs w:val="21"/>
          <w:highlight w:val="none"/>
          <w14:textFill>
            <w14:solidFill>
              <w14:schemeClr w14:val="tx1"/>
            </w14:solidFill>
          </w14:textFill>
        </w:rPr>
        <w:t>第</w:t>
      </w:r>
      <w:r>
        <w:rPr>
          <w:rFonts w:hint="eastAsia" w:hAnsi="宋体"/>
          <w:color w:val="000000" w:themeColor="text1"/>
          <w:szCs w:val="21"/>
          <w:highlight w:val="none"/>
          <w14:textFill>
            <w14:solidFill>
              <w14:schemeClr w14:val="tx1"/>
            </w14:solidFill>
          </w14:textFill>
        </w:rPr>
        <w:t>三部分</w:t>
      </w:r>
      <w:r>
        <w:rPr>
          <w:rFonts w:hAnsi="宋体"/>
          <w:color w:val="000000" w:themeColor="text1"/>
          <w:szCs w:val="21"/>
          <w:highlight w:val="none"/>
          <w14:textFill>
            <w14:solidFill>
              <w14:schemeClr w14:val="tx1"/>
            </w14:solidFill>
          </w14:textFill>
        </w:rPr>
        <w:t>《商务部分》包括并不限于下列内容：</w:t>
      </w:r>
    </w:p>
    <w:p w14:paraId="1E1A2213">
      <w:pPr>
        <w:spacing w:line="360" w:lineRule="auto"/>
        <w:ind w:firstLine="525" w:firstLineChars="250"/>
        <w:rPr>
          <w:rFonts w:ascii="Arial" w:hAnsi="Arial"/>
          <w:color w:val="000000" w:themeColor="text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15.5.1</w:t>
      </w:r>
      <w:r>
        <w:rPr>
          <w:rFonts w:hint="eastAsia" w:ascii="Arial" w:hAnsi="Arial"/>
          <w:color w:val="000000" w:themeColor="text1"/>
          <w:highlight w:val="none"/>
          <w14:textFill>
            <w14:solidFill>
              <w14:schemeClr w14:val="tx1"/>
            </w14:solidFill>
          </w14:textFill>
        </w:rPr>
        <w:t>企业营业执照复印件（加盖公章）；</w:t>
      </w:r>
    </w:p>
    <w:p w14:paraId="6B99E46D">
      <w:pPr>
        <w:spacing w:line="360" w:lineRule="auto"/>
        <w:ind w:firstLine="525" w:firstLineChars="250"/>
        <w:rPr>
          <w:rFonts w:ascii="Arial" w:hAnsi="Arial"/>
          <w:color w:val="000000" w:themeColor="text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15.5.2</w:t>
      </w:r>
      <w:r>
        <w:rPr>
          <w:rFonts w:hint="eastAsia" w:ascii="Arial" w:hAnsi="Arial"/>
          <w:color w:val="000000" w:themeColor="text1"/>
          <w:highlight w:val="none"/>
          <w14:textFill>
            <w14:solidFill>
              <w14:schemeClr w14:val="tx1"/>
            </w14:solidFill>
          </w14:textFill>
        </w:rPr>
        <w:t>企业资质证书复印件（加盖公章）；</w:t>
      </w:r>
    </w:p>
    <w:p w14:paraId="09DD2C47">
      <w:pPr>
        <w:spacing w:line="360" w:lineRule="auto"/>
        <w:ind w:firstLine="525" w:firstLineChars="250"/>
        <w:rPr>
          <w:rFonts w:ascii="Arial" w:hAnsi="Arial"/>
          <w:color w:val="000000" w:themeColor="text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15.5.3</w:t>
      </w:r>
      <w:r>
        <w:rPr>
          <w:rFonts w:hint="eastAsia" w:ascii="Arial" w:hAnsi="Arial"/>
          <w:color w:val="000000" w:themeColor="text1"/>
          <w:highlight w:val="none"/>
          <w14:textFill>
            <w14:solidFill>
              <w14:schemeClr w14:val="tx1"/>
            </w14:solidFill>
          </w14:textFill>
        </w:rPr>
        <w:t>安全生产许可证证书复印件（加盖公章）；</w:t>
      </w:r>
    </w:p>
    <w:p w14:paraId="04F84AE1">
      <w:pPr>
        <w:spacing w:line="360" w:lineRule="auto"/>
        <w:ind w:left="1035" w:leftChars="247" w:hanging="516" w:hangingChars="24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w:t>
      </w:r>
      <w:r>
        <w:rPr>
          <w:rFonts w:hint="eastAsia"/>
          <w:color w:val="000000" w:themeColor="text1"/>
          <w:szCs w:val="21"/>
          <w:highlight w:val="none"/>
          <w14:textFill>
            <w14:solidFill>
              <w14:schemeClr w14:val="tx1"/>
            </w14:solidFill>
          </w14:textFill>
        </w:rPr>
        <w:t>5</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4</w:t>
      </w:r>
      <w:r>
        <w:rPr>
          <w:rFonts w:hAnsi="宋体"/>
          <w:color w:val="000000" w:themeColor="text1"/>
          <w:szCs w:val="21"/>
          <w:highlight w:val="none"/>
          <w14:textFill>
            <w14:solidFill>
              <w14:schemeClr w14:val="tx1"/>
            </w14:solidFill>
          </w14:textFill>
        </w:rPr>
        <w:t>拟投入本合同工程主要人员汇总表</w:t>
      </w:r>
      <w:r>
        <w:rPr>
          <w:rFonts w:hint="eastAsia"/>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格式见第</w:t>
      </w:r>
      <w:r>
        <w:rPr>
          <w:rFonts w:hint="eastAsia" w:hAnsi="宋体"/>
          <w:color w:val="000000" w:themeColor="text1"/>
          <w:szCs w:val="21"/>
          <w:highlight w:val="none"/>
          <w14:textFill>
            <w14:solidFill>
              <w14:schemeClr w14:val="tx1"/>
            </w14:solidFill>
          </w14:textFill>
        </w:rPr>
        <w:t>六</w:t>
      </w:r>
      <w:r>
        <w:rPr>
          <w:rFonts w:hAnsi="宋体"/>
          <w:color w:val="000000" w:themeColor="text1"/>
          <w:szCs w:val="21"/>
          <w:highlight w:val="none"/>
          <w14:textFill>
            <w14:solidFill>
              <w14:schemeClr w14:val="tx1"/>
            </w14:solidFill>
          </w14:textFill>
        </w:rPr>
        <w:t>篇</w:t>
      </w:r>
      <w:r>
        <w:rPr>
          <w:rFonts w:hint="eastAsia"/>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w:t>
      </w:r>
    </w:p>
    <w:p w14:paraId="445D5E39">
      <w:pPr>
        <w:spacing w:line="360" w:lineRule="auto"/>
        <w:ind w:left="1035" w:leftChars="247" w:hanging="516" w:hangingChars="246"/>
        <w:rPr>
          <w:rFonts w:hint="eastAsia" w:hAnsi="宋体"/>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15.</w:t>
      </w:r>
      <w:r>
        <w:rPr>
          <w:rFonts w:hint="eastAsia"/>
          <w:color w:val="000000" w:themeColor="text1"/>
          <w:szCs w:val="21"/>
          <w:highlight w:val="none"/>
          <w14:textFill>
            <w14:solidFill>
              <w14:schemeClr w14:val="tx1"/>
            </w14:solidFill>
          </w14:textFill>
        </w:rPr>
        <w:t>5</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5</w:t>
      </w:r>
      <w:r>
        <w:rPr>
          <w:rFonts w:hAnsi="宋体"/>
          <w:color w:val="000000" w:themeColor="text1"/>
          <w:szCs w:val="21"/>
          <w:highlight w:val="none"/>
          <w14:textFill>
            <w14:solidFill>
              <w14:schemeClr w14:val="tx1"/>
            </w14:solidFill>
          </w14:textFill>
        </w:rPr>
        <w:t>拟投入本合同工程主要人员简历表</w:t>
      </w:r>
      <w:r>
        <w:rPr>
          <w:rFonts w:hint="eastAsia"/>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格式见第</w:t>
      </w:r>
      <w:r>
        <w:rPr>
          <w:rFonts w:hint="eastAsia" w:hAnsi="宋体"/>
          <w:color w:val="000000" w:themeColor="text1"/>
          <w:szCs w:val="21"/>
          <w:highlight w:val="none"/>
          <w14:textFill>
            <w14:solidFill>
              <w14:schemeClr w14:val="tx1"/>
            </w14:solidFill>
          </w14:textFill>
        </w:rPr>
        <w:t>六</w:t>
      </w:r>
      <w:r>
        <w:rPr>
          <w:rFonts w:hAnsi="宋体"/>
          <w:color w:val="000000" w:themeColor="text1"/>
          <w:szCs w:val="21"/>
          <w:highlight w:val="none"/>
          <w14:textFill>
            <w14:solidFill>
              <w14:schemeClr w14:val="tx1"/>
            </w14:solidFill>
          </w14:textFill>
        </w:rPr>
        <w:t>篇</w:t>
      </w:r>
      <w:r>
        <w:rPr>
          <w:rFonts w:hint="eastAsia"/>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w:t>
      </w:r>
    </w:p>
    <w:p w14:paraId="4CF48B4B">
      <w:pPr>
        <w:spacing w:line="360" w:lineRule="auto"/>
        <w:ind w:left="1035" w:leftChars="247" w:hanging="516" w:hangingChars="246"/>
        <w:rPr>
          <w:rFonts w:ascii="Arial" w:hAnsi="Arial"/>
          <w:color w:val="000000" w:themeColor="text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15.5.6</w:t>
      </w:r>
      <w:r>
        <w:rPr>
          <w:rFonts w:hint="eastAsia" w:ascii="Arial" w:hAnsi="Arial"/>
          <w:color w:val="000000" w:themeColor="text1"/>
          <w:highlight w:val="none"/>
          <w14:textFill>
            <w14:solidFill>
              <w14:schemeClr w14:val="tx1"/>
            </w14:solidFill>
          </w14:textFill>
        </w:rPr>
        <w:t>拟派项目负责人相关证件复印件（加盖公章）；</w:t>
      </w:r>
    </w:p>
    <w:p w14:paraId="5C90AD3D">
      <w:pPr>
        <w:spacing w:line="360" w:lineRule="auto"/>
        <w:ind w:left="1035" w:leftChars="247" w:hanging="516" w:hangingChars="246"/>
        <w:rPr>
          <w:rFonts w:ascii="Arial" w:hAnsi="Arial"/>
          <w:color w:val="000000" w:themeColor="text1"/>
          <w:highlight w:val="none"/>
          <w14:textFill>
            <w14:solidFill>
              <w14:schemeClr w14:val="tx1"/>
            </w14:solidFill>
          </w14:textFill>
        </w:rPr>
      </w:pPr>
      <w:r>
        <w:rPr>
          <w:color w:val="000000" w:themeColor="text1"/>
          <w:szCs w:val="21"/>
          <w:highlight w:val="none"/>
          <w14:textFill>
            <w14:solidFill>
              <w14:schemeClr w14:val="tx1"/>
            </w14:solidFill>
          </w14:textFill>
        </w:rPr>
        <w:t>15.</w:t>
      </w:r>
      <w:r>
        <w:rPr>
          <w:rFonts w:hint="eastAsia"/>
          <w:color w:val="000000" w:themeColor="text1"/>
          <w:szCs w:val="21"/>
          <w:highlight w:val="none"/>
          <w14:textFill>
            <w14:solidFill>
              <w14:schemeClr w14:val="tx1"/>
            </w14:solidFill>
          </w14:textFill>
        </w:rPr>
        <w:t>5</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7</w:t>
      </w:r>
      <w:r>
        <w:rPr>
          <w:rFonts w:hAnsi="宋体"/>
          <w:color w:val="000000" w:themeColor="text1"/>
          <w:szCs w:val="21"/>
          <w:highlight w:val="none"/>
          <w14:textFill>
            <w14:solidFill>
              <w14:schemeClr w14:val="tx1"/>
            </w14:solidFill>
          </w14:textFill>
        </w:rPr>
        <w:t>拟投入本合同工程主要施工机械表</w:t>
      </w:r>
      <w:r>
        <w:rPr>
          <w:rFonts w:hint="eastAsia"/>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格式见第</w:t>
      </w:r>
      <w:r>
        <w:rPr>
          <w:rFonts w:hint="eastAsia" w:hAnsi="宋体"/>
          <w:color w:val="000000" w:themeColor="text1"/>
          <w:szCs w:val="21"/>
          <w:highlight w:val="none"/>
          <w14:textFill>
            <w14:solidFill>
              <w14:schemeClr w14:val="tx1"/>
            </w14:solidFill>
          </w14:textFill>
        </w:rPr>
        <w:t>六</w:t>
      </w:r>
      <w:r>
        <w:rPr>
          <w:rFonts w:hAnsi="宋体"/>
          <w:color w:val="000000" w:themeColor="text1"/>
          <w:szCs w:val="21"/>
          <w:highlight w:val="none"/>
          <w14:textFill>
            <w14:solidFill>
              <w14:schemeClr w14:val="tx1"/>
            </w14:solidFill>
          </w14:textFill>
        </w:rPr>
        <w:t>篇</w:t>
      </w:r>
      <w:r>
        <w:rPr>
          <w:rFonts w:hint="eastAsia"/>
          <w:color w:val="000000" w:themeColor="text1"/>
          <w:szCs w:val="21"/>
          <w:highlight w:val="none"/>
          <w14:textFill>
            <w14:solidFill>
              <w14:schemeClr w14:val="tx1"/>
            </w14:solidFill>
          </w14:textFill>
        </w:rPr>
        <w:t>）</w:t>
      </w:r>
      <w:r>
        <w:rPr>
          <w:rFonts w:hint="eastAsia" w:hAnsi="宋体"/>
          <w:color w:val="000000" w:themeColor="text1"/>
          <w:szCs w:val="21"/>
          <w:highlight w:val="none"/>
          <w14:textFill>
            <w14:solidFill>
              <w14:schemeClr w14:val="tx1"/>
            </w14:solidFill>
          </w14:textFill>
        </w:rPr>
        <w:t>。</w:t>
      </w:r>
    </w:p>
    <w:p w14:paraId="3552D3B4">
      <w:pPr>
        <w:spacing w:line="360" w:lineRule="auto"/>
        <w:ind w:left="1035" w:leftChars="247" w:hanging="516" w:hangingChars="246"/>
        <w:rPr>
          <w:rFonts w:ascii="Arial" w:hAnsi="Arial"/>
          <w:color w:val="000000" w:themeColor="text1"/>
          <w:highlight w:val="none"/>
          <w14:textFill>
            <w14:solidFill>
              <w14:schemeClr w14:val="tx1"/>
            </w14:solidFill>
          </w14:textFill>
        </w:rPr>
      </w:pPr>
      <w:r>
        <w:rPr>
          <w:color w:val="000000" w:themeColor="text1"/>
          <w:szCs w:val="21"/>
          <w:highlight w:val="none"/>
          <w14:textFill>
            <w14:solidFill>
              <w14:schemeClr w14:val="tx1"/>
            </w14:solidFill>
          </w14:textFill>
        </w:rPr>
        <w:t>15.</w:t>
      </w:r>
      <w:r>
        <w:rPr>
          <w:rFonts w:hint="eastAsia"/>
          <w:color w:val="000000" w:themeColor="text1"/>
          <w:szCs w:val="21"/>
          <w:highlight w:val="none"/>
          <w14:textFill>
            <w14:solidFill>
              <w14:schemeClr w14:val="tx1"/>
            </w14:solidFill>
          </w14:textFill>
        </w:rPr>
        <w:t>5</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8</w:t>
      </w:r>
      <w:r>
        <w:rPr>
          <w:rFonts w:hAnsi="宋体"/>
          <w:color w:val="000000" w:themeColor="text1"/>
          <w:szCs w:val="21"/>
          <w:highlight w:val="none"/>
          <w14:textFill>
            <w14:solidFill>
              <w14:schemeClr w14:val="tx1"/>
            </w14:solidFill>
          </w14:textFill>
        </w:rPr>
        <w:t>近</w:t>
      </w:r>
      <w:r>
        <w:rPr>
          <w:color w:val="000000" w:themeColor="text1"/>
          <w:szCs w:val="21"/>
          <w:highlight w:val="none"/>
          <w14:textFill>
            <w14:solidFill>
              <w14:schemeClr w14:val="tx1"/>
            </w14:solidFill>
          </w14:textFill>
        </w:rPr>
        <w:t>5</w:t>
      </w:r>
      <w:r>
        <w:rPr>
          <w:rFonts w:hAnsi="宋体"/>
          <w:color w:val="000000" w:themeColor="text1"/>
          <w:szCs w:val="21"/>
          <w:highlight w:val="none"/>
          <w14:textFill>
            <w14:solidFill>
              <w14:schemeClr w14:val="tx1"/>
            </w14:solidFill>
          </w14:textFill>
        </w:rPr>
        <w:t>年</w:t>
      </w:r>
      <w:r>
        <w:rPr>
          <w:rFonts w:hint="eastAsia" w:hAnsi="宋体"/>
          <w:color w:val="000000" w:themeColor="text1"/>
          <w:szCs w:val="21"/>
          <w:highlight w:val="none"/>
          <w14:textFill>
            <w14:solidFill>
              <w14:schemeClr w14:val="tx1"/>
            </w14:solidFill>
          </w14:textFill>
        </w:rPr>
        <w:t>内</w:t>
      </w:r>
      <w:r>
        <w:rPr>
          <w:rFonts w:hAnsi="宋体"/>
          <w:color w:val="000000" w:themeColor="text1"/>
          <w:szCs w:val="21"/>
          <w:highlight w:val="none"/>
          <w14:textFill>
            <w14:solidFill>
              <w14:schemeClr w14:val="tx1"/>
            </w14:solidFill>
          </w14:textFill>
        </w:rPr>
        <w:t>类似工程情况一览表</w:t>
      </w:r>
      <w:r>
        <w:rPr>
          <w:rFonts w:hint="eastAsia"/>
          <w:color w:val="000000" w:themeColor="text1"/>
          <w:szCs w:val="21"/>
          <w:highlight w:val="none"/>
          <w14:textFill>
            <w14:solidFill>
              <w14:schemeClr w14:val="tx1"/>
            </w14:solidFill>
          </w14:textFill>
        </w:rPr>
        <w:t>（</w:t>
      </w:r>
      <w:r>
        <w:rPr>
          <w:rFonts w:hAnsi="宋体"/>
          <w:color w:val="000000" w:themeColor="text1"/>
          <w:szCs w:val="21"/>
          <w:highlight w:val="none"/>
          <w14:textFill>
            <w14:solidFill>
              <w14:schemeClr w14:val="tx1"/>
            </w14:solidFill>
          </w14:textFill>
        </w:rPr>
        <w:t>格式见第</w:t>
      </w:r>
      <w:r>
        <w:rPr>
          <w:rFonts w:hint="eastAsia" w:hAnsi="宋体"/>
          <w:color w:val="000000" w:themeColor="text1"/>
          <w:szCs w:val="21"/>
          <w:highlight w:val="none"/>
          <w14:textFill>
            <w14:solidFill>
              <w14:schemeClr w14:val="tx1"/>
            </w14:solidFill>
          </w14:textFill>
        </w:rPr>
        <w:t>六</w:t>
      </w:r>
      <w:r>
        <w:rPr>
          <w:rFonts w:hAnsi="宋体"/>
          <w:color w:val="000000" w:themeColor="text1"/>
          <w:szCs w:val="21"/>
          <w:highlight w:val="none"/>
          <w14:textFill>
            <w14:solidFill>
              <w14:schemeClr w14:val="tx1"/>
            </w14:solidFill>
          </w14:textFill>
        </w:rPr>
        <w:t>篇</w:t>
      </w:r>
      <w:r>
        <w:rPr>
          <w:rFonts w:hint="eastAsia"/>
          <w:color w:val="000000" w:themeColor="text1"/>
          <w:szCs w:val="21"/>
          <w:highlight w:val="none"/>
          <w14:textFill>
            <w14:solidFill>
              <w14:schemeClr w14:val="tx1"/>
            </w14:solidFill>
          </w14:textFill>
        </w:rPr>
        <w:t>）</w:t>
      </w:r>
      <w:r>
        <w:rPr>
          <w:rFonts w:hint="eastAsia" w:hAnsi="宋体"/>
          <w:color w:val="000000" w:themeColor="text1"/>
          <w:szCs w:val="21"/>
          <w:highlight w:val="none"/>
          <w14:textFill>
            <w14:solidFill>
              <w14:schemeClr w14:val="tx1"/>
            </w14:solidFill>
          </w14:textFill>
        </w:rPr>
        <w:t>，</w:t>
      </w:r>
      <w:r>
        <w:rPr>
          <w:rFonts w:hint="eastAsia" w:ascii="Arial" w:hAnsi="Arial"/>
          <w:color w:val="000000" w:themeColor="text1"/>
          <w:highlight w:val="none"/>
          <w14:textFill>
            <w14:solidFill>
              <w14:schemeClr w14:val="tx1"/>
            </w14:solidFill>
          </w14:textFill>
        </w:rPr>
        <w:t>上述业绩必须提供相应的证明文件，如合同主要章节等相关证明材料的复印件；</w:t>
      </w:r>
    </w:p>
    <w:p w14:paraId="4590725D">
      <w:pPr>
        <w:spacing w:line="360" w:lineRule="auto"/>
        <w:ind w:left="1035" w:leftChars="247" w:hanging="516" w:hangingChars="246"/>
        <w:rPr>
          <w:rFonts w:ascii="Arial" w:hAnsi="Arial"/>
          <w:color w:val="000000" w:themeColor="text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15.5.9</w:t>
      </w:r>
      <w:r>
        <w:rPr>
          <w:rFonts w:hint="eastAsia" w:ascii="Arial" w:hAnsi="Arial"/>
          <w:bCs/>
          <w:color w:val="000000" w:themeColor="text1"/>
          <w:highlight w:val="none"/>
          <w14:textFill>
            <w14:solidFill>
              <w14:schemeClr w14:val="tx1"/>
            </w14:solidFill>
          </w14:textFill>
        </w:rPr>
        <w:t>响应单位的纳税资格的确认。</w:t>
      </w:r>
    </w:p>
    <w:p w14:paraId="518028AF">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267" w:name="_Toc145499749"/>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16.响应文件的形式和签署</w:t>
      </w:r>
      <w:bookmarkEnd w:id="267"/>
    </w:p>
    <w:p w14:paraId="3CA5A5AE">
      <w:pPr>
        <w:widowControl/>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16.1响应单位应按《响应单位须知前附表》第</w:t>
      </w:r>
      <w:r>
        <w:rPr>
          <w:rFonts w:hint="eastAsia"/>
          <w:color w:val="000000" w:themeColor="text1"/>
          <w:szCs w:val="21"/>
          <w:highlight w:val="none"/>
          <w14:textFill>
            <w14:solidFill>
              <w14:schemeClr w14:val="tx1"/>
            </w14:solidFill>
          </w14:textFill>
        </w:rPr>
        <w:t>8</w:t>
      </w:r>
      <w:r>
        <w:rPr>
          <w:color w:val="000000" w:themeColor="text1"/>
          <w:szCs w:val="21"/>
          <w:highlight w:val="none"/>
          <w14:textFill>
            <w14:solidFill>
              <w14:schemeClr w14:val="tx1"/>
            </w14:solidFill>
          </w14:textFill>
        </w:rPr>
        <w:t>项要求的形式和份数，编制和签署响应文件。</w:t>
      </w:r>
    </w:p>
    <w:p w14:paraId="39D1D176">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16.2</w:t>
      </w:r>
      <w:r>
        <w:rPr>
          <w:rFonts w:hAnsi="宋体"/>
          <w:color w:val="000000" w:themeColor="text1"/>
          <w:szCs w:val="21"/>
          <w:highlight w:val="none"/>
          <w14:textFill>
            <w14:solidFill>
              <w14:schemeClr w14:val="tx1"/>
            </w14:solidFill>
          </w14:textFill>
        </w:rPr>
        <w:t>响应文件封面的大小和形式见《响应单位须知前附表》第</w:t>
      </w:r>
      <w:r>
        <w:rPr>
          <w:rFonts w:hint="eastAsia"/>
          <w:color w:val="000000" w:themeColor="text1"/>
          <w:szCs w:val="21"/>
          <w:highlight w:val="none"/>
          <w14:textFill>
            <w14:solidFill>
              <w14:schemeClr w14:val="tx1"/>
            </w14:solidFill>
          </w14:textFill>
        </w:rPr>
        <w:t>9</w:t>
      </w:r>
      <w:r>
        <w:rPr>
          <w:rFonts w:hAnsi="宋体"/>
          <w:color w:val="000000" w:themeColor="text1"/>
          <w:szCs w:val="21"/>
          <w:highlight w:val="none"/>
          <w14:textFill>
            <w14:solidFill>
              <w14:schemeClr w14:val="tx1"/>
            </w14:solidFill>
          </w14:textFill>
        </w:rPr>
        <w:t>项的相应规定。</w:t>
      </w:r>
      <w:r>
        <w:rPr>
          <w:rFonts w:hint="eastAsia" w:hAnsi="宋体"/>
          <w:color w:val="000000" w:themeColor="text1"/>
          <w:szCs w:val="21"/>
          <w:highlight w:val="none"/>
          <w14:textFill>
            <w14:solidFill>
              <w14:schemeClr w14:val="tx1"/>
            </w14:solidFill>
          </w14:textFill>
        </w:rPr>
        <w:t>以最终提交采购响应流程所附响应文件扫描件版本为准</w:t>
      </w:r>
      <w:r>
        <w:rPr>
          <w:rFonts w:hAnsi="宋体"/>
          <w:color w:val="000000" w:themeColor="text1"/>
          <w:szCs w:val="21"/>
          <w:highlight w:val="none"/>
          <w14:textFill>
            <w14:solidFill>
              <w14:schemeClr w14:val="tx1"/>
            </w14:solidFill>
          </w14:textFill>
        </w:rPr>
        <w:t>。</w:t>
      </w:r>
    </w:p>
    <w:p w14:paraId="415D801F">
      <w:pPr>
        <w:spacing w:line="360" w:lineRule="auto"/>
        <w:ind w:left="516" w:leftChars="33" w:hanging="447" w:hangingChars="213"/>
        <w:rPr>
          <w:rFonts w:hint="eastAsia" w:hAnsi="宋体"/>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16.3</w:t>
      </w:r>
      <w:r>
        <w:rPr>
          <w:rFonts w:hAnsi="宋体"/>
          <w:color w:val="000000" w:themeColor="text1"/>
          <w:szCs w:val="21"/>
          <w:highlight w:val="none"/>
          <w14:textFill>
            <w14:solidFill>
              <w14:schemeClr w14:val="tx1"/>
            </w14:solidFill>
          </w14:textFill>
        </w:rPr>
        <w:t>由响应单位按相应规定在封面和文本中加盖公章和进行签字</w:t>
      </w:r>
      <w:r>
        <w:rPr>
          <w:rFonts w:hint="eastAsia" w:hAnsi="宋体"/>
          <w:color w:val="000000" w:themeColor="text1"/>
          <w:szCs w:val="21"/>
          <w:highlight w:val="none"/>
          <w14:textFill>
            <w14:solidFill>
              <w14:schemeClr w14:val="tx1"/>
            </w14:solidFill>
          </w14:textFill>
        </w:rPr>
        <w:t>。</w:t>
      </w:r>
    </w:p>
    <w:p w14:paraId="3B090073">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16.</w:t>
      </w:r>
      <w:r>
        <w:rPr>
          <w:rFonts w:hint="eastAsia"/>
          <w:color w:val="000000" w:themeColor="text1"/>
          <w:szCs w:val="21"/>
          <w:highlight w:val="none"/>
          <w14:textFill>
            <w14:solidFill>
              <w14:schemeClr w14:val="tx1"/>
            </w14:solidFill>
          </w14:textFill>
        </w:rPr>
        <w:t>4</w:t>
      </w:r>
      <w:r>
        <w:rPr>
          <w:rFonts w:hAnsi="宋体"/>
          <w:color w:val="000000" w:themeColor="text1"/>
          <w:szCs w:val="21"/>
          <w:highlight w:val="none"/>
          <w14:textFill>
            <w14:solidFill>
              <w14:schemeClr w14:val="tx1"/>
            </w14:solidFill>
          </w14:textFill>
        </w:rPr>
        <w:t>响应文件的文本内容均应打印或用不褪色的墨水填写，全套文件应无涂改、行间插字或删除等修改。除非修改是根据已发出的采购文件的指示进行的，或者是响应单位造成必须修改的错误；修改处应由法定代表人或授权代理人进行签字并加盖单位公章。</w:t>
      </w:r>
    </w:p>
    <w:p w14:paraId="636317CA">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268" w:name="_Toc99114783"/>
      <w:bookmarkStart w:id="269" w:name="_Toc53936528"/>
      <w:bookmarkStart w:id="270" w:name="_Toc99075811"/>
      <w:bookmarkStart w:id="271" w:name="_Toc53949190"/>
      <w:bookmarkStart w:id="272" w:name="_Toc53948348"/>
      <w:bookmarkStart w:id="273" w:name="_Toc53948769"/>
      <w:bookmarkStart w:id="274" w:name="_Toc54279951"/>
      <w:bookmarkStart w:id="275" w:name="_Toc99076421"/>
      <w:bookmarkStart w:id="276" w:name="_Toc53918819"/>
      <w:bookmarkStart w:id="277" w:name="_Toc53945793"/>
      <w:bookmarkStart w:id="278" w:name="_Toc54281229"/>
      <w:bookmarkStart w:id="279" w:name="_Toc99075232"/>
      <w:bookmarkStart w:id="280" w:name="_Toc54280377"/>
      <w:bookmarkStart w:id="281" w:name="_Toc99076132"/>
      <w:bookmarkStart w:id="282" w:name="_Toc54280803"/>
      <w:bookmarkStart w:id="283" w:name="_Toc98988350"/>
      <w:bookmarkStart w:id="284" w:name="_Toc99114418"/>
      <w:bookmarkStart w:id="285" w:name="_Toc53939592"/>
      <w:bookmarkStart w:id="286" w:name="_Toc100928199"/>
      <w:bookmarkStart w:id="287" w:name="_Toc101064260"/>
      <w:bookmarkStart w:id="288" w:name="_Toc100928421"/>
      <w:bookmarkStart w:id="289" w:name="_Toc101076023"/>
      <w:bookmarkStart w:id="290" w:name="_Toc100508605"/>
      <w:bookmarkStart w:id="291" w:name="_Toc100511812"/>
      <w:bookmarkStart w:id="292" w:name="_Toc101598024"/>
      <w:bookmarkStart w:id="293" w:name="_Toc100928643"/>
      <w:bookmarkStart w:id="294" w:name="_Toc101074408"/>
      <w:bookmarkStart w:id="295" w:name="_Toc101075778"/>
      <w:bookmarkStart w:id="296" w:name="_Toc145499750"/>
      <w:bookmarkStart w:id="297" w:name="_Toc101986479"/>
      <w:bookmarkStart w:id="298" w:name="_Toc101074626"/>
      <w:bookmarkStart w:id="299" w:name="_Toc53936530"/>
      <w:bookmarkStart w:id="300" w:name="_Toc54280379"/>
      <w:bookmarkStart w:id="301" w:name="_Toc54281231"/>
      <w:bookmarkStart w:id="302" w:name="_Toc53918821"/>
      <w:bookmarkStart w:id="303" w:name="_Toc53939594"/>
      <w:bookmarkStart w:id="304" w:name="_Toc53948350"/>
      <w:bookmarkStart w:id="305" w:name="_Toc54279953"/>
      <w:bookmarkStart w:id="306" w:name="_Toc53949192"/>
      <w:bookmarkStart w:id="307" w:name="_Toc53945795"/>
      <w:bookmarkStart w:id="308" w:name="_Toc53948771"/>
      <w:bookmarkStart w:id="309" w:name="_Toc54280805"/>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17.</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报价</w:t>
      </w:r>
      <w:bookmarkEnd w:id="286"/>
      <w:bookmarkEnd w:id="287"/>
      <w:bookmarkEnd w:id="288"/>
      <w:bookmarkEnd w:id="289"/>
      <w:bookmarkEnd w:id="290"/>
      <w:bookmarkEnd w:id="291"/>
      <w:bookmarkEnd w:id="292"/>
      <w:bookmarkEnd w:id="293"/>
      <w:bookmarkEnd w:id="294"/>
      <w:bookmarkEnd w:id="295"/>
      <w:bookmarkEnd w:id="296"/>
      <w:bookmarkEnd w:id="297"/>
      <w:bookmarkEnd w:id="298"/>
    </w:p>
    <w:p w14:paraId="6B947C51">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17.1</w:t>
      </w:r>
      <w:r>
        <w:rPr>
          <w:rFonts w:hint="eastAsia"/>
          <w:color w:val="000000" w:themeColor="text1"/>
          <w:szCs w:val="21"/>
          <w:highlight w:val="none"/>
          <w14:textFill>
            <w14:solidFill>
              <w14:schemeClr w14:val="tx1"/>
            </w14:solidFill>
          </w14:textFill>
        </w:rPr>
        <w:t>报价说明</w:t>
      </w:r>
    </w:p>
    <w:p w14:paraId="3A722AC2">
      <w:pPr>
        <w:spacing w:line="360" w:lineRule="auto"/>
        <w:ind w:left="1153" w:leftChars="247" w:hanging="634" w:hangingChars="302"/>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17.</w:t>
      </w:r>
      <w:r>
        <w:rPr>
          <w:rFonts w:hint="eastAsia"/>
          <w:color w:val="000000" w:themeColor="text1"/>
          <w:szCs w:val="21"/>
          <w:highlight w:val="none"/>
          <w14:textFill>
            <w14:solidFill>
              <w14:schemeClr w14:val="tx1"/>
            </w14:solidFill>
          </w14:textFill>
        </w:rPr>
        <w:t>1</w:t>
      </w:r>
      <w:r>
        <w:rPr>
          <w:color w:val="000000" w:themeColor="text1"/>
          <w:szCs w:val="21"/>
          <w:highlight w:val="none"/>
          <w14:textFill>
            <w14:solidFill>
              <w14:schemeClr w14:val="tx1"/>
            </w14:solidFill>
          </w14:textFill>
        </w:rPr>
        <w:t>.1</w:t>
      </w:r>
      <w:r>
        <w:rPr>
          <w:rFonts w:hint="eastAsia"/>
          <w:color w:val="000000" w:themeColor="text1"/>
          <w:szCs w:val="21"/>
          <w:highlight w:val="none"/>
          <w14:textFill>
            <w14:solidFill>
              <w14:schemeClr w14:val="tx1"/>
            </w14:solidFill>
          </w14:textFill>
        </w:rPr>
        <w:t>报价</w:t>
      </w:r>
      <w:r>
        <w:rPr>
          <w:color w:val="000000" w:themeColor="text1"/>
          <w:szCs w:val="21"/>
          <w:highlight w:val="none"/>
          <w14:textFill>
            <w14:solidFill>
              <w14:schemeClr w14:val="tx1"/>
            </w14:solidFill>
          </w14:textFill>
        </w:rPr>
        <w:t>为响应单位在其响应文件提出的各项支付金额的总和，应包括完成本采购工程的全部工作</w:t>
      </w:r>
      <w:r>
        <w:rPr>
          <w:rFonts w:hint="eastAsia"/>
          <w:color w:val="000000" w:themeColor="text1"/>
          <w:szCs w:val="21"/>
          <w:highlight w:val="none"/>
          <w14:textFill>
            <w14:solidFill>
              <w14:schemeClr w14:val="tx1"/>
            </w14:solidFill>
          </w14:textFill>
        </w:rPr>
        <w:t>并满足工期、质量要求的全部</w:t>
      </w:r>
      <w:r>
        <w:rPr>
          <w:color w:val="000000" w:themeColor="text1"/>
          <w:szCs w:val="21"/>
          <w:highlight w:val="none"/>
          <w14:textFill>
            <w14:solidFill>
              <w14:schemeClr w14:val="tx1"/>
            </w14:solidFill>
          </w14:textFill>
        </w:rPr>
        <w:t>费用和采购文件规定的全部暂估价。</w:t>
      </w:r>
    </w:p>
    <w:p w14:paraId="48DF2DB7">
      <w:pPr>
        <w:spacing w:line="360" w:lineRule="auto"/>
        <w:ind w:left="1153" w:leftChars="247" w:hanging="634" w:hangingChars="302"/>
        <w:rPr>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17.1.2</w:t>
      </w:r>
      <w:r>
        <w:rPr>
          <w:rFonts w:hAnsi="宋体"/>
          <w:color w:val="000000" w:themeColor="text1"/>
          <w:szCs w:val="21"/>
          <w:highlight w:val="none"/>
          <w14:textFill>
            <w14:solidFill>
              <w14:schemeClr w14:val="tx1"/>
            </w14:solidFill>
          </w14:textFill>
        </w:rPr>
        <w:t>本采购文件中工程量清单</w:t>
      </w:r>
      <w:r>
        <w:rPr>
          <w:rFonts w:hint="eastAsia" w:hAnsi="宋体"/>
          <w:color w:val="000000" w:themeColor="text1"/>
          <w:szCs w:val="21"/>
          <w:highlight w:val="none"/>
          <w14:textFill>
            <w14:solidFill>
              <w14:schemeClr w14:val="tx1"/>
            </w14:solidFill>
          </w14:textFill>
        </w:rPr>
        <w:t>依据现行国家、行业规范标准，按照图纸和工程情况</w:t>
      </w:r>
      <w:r>
        <w:rPr>
          <w:rFonts w:hAnsi="宋体"/>
          <w:color w:val="000000" w:themeColor="text1"/>
          <w:szCs w:val="21"/>
          <w:highlight w:val="none"/>
          <w14:textFill>
            <w14:solidFill>
              <w14:schemeClr w14:val="tx1"/>
            </w14:solidFill>
          </w14:textFill>
        </w:rPr>
        <w:t>进行编制。响应单位可参照企业定额，在充分考虑市场竞争因素的前提下进行</w:t>
      </w:r>
      <w:r>
        <w:rPr>
          <w:rFonts w:hint="eastAsia" w:hAnsi="宋体"/>
          <w:color w:val="000000" w:themeColor="text1"/>
          <w:szCs w:val="21"/>
          <w:highlight w:val="none"/>
          <w14:textFill>
            <w14:solidFill>
              <w14:schemeClr w14:val="tx1"/>
            </w14:solidFill>
          </w14:textFill>
        </w:rPr>
        <w:t>报</w:t>
      </w:r>
      <w:r>
        <w:rPr>
          <w:rFonts w:hAnsi="宋体"/>
          <w:color w:val="000000" w:themeColor="text1"/>
          <w:szCs w:val="21"/>
          <w:highlight w:val="none"/>
          <w14:textFill>
            <w14:solidFill>
              <w14:schemeClr w14:val="tx1"/>
            </w14:solidFill>
          </w14:textFill>
        </w:rPr>
        <w:t>价。</w:t>
      </w:r>
    </w:p>
    <w:p w14:paraId="34E9AC22">
      <w:pPr>
        <w:spacing w:line="360" w:lineRule="auto"/>
        <w:ind w:left="1153" w:leftChars="247" w:hanging="634" w:hangingChars="302"/>
        <w:rPr>
          <w:rFonts w:hint="eastAsia" w:hAnsi="宋体"/>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17.</w:t>
      </w:r>
      <w:r>
        <w:rPr>
          <w:rFonts w:hint="eastAsia"/>
          <w:color w:val="000000" w:themeColor="text1"/>
          <w:szCs w:val="21"/>
          <w:highlight w:val="none"/>
          <w14:textFill>
            <w14:solidFill>
              <w14:schemeClr w14:val="tx1"/>
            </w14:solidFill>
          </w14:textFill>
        </w:rPr>
        <w:t>1</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3</w:t>
      </w:r>
      <w:r>
        <w:rPr>
          <w:rFonts w:hAnsi="宋体"/>
          <w:color w:val="000000" w:themeColor="text1"/>
          <w:szCs w:val="21"/>
          <w:highlight w:val="none"/>
          <w14:textFill>
            <w14:solidFill>
              <w14:schemeClr w14:val="tx1"/>
            </w14:solidFill>
          </w14:textFill>
        </w:rPr>
        <w:t>采购人鼓励响应单位在保证不低于成本的基础上，就本工程各项工作的消耗量水平、工料机价格水平、各类费用标准、有关费率和响应单位应承担的风险做切合自身实力的竞争性考虑。响应单位可以根据各自对本工程的综合预测、自身实力及市场风险因素填报各个项目的单价，并按清单数量计算合价，列入报价之中。</w:t>
      </w:r>
    </w:p>
    <w:p w14:paraId="037D685A">
      <w:pPr>
        <w:spacing w:line="360" w:lineRule="auto"/>
        <w:ind w:left="1153" w:leftChars="247" w:hanging="634" w:hangingChars="302"/>
        <w:rPr>
          <w:rFonts w:hint="eastAsia" w:hAnsi="宋体"/>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17.</w:t>
      </w:r>
      <w:r>
        <w:rPr>
          <w:rFonts w:hint="eastAsia"/>
          <w:color w:val="000000" w:themeColor="text1"/>
          <w:szCs w:val="21"/>
          <w:highlight w:val="none"/>
          <w14:textFill>
            <w14:solidFill>
              <w14:schemeClr w14:val="tx1"/>
            </w14:solidFill>
          </w14:textFill>
        </w:rPr>
        <w:t>1</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4</w:t>
      </w:r>
      <w:r>
        <w:rPr>
          <w:color w:val="000000" w:themeColor="text1"/>
          <w:szCs w:val="21"/>
          <w:highlight w:val="none"/>
          <w14:textFill>
            <w14:solidFill>
              <w14:schemeClr w14:val="tx1"/>
            </w14:solidFill>
          </w14:textFill>
        </w:rPr>
        <w:t xml:space="preserve"> </w:t>
      </w:r>
      <w:r>
        <w:rPr>
          <w:rFonts w:hint="eastAsia" w:hAnsi="宋体"/>
          <w:color w:val="000000" w:themeColor="text1"/>
          <w:szCs w:val="21"/>
          <w:highlight w:val="none"/>
          <w14:textFill>
            <w14:solidFill>
              <w14:schemeClr w14:val="tx1"/>
            </w14:solidFill>
          </w14:textFill>
        </w:rPr>
        <w:t>响应单位应按照工程量清单所列项目及工程数量填报单价和合价，每一个项目应当只有唯一报价，任何有选择的报价将不予以接受。响应单位对列有数量的项目，如没有填报单价或合价，则其费用视为已经含在其他列有单价或合价的项目之中，在工程实施期间不再另行支付。</w:t>
      </w:r>
    </w:p>
    <w:p w14:paraId="7D18E98E">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17.</w:t>
      </w:r>
      <w:r>
        <w:rPr>
          <w:rFonts w:hint="eastAsia"/>
          <w:color w:val="000000" w:themeColor="text1"/>
          <w:szCs w:val="21"/>
          <w:highlight w:val="none"/>
          <w14:textFill>
            <w14:solidFill>
              <w14:schemeClr w14:val="tx1"/>
            </w14:solidFill>
          </w14:textFill>
        </w:rPr>
        <w:t>2</w:t>
      </w:r>
      <w:r>
        <w:rPr>
          <w:color w:val="000000" w:themeColor="text1"/>
          <w:szCs w:val="21"/>
          <w:highlight w:val="none"/>
          <w14:textFill>
            <w14:solidFill>
              <w14:schemeClr w14:val="tx1"/>
            </w14:solidFill>
          </w14:textFill>
        </w:rPr>
        <w:t>报价</w:t>
      </w:r>
    </w:p>
    <w:p w14:paraId="3FC4FAE0">
      <w:pPr>
        <w:spacing w:line="360" w:lineRule="auto"/>
        <w:ind w:left="1153" w:leftChars="247" w:hanging="634" w:hangingChars="302"/>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17.</w:t>
      </w:r>
      <w:r>
        <w:rPr>
          <w:rFonts w:hint="eastAsia"/>
          <w:color w:val="000000" w:themeColor="text1"/>
          <w:szCs w:val="21"/>
          <w:highlight w:val="none"/>
          <w14:textFill>
            <w14:solidFill>
              <w14:schemeClr w14:val="tx1"/>
            </w14:solidFill>
          </w14:textFill>
        </w:rPr>
        <w:t>2</w:t>
      </w:r>
      <w:r>
        <w:rPr>
          <w:color w:val="000000" w:themeColor="text1"/>
          <w:szCs w:val="21"/>
          <w:highlight w:val="none"/>
          <w14:textFill>
            <w14:solidFill>
              <w14:schemeClr w14:val="tx1"/>
            </w14:solidFill>
          </w14:textFill>
        </w:rPr>
        <w:t>.1</w:t>
      </w:r>
      <w:r>
        <w:rPr>
          <w:rFonts w:hint="eastAsia"/>
          <w:color w:val="000000" w:themeColor="text1"/>
          <w:szCs w:val="21"/>
          <w:highlight w:val="none"/>
          <w14:textFill>
            <w14:solidFill>
              <w14:schemeClr w14:val="tx1"/>
            </w14:solidFill>
          </w14:textFill>
        </w:rPr>
        <w:t>报价按固定综合单价报价。</w:t>
      </w:r>
    </w:p>
    <w:p w14:paraId="02D93AD2">
      <w:pPr>
        <w:spacing w:line="360" w:lineRule="auto"/>
        <w:ind w:left="1153" w:leftChars="247" w:hanging="634" w:hangingChars="302"/>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17.</w:t>
      </w:r>
      <w:r>
        <w:rPr>
          <w:rFonts w:hint="eastAsia"/>
          <w:color w:val="000000" w:themeColor="text1"/>
          <w:szCs w:val="21"/>
          <w:highlight w:val="none"/>
          <w14:textFill>
            <w14:solidFill>
              <w14:schemeClr w14:val="tx1"/>
            </w14:solidFill>
          </w14:textFill>
        </w:rPr>
        <w:t>2</w:t>
      </w:r>
      <w:r>
        <w:rPr>
          <w:color w:val="000000" w:themeColor="text1"/>
          <w:szCs w:val="21"/>
          <w:highlight w:val="none"/>
          <w14:textFill>
            <w14:solidFill>
              <w14:schemeClr w14:val="tx1"/>
            </w14:solidFill>
          </w14:textFill>
        </w:rPr>
        <w:t>.2工程量清单部分，响应单位不能增加、更改、拆分、合并或重组工程量清单中的项目及内容，应按照采购文件提供的工程数量进行报价。采购人提供的分部分项工程量清单如有漏项或错项，可</w:t>
      </w:r>
      <w:r>
        <w:rPr>
          <w:rFonts w:hint="eastAsia"/>
          <w:color w:val="000000" w:themeColor="text1"/>
          <w:szCs w:val="21"/>
          <w:highlight w:val="none"/>
          <w14:textFill>
            <w14:solidFill>
              <w14:schemeClr w14:val="tx1"/>
            </w14:solidFill>
          </w14:textFill>
        </w:rPr>
        <w:t>以书面形式或电话联系告知采购人，</w:t>
      </w:r>
      <w:r>
        <w:rPr>
          <w:color w:val="000000" w:themeColor="text1"/>
          <w:szCs w:val="21"/>
          <w:highlight w:val="none"/>
          <w14:textFill>
            <w14:solidFill>
              <w14:schemeClr w14:val="tx1"/>
            </w14:solidFill>
          </w14:textFill>
        </w:rPr>
        <w:t>经</w:t>
      </w:r>
      <w:r>
        <w:rPr>
          <w:rFonts w:hint="eastAsia"/>
          <w:color w:val="000000" w:themeColor="text1"/>
          <w:szCs w:val="21"/>
          <w:highlight w:val="none"/>
          <w14:textFill>
            <w14:solidFill>
              <w14:schemeClr w14:val="tx1"/>
            </w14:solidFill>
          </w14:textFill>
        </w:rPr>
        <w:t>采购人</w:t>
      </w:r>
      <w:r>
        <w:rPr>
          <w:color w:val="000000" w:themeColor="text1"/>
          <w:szCs w:val="21"/>
          <w:highlight w:val="none"/>
          <w14:textFill>
            <w14:solidFill>
              <w14:schemeClr w14:val="tx1"/>
            </w14:solidFill>
          </w14:textFill>
        </w:rPr>
        <w:t>确认后进行</w:t>
      </w:r>
      <w:r>
        <w:rPr>
          <w:rFonts w:hint="eastAsia"/>
          <w:color w:val="000000" w:themeColor="text1"/>
          <w:szCs w:val="21"/>
          <w:highlight w:val="none"/>
          <w14:textFill>
            <w14:solidFill>
              <w14:schemeClr w14:val="tx1"/>
            </w14:solidFill>
          </w14:textFill>
        </w:rPr>
        <w:t>调整</w:t>
      </w:r>
      <w:r>
        <w:rPr>
          <w:color w:val="000000" w:themeColor="text1"/>
          <w:szCs w:val="21"/>
          <w:highlight w:val="none"/>
          <w14:textFill>
            <w14:solidFill>
              <w14:schemeClr w14:val="tx1"/>
            </w14:solidFill>
          </w14:textFill>
        </w:rPr>
        <w:t>。响应单位对工程量清单中有数量而没有填入单价或合价的项目，其费用应视为已包括在工程量清单的其它单价或合价中，将不再予以调整。</w:t>
      </w:r>
      <w:r>
        <w:rPr>
          <w:rFonts w:hint="eastAsia"/>
          <w:color w:val="000000" w:themeColor="text1"/>
          <w:szCs w:val="21"/>
          <w:highlight w:val="none"/>
          <w14:textFill>
            <w14:solidFill>
              <w14:schemeClr w14:val="tx1"/>
            </w14:solidFill>
          </w14:textFill>
        </w:rPr>
        <w:t>工程量清单项目中所报单价除合同另有规定外，应包括了为实施和完成合同工程所需的劳务、材料、机械、措施、检测、质检、安装、缺陷修复、资料、保险、管理费、利润、规费、税金等费用、以及采购文件明示或暗示的所有责任、义务和合同约定的风险。</w:t>
      </w:r>
    </w:p>
    <w:p w14:paraId="62B23CCA">
      <w:pPr>
        <w:spacing w:line="360" w:lineRule="auto"/>
        <w:ind w:left="1153" w:leftChars="247" w:hanging="634" w:hangingChars="302"/>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17.</w:t>
      </w:r>
      <w:r>
        <w:rPr>
          <w:rFonts w:hint="eastAsia"/>
          <w:color w:val="000000" w:themeColor="text1"/>
          <w:szCs w:val="21"/>
          <w:highlight w:val="none"/>
          <w14:textFill>
            <w14:solidFill>
              <w14:schemeClr w14:val="tx1"/>
            </w14:solidFill>
          </w14:textFill>
        </w:rPr>
        <w:t>2</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3</w:t>
      </w:r>
      <w:r>
        <w:rPr>
          <w:color w:val="000000" w:themeColor="text1"/>
          <w:szCs w:val="21"/>
          <w:highlight w:val="none"/>
          <w14:textFill>
            <w14:solidFill>
              <w14:schemeClr w14:val="tx1"/>
            </w14:solidFill>
          </w14:textFill>
        </w:rPr>
        <w:t>响应单位</w:t>
      </w:r>
      <w:r>
        <w:rPr>
          <w:rFonts w:hint="eastAsia"/>
          <w:color w:val="000000" w:themeColor="text1"/>
          <w:szCs w:val="21"/>
          <w:highlight w:val="none"/>
          <w14:textFill>
            <w14:solidFill>
              <w14:schemeClr w14:val="tx1"/>
            </w14:solidFill>
          </w14:textFill>
        </w:rPr>
        <w:t>应充分考虑本工程特点及拟定的施工组织设计，计取相关</w:t>
      </w:r>
      <w:r>
        <w:rPr>
          <w:color w:val="000000" w:themeColor="text1"/>
          <w:szCs w:val="21"/>
          <w:highlight w:val="none"/>
          <w14:textFill>
            <w14:solidFill>
              <w14:schemeClr w14:val="tx1"/>
            </w14:solidFill>
          </w14:textFill>
        </w:rPr>
        <w:t>措施</w:t>
      </w:r>
      <w:r>
        <w:rPr>
          <w:rFonts w:hint="eastAsia"/>
          <w:color w:val="000000" w:themeColor="text1"/>
          <w:szCs w:val="21"/>
          <w:highlight w:val="none"/>
          <w14:textFill>
            <w14:solidFill>
              <w14:schemeClr w14:val="tx1"/>
            </w14:solidFill>
          </w14:textFill>
        </w:rPr>
        <w:t>费用（不含安全</w:t>
      </w:r>
      <w:r>
        <w:rPr>
          <w:color w:val="000000" w:themeColor="text1"/>
          <w:szCs w:val="21"/>
          <w:highlight w:val="none"/>
          <w14:textFill>
            <w14:solidFill>
              <w14:schemeClr w14:val="tx1"/>
            </w14:solidFill>
          </w14:textFill>
        </w:rPr>
        <w:t>防护、文明施工措施费</w:t>
      </w:r>
      <w:r>
        <w:rPr>
          <w:rFonts w:hint="eastAsia"/>
          <w:color w:val="000000" w:themeColor="text1"/>
          <w:szCs w:val="21"/>
          <w:highlight w:val="none"/>
          <w14:textFill>
            <w14:solidFill>
              <w14:schemeClr w14:val="tx1"/>
            </w14:solidFill>
          </w14:textFill>
        </w:rPr>
        <w:t>），并将该部分费用综合考虑到报价单价中，采购人对该部分费用不作单独列项，也不做任何调整。</w:t>
      </w:r>
    </w:p>
    <w:p w14:paraId="6AD2FB8E">
      <w:pPr>
        <w:spacing w:line="360" w:lineRule="auto"/>
        <w:ind w:left="1153" w:leftChars="247" w:hanging="634" w:hangingChars="302"/>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17.</w:t>
      </w:r>
      <w:r>
        <w:rPr>
          <w:rFonts w:hint="eastAsia"/>
          <w:color w:val="000000" w:themeColor="text1"/>
          <w:szCs w:val="21"/>
          <w:highlight w:val="none"/>
          <w14:textFill>
            <w14:solidFill>
              <w14:schemeClr w14:val="tx1"/>
            </w14:solidFill>
          </w14:textFill>
        </w:rPr>
        <w:t>2</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4采购文件如列有暂估价、计日工项目的，按采购清单要求计入总报价。</w:t>
      </w:r>
    </w:p>
    <w:p w14:paraId="3B097630">
      <w:pPr>
        <w:numPr>
          <w:ilvl w:val="0"/>
          <w:numId w:val="1"/>
        </w:numPr>
        <w:tabs>
          <w:tab w:val="left" w:pos="1890"/>
          <w:tab w:val="clear" w:pos="720"/>
        </w:tabs>
        <w:spacing w:line="360" w:lineRule="auto"/>
        <w:ind w:left="1890" w:hanging="840"/>
        <w:jc w:val="left"/>
        <w:rPr>
          <w:rFonts w:hint="eastAsia" w:hAnsi="宋体"/>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暂估价的材料和工程设备的暂估单价中不包括与之对应的规费和税金。响应单位在报价时应按照</w:t>
      </w:r>
      <w:r>
        <w:rPr>
          <w:rFonts w:hint="eastAsia" w:hAnsi="宋体"/>
          <w:color w:val="000000" w:themeColor="text1"/>
          <w:szCs w:val="21"/>
          <w:highlight w:val="none"/>
          <w14:textFill>
            <w14:solidFill>
              <w14:schemeClr w14:val="tx1"/>
            </w14:solidFill>
          </w14:textFill>
        </w:rPr>
        <w:t>采购文件清单</w:t>
      </w:r>
      <w:r>
        <w:rPr>
          <w:rFonts w:hAnsi="宋体"/>
          <w:color w:val="000000" w:themeColor="text1"/>
          <w:szCs w:val="21"/>
          <w:highlight w:val="none"/>
          <w14:textFill>
            <w14:solidFill>
              <w14:schemeClr w14:val="tx1"/>
            </w14:solidFill>
          </w14:textFill>
        </w:rPr>
        <w:t>中给定的暂估单价计入分部分项工程量清单综合单价中。</w:t>
      </w:r>
    </w:p>
    <w:p w14:paraId="7507F629">
      <w:pPr>
        <w:numPr>
          <w:ilvl w:val="0"/>
          <w:numId w:val="1"/>
        </w:numPr>
        <w:tabs>
          <w:tab w:val="left" w:pos="1890"/>
          <w:tab w:val="clear" w:pos="720"/>
        </w:tabs>
        <w:spacing w:line="360" w:lineRule="auto"/>
        <w:ind w:left="1890" w:hanging="840"/>
        <w:jc w:val="left"/>
        <w:rPr>
          <w:rFonts w:hint="eastAsia" w:hAnsi="宋体"/>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响应单位应按照</w:t>
      </w:r>
      <w:r>
        <w:rPr>
          <w:rFonts w:hint="eastAsia" w:hAnsi="宋体"/>
          <w:color w:val="000000" w:themeColor="text1"/>
          <w:szCs w:val="21"/>
          <w:highlight w:val="none"/>
          <w14:textFill>
            <w14:solidFill>
              <w14:schemeClr w14:val="tx1"/>
            </w14:solidFill>
          </w14:textFill>
        </w:rPr>
        <w:t>工程量清单</w:t>
      </w:r>
      <w:r>
        <w:rPr>
          <w:rFonts w:hAnsi="宋体"/>
          <w:color w:val="000000" w:themeColor="text1"/>
          <w:szCs w:val="21"/>
          <w:highlight w:val="none"/>
          <w14:textFill>
            <w14:solidFill>
              <w14:schemeClr w14:val="tx1"/>
            </w14:solidFill>
          </w14:textFill>
        </w:rPr>
        <w:t>中计日工的列项报出相应的综合单价，所报的计日工综合单价用于本合同下计日工项目的计价。</w:t>
      </w:r>
    </w:p>
    <w:p w14:paraId="4D7B8438">
      <w:pPr>
        <w:spacing w:line="360" w:lineRule="auto"/>
        <w:ind w:left="1140" w:leftChars="247" w:hanging="621" w:hangingChars="296"/>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17.</w:t>
      </w:r>
      <w:r>
        <w:rPr>
          <w:rFonts w:hint="eastAsia"/>
          <w:color w:val="000000" w:themeColor="text1"/>
          <w:szCs w:val="21"/>
          <w:highlight w:val="none"/>
          <w14:textFill>
            <w14:solidFill>
              <w14:schemeClr w14:val="tx1"/>
            </w14:solidFill>
          </w14:textFill>
        </w:rPr>
        <w:t>2</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5如发生</w:t>
      </w:r>
      <w:r>
        <w:rPr>
          <w:color w:val="000000" w:themeColor="text1"/>
          <w:szCs w:val="21"/>
          <w:highlight w:val="none"/>
          <w14:textFill>
            <w14:solidFill>
              <w14:schemeClr w14:val="tx1"/>
            </w14:solidFill>
          </w14:textFill>
        </w:rPr>
        <w:t>甲供材料、</w:t>
      </w:r>
      <w:r>
        <w:rPr>
          <w:rFonts w:hint="eastAsia"/>
          <w:color w:val="000000" w:themeColor="text1"/>
          <w:szCs w:val="21"/>
          <w:highlight w:val="none"/>
          <w14:textFill>
            <w14:solidFill>
              <w14:schemeClr w14:val="tx1"/>
            </w14:solidFill>
          </w14:textFill>
        </w:rPr>
        <w:t>构件</w:t>
      </w:r>
      <w:r>
        <w:rPr>
          <w:color w:val="000000" w:themeColor="text1"/>
          <w:szCs w:val="21"/>
          <w:highlight w:val="none"/>
          <w14:textFill>
            <w14:solidFill>
              <w14:schemeClr w14:val="tx1"/>
            </w14:solidFill>
          </w14:textFill>
        </w:rPr>
        <w:t>的</w:t>
      </w:r>
      <w:r>
        <w:rPr>
          <w:rFonts w:hint="eastAsia"/>
          <w:color w:val="000000" w:themeColor="text1"/>
          <w:szCs w:val="21"/>
          <w:highlight w:val="none"/>
          <w14:textFill>
            <w14:solidFill>
              <w14:schemeClr w14:val="tx1"/>
            </w14:solidFill>
          </w14:textFill>
        </w:rPr>
        <w:t>情况，</w:t>
      </w:r>
      <w:r>
        <w:rPr>
          <w:color w:val="000000" w:themeColor="text1"/>
          <w:szCs w:val="21"/>
          <w:highlight w:val="none"/>
          <w14:textFill>
            <w14:solidFill>
              <w14:schemeClr w14:val="tx1"/>
            </w14:solidFill>
          </w14:textFill>
        </w:rPr>
        <w:t>甲供材料、</w:t>
      </w:r>
      <w:r>
        <w:rPr>
          <w:rFonts w:hint="eastAsia"/>
          <w:color w:val="000000" w:themeColor="text1"/>
          <w:szCs w:val="21"/>
          <w:highlight w:val="none"/>
          <w14:textFill>
            <w14:solidFill>
              <w14:schemeClr w14:val="tx1"/>
            </w14:solidFill>
          </w14:textFill>
        </w:rPr>
        <w:t>构件一般</w:t>
      </w:r>
      <w:r>
        <w:rPr>
          <w:color w:val="000000" w:themeColor="text1"/>
          <w:szCs w:val="21"/>
          <w:highlight w:val="none"/>
          <w14:textFill>
            <w14:solidFill>
              <w14:schemeClr w14:val="tx1"/>
            </w14:solidFill>
          </w14:textFill>
        </w:rPr>
        <w:t>为运抵施工现场落地，</w:t>
      </w:r>
      <w:r>
        <w:rPr>
          <w:rFonts w:hint="eastAsia"/>
          <w:color w:val="000000" w:themeColor="text1"/>
          <w:szCs w:val="21"/>
          <w:highlight w:val="none"/>
          <w14:textFill>
            <w14:solidFill>
              <w14:schemeClr w14:val="tx1"/>
            </w14:solidFill>
          </w14:textFill>
        </w:rPr>
        <w:t>响应单位应计取施工、安装、倒运、保管等所需的费用。使用时超出采购人本合同规定损耗量的，按合同相关规定承担相应费用。</w:t>
      </w:r>
    </w:p>
    <w:p w14:paraId="168C45F7">
      <w:pPr>
        <w:spacing w:line="360" w:lineRule="auto"/>
        <w:ind w:left="1153" w:leftChars="247" w:hanging="634" w:hangingChars="302"/>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17.</w:t>
      </w:r>
      <w:r>
        <w:rPr>
          <w:rFonts w:hint="eastAsia"/>
          <w:color w:val="000000" w:themeColor="text1"/>
          <w:szCs w:val="21"/>
          <w:highlight w:val="none"/>
          <w14:textFill>
            <w14:solidFill>
              <w14:schemeClr w14:val="tx1"/>
            </w14:solidFill>
          </w14:textFill>
        </w:rPr>
        <w:t>2</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6</w:t>
      </w:r>
      <w:r>
        <w:rPr>
          <w:color w:val="000000" w:themeColor="text1"/>
          <w:szCs w:val="21"/>
          <w:highlight w:val="none"/>
          <w14:textFill>
            <w14:solidFill>
              <w14:schemeClr w14:val="tx1"/>
            </w14:solidFill>
          </w14:textFill>
        </w:rPr>
        <w:t>响应单位应根据第</w:t>
      </w:r>
      <w:r>
        <w:rPr>
          <w:rFonts w:hint="eastAsia"/>
          <w:color w:val="000000" w:themeColor="text1"/>
          <w:szCs w:val="21"/>
          <w:highlight w:val="none"/>
          <w14:textFill>
            <w14:solidFill>
              <w14:schemeClr w14:val="tx1"/>
            </w14:solidFill>
          </w14:textFill>
        </w:rPr>
        <w:t>三</w:t>
      </w:r>
      <w:r>
        <w:rPr>
          <w:color w:val="000000" w:themeColor="text1"/>
          <w:szCs w:val="21"/>
          <w:highlight w:val="none"/>
          <w14:textFill>
            <w14:solidFill>
              <w14:schemeClr w14:val="tx1"/>
            </w14:solidFill>
          </w14:textFill>
        </w:rPr>
        <w:t>篇</w:t>
      </w:r>
      <w:r>
        <w:rPr>
          <w:rFonts w:hint="eastAsia"/>
          <w:color w:val="000000" w:themeColor="text1"/>
          <w:szCs w:val="21"/>
          <w:highlight w:val="none"/>
          <w14:textFill>
            <w14:solidFill>
              <w14:schemeClr w14:val="tx1"/>
            </w14:solidFill>
          </w14:textFill>
        </w:rPr>
        <w:t>分包合同条款</w:t>
      </w:r>
      <w:r>
        <w:rPr>
          <w:color w:val="000000" w:themeColor="text1"/>
          <w:szCs w:val="21"/>
          <w:highlight w:val="none"/>
          <w14:textFill>
            <w14:solidFill>
              <w14:schemeClr w14:val="tx1"/>
            </w14:solidFill>
          </w14:textFill>
        </w:rPr>
        <w:t>中关于安全防护、文明施工措施</w:t>
      </w:r>
      <w:r>
        <w:rPr>
          <w:rFonts w:hint="eastAsia"/>
          <w:color w:val="000000" w:themeColor="text1"/>
          <w:szCs w:val="21"/>
          <w:highlight w:val="none"/>
          <w14:textFill>
            <w14:solidFill>
              <w14:schemeClr w14:val="tx1"/>
            </w14:solidFill>
          </w14:textFill>
        </w:rPr>
        <w:t>的要求</w:t>
      </w:r>
      <w:r>
        <w:rPr>
          <w:color w:val="000000" w:themeColor="text1"/>
          <w:szCs w:val="21"/>
          <w:highlight w:val="none"/>
          <w14:textFill>
            <w14:solidFill>
              <w14:schemeClr w14:val="tx1"/>
            </w14:solidFill>
          </w14:textFill>
        </w:rPr>
        <w:t>，结合自身的技术装备、管理水平计取安全防护、文明施工措施费</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包括环境保护、文明施工、安全施工、临时设施</w:t>
      </w:r>
      <w:r>
        <w:rPr>
          <w:rFonts w:hint="eastAsia"/>
          <w:color w:val="000000" w:themeColor="text1"/>
          <w:szCs w:val="21"/>
          <w:highlight w:val="none"/>
          <w14:textFill>
            <w14:solidFill>
              <w14:schemeClr w14:val="tx1"/>
            </w14:solidFill>
          </w14:textFill>
        </w:rPr>
        <w:t>和施工围挡共五项</w:t>
      </w:r>
      <w:r>
        <w:rPr>
          <w:color w:val="000000" w:themeColor="text1"/>
          <w:szCs w:val="21"/>
          <w:highlight w:val="none"/>
          <w14:textFill>
            <w14:solidFill>
              <w14:schemeClr w14:val="tx1"/>
            </w14:solidFill>
          </w14:textFill>
        </w:rPr>
        <w:t>措施</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，并</w:t>
      </w:r>
      <w:r>
        <w:rPr>
          <w:rFonts w:hint="eastAsia"/>
          <w:color w:val="000000" w:themeColor="text1"/>
          <w:szCs w:val="21"/>
          <w:highlight w:val="none"/>
          <w14:textFill>
            <w14:solidFill>
              <w14:schemeClr w14:val="tx1"/>
            </w14:solidFill>
          </w14:textFill>
        </w:rPr>
        <w:t>将该部分费用采用固定合价形式单独列项，具体计量以安全部与合约部共同确定的方法为准。</w:t>
      </w:r>
    </w:p>
    <w:p w14:paraId="1E64E49B">
      <w:pPr>
        <w:spacing w:line="360" w:lineRule="auto"/>
        <w:ind w:left="1153" w:leftChars="247" w:hanging="634" w:hangingChars="302"/>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17.</w:t>
      </w:r>
      <w:r>
        <w:rPr>
          <w:rFonts w:hint="eastAsia"/>
          <w:color w:val="000000" w:themeColor="text1"/>
          <w:szCs w:val="21"/>
          <w:highlight w:val="none"/>
          <w14:textFill>
            <w14:solidFill>
              <w14:schemeClr w14:val="tx1"/>
            </w14:solidFill>
          </w14:textFill>
        </w:rPr>
        <w:t>2</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7安装工程中由采购人直接采购（供应）设备的，成交单位应当承担相应的配合、协调、管理、服务的责任和义务，并将与之对应的所有费用综合考虑在报价单价中，如负责安装时，按清单要求在相应报价单价中计取相应的安装、辅材等费用。</w:t>
      </w:r>
    </w:p>
    <w:p w14:paraId="1FA2D9EA">
      <w:pPr>
        <w:spacing w:line="360" w:lineRule="auto"/>
        <w:ind w:left="1153" w:leftChars="247" w:hanging="634" w:hangingChars="302"/>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17.2.8</w:t>
      </w:r>
      <w:r>
        <w:rPr>
          <w:rFonts w:hAnsi="宋体"/>
          <w:bCs/>
          <w:color w:val="000000" w:themeColor="text1"/>
          <w:szCs w:val="21"/>
          <w:highlight w:val="none"/>
          <w14:textFill>
            <w14:solidFill>
              <w14:schemeClr w14:val="tx1"/>
            </w14:solidFill>
          </w14:textFill>
        </w:rPr>
        <w:t>规费应按国家的</w:t>
      </w:r>
      <w:r>
        <w:rPr>
          <w:rFonts w:hint="eastAsia" w:hAnsi="宋体"/>
          <w:bCs/>
          <w:color w:val="000000" w:themeColor="text1"/>
          <w:szCs w:val="21"/>
          <w:highlight w:val="none"/>
          <w14:textFill>
            <w14:solidFill>
              <w14:schemeClr w14:val="tx1"/>
            </w14:solidFill>
          </w14:textFill>
        </w:rPr>
        <w:t>相关</w:t>
      </w:r>
      <w:r>
        <w:rPr>
          <w:rFonts w:hAnsi="宋体"/>
          <w:bCs/>
          <w:color w:val="000000" w:themeColor="text1"/>
          <w:szCs w:val="21"/>
          <w:highlight w:val="none"/>
          <w14:textFill>
            <w14:solidFill>
              <w14:schemeClr w14:val="tx1"/>
            </w14:solidFill>
          </w14:textFill>
        </w:rPr>
        <w:t>规定计</w:t>
      </w:r>
      <w:r>
        <w:rPr>
          <w:rFonts w:hint="eastAsia" w:hAnsi="宋体"/>
          <w:bCs/>
          <w:color w:val="000000" w:themeColor="text1"/>
          <w:szCs w:val="21"/>
          <w:highlight w:val="none"/>
          <w14:textFill>
            <w14:solidFill>
              <w14:schemeClr w14:val="tx1"/>
            </w14:solidFill>
          </w14:textFill>
        </w:rPr>
        <w:t>取，</w:t>
      </w:r>
      <w:r>
        <w:rPr>
          <w:rFonts w:hint="eastAsia" w:hAnsi="宋体"/>
          <w:color w:val="000000" w:themeColor="text1"/>
          <w:szCs w:val="21"/>
          <w:highlight w:val="none"/>
          <w14:textFill>
            <w14:solidFill>
              <w14:schemeClr w14:val="tx1"/>
            </w14:solidFill>
          </w14:textFill>
        </w:rPr>
        <w:t>不</w:t>
      </w:r>
      <w:r>
        <w:rPr>
          <w:rFonts w:hAnsi="宋体"/>
          <w:color w:val="000000" w:themeColor="text1"/>
          <w:szCs w:val="21"/>
          <w:highlight w:val="none"/>
          <w14:textFill>
            <w14:solidFill>
              <w14:schemeClr w14:val="tx1"/>
            </w14:solidFill>
          </w14:textFill>
        </w:rPr>
        <w:t>单独列项</w:t>
      </w:r>
      <w:r>
        <w:rPr>
          <w:rFonts w:hint="eastAsia" w:hAnsi="宋体"/>
          <w:color w:val="000000" w:themeColor="text1"/>
          <w:szCs w:val="21"/>
          <w:highlight w:val="none"/>
          <w14:textFill>
            <w14:solidFill>
              <w14:schemeClr w14:val="tx1"/>
            </w14:solidFill>
          </w14:textFill>
        </w:rPr>
        <w:t>，综合考虑到报价单价中</w:t>
      </w:r>
      <w:r>
        <w:rPr>
          <w:rFonts w:hAnsi="宋体"/>
          <w:bCs/>
          <w:color w:val="000000" w:themeColor="text1"/>
          <w:szCs w:val="21"/>
          <w:highlight w:val="none"/>
          <w14:textFill>
            <w14:solidFill>
              <w14:schemeClr w14:val="tx1"/>
            </w14:solidFill>
          </w14:textFill>
        </w:rPr>
        <w:t>。</w:t>
      </w:r>
    </w:p>
    <w:p w14:paraId="458EA40C">
      <w:pPr>
        <w:spacing w:line="360" w:lineRule="auto"/>
        <w:ind w:left="1153" w:leftChars="247" w:hanging="634" w:hangingChars="302"/>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17.2.</w:t>
      </w:r>
      <w:r>
        <w:rPr>
          <w:rFonts w:hint="eastAsia"/>
          <w:color w:val="000000" w:themeColor="text1"/>
          <w:szCs w:val="21"/>
          <w:highlight w:val="none"/>
          <w14:textFill>
            <w14:solidFill>
              <w14:schemeClr w14:val="tx1"/>
            </w14:solidFill>
          </w14:textFill>
        </w:rPr>
        <w:t>9响应单位应根据项目所在地  相关文件规定、现行标准和合同文件关于农民工工伤保险的约定，计取农民工工伤保险费用。农民工工伤保险费用不单独列项，</w:t>
      </w:r>
      <w:r>
        <w:rPr>
          <w:rFonts w:hint="eastAsia" w:hAnsi="宋体"/>
          <w:color w:val="000000" w:themeColor="text1"/>
          <w:szCs w:val="21"/>
          <w:highlight w:val="none"/>
          <w14:textFill>
            <w14:solidFill>
              <w14:schemeClr w14:val="tx1"/>
            </w14:solidFill>
          </w14:textFill>
        </w:rPr>
        <w:t>综合考虑到报价单价中</w:t>
      </w:r>
      <w:r>
        <w:rPr>
          <w:rFonts w:hint="eastAsia"/>
          <w:color w:val="000000" w:themeColor="text1"/>
          <w:szCs w:val="21"/>
          <w:highlight w:val="none"/>
          <w14:textFill>
            <w14:solidFill>
              <w14:schemeClr w14:val="tx1"/>
            </w14:solidFill>
          </w14:textFill>
        </w:rPr>
        <w:t>。</w:t>
      </w:r>
    </w:p>
    <w:p w14:paraId="0C38497D">
      <w:pPr>
        <w:spacing w:line="360" w:lineRule="auto"/>
        <w:ind w:left="1153" w:leftChars="247" w:hanging="634" w:hangingChars="302"/>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17.2.10</w:t>
      </w:r>
      <w:r>
        <w:rPr>
          <w:rFonts w:hAnsi="宋体"/>
          <w:bCs/>
          <w:color w:val="000000" w:themeColor="text1"/>
          <w:szCs w:val="21"/>
          <w:highlight w:val="none"/>
          <w14:textFill>
            <w14:solidFill>
              <w14:schemeClr w14:val="tx1"/>
            </w14:solidFill>
          </w14:textFill>
        </w:rPr>
        <w:t>税金应按国家的</w:t>
      </w:r>
      <w:r>
        <w:rPr>
          <w:rFonts w:hint="eastAsia" w:hAnsi="宋体"/>
          <w:bCs/>
          <w:color w:val="000000" w:themeColor="text1"/>
          <w:szCs w:val="21"/>
          <w:highlight w:val="none"/>
          <w14:textFill>
            <w14:solidFill>
              <w14:schemeClr w14:val="tx1"/>
            </w14:solidFill>
          </w14:textFill>
        </w:rPr>
        <w:t>相关</w:t>
      </w:r>
      <w:r>
        <w:rPr>
          <w:rFonts w:hAnsi="宋体"/>
          <w:bCs/>
          <w:color w:val="000000" w:themeColor="text1"/>
          <w:szCs w:val="21"/>
          <w:highlight w:val="none"/>
          <w14:textFill>
            <w14:solidFill>
              <w14:schemeClr w14:val="tx1"/>
            </w14:solidFill>
          </w14:textFill>
        </w:rPr>
        <w:t>规定计</w:t>
      </w:r>
      <w:r>
        <w:rPr>
          <w:rFonts w:hint="eastAsia" w:hAnsi="宋体"/>
          <w:bCs/>
          <w:color w:val="000000" w:themeColor="text1"/>
          <w:szCs w:val="21"/>
          <w:highlight w:val="none"/>
          <w14:textFill>
            <w14:solidFill>
              <w14:schemeClr w14:val="tx1"/>
            </w14:solidFill>
          </w14:textFill>
        </w:rPr>
        <w:t>取，按照价税分离的形式</w:t>
      </w:r>
      <w:r>
        <w:rPr>
          <w:rFonts w:hAnsi="宋体"/>
          <w:color w:val="000000" w:themeColor="text1"/>
          <w:szCs w:val="21"/>
          <w:highlight w:val="none"/>
          <w14:textFill>
            <w14:solidFill>
              <w14:schemeClr w14:val="tx1"/>
            </w14:solidFill>
          </w14:textFill>
        </w:rPr>
        <w:t>单独列项</w:t>
      </w:r>
      <w:r>
        <w:rPr>
          <w:rFonts w:hint="eastAsia" w:hAnsi="宋体"/>
          <w:color w:val="000000" w:themeColor="text1"/>
          <w:szCs w:val="21"/>
          <w:highlight w:val="none"/>
          <w14:textFill>
            <w14:solidFill>
              <w14:schemeClr w14:val="tx1"/>
            </w14:solidFill>
          </w14:textFill>
        </w:rPr>
        <w:t>。</w:t>
      </w:r>
    </w:p>
    <w:p w14:paraId="6667EDD1">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310" w:name="_Toc145499751"/>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18</w:t>
      </w:r>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w:t>
      </w:r>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响应</w:t>
      </w:r>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有效期</w:t>
      </w:r>
      <w:bookmarkEnd w:id="299"/>
      <w:bookmarkEnd w:id="300"/>
      <w:bookmarkEnd w:id="301"/>
      <w:bookmarkEnd w:id="302"/>
      <w:bookmarkEnd w:id="303"/>
      <w:bookmarkEnd w:id="304"/>
      <w:bookmarkEnd w:id="305"/>
      <w:bookmarkEnd w:id="306"/>
      <w:bookmarkEnd w:id="307"/>
      <w:bookmarkEnd w:id="308"/>
      <w:bookmarkEnd w:id="309"/>
      <w:bookmarkEnd w:id="310"/>
    </w:p>
    <w:p w14:paraId="3C1B479D">
      <w:pPr>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18</w:t>
      </w:r>
      <w:r>
        <w:rPr>
          <w:color w:val="000000" w:themeColor="text1"/>
          <w:szCs w:val="21"/>
          <w:highlight w:val="none"/>
          <w14:textFill>
            <w14:solidFill>
              <w14:schemeClr w14:val="tx1"/>
            </w14:solidFill>
          </w14:textFill>
        </w:rPr>
        <w:t>.1响应有效期见《响应单位须知前附表》中第1</w:t>
      </w:r>
      <w:r>
        <w:rPr>
          <w:rFonts w:hint="eastAsia"/>
          <w:color w:val="000000" w:themeColor="text1"/>
          <w:szCs w:val="21"/>
          <w:highlight w:val="none"/>
          <w14:textFill>
            <w14:solidFill>
              <w14:schemeClr w14:val="tx1"/>
            </w14:solidFill>
          </w14:textFill>
        </w:rPr>
        <w:t>0</w:t>
      </w:r>
      <w:r>
        <w:rPr>
          <w:color w:val="000000" w:themeColor="text1"/>
          <w:szCs w:val="21"/>
          <w:highlight w:val="none"/>
          <w14:textFill>
            <w14:solidFill>
              <w14:schemeClr w14:val="tx1"/>
            </w14:solidFill>
          </w14:textFill>
        </w:rPr>
        <w:t>项的要求。</w:t>
      </w:r>
    </w:p>
    <w:p w14:paraId="7D971FF5">
      <w:pPr>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18</w:t>
      </w:r>
      <w:r>
        <w:rPr>
          <w:color w:val="000000" w:themeColor="text1"/>
          <w:szCs w:val="21"/>
          <w:highlight w:val="none"/>
          <w14:textFill>
            <w14:solidFill>
              <w14:schemeClr w14:val="tx1"/>
            </w14:solidFill>
          </w14:textFill>
        </w:rPr>
        <w:t>.2在原定响应有效期期满之前，如果出现特殊情况，采购人可以向响应单位提出延长其响应有效期的要求，这种要求和答复应以书面形式并加盖公章后进行。</w:t>
      </w:r>
    </w:p>
    <w:p w14:paraId="29B1F69D">
      <w:pPr>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18</w:t>
      </w:r>
      <w:r>
        <w:rPr>
          <w:color w:val="000000" w:themeColor="text1"/>
          <w:szCs w:val="21"/>
          <w:highlight w:val="none"/>
          <w14:textFill>
            <w14:solidFill>
              <w14:schemeClr w14:val="tx1"/>
            </w14:solidFill>
          </w14:textFill>
        </w:rPr>
        <w:t>.3响应单位可以拒绝这种要求，放弃其</w:t>
      </w:r>
      <w:r>
        <w:rPr>
          <w:rFonts w:hint="eastAsia"/>
          <w:color w:val="000000" w:themeColor="text1"/>
          <w:szCs w:val="21"/>
          <w:highlight w:val="none"/>
          <w14:textFill>
            <w14:solidFill>
              <w14:schemeClr w14:val="tx1"/>
            </w14:solidFill>
          </w14:textFill>
        </w:rPr>
        <w:t>采购响应</w:t>
      </w:r>
      <w:r>
        <w:rPr>
          <w:color w:val="000000" w:themeColor="text1"/>
          <w:szCs w:val="21"/>
          <w:highlight w:val="none"/>
          <w14:textFill>
            <w14:solidFill>
              <w14:schemeClr w14:val="tx1"/>
            </w14:solidFill>
          </w14:textFill>
        </w:rPr>
        <w:t>权利，但不会因此被没收响应担保。同意延期的响应单位，不需要也不允许修改其响应文件。</w:t>
      </w:r>
    </w:p>
    <w:p w14:paraId="2B4E9B36">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311" w:name="_Toc53949193"/>
      <w:bookmarkStart w:id="312" w:name="_Toc54280806"/>
      <w:bookmarkStart w:id="313" w:name="_Toc53936531"/>
      <w:bookmarkStart w:id="314" w:name="_Toc53939595"/>
      <w:bookmarkStart w:id="315" w:name="_Toc53948351"/>
      <w:bookmarkStart w:id="316" w:name="_Toc53918822"/>
      <w:bookmarkStart w:id="317" w:name="_Toc53945796"/>
      <w:bookmarkStart w:id="318" w:name="_Toc54281232"/>
      <w:bookmarkStart w:id="319" w:name="_Toc54279954"/>
      <w:bookmarkStart w:id="320" w:name="_Toc145499752"/>
      <w:bookmarkStart w:id="321" w:name="_Toc54280380"/>
      <w:bookmarkStart w:id="322" w:name="_Toc53948772"/>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19.响应担保</w:t>
      </w:r>
      <w:bookmarkEnd w:id="311"/>
      <w:bookmarkEnd w:id="312"/>
      <w:bookmarkEnd w:id="313"/>
      <w:bookmarkEnd w:id="314"/>
      <w:bookmarkEnd w:id="315"/>
      <w:bookmarkEnd w:id="316"/>
      <w:bookmarkEnd w:id="317"/>
      <w:bookmarkEnd w:id="318"/>
      <w:bookmarkEnd w:id="319"/>
      <w:bookmarkEnd w:id="320"/>
      <w:bookmarkEnd w:id="321"/>
      <w:bookmarkEnd w:id="322"/>
    </w:p>
    <w:p w14:paraId="01A5269C">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19.1响应单位在送交响应文件时，应按《响应单位须知前附表》中第1</w:t>
      </w:r>
      <w:r>
        <w:rPr>
          <w:rFonts w:hint="eastAsia"/>
          <w:color w:val="000000" w:themeColor="text1"/>
          <w:szCs w:val="21"/>
          <w:highlight w:val="none"/>
          <w14:textFill>
            <w14:solidFill>
              <w14:schemeClr w14:val="tx1"/>
            </w14:solidFill>
          </w14:textFill>
        </w:rPr>
        <w:t>1</w:t>
      </w:r>
      <w:r>
        <w:rPr>
          <w:color w:val="000000" w:themeColor="text1"/>
          <w:szCs w:val="21"/>
          <w:highlight w:val="none"/>
          <w14:textFill>
            <w14:solidFill>
              <w14:schemeClr w14:val="tx1"/>
            </w14:solidFill>
          </w14:textFill>
        </w:rPr>
        <w:t>项</w:t>
      </w:r>
      <w:r>
        <w:rPr>
          <w:rFonts w:hint="eastAsia"/>
          <w:color w:val="000000" w:themeColor="text1"/>
          <w:szCs w:val="21"/>
          <w:highlight w:val="none"/>
          <w14:textFill>
            <w14:solidFill>
              <w14:schemeClr w14:val="tx1"/>
            </w14:solidFill>
          </w14:textFill>
        </w:rPr>
        <w:t>要求</w:t>
      </w:r>
      <w:r>
        <w:rPr>
          <w:color w:val="000000" w:themeColor="text1"/>
          <w:szCs w:val="21"/>
          <w:highlight w:val="none"/>
          <w14:textFill>
            <w14:solidFill>
              <w14:schemeClr w14:val="tx1"/>
            </w14:solidFill>
          </w14:textFill>
        </w:rPr>
        <w:t>提交响应担保，用于保护采购人免受因响应单位行为而蒙受的损失。</w:t>
      </w:r>
    </w:p>
    <w:p w14:paraId="37C6E6CB">
      <w:pPr>
        <w:spacing w:line="360" w:lineRule="auto"/>
        <w:ind w:firstLine="105" w:firstLineChars="50"/>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19.2</w:t>
      </w:r>
      <w:r>
        <w:rPr>
          <w:rFonts w:hint="eastAsia"/>
          <w:b/>
          <w:bCs/>
          <w:color w:val="000000" w:themeColor="text1"/>
          <w:szCs w:val="21"/>
          <w:highlight w:val="none"/>
          <w:u w:val="single"/>
          <w14:textFill>
            <w14:solidFill>
              <w14:schemeClr w14:val="tx1"/>
            </w14:solidFill>
          </w14:textFill>
        </w:rPr>
        <w:t>响应单位未按采购文件要求提交足额有效的响应担保，其响应文件将被拒绝，作废标处理。</w:t>
      </w:r>
    </w:p>
    <w:p w14:paraId="6490D575">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19.</w:t>
      </w:r>
      <w:r>
        <w:rPr>
          <w:rFonts w:hint="eastAsia"/>
          <w:color w:val="000000" w:themeColor="text1"/>
          <w:szCs w:val="21"/>
          <w:highlight w:val="none"/>
          <w14:textFill>
            <w14:solidFill>
              <w14:schemeClr w14:val="tx1"/>
            </w14:solidFill>
          </w14:textFill>
        </w:rPr>
        <w:t>3</w:t>
      </w:r>
      <w:r>
        <w:rPr>
          <w:color w:val="000000" w:themeColor="text1"/>
          <w:szCs w:val="21"/>
          <w:highlight w:val="none"/>
          <w14:textFill>
            <w14:solidFill>
              <w14:schemeClr w14:val="tx1"/>
            </w14:solidFill>
          </w14:textFill>
        </w:rPr>
        <w:t>响应担保在响应有效期满后</w:t>
      </w:r>
      <w:r>
        <w:rPr>
          <w:rFonts w:hint="eastAsia"/>
          <w:color w:val="000000" w:themeColor="text1"/>
          <w:szCs w:val="21"/>
          <w:highlight w:val="none"/>
          <w14:textFill>
            <w14:solidFill>
              <w14:schemeClr w14:val="tx1"/>
            </w14:solidFill>
          </w14:textFill>
        </w:rPr>
        <w:t>30</w:t>
      </w:r>
      <w:r>
        <w:rPr>
          <w:color w:val="000000" w:themeColor="text1"/>
          <w:szCs w:val="21"/>
          <w:highlight w:val="none"/>
          <w14:textFill>
            <w14:solidFill>
              <w14:schemeClr w14:val="tx1"/>
            </w14:solidFill>
          </w14:textFill>
        </w:rPr>
        <w:t xml:space="preserve">天内保持有效，采购人如果按规定延长了响应有效期，则响应担保的有效期也相应延长。 </w:t>
      </w:r>
    </w:p>
    <w:p w14:paraId="2359DB66">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19.</w:t>
      </w:r>
      <w:r>
        <w:rPr>
          <w:rFonts w:hint="eastAsia"/>
          <w:color w:val="000000" w:themeColor="text1"/>
          <w:szCs w:val="21"/>
          <w:highlight w:val="none"/>
          <w14:textFill>
            <w14:solidFill>
              <w14:schemeClr w14:val="tx1"/>
            </w14:solidFill>
          </w14:textFill>
        </w:rPr>
        <w:t>4</w:t>
      </w:r>
      <w:r>
        <w:rPr>
          <w:color w:val="000000" w:themeColor="text1"/>
          <w:szCs w:val="21"/>
          <w:highlight w:val="none"/>
          <w14:textFill>
            <w14:solidFill>
              <w14:schemeClr w14:val="tx1"/>
            </w14:solidFill>
          </w14:textFill>
        </w:rPr>
        <w:t>未成交单位的响应保证金将在采购人</w:t>
      </w:r>
      <w:r>
        <w:rPr>
          <w:rFonts w:hint="eastAsia"/>
          <w:color w:val="000000" w:themeColor="text1"/>
          <w:szCs w:val="21"/>
          <w:highlight w:val="none"/>
          <w14:textFill>
            <w14:solidFill>
              <w14:schemeClr w14:val="tx1"/>
            </w14:solidFill>
          </w14:textFill>
        </w:rPr>
        <w:t>下发了成交单位的成交通知书</w:t>
      </w:r>
      <w:r>
        <w:rPr>
          <w:color w:val="000000" w:themeColor="text1"/>
          <w:szCs w:val="21"/>
          <w:highlight w:val="none"/>
          <w14:textFill>
            <w14:solidFill>
              <w14:schemeClr w14:val="tx1"/>
            </w14:solidFill>
          </w14:textFill>
        </w:rPr>
        <w:t>后</w:t>
      </w:r>
      <w:r>
        <w:rPr>
          <w:rFonts w:hint="eastAsia"/>
          <w:color w:val="000000" w:themeColor="text1"/>
          <w:szCs w:val="21"/>
          <w:highlight w:val="none"/>
          <w14:textFill>
            <w14:solidFill>
              <w14:schemeClr w14:val="tx1"/>
            </w14:solidFill>
          </w14:textFill>
        </w:rPr>
        <w:t>7个工作日</w:t>
      </w:r>
      <w:r>
        <w:rPr>
          <w:color w:val="000000" w:themeColor="text1"/>
          <w:szCs w:val="21"/>
          <w:highlight w:val="none"/>
          <w14:textFill>
            <w14:solidFill>
              <w14:schemeClr w14:val="tx1"/>
            </w14:solidFill>
          </w14:textFill>
        </w:rPr>
        <w:t xml:space="preserve">内予以退还，其期限不超过响应有效期满后30天。 </w:t>
      </w:r>
    </w:p>
    <w:p w14:paraId="49428F20">
      <w:pPr>
        <w:spacing w:line="360" w:lineRule="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19.</w:t>
      </w:r>
      <w:r>
        <w:rPr>
          <w:rFonts w:hint="eastAsia"/>
          <w:color w:val="000000" w:themeColor="text1"/>
          <w:szCs w:val="21"/>
          <w:highlight w:val="none"/>
          <w14:textFill>
            <w14:solidFill>
              <w14:schemeClr w14:val="tx1"/>
            </w14:solidFill>
          </w14:textFill>
        </w:rPr>
        <w:t>5</w:t>
      </w:r>
      <w:r>
        <w:rPr>
          <w:color w:val="000000" w:themeColor="text1"/>
          <w:szCs w:val="21"/>
          <w:highlight w:val="none"/>
          <w14:textFill>
            <w14:solidFill>
              <w14:schemeClr w14:val="tx1"/>
            </w14:solidFill>
          </w14:textFill>
        </w:rPr>
        <w:t>成交单位的响应保证金，在与发包人签订合同协议书</w:t>
      </w:r>
      <w:r>
        <w:rPr>
          <w:rFonts w:hint="eastAsia"/>
          <w:color w:val="000000" w:themeColor="text1"/>
          <w:szCs w:val="21"/>
          <w:highlight w:val="none"/>
          <w14:textFill>
            <w14:solidFill>
              <w14:schemeClr w14:val="tx1"/>
            </w14:solidFill>
          </w14:textFill>
        </w:rPr>
        <w:t>后直接转为履约保证金</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采用银行保函时，须在签订合同协议书前办理完成。</w:t>
      </w:r>
    </w:p>
    <w:p w14:paraId="1979ABE0">
      <w:pPr>
        <w:spacing w:line="360" w:lineRule="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19.</w:t>
      </w:r>
      <w:r>
        <w:rPr>
          <w:rFonts w:hint="eastAsia"/>
          <w:color w:val="000000" w:themeColor="text1"/>
          <w:szCs w:val="21"/>
          <w:highlight w:val="none"/>
          <w14:textFill>
            <w14:solidFill>
              <w14:schemeClr w14:val="tx1"/>
            </w14:solidFill>
          </w14:textFill>
        </w:rPr>
        <w:t>6</w:t>
      </w:r>
      <w:r>
        <w:rPr>
          <w:color w:val="000000" w:themeColor="text1"/>
          <w:szCs w:val="21"/>
          <w:highlight w:val="none"/>
          <w14:textFill>
            <w14:solidFill>
              <w14:schemeClr w14:val="tx1"/>
            </w14:solidFill>
          </w14:textFill>
        </w:rPr>
        <w:t>响应单位有如下情况之一，将被没收其响应担保</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 xml:space="preserve"> </w:t>
      </w:r>
    </w:p>
    <w:p w14:paraId="6BC35D68">
      <w:pPr>
        <w:spacing w:line="360" w:lineRule="auto"/>
        <w:rPr>
          <w:rStyle w:val="34"/>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19.</w:t>
      </w:r>
      <w:r>
        <w:rPr>
          <w:rFonts w:hint="eastAsia"/>
          <w:color w:val="000000" w:themeColor="text1"/>
          <w:highlight w:val="none"/>
          <w14:textFill>
            <w14:solidFill>
              <w14:schemeClr w14:val="tx1"/>
            </w14:solidFill>
          </w14:textFill>
        </w:rPr>
        <w:t>6</w:t>
      </w:r>
      <w:r>
        <w:rPr>
          <w:color w:val="000000" w:themeColor="text1"/>
          <w:highlight w:val="none"/>
          <w14:textFill>
            <w14:solidFill>
              <w14:schemeClr w14:val="tx1"/>
            </w14:solidFill>
          </w14:textFill>
        </w:rPr>
        <w:t>.1在响应有效期内撤回响应文件；</w:t>
      </w:r>
    </w:p>
    <w:p w14:paraId="40E33EFD">
      <w:pPr>
        <w:spacing w:line="360" w:lineRule="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19.</w:t>
      </w:r>
      <w:r>
        <w:rPr>
          <w:rFonts w:hint="eastAsia"/>
          <w:color w:val="000000" w:themeColor="text1"/>
          <w:szCs w:val="21"/>
          <w:highlight w:val="none"/>
          <w14:textFill>
            <w14:solidFill>
              <w14:schemeClr w14:val="tx1"/>
            </w14:solidFill>
          </w14:textFill>
        </w:rPr>
        <w:t>6</w:t>
      </w:r>
      <w:r>
        <w:rPr>
          <w:color w:val="000000" w:themeColor="text1"/>
          <w:szCs w:val="21"/>
          <w:highlight w:val="none"/>
          <w14:textFill>
            <w14:solidFill>
              <w14:schemeClr w14:val="tx1"/>
            </w14:solidFill>
          </w14:textFill>
        </w:rPr>
        <w:t>.2成交单位未能按《响应单位须知前附表》第</w:t>
      </w:r>
      <w:r>
        <w:rPr>
          <w:rFonts w:hint="eastAsia"/>
          <w:color w:val="000000" w:themeColor="text1"/>
          <w:szCs w:val="21"/>
          <w:highlight w:val="none"/>
          <w14:textFill>
            <w14:solidFill>
              <w14:schemeClr w14:val="tx1"/>
            </w14:solidFill>
          </w14:textFill>
        </w:rPr>
        <w:t>17项</w:t>
      </w:r>
      <w:r>
        <w:rPr>
          <w:color w:val="000000" w:themeColor="text1"/>
          <w:szCs w:val="21"/>
          <w:highlight w:val="none"/>
          <w14:textFill>
            <w14:solidFill>
              <w14:schemeClr w14:val="tx1"/>
            </w14:solidFill>
          </w14:textFill>
        </w:rPr>
        <w:t>的规定签订合同协议书。</w:t>
      </w:r>
    </w:p>
    <w:p w14:paraId="68F45270">
      <w:pPr>
        <w:pStyle w:val="53"/>
        <w:numPr>
          <w:ilvl w:val="0"/>
          <w:numId w:val="2"/>
        </w:numPr>
        <w:spacing w:before="120"/>
        <w:jc w:val="center"/>
        <w:rPr>
          <w:rStyle w:val="46"/>
          <w:rFonts w:hint="eastAsia" w:ascii="Times New Roman" w:hAnsi="宋体" w:eastAsia="宋体"/>
          <w:b/>
          <w:bCs w:val="0"/>
          <w:color w:val="000000" w:themeColor="text1"/>
          <w:sz w:val="28"/>
          <w:szCs w:val="28"/>
          <w:highlight w:val="none"/>
          <w14:textFill>
            <w14:solidFill>
              <w14:schemeClr w14:val="tx1"/>
            </w14:solidFill>
          </w14:textFill>
        </w:rPr>
      </w:pPr>
      <w:bookmarkStart w:id="323" w:name="_Toc53936533"/>
      <w:bookmarkStart w:id="324" w:name="_Toc54281234"/>
      <w:bookmarkStart w:id="325" w:name="_Toc284135591"/>
      <w:bookmarkStart w:id="326" w:name="_Toc54280808"/>
      <w:bookmarkStart w:id="327" w:name="_Toc53949195"/>
      <w:bookmarkStart w:id="328" w:name="_Toc53948353"/>
      <w:bookmarkStart w:id="329" w:name="_Toc53945798"/>
      <w:bookmarkStart w:id="330" w:name="_Toc145499753"/>
      <w:bookmarkStart w:id="331" w:name="_Toc54280382"/>
      <w:bookmarkStart w:id="332" w:name="_Toc54279956"/>
      <w:bookmarkStart w:id="333" w:name="_Toc53948774"/>
      <w:bookmarkStart w:id="334" w:name="_Toc53939597"/>
      <w:bookmarkStart w:id="335" w:name="_Toc53918824"/>
      <w:r>
        <w:rPr>
          <w:rStyle w:val="46"/>
          <w:rFonts w:ascii="Times New Roman" w:hAnsi="Times New Roman" w:eastAsia="宋体"/>
          <w:b/>
          <w:bCs w:val="0"/>
          <w:color w:val="000000" w:themeColor="text1"/>
          <w:sz w:val="28"/>
          <w:szCs w:val="28"/>
          <w:highlight w:val="none"/>
          <w14:textFill>
            <w14:solidFill>
              <w14:schemeClr w14:val="tx1"/>
            </w14:solidFill>
          </w14:textFill>
        </w:rPr>
        <w:t xml:space="preserve"> </w:t>
      </w:r>
      <w:r>
        <w:rPr>
          <w:rStyle w:val="46"/>
          <w:rFonts w:ascii="Times New Roman" w:hAnsi="宋体" w:eastAsia="宋体"/>
          <w:b/>
          <w:bCs w:val="0"/>
          <w:color w:val="000000" w:themeColor="text1"/>
          <w:sz w:val="28"/>
          <w:szCs w:val="28"/>
          <w:highlight w:val="none"/>
          <w14:textFill>
            <w14:solidFill>
              <w14:schemeClr w14:val="tx1"/>
            </w14:solidFill>
          </w14:textFill>
        </w:rPr>
        <w:t>响应文件的递交</w:t>
      </w:r>
      <w:bookmarkEnd w:id="323"/>
      <w:bookmarkEnd w:id="324"/>
      <w:bookmarkEnd w:id="325"/>
      <w:bookmarkEnd w:id="326"/>
      <w:bookmarkEnd w:id="327"/>
      <w:bookmarkEnd w:id="328"/>
      <w:bookmarkEnd w:id="329"/>
      <w:bookmarkEnd w:id="330"/>
      <w:bookmarkEnd w:id="331"/>
      <w:bookmarkEnd w:id="332"/>
      <w:bookmarkEnd w:id="333"/>
      <w:bookmarkEnd w:id="334"/>
      <w:bookmarkEnd w:id="335"/>
    </w:p>
    <w:p w14:paraId="563D2FF1">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336" w:name="_Toc53939598"/>
      <w:bookmarkStart w:id="337" w:name="_Toc53918825"/>
      <w:bookmarkStart w:id="338" w:name="_Toc54280809"/>
      <w:bookmarkStart w:id="339" w:name="_Toc53948775"/>
      <w:bookmarkStart w:id="340" w:name="_Toc53945799"/>
      <w:bookmarkStart w:id="341" w:name="_Toc145499754"/>
      <w:bookmarkStart w:id="342" w:name="_Toc53949196"/>
      <w:bookmarkStart w:id="343" w:name="_Toc54280383"/>
      <w:bookmarkStart w:id="344" w:name="_Toc53936534"/>
      <w:bookmarkStart w:id="345" w:name="_Toc54281235"/>
      <w:bookmarkStart w:id="346" w:name="_Toc53948354"/>
      <w:bookmarkStart w:id="347" w:name="_Toc54279957"/>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20.响应文件的密封与标记</w:t>
      </w:r>
      <w:bookmarkEnd w:id="336"/>
      <w:bookmarkEnd w:id="337"/>
      <w:bookmarkEnd w:id="338"/>
      <w:bookmarkEnd w:id="339"/>
      <w:bookmarkEnd w:id="340"/>
      <w:bookmarkEnd w:id="341"/>
      <w:bookmarkEnd w:id="342"/>
      <w:bookmarkEnd w:id="343"/>
      <w:bookmarkEnd w:id="344"/>
      <w:bookmarkEnd w:id="345"/>
      <w:bookmarkEnd w:id="346"/>
      <w:bookmarkEnd w:id="347"/>
    </w:p>
    <w:p w14:paraId="046503E0">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20.1响应文件均须左侧装订，装订须牢固不易拆散或换页，不得采用活页方式装订。</w:t>
      </w:r>
    </w:p>
    <w:p w14:paraId="325268E4">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20.2响应文件</w:t>
      </w:r>
      <w:r>
        <w:rPr>
          <w:rFonts w:hint="eastAsia"/>
          <w:color w:val="000000" w:themeColor="text1"/>
          <w:szCs w:val="21"/>
          <w:highlight w:val="none"/>
          <w14:textFill>
            <w14:solidFill>
              <w14:schemeClr w14:val="tx1"/>
            </w14:solidFill>
          </w14:textFill>
        </w:rPr>
        <w:t>应用密封袋（箱）进行包装，袋（箱）开口处应用密封条进行密封并在骑缝处加盖响应单位公章，密封条由响应单位自行制作。</w:t>
      </w:r>
      <w:r>
        <w:rPr>
          <w:color w:val="000000" w:themeColor="text1"/>
          <w:szCs w:val="21"/>
          <w:highlight w:val="none"/>
          <w14:textFill>
            <w14:solidFill>
              <w14:schemeClr w14:val="tx1"/>
            </w14:solidFill>
          </w14:textFill>
        </w:rPr>
        <w:t>未密封或密封不符合采购文件规定的响应文件将不予以签收。</w:t>
      </w:r>
    </w:p>
    <w:p w14:paraId="1E8EB55E">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20.3响应文件</w:t>
      </w:r>
      <w:r>
        <w:rPr>
          <w:rFonts w:hint="eastAsia"/>
          <w:color w:val="000000" w:themeColor="text1"/>
          <w:szCs w:val="21"/>
          <w:highlight w:val="none"/>
          <w14:textFill>
            <w14:solidFill>
              <w14:schemeClr w14:val="tx1"/>
            </w14:solidFill>
          </w14:textFill>
        </w:rPr>
        <w:t>正副本</w:t>
      </w:r>
      <w:r>
        <w:rPr>
          <w:color w:val="000000" w:themeColor="text1"/>
          <w:szCs w:val="21"/>
          <w:highlight w:val="none"/>
          <w14:textFill>
            <w14:solidFill>
              <w14:schemeClr w14:val="tx1"/>
            </w14:solidFill>
          </w14:textFill>
        </w:rPr>
        <w:t>和</w:t>
      </w:r>
      <w:r>
        <w:rPr>
          <w:rFonts w:hint="eastAsia"/>
          <w:color w:val="000000" w:themeColor="text1"/>
          <w:szCs w:val="21"/>
          <w:highlight w:val="none"/>
          <w14:textFill>
            <w14:solidFill>
              <w14:schemeClr w14:val="tx1"/>
            </w14:solidFill>
          </w14:textFill>
        </w:rPr>
        <w:t>U盘（</w:t>
      </w:r>
      <w:r>
        <w:rPr>
          <w:color w:val="000000" w:themeColor="text1"/>
          <w:szCs w:val="21"/>
          <w:highlight w:val="none"/>
          <w14:textFill>
            <w14:solidFill>
              <w14:schemeClr w14:val="tx1"/>
            </w14:solidFill>
          </w14:textFill>
        </w:rPr>
        <w:t>光盘</w:t>
      </w:r>
      <w:r>
        <w:rPr>
          <w:rFonts w:hint="eastAsia"/>
          <w:color w:val="000000" w:themeColor="text1"/>
          <w:szCs w:val="21"/>
          <w:highlight w:val="none"/>
          <w14:textFill>
            <w14:solidFill>
              <w14:schemeClr w14:val="tx1"/>
            </w14:solidFill>
          </w14:textFill>
        </w:rPr>
        <w:t>）可</w:t>
      </w:r>
      <w:r>
        <w:rPr>
          <w:color w:val="000000" w:themeColor="text1"/>
          <w:szCs w:val="21"/>
          <w:highlight w:val="none"/>
          <w14:textFill>
            <w14:solidFill>
              <w14:schemeClr w14:val="tx1"/>
            </w14:solidFill>
          </w14:textFill>
        </w:rPr>
        <w:t>一起</w:t>
      </w:r>
      <w:r>
        <w:rPr>
          <w:rFonts w:hint="eastAsia"/>
          <w:color w:val="000000" w:themeColor="text1"/>
          <w:szCs w:val="21"/>
          <w:highlight w:val="none"/>
          <w14:textFill>
            <w14:solidFill>
              <w14:schemeClr w14:val="tx1"/>
            </w14:solidFill>
          </w14:textFill>
        </w:rPr>
        <w:t>包装密封</w:t>
      </w:r>
      <w:r>
        <w:rPr>
          <w:color w:val="000000" w:themeColor="text1"/>
          <w:szCs w:val="21"/>
          <w:highlight w:val="none"/>
          <w14:textFill>
            <w14:solidFill>
              <w14:schemeClr w14:val="tx1"/>
            </w14:solidFill>
          </w14:textFill>
        </w:rPr>
        <w:t>。</w:t>
      </w:r>
    </w:p>
    <w:p w14:paraId="63D09603">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348" w:name="_Toc53945800"/>
      <w:bookmarkStart w:id="349" w:name="_Toc54281236"/>
      <w:bookmarkStart w:id="350" w:name="_Toc53949197"/>
      <w:bookmarkStart w:id="351" w:name="_Toc53918826"/>
      <w:bookmarkStart w:id="352" w:name="_Toc145499755"/>
      <w:bookmarkStart w:id="353" w:name="_Toc54280810"/>
      <w:bookmarkStart w:id="354" w:name="_Toc53939599"/>
      <w:bookmarkStart w:id="355" w:name="_Toc54279958"/>
      <w:bookmarkStart w:id="356" w:name="_Toc53948355"/>
      <w:bookmarkStart w:id="357" w:name="_Toc53948776"/>
      <w:bookmarkStart w:id="358" w:name="_Toc54280384"/>
      <w:bookmarkStart w:id="359" w:name="_Toc53936535"/>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2</w:t>
      </w:r>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1</w:t>
      </w:r>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.响应截止时间</w:t>
      </w:r>
      <w:bookmarkEnd w:id="348"/>
      <w:bookmarkEnd w:id="349"/>
      <w:bookmarkEnd w:id="350"/>
      <w:bookmarkEnd w:id="351"/>
      <w:bookmarkEnd w:id="352"/>
      <w:bookmarkEnd w:id="353"/>
      <w:bookmarkEnd w:id="354"/>
      <w:bookmarkEnd w:id="355"/>
      <w:bookmarkEnd w:id="356"/>
      <w:bookmarkEnd w:id="357"/>
      <w:bookmarkEnd w:id="358"/>
      <w:bookmarkEnd w:id="359"/>
    </w:p>
    <w:p w14:paraId="5417DA23">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w:t>
      </w:r>
      <w:r>
        <w:rPr>
          <w:rFonts w:hint="eastAsia"/>
          <w:color w:val="000000" w:themeColor="text1"/>
          <w:szCs w:val="21"/>
          <w:highlight w:val="none"/>
          <w14:textFill>
            <w14:solidFill>
              <w14:schemeClr w14:val="tx1"/>
            </w14:solidFill>
          </w14:textFill>
        </w:rPr>
        <w:t>1</w:t>
      </w:r>
      <w:r>
        <w:rPr>
          <w:color w:val="000000" w:themeColor="text1"/>
          <w:szCs w:val="21"/>
          <w:highlight w:val="none"/>
          <w14:textFill>
            <w14:solidFill>
              <w14:schemeClr w14:val="tx1"/>
            </w14:solidFill>
          </w14:textFill>
        </w:rPr>
        <w:t>.1响应单位应按《响应单位须知前附表》第1</w:t>
      </w:r>
      <w:r>
        <w:rPr>
          <w:rFonts w:hint="eastAsia"/>
          <w:color w:val="000000" w:themeColor="text1"/>
          <w:szCs w:val="21"/>
          <w:highlight w:val="none"/>
          <w14:textFill>
            <w14:solidFill>
              <w14:schemeClr w14:val="tx1"/>
            </w14:solidFill>
          </w14:textFill>
        </w:rPr>
        <w:t>4</w:t>
      </w:r>
      <w:r>
        <w:rPr>
          <w:color w:val="000000" w:themeColor="text1"/>
          <w:szCs w:val="21"/>
          <w:highlight w:val="none"/>
          <w14:textFill>
            <w14:solidFill>
              <w14:schemeClr w14:val="tx1"/>
            </w14:solidFill>
          </w14:textFill>
        </w:rPr>
        <w:t>项说明的时间和地址，或根据</w:t>
      </w:r>
      <w:r>
        <w:rPr>
          <w:rFonts w:hint="eastAsia"/>
          <w:color w:val="000000" w:themeColor="text1"/>
          <w:szCs w:val="21"/>
          <w:highlight w:val="none"/>
          <w14:textFill>
            <w14:solidFill>
              <w14:schemeClr w14:val="tx1"/>
            </w14:solidFill>
          </w14:textFill>
        </w:rPr>
        <w:t>本第</w:t>
      </w:r>
      <w:r>
        <w:rPr>
          <w:color w:val="000000" w:themeColor="text1"/>
          <w:szCs w:val="21"/>
          <w:highlight w:val="none"/>
          <w14:textFill>
            <w14:solidFill>
              <w14:schemeClr w14:val="tx1"/>
            </w14:solidFill>
          </w14:textFill>
        </w:rPr>
        <w:t>1</w:t>
      </w:r>
      <w:r>
        <w:rPr>
          <w:rFonts w:hint="eastAsia"/>
          <w:color w:val="000000" w:themeColor="text1"/>
          <w:szCs w:val="21"/>
          <w:highlight w:val="none"/>
          <w14:textFill>
            <w14:solidFill>
              <w14:schemeClr w14:val="tx1"/>
            </w14:solidFill>
          </w14:textFill>
        </w:rPr>
        <w:t>9</w:t>
      </w:r>
      <w:r>
        <w:rPr>
          <w:color w:val="000000" w:themeColor="text1"/>
          <w:szCs w:val="21"/>
          <w:highlight w:val="none"/>
          <w14:textFill>
            <w14:solidFill>
              <w14:schemeClr w14:val="tx1"/>
            </w14:solidFill>
          </w14:textFill>
        </w:rPr>
        <w:t>条规定所推迟的截止时间递交响应文件。</w:t>
      </w:r>
    </w:p>
    <w:p w14:paraId="321863E1">
      <w:pPr>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21.2</w:t>
      </w:r>
      <w:r>
        <w:rPr>
          <w:color w:val="000000" w:themeColor="text1"/>
          <w:highlight w:val="none"/>
          <w14:textFill>
            <w14:solidFill>
              <w14:schemeClr w14:val="tx1"/>
            </w14:solidFill>
          </w14:textFill>
        </w:rPr>
        <w:t>采购人在本《响应单位须知前附表》第</w:t>
      </w:r>
      <w:r>
        <w:rPr>
          <w:rFonts w:hint="eastAsia"/>
          <w:color w:val="000000" w:themeColor="text1"/>
          <w:highlight w:val="none"/>
          <w14:textFill>
            <w14:solidFill>
              <w14:schemeClr w14:val="tx1"/>
            </w14:solidFill>
          </w14:textFill>
        </w:rPr>
        <w:t>14项</w:t>
      </w:r>
      <w:r>
        <w:rPr>
          <w:color w:val="000000" w:themeColor="text1"/>
          <w:highlight w:val="none"/>
          <w14:textFill>
            <w14:solidFill>
              <w14:schemeClr w14:val="tx1"/>
            </w14:solidFill>
          </w14:textFill>
        </w:rPr>
        <w:t>规定的响应截止时间</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或根据</w:t>
      </w:r>
      <w:r>
        <w:rPr>
          <w:rFonts w:hint="eastAsia"/>
          <w:color w:val="000000" w:themeColor="text1"/>
          <w:highlight w:val="none"/>
          <w14:textFill>
            <w14:solidFill>
              <w14:schemeClr w14:val="tx1"/>
            </w14:solidFill>
          </w14:textFill>
        </w:rPr>
        <w:t>本第19</w:t>
      </w:r>
      <w:r>
        <w:rPr>
          <w:color w:val="000000" w:themeColor="text1"/>
          <w:highlight w:val="none"/>
          <w14:textFill>
            <w14:solidFill>
              <w14:schemeClr w14:val="tx1"/>
            </w14:solidFill>
          </w14:textFill>
        </w:rPr>
        <w:t>条规定所推迟的截止时间以后收到的任何响应文件，将予以拒收并原封退还响应单位。</w:t>
      </w:r>
    </w:p>
    <w:p w14:paraId="6CBC8F8B">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360" w:name="_Toc54280386"/>
      <w:bookmarkStart w:id="361" w:name="_Toc53936537"/>
      <w:bookmarkStart w:id="362" w:name="_Toc54280812"/>
      <w:bookmarkStart w:id="363" w:name="_Toc53948778"/>
      <w:bookmarkStart w:id="364" w:name="_Toc54279960"/>
      <w:bookmarkStart w:id="365" w:name="_Toc53918828"/>
      <w:bookmarkStart w:id="366" w:name="_Toc54281238"/>
      <w:bookmarkStart w:id="367" w:name="_Toc53945802"/>
      <w:bookmarkStart w:id="368" w:name="_Toc53949199"/>
      <w:bookmarkStart w:id="369" w:name="_Toc53948357"/>
      <w:bookmarkStart w:id="370" w:name="_Toc53939601"/>
      <w:bookmarkStart w:id="371" w:name="_Toc145499757"/>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22.响应文件的更改与撤回</w:t>
      </w:r>
      <w:bookmarkEnd w:id="360"/>
      <w:bookmarkEnd w:id="361"/>
      <w:bookmarkEnd w:id="362"/>
      <w:bookmarkEnd w:id="363"/>
      <w:bookmarkEnd w:id="364"/>
      <w:bookmarkEnd w:id="365"/>
      <w:bookmarkEnd w:id="366"/>
      <w:bookmarkEnd w:id="367"/>
      <w:bookmarkEnd w:id="368"/>
      <w:bookmarkEnd w:id="369"/>
      <w:bookmarkEnd w:id="370"/>
      <w:bookmarkEnd w:id="371"/>
    </w:p>
    <w:p w14:paraId="18DBBB6A">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22.1在响应文件递交截止时间之前，响应单位可以对已递交的响应文件进行修改或撤回。</w:t>
      </w:r>
      <w:r>
        <w:rPr>
          <w:rFonts w:hint="eastAsia"/>
          <w:color w:val="000000" w:themeColor="text1"/>
          <w:szCs w:val="21"/>
          <w:highlight w:val="none"/>
          <w14:textFill>
            <w14:solidFill>
              <w14:schemeClr w14:val="tx1"/>
            </w14:solidFill>
          </w14:textFill>
        </w:rPr>
        <w:t>线上完成递交文件的，不允许更改或撤回</w:t>
      </w:r>
      <w:r>
        <w:rPr>
          <w:color w:val="000000" w:themeColor="text1"/>
          <w:szCs w:val="21"/>
          <w:highlight w:val="none"/>
          <w14:textFill>
            <w14:solidFill>
              <w14:schemeClr w14:val="tx1"/>
            </w14:solidFill>
          </w14:textFill>
        </w:rPr>
        <w:t>。</w:t>
      </w:r>
    </w:p>
    <w:p w14:paraId="40B184FC">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22.2在响应文件递交截止时间后，响应单位不得要求更改或撤回其响应文件。响应单位若撤回响应文件，其响应担保将不予以退还。</w:t>
      </w:r>
    </w:p>
    <w:p w14:paraId="75478937">
      <w:pPr>
        <w:pStyle w:val="3"/>
        <w:spacing w:before="240" w:beforeLines="100" w:after="120" w:afterLines="50" w:line="360" w:lineRule="auto"/>
        <w:jc w:val="center"/>
        <w:rPr>
          <w:rStyle w:val="46"/>
          <w:rFonts w:ascii="Times New Roman" w:hAnsi="Times New Roman" w:eastAsia="宋体"/>
          <w:b/>
          <w:bCs w:val="0"/>
          <w:color w:val="000000" w:themeColor="text1"/>
          <w:sz w:val="28"/>
          <w:szCs w:val="28"/>
          <w:highlight w:val="none"/>
          <w14:textFill>
            <w14:solidFill>
              <w14:schemeClr w14:val="tx1"/>
            </w14:solidFill>
          </w14:textFill>
        </w:rPr>
      </w:pPr>
      <w:bookmarkStart w:id="372" w:name="_Toc53945803"/>
      <w:bookmarkStart w:id="373" w:name="_Toc54280813"/>
      <w:bookmarkStart w:id="374" w:name="_Toc54281239"/>
      <w:bookmarkStart w:id="375" w:name="_Toc53939602"/>
      <w:bookmarkStart w:id="376" w:name="_Toc54279961"/>
      <w:bookmarkStart w:id="377" w:name="_Toc53918829"/>
      <w:bookmarkStart w:id="378" w:name="_Toc53949200"/>
      <w:bookmarkStart w:id="379" w:name="_Toc54280387"/>
      <w:bookmarkStart w:id="380" w:name="_Toc53936538"/>
      <w:bookmarkStart w:id="381" w:name="_Toc53948358"/>
      <w:bookmarkStart w:id="382" w:name="_Toc53948779"/>
      <w:bookmarkStart w:id="383" w:name="_Toc284135592"/>
      <w:bookmarkStart w:id="384" w:name="_Toc145499758"/>
      <w:r>
        <w:rPr>
          <w:rStyle w:val="46"/>
          <w:rFonts w:ascii="Times New Roman" w:hAnsi="宋体" w:eastAsia="宋体"/>
          <w:b/>
          <w:bCs w:val="0"/>
          <w:color w:val="000000" w:themeColor="text1"/>
          <w:sz w:val="28"/>
          <w:szCs w:val="28"/>
          <w:highlight w:val="none"/>
          <w14:textFill>
            <w14:solidFill>
              <w14:schemeClr w14:val="tx1"/>
            </w14:solidFill>
          </w14:textFill>
        </w:rPr>
        <w:t>第五章</w:t>
      </w:r>
      <w:r>
        <w:rPr>
          <w:rStyle w:val="46"/>
          <w:rFonts w:ascii="Times New Roman" w:hAnsi="Times New Roman" w:eastAsia="宋体"/>
          <w:b/>
          <w:bCs w:val="0"/>
          <w:color w:val="000000" w:themeColor="text1"/>
          <w:sz w:val="28"/>
          <w:szCs w:val="28"/>
          <w:highlight w:val="none"/>
          <w14:textFill>
            <w14:solidFill>
              <w14:schemeClr w14:val="tx1"/>
            </w14:solidFill>
          </w14:textFill>
        </w:rPr>
        <w:t xml:space="preserve">  </w:t>
      </w:r>
      <w:r>
        <w:rPr>
          <w:rStyle w:val="46"/>
          <w:rFonts w:ascii="Times New Roman" w:hAnsi="宋体" w:eastAsia="宋体"/>
          <w:b/>
          <w:bCs w:val="0"/>
          <w:color w:val="000000" w:themeColor="text1"/>
          <w:sz w:val="28"/>
          <w:szCs w:val="28"/>
          <w:highlight w:val="none"/>
          <w14:textFill>
            <w14:solidFill>
              <w14:schemeClr w14:val="tx1"/>
            </w14:solidFill>
          </w14:textFill>
        </w:rPr>
        <w:t>响应文件开启与</w:t>
      </w:r>
      <w:bookmarkEnd w:id="372"/>
      <w:bookmarkEnd w:id="373"/>
      <w:bookmarkEnd w:id="374"/>
      <w:bookmarkEnd w:id="375"/>
      <w:bookmarkEnd w:id="376"/>
      <w:bookmarkEnd w:id="377"/>
      <w:bookmarkEnd w:id="378"/>
      <w:bookmarkEnd w:id="379"/>
      <w:bookmarkEnd w:id="380"/>
      <w:bookmarkEnd w:id="381"/>
      <w:bookmarkEnd w:id="382"/>
      <w:bookmarkEnd w:id="383"/>
      <w:bookmarkEnd w:id="384"/>
      <w:r>
        <w:rPr>
          <w:rStyle w:val="46"/>
          <w:rFonts w:hint="eastAsia" w:ascii="Times New Roman" w:hAnsi="宋体" w:eastAsia="宋体"/>
          <w:b/>
          <w:bCs w:val="0"/>
          <w:color w:val="000000" w:themeColor="text1"/>
          <w:sz w:val="28"/>
          <w:szCs w:val="28"/>
          <w:highlight w:val="none"/>
          <w14:textFill>
            <w14:solidFill>
              <w14:schemeClr w14:val="tx1"/>
            </w14:solidFill>
          </w14:textFill>
        </w:rPr>
        <w:t>评审</w:t>
      </w:r>
    </w:p>
    <w:p w14:paraId="546802BB">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385" w:name="_Toc54281240"/>
      <w:bookmarkStart w:id="386" w:name="_Toc53948359"/>
      <w:bookmarkStart w:id="387" w:name="_Toc53949201"/>
      <w:bookmarkStart w:id="388" w:name="_Toc53939603"/>
      <w:bookmarkStart w:id="389" w:name="_Toc54279962"/>
      <w:bookmarkStart w:id="390" w:name="_Toc54280814"/>
      <w:bookmarkStart w:id="391" w:name="_Toc53936539"/>
      <w:bookmarkStart w:id="392" w:name="_Toc145499759"/>
      <w:bookmarkStart w:id="393" w:name="_Toc54280388"/>
      <w:bookmarkStart w:id="394" w:name="_Toc53945804"/>
      <w:bookmarkStart w:id="395" w:name="_Toc53948780"/>
      <w:bookmarkStart w:id="396" w:name="_Toc53918830"/>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23.开启响应文件</w:t>
      </w:r>
      <w:bookmarkEnd w:id="385"/>
      <w:bookmarkEnd w:id="386"/>
      <w:bookmarkEnd w:id="387"/>
      <w:bookmarkEnd w:id="388"/>
      <w:bookmarkEnd w:id="389"/>
      <w:bookmarkEnd w:id="390"/>
      <w:bookmarkEnd w:id="391"/>
      <w:bookmarkEnd w:id="392"/>
      <w:bookmarkEnd w:id="393"/>
      <w:bookmarkEnd w:id="394"/>
      <w:bookmarkEnd w:id="395"/>
      <w:bookmarkEnd w:id="396"/>
    </w:p>
    <w:p w14:paraId="353DB499">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23.1采购人将按《响应单位须知前附表》第1</w:t>
      </w:r>
      <w:r>
        <w:rPr>
          <w:rFonts w:hint="eastAsia"/>
          <w:color w:val="000000" w:themeColor="text1"/>
          <w:szCs w:val="21"/>
          <w:highlight w:val="none"/>
          <w14:textFill>
            <w14:solidFill>
              <w14:schemeClr w14:val="tx1"/>
            </w14:solidFill>
          </w14:textFill>
        </w:rPr>
        <w:t>5</w:t>
      </w:r>
      <w:r>
        <w:rPr>
          <w:color w:val="000000" w:themeColor="text1"/>
          <w:szCs w:val="21"/>
          <w:highlight w:val="none"/>
          <w14:textFill>
            <w14:solidFill>
              <w14:schemeClr w14:val="tx1"/>
            </w14:solidFill>
          </w14:textFill>
        </w:rPr>
        <w:t>项规定的时间和</w:t>
      </w:r>
      <w:r>
        <w:rPr>
          <w:rFonts w:hint="eastAsia"/>
          <w:color w:val="000000" w:themeColor="text1"/>
          <w:szCs w:val="21"/>
          <w:highlight w:val="none"/>
          <w14:textFill>
            <w14:solidFill>
              <w14:schemeClr w14:val="tx1"/>
            </w14:solidFill>
          </w14:textFill>
        </w:rPr>
        <w:t>方式</w:t>
      </w:r>
      <w:r>
        <w:rPr>
          <w:color w:val="000000" w:themeColor="text1"/>
          <w:szCs w:val="21"/>
          <w:highlight w:val="none"/>
          <w14:textFill>
            <w14:solidFill>
              <w14:schemeClr w14:val="tx1"/>
            </w14:solidFill>
          </w14:textFill>
        </w:rPr>
        <w:t>，对所有按时递交并已签收的响应文件进行开启响应文件。响应文件有下列情形之一的，采购人不予受理：</w:t>
      </w:r>
    </w:p>
    <w:p w14:paraId="1B46244E">
      <w:pPr>
        <w:spacing w:line="360" w:lineRule="auto"/>
        <w:ind w:left="1044" w:leftChars="247" w:hanging="525" w:hangingChars="250"/>
        <w:rPr>
          <w:color w:val="000000" w:themeColor="text1"/>
          <w:szCs w:val="21"/>
          <w:highlight w:val="none"/>
          <w:u w:val="single"/>
          <w14:textFill>
            <w14:solidFill>
              <w14:schemeClr w14:val="tx1"/>
            </w14:solidFill>
          </w14:textFill>
        </w:rPr>
      </w:pPr>
      <w:r>
        <w:rPr>
          <w:color w:val="000000" w:themeColor="text1"/>
          <w:szCs w:val="21"/>
          <w:highlight w:val="none"/>
          <w:u w:val="single"/>
          <w14:textFill>
            <w14:solidFill>
              <w14:schemeClr w14:val="tx1"/>
            </w14:solidFill>
          </w14:textFill>
        </w:rPr>
        <w:t>23.1.1</w:t>
      </w:r>
      <w:r>
        <w:rPr>
          <w:rFonts w:hAnsi="宋体"/>
          <w:color w:val="000000" w:themeColor="text1"/>
          <w:szCs w:val="21"/>
          <w:highlight w:val="none"/>
          <w:u w:val="single"/>
          <w14:textFill>
            <w14:solidFill>
              <w14:schemeClr w14:val="tx1"/>
            </w14:solidFill>
          </w14:textFill>
        </w:rPr>
        <w:t>逾期</w:t>
      </w:r>
      <w:r>
        <w:rPr>
          <w:rFonts w:hint="eastAsia" w:hAnsi="宋体"/>
          <w:color w:val="000000" w:themeColor="text1"/>
          <w:szCs w:val="21"/>
          <w:highlight w:val="none"/>
          <w:u w:val="single"/>
          <w14:textFill>
            <w14:solidFill>
              <w14:schemeClr w14:val="tx1"/>
            </w14:solidFill>
          </w14:textFill>
        </w:rPr>
        <w:t>未完成响应</w:t>
      </w:r>
      <w:r>
        <w:rPr>
          <w:rFonts w:hAnsi="宋体"/>
          <w:color w:val="000000" w:themeColor="text1"/>
          <w:szCs w:val="21"/>
          <w:highlight w:val="none"/>
          <w:u w:val="single"/>
          <w14:textFill>
            <w14:solidFill>
              <w14:schemeClr w14:val="tx1"/>
            </w14:solidFill>
          </w14:textFill>
        </w:rPr>
        <w:t>的或者未</w:t>
      </w:r>
      <w:r>
        <w:rPr>
          <w:rFonts w:hint="eastAsia" w:hAnsi="宋体"/>
          <w:color w:val="000000" w:themeColor="text1"/>
          <w:szCs w:val="21"/>
          <w:highlight w:val="none"/>
          <w:u w:val="single"/>
          <w14:textFill>
            <w14:solidFill>
              <w14:schemeClr w14:val="tx1"/>
            </w14:solidFill>
          </w14:textFill>
        </w:rPr>
        <w:t>按要求递交</w:t>
      </w:r>
      <w:r>
        <w:rPr>
          <w:rFonts w:hAnsi="宋体"/>
          <w:color w:val="000000" w:themeColor="text1"/>
          <w:szCs w:val="21"/>
          <w:highlight w:val="none"/>
          <w:u w:val="single"/>
          <w14:textFill>
            <w14:solidFill>
              <w14:schemeClr w14:val="tx1"/>
            </w14:solidFill>
          </w14:textFill>
        </w:rPr>
        <w:t>的；</w:t>
      </w:r>
    </w:p>
    <w:p w14:paraId="6CEB8C31">
      <w:pPr>
        <w:spacing w:line="360" w:lineRule="auto"/>
        <w:ind w:left="1044" w:leftChars="247" w:hanging="525" w:hangingChars="250"/>
        <w:rPr>
          <w:color w:val="000000" w:themeColor="text1"/>
          <w:szCs w:val="21"/>
          <w:highlight w:val="none"/>
          <w:u w:val="single"/>
          <w14:textFill>
            <w14:solidFill>
              <w14:schemeClr w14:val="tx1"/>
            </w14:solidFill>
          </w14:textFill>
        </w:rPr>
      </w:pPr>
      <w:r>
        <w:rPr>
          <w:color w:val="000000" w:themeColor="text1"/>
          <w:szCs w:val="21"/>
          <w:highlight w:val="none"/>
          <w:u w:val="single"/>
          <w14:textFill>
            <w14:solidFill>
              <w14:schemeClr w14:val="tx1"/>
            </w14:solidFill>
          </w14:textFill>
        </w:rPr>
        <w:t>23.1.2</w:t>
      </w:r>
      <w:r>
        <w:rPr>
          <w:rFonts w:hAnsi="宋体"/>
          <w:color w:val="000000" w:themeColor="text1"/>
          <w:szCs w:val="21"/>
          <w:highlight w:val="none"/>
          <w:u w:val="single"/>
          <w14:textFill>
            <w14:solidFill>
              <w14:schemeClr w14:val="tx1"/>
            </w14:solidFill>
          </w14:textFill>
        </w:rPr>
        <w:t>未按采购文件要求</w:t>
      </w:r>
      <w:r>
        <w:rPr>
          <w:rFonts w:hint="eastAsia" w:hAnsi="宋体"/>
          <w:color w:val="000000" w:themeColor="text1"/>
          <w:szCs w:val="21"/>
          <w:highlight w:val="none"/>
          <w:u w:val="single"/>
          <w14:textFill>
            <w14:solidFill>
              <w14:schemeClr w14:val="tx1"/>
            </w14:solidFill>
          </w14:textFill>
        </w:rPr>
        <w:t>编制</w:t>
      </w:r>
      <w:r>
        <w:rPr>
          <w:rFonts w:hAnsi="宋体"/>
          <w:color w:val="000000" w:themeColor="text1"/>
          <w:szCs w:val="21"/>
          <w:highlight w:val="none"/>
          <w:u w:val="single"/>
          <w14:textFill>
            <w14:solidFill>
              <w14:schemeClr w14:val="tx1"/>
            </w14:solidFill>
          </w14:textFill>
        </w:rPr>
        <w:t>的。</w:t>
      </w:r>
    </w:p>
    <w:p w14:paraId="236E150F">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23.2</w:t>
      </w:r>
      <w:r>
        <w:rPr>
          <w:rFonts w:hint="eastAsia"/>
          <w:color w:val="000000" w:themeColor="text1"/>
          <w:szCs w:val="21"/>
          <w:highlight w:val="none"/>
          <w14:textFill>
            <w14:solidFill>
              <w14:schemeClr w14:val="tx1"/>
            </w14:solidFill>
          </w14:textFill>
        </w:rPr>
        <w:t>开启响应文件形式为非公开式开启响应文件，</w:t>
      </w:r>
      <w:r>
        <w:rPr>
          <w:color w:val="000000" w:themeColor="text1"/>
          <w:szCs w:val="21"/>
          <w:highlight w:val="none"/>
          <w14:textFill>
            <w14:solidFill>
              <w14:schemeClr w14:val="tx1"/>
            </w14:solidFill>
          </w14:textFill>
        </w:rPr>
        <w:t>由采购人</w:t>
      </w:r>
      <w:r>
        <w:rPr>
          <w:rFonts w:hint="eastAsia"/>
          <w:color w:val="000000" w:themeColor="text1"/>
          <w:szCs w:val="21"/>
          <w:highlight w:val="none"/>
          <w14:textFill>
            <w14:solidFill>
              <w14:schemeClr w14:val="tx1"/>
            </w14:solidFill>
          </w14:textFill>
        </w:rPr>
        <w:t>自行主持并</w:t>
      </w:r>
      <w:r>
        <w:rPr>
          <w:color w:val="000000" w:themeColor="text1"/>
          <w:szCs w:val="21"/>
          <w:highlight w:val="none"/>
          <w14:textFill>
            <w14:solidFill>
              <w14:schemeClr w14:val="tx1"/>
            </w14:solidFill>
          </w14:textFill>
        </w:rPr>
        <w:t>邀请有关部门参加</w:t>
      </w:r>
      <w:r>
        <w:rPr>
          <w:rFonts w:hint="eastAsia"/>
          <w:color w:val="000000" w:themeColor="text1"/>
          <w:szCs w:val="21"/>
          <w:highlight w:val="none"/>
          <w14:textFill>
            <w14:solidFill>
              <w14:schemeClr w14:val="tx1"/>
            </w14:solidFill>
          </w14:textFill>
        </w:rPr>
        <w:t>，响应单位不参加开启响应文件会</w:t>
      </w:r>
      <w:r>
        <w:rPr>
          <w:color w:val="000000" w:themeColor="text1"/>
          <w:szCs w:val="21"/>
          <w:highlight w:val="none"/>
          <w14:textFill>
            <w14:solidFill>
              <w14:schemeClr w14:val="tx1"/>
            </w14:solidFill>
          </w14:textFill>
        </w:rPr>
        <w:t>。</w:t>
      </w:r>
    </w:p>
    <w:p w14:paraId="512AB199">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23.</w:t>
      </w:r>
      <w:r>
        <w:rPr>
          <w:rFonts w:hint="eastAsia"/>
          <w:color w:val="000000" w:themeColor="text1"/>
          <w:szCs w:val="21"/>
          <w:highlight w:val="none"/>
          <w14:textFill>
            <w14:solidFill>
              <w14:schemeClr w14:val="tx1"/>
            </w14:solidFill>
          </w14:textFill>
        </w:rPr>
        <w:t>3开启响应文件采取线上开启响应文件方式，采购人进行开启响应文件操作，并核查响应文件的签署、内容、格式等有关情况，以确定其完备性。</w:t>
      </w:r>
    </w:p>
    <w:p w14:paraId="6DEC098E">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23.</w:t>
      </w:r>
      <w:r>
        <w:rPr>
          <w:rFonts w:hint="eastAsia"/>
          <w:color w:val="000000" w:themeColor="text1"/>
          <w:szCs w:val="21"/>
          <w:highlight w:val="none"/>
          <w14:textFill>
            <w14:solidFill>
              <w14:schemeClr w14:val="tx1"/>
            </w14:solidFill>
          </w14:textFill>
        </w:rPr>
        <w:t>4</w:t>
      </w:r>
      <w:r>
        <w:rPr>
          <w:color w:val="000000" w:themeColor="text1"/>
          <w:szCs w:val="21"/>
          <w:highlight w:val="none"/>
          <w14:textFill>
            <w14:solidFill>
              <w14:schemeClr w14:val="tx1"/>
            </w14:solidFill>
          </w14:textFill>
        </w:rPr>
        <w:t>采购人应做好开启响应文件会议的记录并经</w:t>
      </w:r>
      <w:r>
        <w:rPr>
          <w:rFonts w:hint="eastAsia"/>
          <w:color w:val="000000" w:themeColor="text1"/>
          <w:szCs w:val="21"/>
          <w:highlight w:val="none"/>
          <w14:textFill>
            <w14:solidFill>
              <w14:schemeClr w14:val="tx1"/>
            </w14:solidFill>
          </w14:textFill>
        </w:rPr>
        <w:t>参会的</w:t>
      </w:r>
      <w:r>
        <w:rPr>
          <w:color w:val="000000" w:themeColor="text1"/>
          <w:szCs w:val="21"/>
          <w:highlight w:val="none"/>
          <w14:textFill>
            <w14:solidFill>
              <w14:schemeClr w14:val="tx1"/>
            </w14:solidFill>
          </w14:textFill>
        </w:rPr>
        <w:t>有关部门核查人签字后存档备查。</w:t>
      </w:r>
    </w:p>
    <w:p w14:paraId="133777A9">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397" w:name="_Toc101076036"/>
      <w:bookmarkStart w:id="398" w:name="_Toc100928434"/>
      <w:bookmarkStart w:id="399" w:name="_Toc100928656"/>
      <w:bookmarkStart w:id="400" w:name="_Toc101986492"/>
      <w:bookmarkStart w:id="401" w:name="_Toc100511826"/>
      <w:bookmarkStart w:id="402" w:name="_Toc101074639"/>
      <w:bookmarkStart w:id="403" w:name="_Toc101074421"/>
      <w:bookmarkStart w:id="404" w:name="_Toc100508619"/>
      <w:bookmarkStart w:id="405" w:name="_Toc101075791"/>
      <w:bookmarkStart w:id="406" w:name="_Toc101598037"/>
      <w:bookmarkStart w:id="407" w:name="_Toc145499762"/>
      <w:bookmarkStart w:id="408" w:name="_Toc100928212"/>
      <w:bookmarkStart w:id="409" w:name="_Toc101064273"/>
      <w:bookmarkStart w:id="410" w:name="_Toc99114796"/>
      <w:bookmarkStart w:id="411" w:name="_Toc99114431"/>
      <w:bookmarkStart w:id="412" w:name="_Toc98988363"/>
      <w:bookmarkStart w:id="413" w:name="_Toc99075824"/>
      <w:bookmarkStart w:id="414" w:name="_Toc99076434"/>
      <w:bookmarkStart w:id="415" w:name="_Toc99076145"/>
      <w:bookmarkStart w:id="416" w:name="_Toc99075245"/>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24.</w:t>
      </w:r>
      <w:bookmarkEnd w:id="397"/>
      <w:bookmarkEnd w:id="398"/>
      <w:bookmarkEnd w:id="399"/>
      <w:bookmarkEnd w:id="400"/>
      <w:bookmarkEnd w:id="401"/>
      <w:bookmarkEnd w:id="402"/>
      <w:bookmarkEnd w:id="403"/>
      <w:bookmarkEnd w:id="404"/>
      <w:bookmarkEnd w:id="405"/>
      <w:bookmarkEnd w:id="406"/>
      <w:bookmarkEnd w:id="407"/>
      <w:bookmarkEnd w:id="408"/>
      <w:bookmarkEnd w:id="409"/>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评审、谈判、确定成交</w:t>
      </w:r>
    </w:p>
    <w:bookmarkEnd w:id="410"/>
    <w:bookmarkEnd w:id="411"/>
    <w:bookmarkEnd w:id="412"/>
    <w:bookmarkEnd w:id="413"/>
    <w:bookmarkEnd w:id="414"/>
    <w:bookmarkEnd w:id="415"/>
    <w:bookmarkEnd w:id="416"/>
    <w:p w14:paraId="51F65799">
      <w:pPr>
        <w:spacing w:line="360" w:lineRule="auto"/>
        <w:ind w:left="516" w:leftChars="33" w:hanging="447" w:hangingChars="213"/>
        <w:rPr>
          <w:color w:val="000000" w:themeColor="text1"/>
          <w:szCs w:val="21"/>
          <w:highlight w:val="none"/>
          <w14:textFill>
            <w14:solidFill>
              <w14:schemeClr w14:val="tx1"/>
            </w14:solidFill>
          </w14:textFill>
        </w:rPr>
      </w:pPr>
      <w:bookmarkStart w:id="417" w:name="_Toc99076146"/>
      <w:bookmarkStart w:id="418" w:name="_Toc53948783"/>
      <w:bookmarkStart w:id="419" w:name="_Toc54281243"/>
      <w:bookmarkStart w:id="420" w:name="_Toc53939606"/>
      <w:bookmarkStart w:id="421" w:name="_Toc53948362"/>
      <w:bookmarkStart w:id="422" w:name="_Toc99075246"/>
      <w:bookmarkStart w:id="423" w:name="_Toc54280817"/>
      <w:bookmarkStart w:id="424" w:name="_Toc99114797"/>
      <w:bookmarkStart w:id="425" w:name="_Toc54279965"/>
      <w:bookmarkStart w:id="426" w:name="_Toc53949204"/>
      <w:bookmarkStart w:id="427" w:name="_Toc53936542"/>
      <w:bookmarkStart w:id="428" w:name="_Toc54280391"/>
      <w:bookmarkStart w:id="429" w:name="_Toc99076435"/>
      <w:bookmarkStart w:id="430" w:name="_Toc99075825"/>
      <w:bookmarkStart w:id="431" w:name="_Toc53918833"/>
      <w:bookmarkStart w:id="432" w:name="_Toc53945807"/>
      <w:bookmarkStart w:id="433" w:name="_Toc98988364"/>
      <w:bookmarkStart w:id="434" w:name="_Toc99114432"/>
      <w:r>
        <w:rPr>
          <w:color w:val="000000" w:themeColor="text1"/>
          <w:szCs w:val="21"/>
          <w:highlight w:val="none"/>
          <w14:textFill>
            <w14:solidFill>
              <w14:schemeClr w14:val="tx1"/>
            </w14:solidFill>
          </w14:textFill>
        </w:rPr>
        <w:t>24.1评审方法采用综合</w:t>
      </w:r>
      <w:r>
        <w:rPr>
          <w:rFonts w:hint="eastAsia"/>
          <w:color w:val="000000" w:themeColor="text1"/>
          <w:szCs w:val="21"/>
          <w:highlight w:val="none"/>
          <w14:textFill>
            <w14:solidFill>
              <w14:schemeClr w14:val="tx1"/>
            </w14:solidFill>
          </w14:textFill>
        </w:rPr>
        <w:t>评分</w:t>
      </w:r>
      <w:r>
        <w:rPr>
          <w:color w:val="000000" w:themeColor="text1"/>
          <w:szCs w:val="21"/>
          <w:highlight w:val="none"/>
          <w14:textFill>
            <w14:solidFill>
              <w14:schemeClr w14:val="tx1"/>
            </w14:solidFill>
          </w14:textFill>
        </w:rPr>
        <w:t>法。评审程序和评审方法详见附件</w:t>
      </w:r>
      <w:r>
        <w:rPr>
          <w:rFonts w:hint="eastAsia"/>
          <w:color w:val="000000" w:themeColor="text1"/>
          <w:szCs w:val="21"/>
          <w:highlight w:val="none"/>
          <w14:textFill>
            <w14:solidFill>
              <w14:schemeClr w14:val="tx1"/>
            </w14:solidFill>
          </w14:textFill>
        </w:rPr>
        <w:t>一</w:t>
      </w:r>
      <w:r>
        <w:rPr>
          <w:color w:val="000000" w:themeColor="text1"/>
          <w:szCs w:val="21"/>
          <w:highlight w:val="none"/>
          <w14:textFill>
            <w14:solidFill>
              <w14:schemeClr w14:val="tx1"/>
            </w14:solidFill>
          </w14:textFill>
        </w:rPr>
        <w:t>。</w:t>
      </w:r>
    </w:p>
    <w:p w14:paraId="728B742D">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24.</w:t>
      </w:r>
      <w:r>
        <w:rPr>
          <w:rFonts w:hint="eastAsia"/>
          <w:color w:val="000000" w:themeColor="text1"/>
          <w:szCs w:val="21"/>
          <w:highlight w:val="none"/>
          <w14:textFill>
            <w14:solidFill>
              <w14:schemeClr w14:val="tx1"/>
            </w14:solidFill>
          </w14:textFill>
        </w:rPr>
        <w:t>2</w:t>
      </w:r>
      <w:r>
        <w:rPr>
          <w:color w:val="000000" w:themeColor="text1"/>
          <w:szCs w:val="21"/>
          <w:highlight w:val="none"/>
          <w14:textFill>
            <w14:solidFill>
              <w14:schemeClr w14:val="tx1"/>
            </w14:solidFill>
          </w14:textFill>
        </w:rPr>
        <w:t>依据上评述</w:t>
      </w:r>
      <w:r>
        <w:rPr>
          <w:rFonts w:hint="eastAsia"/>
          <w:color w:val="000000" w:themeColor="text1"/>
          <w:szCs w:val="21"/>
          <w:highlight w:val="none"/>
          <w14:textFill>
            <w14:solidFill>
              <w14:schemeClr w14:val="tx1"/>
            </w14:solidFill>
          </w14:textFill>
        </w:rPr>
        <w:t>评审</w:t>
      </w:r>
      <w:r>
        <w:rPr>
          <w:color w:val="000000" w:themeColor="text1"/>
          <w:szCs w:val="21"/>
          <w:highlight w:val="none"/>
          <w14:textFill>
            <w14:solidFill>
              <w14:schemeClr w14:val="tx1"/>
            </w14:solidFill>
          </w14:textFill>
        </w:rPr>
        <w:t>方法，</w:t>
      </w:r>
      <w:r>
        <w:rPr>
          <w:rFonts w:hint="eastAsia"/>
          <w:color w:val="000000" w:themeColor="text1"/>
          <w:szCs w:val="21"/>
          <w:highlight w:val="none"/>
          <w14:textFill>
            <w14:solidFill>
              <w14:schemeClr w14:val="tx1"/>
            </w14:solidFill>
          </w14:textFill>
        </w:rPr>
        <w:t>采购人</w:t>
      </w:r>
      <w:r>
        <w:rPr>
          <w:color w:val="000000" w:themeColor="text1"/>
          <w:szCs w:val="21"/>
          <w:highlight w:val="none"/>
          <w14:textFill>
            <w14:solidFill>
              <w14:schemeClr w14:val="tx1"/>
            </w14:solidFill>
          </w14:textFill>
        </w:rPr>
        <w:t>评审</w:t>
      </w:r>
      <w:r>
        <w:rPr>
          <w:rFonts w:hint="eastAsia"/>
          <w:color w:val="000000" w:themeColor="text1"/>
          <w:szCs w:val="21"/>
          <w:highlight w:val="none"/>
          <w14:textFill>
            <w14:solidFill>
              <w14:schemeClr w14:val="tx1"/>
            </w14:solidFill>
          </w14:textFill>
        </w:rPr>
        <w:t>小组</w:t>
      </w:r>
      <w:r>
        <w:rPr>
          <w:color w:val="000000" w:themeColor="text1"/>
          <w:szCs w:val="21"/>
          <w:highlight w:val="none"/>
          <w14:textFill>
            <w14:solidFill>
              <w14:schemeClr w14:val="tx1"/>
            </w14:solidFill>
          </w14:textFill>
        </w:rPr>
        <w:t>将对响应文件进行初步评审</w:t>
      </w:r>
      <w:r>
        <w:rPr>
          <w:rFonts w:hint="eastAsia"/>
          <w:color w:val="000000" w:themeColor="text1"/>
          <w:szCs w:val="21"/>
          <w:highlight w:val="none"/>
          <w14:textFill>
            <w14:solidFill>
              <w14:schemeClr w14:val="tx1"/>
            </w14:solidFill>
          </w14:textFill>
        </w:rPr>
        <w:t>，并要求响应单位对报价进行</w:t>
      </w:r>
      <w:r>
        <w:rPr>
          <w:color w:val="000000" w:themeColor="text1"/>
          <w:szCs w:val="21"/>
          <w:highlight w:val="none"/>
          <w14:textFill>
            <w14:solidFill>
              <w14:schemeClr w14:val="tx1"/>
            </w14:solidFill>
          </w14:textFill>
        </w:rPr>
        <w:t>澄清或补正</w:t>
      </w:r>
      <w:r>
        <w:rPr>
          <w:rFonts w:hint="eastAsia"/>
          <w:color w:val="000000" w:themeColor="text1"/>
          <w:szCs w:val="21"/>
          <w:highlight w:val="none"/>
          <w14:textFill>
            <w14:solidFill>
              <w14:schemeClr w14:val="tx1"/>
            </w14:solidFill>
          </w14:textFill>
        </w:rPr>
        <w:t>，经过采购人</w:t>
      </w:r>
      <w:r>
        <w:rPr>
          <w:color w:val="000000" w:themeColor="text1"/>
          <w:szCs w:val="21"/>
          <w:highlight w:val="none"/>
          <w14:textFill>
            <w14:solidFill>
              <w14:schemeClr w14:val="tx1"/>
            </w14:solidFill>
          </w14:textFill>
        </w:rPr>
        <w:t>评审</w:t>
      </w:r>
      <w:r>
        <w:rPr>
          <w:rFonts w:hint="eastAsia"/>
          <w:color w:val="000000" w:themeColor="text1"/>
          <w:szCs w:val="21"/>
          <w:highlight w:val="none"/>
          <w14:textFill>
            <w14:solidFill>
              <w14:schemeClr w14:val="tx1"/>
            </w14:solidFill>
          </w14:textFill>
        </w:rPr>
        <w:t>小组</w:t>
      </w:r>
      <w:r>
        <w:rPr>
          <w:color w:val="000000" w:themeColor="text1"/>
          <w:szCs w:val="21"/>
          <w:highlight w:val="none"/>
          <w14:textFill>
            <w14:solidFill>
              <w14:schemeClr w14:val="tx1"/>
            </w14:solidFill>
          </w14:textFill>
        </w:rPr>
        <w:t>比较</w:t>
      </w:r>
      <w:r>
        <w:rPr>
          <w:rFonts w:hint="eastAsia"/>
          <w:color w:val="000000" w:themeColor="text1"/>
          <w:szCs w:val="21"/>
          <w:highlight w:val="none"/>
          <w14:textFill>
            <w14:solidFill>
              <w14:schemeClr w14:val="tx1"/>
            </w14:solidFill>
          </w14:textFill>
        </w:rPr>
        <w:t>分析</w:t>
      </w:r>
      <w:r>
        <w:rPr>
          <w:color w:val="000000" w:themeColor="text1"/>
          <w:szCs w:val="21"/>
          <w:highlight w:val="none"/>
          <w14:textFill>
            <w14:solidFill>
              <w14:schemeClr w14:val="tx1"/>
            </w14:solidFill>
          </w14:textFill>
        </w:rPr>
        <w:t>，进行综合评分，</w:t>
      </w:r>
      <w:r>
        <w:rPr>
          <w:rFonts w:hint="eastAsia"/>
          <w:color w:val="000000" w:themeColor="text1"/>
          <w:szCs w:val="21"/>
          <w:highlight w:val="none"/>
          <w14:textFill>
            <w14:solidFill>
              <w14:schemeClr w14:val="tx1"/>
            </w14:solidFill>
          </w14:textFill>
        </w:rPr>
        <w:t>并</w:t>
      </w:r>
      <w:r>
        <w:rPr>
          <w:color w:val="000000" w:themeColor="text1"/>
          <w:szCs w:val="21"/>
          <w:highlight w:val="none"/>
          <w14:textFill>
            <w14:solidFill>
              <w14:schemeClr w14:val="tx1"/>
            </w14:solidFill>
          </w14:textFill>
        </w:rPr>
        <w:t>推荐</w:t>
      </w:r>
      <w:r>
        <w:rPr>
          <w:rFonts w:hint="eastAsia"/>
          <w:color w:val="000000" w:themeColor="text1"/>
          <w:szCs w:val="21"/>
          <w:highlight w:val="none"/>
          <w14:textFill>
            <w14:solidFill>
              <w14:schemeClr w14:val="tx1"/>
            </w14:solidFill>
          </w14:textFill>
        </w:rPr>
        <w:t>出谈判</w:t>
      </w:r>
      <w:r>
        <w:rPr>
          <w:color w:val="000000" w:themeColor="text1"/>
          <w:szCs w:val="21"/>
          <w:highlight w:val="none"/>
          <w14:textFill>
            <w14:solidFill>
              <w14:schemeClr w14:val="tx1"/>
            </w14:solidFill>
          </w14:textFill>
        </w:rPr>
        <w:t>候选人</w:t>
      </w:r>
      <w:r>
        <w:rPr>
          <w:rFonts w:hint="eastAsia"/>
          <w:color w:val="000000" w:themeColor="text1"/>
          <w:szCs w:val="21"/>
          <w:highlight w:val="none"/>
          <w14:textFill>
            <w14:solidFill>
              <w14:schemeClr w14:val="tx1"/>
            </w14:solidFill>
          </w14:textFill>
        </w:rPr>
        <w:t>。</w:t>
      </w:r>
    </w:p>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p w14:paraId="6AF4DC41">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24.</w:t>
      </w:r>
      <w:r>
        <w:rPr>
          <w:rFonts w:hint="eastAsia"/>
          <w:color w:val="000000" w:themeColor="text1"/>
          <w:szCs w:val="21"/>
          <w:highlight w:val="none"/>
          <w14:textFill>
            <w14:solidFill>
              <w14:schemeClr w14:val="tx1"/>
            </w14:solidFill>
          </w14:textFill>
        </w:rPr>
        <w:t>3谈判采取现场或视频会议方式进行，</w:t>
      </w:r>
      <w:r>
        <w:rPr>
          <w:color w:val="000000" w:themeColor="text1"/>
          <w:szCs w:val="21"/>
          <w:highlight w:val="none"/>
          <w14:textFill>
            <w14:solidFill>
              <w14:schemeClr w14:val="tx1"/>
            </w14:solidFill>
          </w14:textFill>
        </w:rPr>
        <w:t>响应单位的法定代表人或其授权代理人应携带法定代表人证明</w:t>
      </w:r>
      <w:r>
        <w:rPr>
          <w:rFonts w:hint="eastAsia"/>
          <w:color w:val="000000" w:themeColor="text1"/>
          <w:szCs w:val="21"/>
          <w:highlight w:val="none"/>
          <w14:textFill>
            <w14:solidFill>
              <w14:schemeClr w14:val="tx1"/>
            </w14:solidFill>
          </w14:textFill>
        </w:rPr>
        <w:t>文件</w:t>
      </w:r>
      <w:r>
        <w:rPr>
          <w:color w:val="000000" w:themeColor="text1"/>
          <w:szCs w:val="21"/>
          <w:highlight w:val="none"/>
          <w14:textFill>
            <w14:solidFill>
              <w14:schemeClr w14:val="tx1"/>
            </w14:solidFill>
          </w14:textFill>
        </w:rPr>
        <w:t>或授权委托书和本人的身份证的原件与复印件各1份</w:t>
      </w:r>
      <w:r>
        <w:rPr>
          <w:rFonts w:hint="eastAsia"/>
          <w:color w:val="000000" w:themeColor="text1"/>
          <w:szCs w:val="21"/>
          <w:highlight w:val="none"/>
          <w14:textFill>
            <w14:solidFill>
              <w14:schemeClr w14:val="tx1"/>
            </w14:solidFill>
          </w14:textFill>
        </w:rPr>
        <w:t>准时参会</w:t>
      </w:r>
      <w:r>
        <w:rPr>
          <w:color w:val="000000" w:themeColor="text1"/>
          <w:szCs w:val="21"/>
          <w:highlight w:val="none"/>
          <w14:textFill>
            <w14:solidFill>
              <w14:schemeClr w14:val="tx1"/>
            </w14:solidFill>
          </w14:textFill>
        </w:rPr>
        <w:t>，并在</w:t>
      </w:r>
      <w:r>
        <w:rPr>
          <w:rFonts w:hint="eastAsia"/>
          <w:color w:val="000000" w:themeColor="text1"/>
          <w:szCs w:val="21"/>
          <w:highlight w:val="none"/>
          <w14:textFill>
            <w14:solidFill>
              <w14:schemeClr w14:val="tx1"/>
            </w14:solidFill>
          </w14:textFill>
        </w:rPr>
        <w:t>需确认的资料上签字；采取视频会议方式的，签字、盖章原件须邮寄到采购人指定地址</w:t>
      </w:r>
      <w:r>
        <w:rPr>
          <w:color w:val="000000" w:themeColor="text1"/>
          <w:szCs w:val="21"/>
          <w:highlight w:val="none"/>
          <w14:textFill>
            <w14:solidFill>
              <w14:schemeClr w14:val="tx1"/>
            </w14:solidFill>
          </w14:textFill>
        </w:rPr>
        <w:t>。</w:t>
      </w:r>
    </w:p>
    <w:p w14:paraId="4EB297D5">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24.</w:t>
      </w:r>
      <w:r>
        <w:rPr>
          <w:rFonts w:hint="eastAsia"/>
          <w:color w:val="000000" w:themeColor="text1"/>
          <w:szCs w:val="21"/>
          <w:highlight w:val="none"/>
          <w14:textFill>
            <w14:solidFill>
              <w14:schemeClr w14:val="tx1"/>
            </w14:solidFill>
          </w14:textFill>
        </w:rPr>
        <w:t>4采购人评审小组与谈判候选人进行谈判后，响应单位在</w:t>
      </w:r>
      <w:r>
        <w:rPr>
          <w:rFonts w:hint="eastAsia"/>
          <w:color w:val="000000" w:themeColor="text1"/>
          <w:szCs w:val="21"/>
          <w:highlight w:val="none"/>
          <w:lang w:val="en-US" w:eastAsia="zh-CN"/>
          <w14:textFill>
            <w14:solidFill>
              <w14:schemeClr w14:val="tx1"/>
            </w14:solidFill>
          </w14:textFill>
        </w:rPr>
        <w:t>线下</w:t>
      </w:r>
      <w:r>
        <w:rPr>
          <w:rFonts w:hint="eastAsia"/>
          <w:color w:val="000000" w:themeColor="text1"/>
          <w:szCs w:val="21"/>
          <w:highlight w:val="none"/>
          <w14:textFill>
            <w14:solidFill>
              <w14:schemeClr w14:val="tx1"/>
            </w14:solidFill>
          </w14:textFill>
        </w:rPr>
        <w:t>进行二次报价作为最终报价。</w:t>
      </w:r>
    </w:p>
    <w:p w14:paraId="3477A7B6">
      <w:pPr>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24.5</w:t>
      </w:r>
      <w:r>
        <w:rPr>
          <w:color w:val="000000" w:themeColor="text1"/>
          <w:szCs w:val="21"/>
          <w:highlight w:val="none"/>
          <w14:textFill>
            <w14:solidFill>
              <w14:schemeClr w14:val="tx1"/>
            </w14:solidFill>
          </w14:textFill>
        </w:rPr>
        <w:t>采购人</w:t>
      </w:r>
      <w:r>
        <w:rPr>
          <w:rFonts w:hint="eastAsia"/>
          <w:color w:val="000000" w:themeColor="text1"/>
          <w:szCs w:val="21"/>
          <w:highlight w:val="none"/>
          <w14:textFill>
            <w14:solidFill>
              <w14:schemeClr w14:val="tx1"/>
            </w14:solidFill>
          </w14:textFill>
        </w:rPr>
        <w:t>评审小组</w:t>
      </w:r>
      <w:r>
        <w:rPr>
          <w:color w:val="000000" w:themeColor="text1"/>
          <w:szCs w:val="21"/>
          <w:highlight w:val="none"/>
          <w14:textFill>
            <w14:solidFill>
              <w14:schemeClr w14:val="tx1"/>
            </w14:solidFill>
          </w14:textFill>
        </w:rPr>
        <w:t>编制和提交评审报告，并将评审报告和</w:t>
      </w:r>
      <w:r>
        <w:rPr>
          <w:rFonts w:hint="eastAsia"/>
          <w:color w:val="000000" w:themeColor="text1"/>
          <w:szCs w:val="21"/>
          <w:highlight w:val="none"/>
          <w14:textFill>
            <w14:solidFill>
              <w14:schemeClr w14:val="tx1"/>
            </w14:solidFill>
          </w14:textFill>
        </w:rPr>
        <w:t>拟定成交</w:t>
      </w:r>
      <w:r>
        <w:rPr>
          <w:color w:val="000000" w:themeColor="text1"/>
          <w:szCs w:val="21"/>
          <w:highlight w:val="none"/>
          <w14:textFill>
            <w14:solidFill>
              <w14:schemeClr w14:val="tx1"/>
            </w14:solidFill>
          </w14:textFill>
        </w:rPr>
        <w:t>结果</w:t>
      </w:r>
      <w:r>
        <w:rPr>
          <w:rFonts w:hint="eastAsia"/>
          <w:color w:val="000000" w:themeColor="text1"/>
          <w:szCs w:val="21"/>
          <w:highlight w:val="none"/>
          <w14:textFill>
            <w14:solidFill>
              <w14:schemeClr w14:val="tx1"/>
            </w14:solidFill>
          </w14:textFill>
        </w:rPr>
        <w:t>上</w:t>
      </w:r>
      <w:r>
        <w:rPr>
          <w:color w:val="000000" w:themeColor="text1"/>
          <w:szCs w:val="21"/>
          <w:highlight w:val="none"/>
          <w14:textFill>
            <w14:solidFill>
              <w14:schemeClr w14:val="tx1"/>
            </w14:solidFill>
          </w14:textFill>
        </w:rPr>
        <w:t>报</w:t>
      </w:r>
      <w:r>
        <w:rPr>
          <w:rFonts w:hint="eastAsia"/>
          <w:color w:val="000000" w:themeColor="text1"/>
          <w:szCs w:val="21"/>
          <w:highlight w:val="none"/>
          <w14:textFill>
            <w14:solidFill>
              <w14:schemeClr w14:val="tx1"/>
            </w14:solidFill>
          </w14:textFill>
        </w:rPr>
        <w:t>主管领导审批确定成交结果</w:t>
      </w:r>
      <w:r>
        <w:rPr>
          <w:color w:val="000000" w:themeColor="text1"/>
          <w:szCs w:val="21"/>
          <w:highlight w:val="none"/>
          <w14:textFill>
            <w14:solidFill>
              <w14:schemeClr w14:val="tx1"/>
            </w14:solidFill>
          </w14:textFill>
        </w:rPr>
        <w:t>。</w:t>
      </w:r>
    </w:p>
    <w:p w14:paraId="6D69C915">
      <w:pPr>
        <w:pStyle w:val="3"/>
        <w:spacing w:before="240" w:beforeLines="100" w:after="120" w:afterLines="50" w:line="360" w:lineRule="auto"/>
        <w:jc w:val="center"/>
        <w:rPr>
          <w:rStyle w:val="46"/>
          <w:rFonts w:ascii="Times New Roman" w:hAnsi="Times New Roman" w:eastAsia="宋体"/>
          <w:b/>
          <w:bCs w:val="0"/>
          <w:color w:val="000000" w:themeColor="text1"/>
          <w:sz w:val="28"/>
          <w:szCs w:val="28"/>
          <w:highlight w:val="none"/>
          <w14:textFill>
            <w14:solidFill>
              <w14:schemeClr w14:val="tx1"/>
            </w14:solidFill>
          </w14:textFill>
        </w:rPr>
      </w:pPr>
      <w:bookmarkStart w:id="435" w:name="_Toc53945810"/>
      <w:bookmarkStart w:id="436" w:name="_Toc53948786"/>
      <w:bookmarkStart w:id="437" w:name="_Toc54281246"/>
      <w:bookmarkStart w:id="438" w:name="_Toc145499763"/>
      <w:bookmarkStart w:id="439" w:name="_Toc53949207"/>
      <w:bookmarkStart w:id="440" w:name="_Toc53918836"/>
      <w:bookmarkStart w:id="441" w:name="_Toc54279968"/>
      <w:bookmarkStart w:id="442" w:name="_Toc284135593"/>
      <w:bookmarkStart w:id="443" w:name="_Toc54280820"/>
      <w:bookmarkStart w:id="444" w:name="_Toc53936545"/>
      <w:bookmarkStart w:id="445" w:name="_Toc53939609"/>
      <w:bookmarkStart w:id="446" w:name="_Toc54280394"/>
      <w:bookmarkStart w:id="447" w:name="_Toc53948365"/>
      <w:r>
        <w:rPr>
          <w:rStyle w:val="46"/>
          <w:rFonts w:ascii="Times New Roman" w:hAnsi="宋体" w:eastAsia="宋体"/>
          <w:b/>
          <w:bCs w:val="0"/>
          <w:color w:val="000000" w:themeColor="text1"/>
          <w:sz w:val="28"/>
          <w:szCs w:val="28"/>
          <w:highlight w:val="none"/>
          <w14:textFill>
            <w14:solidFill>
              <w14:schemeClr w14:val="tx1"/>
            </w14:solidFill>
          </w14:textFill>
        </w:rPr>
        <w:t>第六章</w:t>
      </w:r>
      <w:r>
        <w:rPr>
          <w:rStyle w:val="46"/>
          <w:rFonts w:ascii="Times New Roman" w:hAnsi="Times New Roman" w:eastAsia="宋体"/>
          <w:b/>
          <w:bCs w:val="0"/>
          <w:color w:val="000000" w:themeColor="text1"/>
          <w:sz w:val="28"/>
          <w:szCs w:val="28"/>
          <w:highlight w:val="none"/>
          <w14:textFill>
            <w14:solidFill>
              <w14:schemeClr w14:val="tx1"/>
            </w14:solidFill>
          </w14:textFill>
        </w:rPr>
        <w:t xml:space="preserve">  </w:t>
      </w:r>
      <w:r>
        <w:rPr>
          <w:rStyle w:val="46"/>
          <w:rFonts w:ascii="Times New Roman" w:hAnsi="宋体" w:eastAsia="宋体"/>
          <w:b/>
          <w:bCs w:val="0"/>
          <w:color w:val="000000" w:themeColor="text1"/>
          <w:sz w:val="28"/>
          <w:szCs w:val="28"/>
          <w:highlight w:val="none"/>
          <w14:textFill>
            <w14:solidFill>
              <w14:schemeClr w14:val="tx1"/>
            </w14:solidFill>
          </w14:textFill>
        </w:rPr>
        <w:t>合同的授予</w:t>
      </w:r>
      <w:bookmarkEnd w:id="435"/>
      <w:bookmarkEnd w:id="436"/>
      <w:bookmarkEnd w:id="437"/>
      <w:bookmarkEnd w:id="438"/>
      <w:bookmarkEnd w:id="439"/>
      <w:bookmarkEnd w:id="440"/>
      <w:bookmarkEnd w:id="441"/>
      <w:bookmarkEnd w:id="442"/>
      <w:bookmarkEnd w:id="443"/>
      <w:bookmarkEnd w:id="444"/>
      <w:bookmarkEnd w:id="445"/>
      <w:bookmarkEnd w:id="446"/>
      <w:bookmarkEnd w:id="447"/>
    </w:p>
    <w:p w14:paraId="0E540DEA">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448" w:name="_Toc101598039"/>
      <w:bookmarkStart w:id="449" w:name="_Toc101986494"/>
      <w:bookmarkStart w:id="450" w:name="_Toc54281247"/>
      <w:bookmarkStart w:id="451" w:name="_Toc53948366"/>
      <w:bookmarkStart w:id="452" w:name="_Toc101075793"/>
      <w:bookmarkStart w:id="453" w:name="_Toc100928436"/>
      <w:bookmarkStart w:id="454" w:name="_Toc100928214"/>
      <w:bookmarkStart w:id="455" w:name="_Toc100928658"/>
      <w:bookmarkStart w:id="456" w:name="_Toc98988368"/>
      <w:bookmarkStart w:id="457" w:name="_Toc99076150"/>
      <w:bookmarkStart w:id="458" w:name="_Toc99075250"/>
      <w:bookmarkStart w:id="459" w:name="_Toc101074423"/>
      <w:bookmarkStart w:id="460" w:name="_Toc54280821"/>
      <w:bookmarkStart w:id="461" w:name="_Toc53939610"/>
      <w:bookmarkStart w:id="462" w:name="_Toc54280395"/>
      <w:bookmarkStart w:id="463" w:name="_Toc99114801"/>
      <w:bookmarkStart w:id="464" w:name="_Toc99075829"/>
      <w:bookmarkStart w:id="465" w:name="_Toc53949208"/>
      <w:bookmarkStart w:id="466" w:name="_Toc101064275"/>
      <w:bookmarkStart w:id="467" w:name="_Toc53918837"/>
      <w:bookmarkStart w:id="468" w:name="_Toc54279969"/>
      <w:bookmarkStart w:id="469" w:name="_Toc53945811"/>
      <w:bookmarkStart w:id="470" w:name="_Toc53948787"/>
      <w:bookmarkStart w:id="471" w:name="_Toc100508622"/>
      <w:bookmarkStart w:id="472" w:name="_Toc99114436"/>
      <w:bookmarkStart w:id="473" w:name="_Toc101074641"/>
      <w:bookmarkStart w:id="474" w:name="_Toc99076439"/>
      <w:bookmarkStart w:id="475" w:name="_Toc101076038"/>
      <w:bookmarkStart w:id="476" w:name="_Toc53936546"/>
      <w:bookmarkStart w:id="477" w:name="_Toc145499764"/>
      <w:bookmarkStart w:id="478" w:name="_Toc100511829"/>
      <w:bookmarkStart w:id="479" w:name="_Toc54280397"/>
      <w:bookmarkStart w:id="480" w:name="_Toc54280823"/>
      <w:bookmarkStart w:id="481" w:name="_Toc53948368"/>
      <w:bookmarkStart w:id="482" w:name="_Toc53949210"/>
      <w:bookmarkStart w:id="483" w:name="_Toc53936548"/>
      <w:bookmarkStart w:id="484" w:name="_Toc53948789"/>
      <w:bookmarkStart w:id="485" w:name="_Toc53918839"/>
      <w:bookmarkStart w:id="486" w:name="_Toc54281249"/>
      <w:bookmarkStart w:id="487" w:name="_Toc53939612"/>
      <w:bookmarkStart w:id="488" w:name="_Toc53945813"/>
      <w:bookmarkStart w:id="489" w:name="_Toc54279971"/>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25.成交通知书</w:t>
      </w:r>
    </w:p>
    <w:p w14:paraId="49A6710C">
      <w:pPr>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25</w:t>
      </w:r>
      <w:r>
        <w:rPr>
          <w:color w:val="000000" w:themeColor="text1"/>
          <w:szCs w:val="21"/>
          <w:highlight w:val="none"/>
          <w14:textFill>
            <w14:solidFill>
              <w14:schemeClr w14:val="tx1"/>
            </w14:solidFill>
          </w14:textFill>
        </w:rPr>
        <w:t>.1</w:t>
      </w:r>
      <w:r>
        <w:rPr>
          <w:rFonts w:hint="eastAsia"/>
          <w:color w:val="000000" w:themeColor="text1"/>
          <w:szCs w:val="21"/>
          <w:highlight w:val="none"/>
          <w14:textFill>
            <w14:solidFill>
              <w14:schemeClr w14:val="tx1"/>
            </w14:solidFill>
          </w14:textFill>
        </w:rPr>
        <w:t>成交结果确定</w:t>
      </w:r>
      <w:r>
        <w:rPr>
          <w:color w:val="000000" w:themeColor="text1"/>
          <w:szCs w:val="21"/>
          <w:highlight w:val="none"/>
          <w14:textFill>
            <w14:solidFill>
              <w14:schemeClr w14:val="tx1"/>
            </w14:solidFill>
          </w14:textFill>
        </w:rPr>
        <w:t>后，采购人即向成交单位发出“成交通知书”，确认其</w:t>
      </w:r>
      <w:r>
        <w:rPr>
          <w:rFonts w:hint="eastAsia"/>
          <w:color w:val="000000" w:themeColor="text1"/>
          <w:szCs w:val="21"/>
          <w:highlight w:val="none"/>
          <w14:textFill>
            <w14:solidFill>
              <w14:schemeClr w14:val="tx1"/>
            </w14:solidFill>
          </w14:textFill>
        </w:rPr>
        <w:t>响应文件</w:t>
      </w:r>
      <w:r>
        <w:rPr>
          <w:color w:val="000000" w:themeColor="text1"/>
          <w:szCs w:val="21"/>
          <w:highlight w:val="none"/>
          <w14:textFill>
            <w14:solidFill>
              <w14:schemeClr w14:val="tx1"/>
            </w14:solidFill>
          </w14:textFill>
        </w:rPr>
        <w:t>已被接受，发出时间不超过响应有效期。</w:t>
      </w:r>
    </w:p>
    <w:p w14:paraId="114BA531">
      <w:pPr>
        <w:spacing w:line="360" w:lineRule="auto"/>
        <w:ind w:left="516" w:leftChars="33" w:hanging="447" w:hangingChars="213"/>
        <w:rPr>
          <w:bCs/>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25.2</w:t>
      </w:r>
      <w:r>
        <w:rPr>
          <w:color w:val="000000" w:themeColor="text1"/>
          <w:szCs w:val="21"/>
          <w:highlight w:val="none"/>
          <w14:textFill>
            <w14:solidFill>
              <w14:schemeClr w14:val="tx1"/>
            </w14:solidFill>
          </w14:textFill>
        </w:rPr>
        <w:t>采购人在发出成交通知书的同时</w:t>
      </w:r>
      <w:r>
        <w:rPr>
          <w:rFonts w:hint="eastAsia"/>
          <w:color w:val="000000" w:themeColor="text1"/>
          <w:szCs w:val="21"/>
          <w:highlight w:val="none"/>
          <w14:textFill>
            <w14:solidFill>
              <w14:schemeClr w14:val="tx1"/>
            </w14:solidFill>
          </w14:textFill>
        </w:rPr>
        <w:t>通知</w:t>
      </w:r>
      <w:r>
        <w:rPr>
          <w:color w:val="000000" w:themeColor="text1"/>
          <w:szCs w:val="21"/>
          <w:highlight w:val="none"/>
          <w14:textFill>
            <w14:solidFill>
              <w14:schemeClr w14:val="tx1"/>
            </w14:solidFill>
          </w14:textFill>
        </w:rPr>
        <w:t>所有未</w:t>
      </w:r>
      <w:r>
        <w:rPr>
          <w:rFonts w:hint="eastAsia"/>
          <w:color w:val="000000" w:themeColor="text1"/>
          <w:szCs w:val="21"/>
          <w:highlight w:val="none"/>
          <w14:textFill>
            <w14:solidFill>
              <w14:schemeClr w14:val="tx1"/>
            </w14:solidFill>
          </w14:textFill>
        </w:rPr>
        <w:t>成交</w:t>
      </w:r>
      <w:r>
        <w:rPr>
          <w:color w:val="000000" w:themeColor="text1"/>
          <w:szCs w:val="21"/>
          <w:highlight w:val="none"/>
          <w14:textFill>
            <w14:solidFill>
              <w14:schemeClr w14:val="tx1"/>
            </w14:solidFill>
          </w14:textFill>
        </w:rPr>
        <w:t>的响应单位</w:t>
      </w:r>
      <w:r>
        <w:rPr>
          <w:rFonts w:hint="eastAsia"/>
          <w:color w:val="000000" w:themeColor="text1"/>
          <w:szCs w:val="21"/>
          <w:highlight w:val="none"/>
          <w14:textFill>
            <w14:solidFill>
              <w14:schemeClr w14:val="tx1"/>
            </w14:solidFill>
          </w14:textFill>
        </w:rPr>
        <w:t>领回相应响应保证金或响应保函</w:t>
      </w:r>
      <w:r>
        <w:rPr>
          <w:color w:val="000000" w:themeColor="text1"/>
          <w:szCs w:val="21"/>
          <w:highlight w:val="none"/>
          <w14:textFill>
            <w14:solidFill>
              <w14:schemeClr w14:val="tx1"/>
            </w14:solidFill>
          </w14:textFill>
        </w:rPr>
        <w:t>。</w:t>
      </w:r>
    </w:p>
    <w:p w14:paraId="1E0CF563">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26.</w:t>
      </w:r>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合同授予的条件</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p>
    <w:p w14:paraId="722E8D5C">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w:t>
      </w:r>
      <w:r>
        <w:rPr>
          <w:rFonts w:hint="eastAsia"/>
          <w:color w:val="000000" w:themeColor="text1"/>
          <w:szCs w:val="21"/>
          <w:highlight w:val="none"/>
          <w14:textFill>
            <w14:solidFill>
              <w14:schemeClr w14:val="tx1"/>
            </w14:solidFill>
          </w14:textFill>
        </w:rPr>
        <w:t>6</w:t>
      </w:r>
      <w:r>
        <w:rPr>
          <w:color w:val="000000" w:themeColor="text1"/>
          <w:szCs w:val="21"/>
          <w:highlight w:val="none"/>
          <w14:textFill>
            <w14:solidFill>
              <w14:schemeClr w14:val="tx1"/>
            </w14:solidFill>
          </w14:textFill>
        </w:rPr>
        <w:t>.1本合同将授予资格复审合格、响应文件合规、综合评分第一的响应单位。采购人不承诺将本合同授予给最低报价的响应单位。</w:t>
      </w:r>
    </w:p>
    <w:p w14:paraId="7EF1FDAD">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w:t>
      </w:r>
      <w:r>
        <w:rPr>
          <w:rFonts w:hint="eastAsia"/>
          <w:color w:val="000000" w:themeColor="text1"/>
          <w:szCs w:val="21"/>
          <w:highlight w:val="none"/>
          <w14:textFill>
            <w14:solidFill>
              <w14:schemeClr w14:val="tx1"/>
            </w14:solidFill>
          </w14:textFill>
        </w:rPr>
        <w:t>6</w:t>
      </w:r>
      <w:r>
        <w:rPr>
          <w:color w:val="000000" w:themeColor="text1"/>
          <w:szCs w:val="21"/>
          <w:highlight w:val="none"/>
          <w14:textFill>
            <w14:solidFill>
              <w14:schemeClr w14:val="tx1"/>
            </w14:solidFill>
          </w14:textFill>
        </w:rPr>
        <w:t>.2如果排名第一的响应单位主动放弃其合同授予资格或因未遵循采购文件的要求被采购人取消其合同授予资格，则由排名第二的响应单位获得合同授予资格，以此类推，直至排名第三的响应单位获得合同授予资格。如果前三名均放弃合同授予资格或被采购人取消合同授予资格，采购人则</w:t>
      </w:r>
      <w:r>
        <w:rPr>
          <w:rFonts w:hint="eastAsia"/>
          <w:color w:val="000000" w:themeColor="text1"/>
          <w:szCs w:val="21"/>
          <w:highlight w:val="none"/>
          <w14:textFill>
            <w14:solidFill>
              <w14:schemeClr w14:val="tx1"/>
            </w14:solidFill>
          </w14:textFill>
        </w:rPr>
        <w:t>应</w:t>
      </w:r>
      <w:r>
        <w:rPr>
          <w:color w:val="000000" w:themeColor="text1"/>
          <w:szCs w:val="21"/>
          <w:highlight w:val="none"/>
          <w14:textFill>
            <w14:solidFill>
              <w14:schemeClr w14:val="tx1"/>
            </w14:solidFill>
          </w14:textFill>
        </w:rPr>
        <w:t>重新</w:t>
      </w:r>
      <w:r>
        <w:rPr>
          <w:rFonts w:hint="eastAsia"/>
          <w:color w:val="000000" w:themeColor="text1"/>
          <w:szCs w:val="21"/>
          <w:highlight w:val="none"/>
          <w14:textFill>
            <w14:solidFill>
              <w14:schemeClr w14:val="tx1"/>
            </w14:solidFill>
          </w14:textFill>
        </w:rPr>
        <w:t>组织</w:t>
      </w:r>
      <w:r>
        <w:rPr>
          <w:color w:val="000000" w:themeColor="text1"/>
          <w:szCs w:val="21"/>
          <w:highlight w:val="none"/>
          <w14:textFill>
            <w14:solidFill>
              <w14:schemeClr w14:val="tx1"/>
            </w14:solidFill>
          </w14:textFill>
        </w:rPr>
        <w:t>采购。</w:t>
      </w:r>
    </w:p>
    <w:p w14:paraId="249DCE69">
      <w:pPr>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26.3如拟成交单位存在不平衡报价，在合同签订前采购人可要求拟成交单位把单价调整至合理水平。</w:t>
      </w:r>
    </w:p>
    <w:bookmarkEnd w:id="479"/>
    <w:bookmarkEnd w:id="480"/>
    <w:bookmarkEnd w:id="481"/>
    <w:bookmarkEnd w:id="482"/>
    <w:bookmarkEnd w:id="483"/>
    <w:bookmarkEnd w:id="484"/>
    <w:bookmarkEnd w:id="485"/>
    <w:bookmarkEnd w:id="486"/>
    <w:bookmarkEnd w:id="487"/>
    <w:bookmarkEnd w:id="488"/>
    <w:bookmarkEnd w:id="489"/>
    <w:p w14:paraId="55044FA9">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490" w:name="_Toc53949211"/>
      <w:bookmarkStart w:id="491" w:name="_Toc53936549"/>
      <w:bookmarkStart w:id="492" w:name="_Toc53918840"/>
      <w:bookmarkStart w:id="493" w:name="_Toc53948369"/>
      <w:bookmarkStart w:id="494" w:name="_Toc54280824"/>
      <w:bookmarkStart w:id="495" w:name="_Toc54280398"/>
      <w:bookmarkStart w:id="496" w:name="_Toc54281250"/>
      <w:bookmarkStart w:id="497" w:name="_Toc54279972"/>
      <w:bookmarkStart w:id="498" w:name="_Toc53939613"/>
      <w:bookmarkStart w:id="499" w:name="_Toc53948790"/>
      <w:bookmarkStart w:id="500" w:name="_Toc53945814"/>
      <w:bookmarkStart w:id="501" w:name="_Toc145499766"/>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27</w:t>
      </w:r>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w:t>
      </w:r>
      <w:bookmarkEnd w:id="490"/>
      <w:bookmarkEnd w:id="491"/>
      <w:bookmarkEnd w:id="492"/>
      <w:bookmarkEnd w:id="493"/>
      <w:bookmarkEnd w:id="494"/>
      <w:bookmarkEnd w:id="495"/>
      <w:bookmarkEnd w:id="496"/>
      <w:bookmarkEnd w:id="497"/>
      <w:bookmarkEnd w:id="498"/>
      <w:bookmarkEnd w:id="499"/>
      <w:bookmarkEnd w:id="500"/>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履约担保</w:t>
      </w:r>
      <w:bookmarkEnd w:id="501"/>
    </w:p>
    <w:p w14:paraId="2170E51B">
      <w:pPr>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27</w:t>
      </w:r>
      <w:r>
        <w:rPr>
          <w:color w:val="000000" w:themeColor="text1"/>
          <w:szCs w:val="21"/>
          <w:highlight w:val="none"/>
          <w14:textFill>
            <w14:solidFill>
              <w14:schemeClr w14:val="tx1"/>
            </w14:solidFill>
          </w14:textFill>
        </w:rPr>
        <w:t>.1</w:t>
      </w:r>
      <w:r>
        <w:rPr>
          <w:rFonts w:hAnsi="宋体"/>
          <w:color w:val="000000" w:themeColor="text1"/>
          <w:szCs w:val="21"/>
          <w:highlight w:val="none"/>
          <w14:textFill>
            <w14:solidFill>
              <w14:schemeClr w14:val="tx1"/>
            </w14:solidFill>
          </w14:textFill>
        </w:rPr>
        <w:t>成交单位在签订合同协议书时，应按《响应单位须知前附表》第</w:t>
      </w:r>
      <w:r>
        <w:rPr>
          <w:rFonts w:hint="eastAsia"/>
          <w:color w:val="000000" w:themeColor="text1"/>
          <w:szCs w:val="21"/>
          <w:highlight w:val="none"/>
          <w14:textFill>
            <w14:solidFill>
              <w14:schemeClr w14:val="tx1"/>
            </w14:solidFill>
          </w14:textFill>
        </w:rPr>
        <w:t>17</w:t>
      </w:r>
      <w:r>
        <w:rPr>
          <w:rFonts w:hAnsi="宋体"/>
          <w:color w:val="000000" w:themeColor="text1"/>
          <w:szCs w:val="21"/>
          <w:highlight w:val="none"/>
          <w14:textFill>
            <w14:solidFill>
              <w14:schemeClr w14:val="tx1"/>
            </w14:solidFill>
          </w14:textFill>
        </w:rPr>
        <w:t>项规定，向采购人提交履约</w:t>
      </w:r>
      <w:r>
        <w:rPr>
          <w:rFonts w:hint="eastAsia" w:hAnsi="宋体"/>
          <w:color w:val="000000" w:themeColor="text1"/>
          <w:szCs w:val="21"/>
          <w:highlight w:val="none"/>
          <w14:textFill>
            <w14:solidFill>
              <w14:schemeClr w14:val="tx1"/>
            </w14:solidFill>
          </w14:textFill>
        </w:rPr>
        <w:t>担保</w:t>
      </w:r>
      <w:r>
        <w:rPr>
          <w:rFonts w:hAnsi="宋体"/>
          <w:color w:val="000000" w:themeColor="text1"/>
          <w:szCs w:val="21"/>
          <w:highlight w:val="none"/>
          <w14:textFill>
            <w14:solidFill>
              <w14:schemeClr w14:val="tx1"/>
            </w14:solidFill>
          </w14:textFill>
        </w:rPr>
        <w:t>。</w:t>
      </w:r>
    </w:p>
    <w:p w14:paraId="03120711">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502" w:name="_Toc53948370"/>
      <w:bookmarkStart w:id="503" w:name="_Toc54280399"/>
      <w:bookmarkStart w:id="504" w:name="_Toc53948791"/>
      <w:bookmarkStart w:id="505" w:name="_Toc53949212"/>
      <w:bookmarkStart w:id="506" w:name="_Toc54281251"/>
      <w:bookmarkStart w:id="507" w:name="_Toc145499767"/>
      <w:bookmarkStart w:id="508" w:name="_Toc54279973"/>
      <w:bookmarkStart w:id="509" w:name="_Toc53939614"/>
      <w:bookmarkStart w:id="510" w:name="_Toc53936550"/>
      <w:bookmarkStart w:id="511" w:name="_Toc54280825"/>
      <w:bookmarkStart w:id="512" w:name="_Toc53918841"/>
      <w:bookmarkStart w:id="513" w:name="_Toc53945815"/>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28</w:t>
      </w:r>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.合同协议书的签署</w:t>
      </w:r>
      <w:bookmarkEnd w:id="502"/>
      <w:bookmarkEnd w:id="503"/>
      <w:bookmarkEnd w:id="504"/>
      <w:bookmarkEnd w:id="505"/>
      <w:bookmarkEnd w:id="506"/>
      <w:bookmarkEnd w:id="507"/>
      <w:bookmarkEnd w:id="508"/>
      <w:bookmarkEnd w:id="509"/>
      <w:bookmarkEnd w:id="510"/>
      <w:bookmarkEnd w:id="511"/>
      <w:bookmarkEnd w:id="512"/>
      <w:bookmarkEnd w:id="513"/>
    </w:p>
    <w:p w14:paraId="65A5CAE0">
      <w:pPr>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28</w:t>
      </w:r>
      <w:r>
        <w:rPr>
          <w:color w:val="000000" w:themeColor="text1"/>
          <w:szCs w:val="21"/>
          <w:highlight w:val="none"/>
          <w14:textFill>
            <w14:solidFill>
              <w14:schemeClr w14:val="tx1"/>
            </w14:solidFill>
          </w14:textFill>
        </w:rPr>
        <w:t>.1</w:t>
      </w:r>
      <w:r>
        <w:rPr>
          <w:rFonts w:hAnsi="宋体"/>
          <w:color w:val="000000" w:themeColor="text1"/>
          <w:szCs w:val="21"/>
          <w:highlight w:val="none"/>
          <w14:textFill>
            <w14:solidFill>
              <w14:schemeClr w14:val="tx1"/>
            </w14:solidFill>
          </w14:textFill>
        </w:rPr>
        <w:t>成交单位应在《响应单位须知前附表》第</w:t>
      </w:r>
      <w:r>
        <w:rPr>
          <w:rFonts w:hint="eastAsia"/>
          <w:color w:val="000000" w:themeColor="text1"/>
          <w:szCs w:val="21"/>
          <w:highlight w:val="none"/>
          <w14:textFill>
            <w14:solidFill>
              <w14:schemeClr w14:val="tx1"/>
            </w14:solidFill>
          </w14:textFill>
        </w:rPr>
        <w:t>18</w:t>
      </w:r>
      <w:r>
        <w:rPr>
          <w:rFonts w:hAnsi="宋体"/>
          <w:color w:val="000000" w:themeColor="text1"/>
          <w:szCs w:val="21"/>
          <w:highlight w:val="none"/>
          <w14:textFill>
            <w14:solidFill>
              <w14:schemeClr w14:val="tx1"/>
            </w14:solidFill>
          </w14:textFill>
        </w:rPr>
        <w:t>项规定的时间内，与采购人签订合同协议书。</w:t>
      </w:r>
    </w:p>
    <w:p w14:paraId="2464D9F5">
      <w:pPr>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28</w:t>
      </w:r>
      <w:r>
        <w:rPr>
          <w:color w:val="000000" w:themeColor="text1"/>
          <w:szCs w:val="21"/>
          <w:highlight w:val="none"/>
          <w14:textFill>
            <w14:solidFill>
              <w14:schemeClr w14:val="tx1"/>
            </w14:solidFill>
          </w14:textFill>
        </w:rPr>
        <w:t>.2</w:t>
      </w:r>
      <w:r>
        <w:rPr>
          <w:rFonts w:hAnsi="宋体"/>
          <w:color w:val="000000" w:themeColor="text1"/>
          <w:szCs w:val="21"/>
          <w:highlight w:val="none"/>
          <w14:textFill>
            <w14:solidFill>
              <w14:schemeClr w14:val="tx1"/>
            </w14:solidFill>
          </w14:textFill>
        </w:rPr>
        <w:t>合同协议书经签约双方法定代表人或其授权代理人签字并加盖公章后生效，但在合同协议书中约定合同生效</w:t>
      </w:r>
      <w:r>
        <w:rPr>
          <w:rFonts w:hint="eastAsia" w:hAnsi="宋体"/>
          <w:color w:val="000000" w:themeColor="text1"/>
          <w:szCs w:val="21"/>
          <w:highlight w:val="none"/>
          <w14:textFill>
            <w14:solidFill>
              <w14:schemeClr w14:val="tx1"/>
            </w14:solidFill>
          </w14:textFill>
        </w:rPr>
        <w:t>期限</w:t>
      </w:r>
      <w:r>
        <w:rPr>
          <w:rFonts w:hAnsi="宋体"/>
          <w:color w:val="000000" w:themeColor="text1"/>
          <w:szCs w:val="21"/>
          <w:highlight w:val="none"/>
          <w14:textFill>
            <w14:solidFill>
              <w14:schemeClr w14:val="tx1"/>
            </w14:solidFill>
          </w14:textFill>
        </w:rPr>
        <w:t>或条件的除外。</w:t>
      </w:r>
    </w:p>
    <w:p w14:paraId="4C0A49AB">
      <w:pPr>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28</w:t>
      </w:r>
      <w:r>
        <w:rPr>
          <w:color w:val="000000" w:themeColor="text1"/>
          <w:szCs w:val="21"/>
          <w:highlight w:val="none"/>
          <w14:textFill>
            <w14:solidFill>
              <w14:schemeClr w14:val="tx1"/>
            </w14:solidFill>
          </w14:textFill>
        </w:rPr>
        <w:t>.3</w:t>
      </w:r>
      <w:r>
        <w:rPr>
          <w:rFonts w:hAnsi="宋体"/>
          <w:color w:val="000000" w:themeColor="text1"/>
          <w:szCs w:val="21"/>
          <w:highlight w:val="none"/>
          <w14:textFill>
            <w14:solidFill>
              <w14:schemeClr w14:val="tx1"/>
            </w14:solidFill>
          </w14:textFill>
        </w:rPr>
        <w:t>如果成交单位未能遵守本《响应单位须知前附表》</w:t>
      </w:r>
      <w:r>
        <w:rPr>
          <w:rFonts w:hint="eastAsia"/>
          <w:color w:val="000000" w:themeColor="text1"/>
          <w:szCs w:val="21"/>
          <w:highlight w:val="none"/>
          <w14:textFill>
            <w14:solidFill>
              <w14:schemeClr w14:val="tx1"/>
            </w14:solidFill>
          </w14:textFill>
        </w:rPr>
        <w:t>18项</w:t>
      </w:r>
      <w:r>
        <w:rPr>
          <w:rFonts w:hAnsi="宋体"/>
          <w:color w:val="000000" w:themeColor="text1"/>
          <w:szCs w:val="21"/>
          <w:highlight w:val="none"/>
          <w14:textFill>
            <w14:solidFill>
              <w14:schemeClr w14:val="tx1"/>
            </w14:solidFill>
          </w14:textFill>
        </w:rPr>
        <w:t>或</w:t>
      </w:r>
      <w:r>
        <w:rPr>
          <w:rFonts w:hint="eastAsia"/>
          <w:color w:val="000000" w:themeColor="text1"/>
          <w:szCs w:val="21"/>
          <w:highlight w:val="none"/>
          <w14:textFill>
            <w14:solidFill>
              <w14:schemeClr w14:val="tx1"/>
            </w14:solidFill>
          </w14:textFill>
        </w:rPr>
        <w:t>本章第27</w:t>
      </w:r>
      <w:r>
        <w:rPr>
          <w:rFonts w:hAnsi="宋体"/>
          <w:color w:val="000000" w:themeColor="text1"/>
          <w:szCs w:val="21"/>
          <w:highlight w:val="none"/>
          <w14:textFill>
            <w14:solidFill>
              <w14:schemeClr w14:val="tx1"/>
            </w14:solidFill>
          </w14:textFill>
        </w:rPr>
        <w:t>条的规定，采购人则可宣布其</w:t>
      </w:r>
      <w:r>
        <w:rPr>
          <w:rFonts w:hint="eastAsia" w:hAnsi="宋体"/>
          <w:color w:val="000000" w:themeColor="text1"/>
          <w:szCs w:val="21"/>
          <w:highlight w:val="none"/>
          <w14:textFill>
            <w14:solidFill>
              <w14:schemeClr w14:val="tx1"/>
            </w14:solidFill>
          </w14:textFill>
        </w:rPr>
        <w:t>成交结果</w:t>
      </w:r>
      <w:r>
        <w:rPr>
          <w:rFonts w:hAnsi="宋体"/>
          <w:color w:val="000000" w:themeColor="text1"/>
          <w:szCs w:val="21"/>
          <w:highlight w:val="none"/>
          <w14:textFill>
            <w14:solidFill>
              <w14:schemeClr w14:val="tx1"/>
            </w14:solidFill>
          </w14:textFill>
        </w:rPr>
        <w:t>无效，并没收其响应担保</w:t>
      </w:r>
      <w:r>
        <w:rPr>
          <w:rFonts w:hint="eastAsia" w:hAnsi="宋体"/>
          <w:color w:val="000000" w:themeColor="text1"/>
          <w:szCs w:val="21"/>
          <w:highlight w:val="none"/>
          <w14:textFill>
            <w14:solidFill>
              <w14:schemeClr w14:val="tx1"/>
            </w14:solidFill>
          </w14:textFill>
        </w:rPr>
        <w:t>金</w:t>
      </w:r>
      <w:r>
        <w:rPr>
          <w:rFonts w:hAnsi="宋体"/>
          <w:color w:val="000000" w:themeColor="text1"/>
          <w:szCs w:val="21"/>
          <w:highlight w:val="none"/>
          <w14:textFill>
            <w14:solidFill>
              <w14:schemeClr w14:val="tx1"/>
            </w14:solidFill>
          </w14:textFill>
        </w:rPr>
        <w:t>。在此情况下，可将合同授予下一个预期的成交单位或者按照有关规定重新组织采购。</w:t>
      </w:r>
    </w:p>
    <w:p w14:paraId="41B911C4">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bookmarkStart w:id="514" w:name="_Toc53949213"/>
      <w:bookmarkStart w:id="515" w:name="_Toc53945816"/>
      <w:bookmarkStart w:id="516" w:name="_Toc53936551"/>
      <w:bookmarkStart w:id="517" w:name="_Toc54279975"/>
      <w:bookmarkStart w:id="518" w:name="_Toc53918842"/>
      <w:bookmarkStart w:id="519" w:name="_Toc53948792"/>
      <w:bookmarkStart w:id="520" w:name="_Toc54280401"/>
      <w:bookmarkStart w:id="521" w:name="_Toc54280827"/>
      <w:bookmarkStart w:id="522" w:name="_Toc145499768"/>
      <w:bookmarkStart w:id="523" w:name="_Toc53948371"/>
      <w:bookmarkStart w:id="524" w:name="_Toc53939615"/>
      <w:bookmarkStart w:id="525" w:name="_Toc54281253"/>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29</w:t>
      </w:r>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.不正当竞争与纪律监督</w:t>
      </w:r>
      <w:bookmarkEnd w:id="514"/>
      <w:bookmarkEnd w:id="515"/>
      <w:bookmarkEnd w:id="516"/>
      <w:bookmarkEnd w:id="517"/>
      <w:bookmarkEnd w:id="518"/>
      <w:bookmarkEnd w:id="519"/>
      <w:bookmarkEnd w:id="520"/>
      <w:bookmarkEnd w:id="521"/>
      <w:bookmarkEnd w:id="522"/>
      <w:bookmarkEnd w:id="523"/>
      <w:bookmarkEnd w:id="524"/>
      <w:bookmarkEnd w:id="525"/>
    </w:p>
    <w:p w14:paraId="73EB7493">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29.1</w:t>
      </w:r>
      <w:r>
        <w:rPr>
          <w:rFonts w:hint="eastAsia"/>
          <w:color w:val="000000" w:themeColor="text1"/>
          <w:szCs w:val="21"/>
          <w:highlight w:val="none"/>
          <w14:textFill>
            <w14:solidFill>
              <w14:schemeClr w14:val="tx1"/>
            </w14:solidFill>
          </w14:textFill>
        </w:rPr>
        <w:t>响应单位在采购过程中严禁互相串通、结盟，损害采购的公正性和竞争性，或以任何方式影响其他响应单位参与正当采购活动。</w:t>
      </w:r>
    </w:p>
    <w:p w14:paraId="2AE42C95">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29.2</w:t>
      </w:r>
      <w:r>
        <w:rPr>
          <w:rFonts w:hint="eastAsia"/>
          <w:color w:val="000000" w:themeColor="text1"/>
          <w:szCs w:val="21"/>
          <w:highlight w:val="none"/>
          <w14:textFill>
            <w14:solidFill>
              <w14:schemeClr w14:val="tx1"/>
            </w14:solidFill>
          </w14:textFill>
        </w:rPr>
        <w:t>响应单位严禁使用非法手段查询采购底价或其他响应单位文件，泄漏响应文件、哄抬价格损害采购人利益。</w:t>
      </w:r>
    </w:p>
    <w:p w14:paraId="0E8F094D">
      <w:pPr>
        <w:spacing w:line="360" w:lineRule="auto"/>
        <w:ind w:left="516" w:leftChars="33" w:hanging="447" w:hangingChars="213"/>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29.3</w:t>
      </w:r>
      <w:r>
        <w:rPr>
          <w:rFonts w:hint="eastAsia"/>
          <w:color w:val="000000" w:themeColor="text1"/>
          <w:szCs w:val="21"/>
          <w:highlight w:val="none"/>
          <w14:textFill>
            <w14:solidFill>
              <w14:schemeClr w14:val="tx1"/>
            </w14:solidFill>
          </w14:textFill>
        </w:rPr>
        <w:t>响应单位严禁利用非法手段骗取成交，伪造借用营业执照、企业资质证书、安全许可证等非法行为。</w:t>
      </w:r>
    </w:p>
    <w:p w14:paraId="20649927">
      <w:pPr>
        <w:spacing w:line="360" w:lineRule="auto"/>
        <w:ind w:left="516" w:leftChars="33" w:hanging="447" w:hangingChars="213"/>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29</w:t>
      </w:r>
      <w:r>
        <w:rPr>
          <w:color w:val="000000" w:themeColor="text1"/>
          <w:szCs w:val="21"/>
          <w:highlight w:val="none"/>
          <w14:textFill>
            <w14:solidFill>
              <w14:schemeClr w14:val="tx1"/>
            </w14:solidFill>
          </w14:textFill>
        </w:rPr>
        <w:t>.4如发现响应单位有上述不正当竞争行为，将取消其</w:t>
      </w:r>
      <w:r>
        <w:rPr>
          <w:rFonts w:hint="eastAsia"/>
          <w:color w:val="000000" w:themeColor="text1"/>
          <w:szCs w:val="21"/>
          <w:highlight w:val="none"/>
          <w14:textFill>
            <w14:solidFill>
              <w14:schemeClr w14:val="tx1"/>
            </w14:solidFill>
          </w14:textFill>
        </w:rPr>
        <w:t>响应</w:t>
      </w:r>
      <w:r>
        <w:rPr>
          <w:color w:val="000000" w:themeColor="text1"/>
          <w:szCs w:val="21"/>
          <w:highlight w:val="none"/>
          <w14:textFill>
            <w14:solidFill>
              <w14:schemeClr w14:val="tx1"/>
            </w14:solidFill>
          </w14:textFill>
        </w:rPr>
        <w:t>资格或</w:t>
      </w:r>
      <w:r>
        <w:rPr>
          <w:rFonts w:hint="eastAsia"/>
          <w:color w:val="000000" w:themeColor="text1"/>
          <w:szCs w:val="21"/>
          <w:highlight w:val="none"/>
          <w14:textFill>
            <w14:solidFill>
              <w14:schemeClr w14:val="tx1"/>
            </w14:solidFill>
          </w14:textFill>
        </w:rPr>
        <w:t>成交</w:t>
      </w:r>
      <w:r>
        <w:rPr>
          <w:color w:val="000000" w:themeColor="text1"/>
          <w:szCs w:val="21"/>
          <w:highlight w:val="none"/>
          <w14:textFill>
            <w14:solidFill>
              <w14:schemeClr w14:val="tx1"/>
            </w14:solidFill>
          </w14:textFill>
        </w:rPr>
        <w:t>资格</w:t>
      </w:r>
      <w:r>
        <w:rPr>
          <w:rFonts w:hint="eastAsia"/>
          <w:color w:val="000000" w:themeColor="text1"/>
          <w:szCs w:val="21"/>
          <w:highlight w:val="none"/>
          <w14:textFill>
            <w14:solidFill>
              <w14:schemeClr w14:val="tx1"/>
            </w14:solidFill>
          </w14:textFill>
        </w:rPr>
        <w:t>，已进场开工的责令停工退场，赔偿公司的经济损失，列入中建路桥不合格协力队伍名录</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同时，该响应单位及其法定代表人（负责人）无论用何种名义、重新注册公司或挂靠的任何单位永久不得参与中建路桥集团范围内组织的采购。</w:t>
      </w:r>
    </w:p>
    <w:p w14:paraId="4E544043">
      <w:pPr>
        <w:pStyle w:val="3"/>
        <w:spacing w:before="240" w:beforeLines="100" w:after="120" w:afterLines="50" w:line="360" w:lineRule="auto"/>
        <w:jc w:val="center"/>
        <w:rPr>
          <w:rStyle w:val="46"/>
          <w:rFonts w:hint="eastAsia" w:ascii="Times New Roman" w:hAnsi="宋体" w:eastAsia="宋体"/>
          <w:b/>
          <w:bCs w:val="0"/>
          <w:color w:val="000000" w:themeColor="text1"/>
          <w:sz w:val="28"/>
          <w:szCs w:val="28"/>
          <w:highlight w:val="none"/>
          <w14:textFill>
            <w14:solidFill>
              <w14:schemeClr w14:val="tx1"/>
            </w14:solidFill>
          </w14:textFill>
        </w:rPr>
      </w:pPr>
      <w:r>
        <w:rPr>
          <w:rStyle w:val="46"/>
          <w:rFonts w:ascii="Times New Roman" w:hAnsi="宋体" w:eastAsia="宋体"/>
          <w:b/>
          <w:bCs w:val="0"/>
          <w:color w:val="000000" w:themeColor="text1"/>
          <w:sz w:val="28"/>
          <w:szCs w:val="28"/>
          <w:highlight w:val="none"/>
          <w14:textFill>
            <w14:solidFill>
              <w14:schemeClr w14:val="tx1"/>
            </w14:solidFill>
          </w14:textFill>
        </w:rPr>
        <w:t>第</w:t>
      </w:r>
      <w:r>
        <w:rPr>
          <w:rStyle w:val="46"/>
          <w:rFonts w:hint="eastAsia" w:ascii="Times New Roman" w:hAnsi="宋体" w:eastAsia="宋体"/>
          <w:b/>
          <w:bCs w:val="0"/>
          <w:color w:val="000000" w:themeColor="text1"/>
          <w:sz w:val="28"/>
          <w:szCs w:val="28"/>
          <w:highlight w:val="none"/>
          <w14:textFill>
            <w14:solidFill>
              <w14:schemeClr w14:val="tx1"/>
            </w14:solidFill>
          </w14:textFill>
        </w:rPr>
        <w:t>七</w:t>
      </w:r>
      <w:r>
        <w:rPr>
          <w:rStyle w:val="46"/>
          <w:rFonts w:ascii="Times New Roman" w:hAnsi="宋体" w:eastAsia="宋体"/>
          <w:b/>
          <w:bCs w:val="0"/>
          <w:color w:val="000000" w:themeColor="text1"/>
          <w:sz w:val="28"/>
          <w:szCs w:val="28"/>
          <w:highlight w:val="none"/>
          <w14:textFill>
            <w14:solidFill>
              <w14:schemeClr w14:val="tx1"/>
            </w14:solidFill>
          </w14:textFill>
        </w:rPr>
        <w:t>章</w:t>
      </w:r>
      <w:r>
        <w:rPr>
          <w:rStyle w:val="46"/>
          <w:rFonts w:ascii="Times New Roman" w:hAnsi="Times New Roman" w:eastAsia="宋体"/>
          <w:b/>
          <w:bCs w:val="0"/>
          <w:color w:val="000000" w:themeColor="text1"/>
          <w:sz w:val="28"/>
          <w:szCs w:val="28"/>
          <w:highlight w:val="none"/>
          <w14:textFill>
            <w14:solidFill>
              <w14:schemeClr w14:val="tx1"/>
            </w14:solidFill>
          </w14:textFill>
        </w:rPr>
        <w:t xml:space="preserve">  </w:t>
      </w:r>
      <w:r>
        <w:rPr>
          <w:rStyle w:val="46"/>
          <w:rFonts w:hint="eastAsia" w:ascii="Times New Roman" w:hAnsi="宋体" w:eastAsia="宋体"/>
          <w:b/>
          <w:bCs w:val="0"/>
          <w:color w:val="000000" w:themeColor="text1"/>
          <w:sz w:val="28"/>
          <w:szCs w:val="28"/>
          <w:highlight w:val="none"/>
          <w14:textFill>
            <w14:solidFill>
              <w14:schemeClr w14:val="tx1"/>
            </w14:solidFill>
          </w14:textFill>
        </w:rPr>
        <w:t>重新采购和不再采购</w:t>
      </w:r>
    </w:p>
    <w:p w14:paraId="1132350A">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30</w:t>
      </w:r>
      <w:r>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t>.</w:t>
      </w:r>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出现下列特殊情况之一，采购人可重新采购：</w:t>
      </w:r>
    </w:p>
    <w:p w14:paraId="4E298D49">
      <w:pPr>
        <w:spacing w:line="360"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（1）响应截止时间止，递交响应文件的响应单位少于三个的；</w:t>
      </w:r>
    </w:p>
    <w:p w14:paraId="2B1DFC64">
      <w:pPr>
        <w:spacing w:line="360" w:lineRule="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（2）经评审</w:t>
      </w:r>
      <w:r>
        <w:rPr>
          <w:rFonts w:hint="eastAsia"/>
          <w:color w:val="000000" w:themeColor="text1"/>
          <w:szCs w:val="21"/>
          <w:highlight w:val="none"/>
          <w14:textFill>
            <w14:solidFill>
              <w14:schemeClr w14:val="tx1"/>
            </w14:solidFill>
          </w14:textFill>
        </w:rPr>
        <w:t>小组</w:t>
      </w:r>
      <w:r>
        <w:rPr>
          <w:color w:val="000000" w:themeColor="text1"/>
          <w:szCs w:val="21"/>
          <w:highlight w:val="none"/>
          <w14:textFill>
            <w14:solidFill>
              <w14:schemeClr w14:val="tx1"/>
            </w14:solidFill>
          </w14:textFill>
        </w:rPr>
        <w:t>否决全部</w:t>
      </w:r>
      <w:r>
        <w:rPr>
          <w:rFonts w:hint="eastAsia"/>
          <w:color w:val="000000" w:themeColor="text1"/>
          <w:szCs w:val="21"/>
          <w:highlight w:val="none"/>
          <w14:textFill>
            <w14:solidFill>
              <w14:schemeClr w14:val="tx1"/>
            </w14:solidFill>
          </w14:textFill>
        </w:rPr>
        <w:t>响应单位</w:t>
      </w:r>
      <w:r>
        <w:rPr>
          <w:color w:val="000000" w:themeColor="text1"/>
          <w:szCs w:val="21"/>
          <w:highlight w:val="none"/>
          <w14:textFill>
            <w14:solidFill>
              <w14:schemeClr w14:val="tx1"/>
            </w14:solidFill>
          </w14:textFill>
        </w:rPr>
        <w:t>的；</w:t>
      </w:r>
    </w:p>
    <w:p w14:paraId="38685E1F">
      <w:pPr>
        <w:spacing w:line="360" w:lineRule="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（3）评审</w:t>
      </w:r>
      <w:r>
        <w:rPr>
          <w:rFonts w:hint="eastAsia"/>
          <w:color w:val="000000" w:themeColor="text1"/>
          <w:szCs w:val="21"/>
          <w:highlight w:val="none"/>
          <w14:textFill>
            <w14:solidFill>
              <w14:schemeClr w14:val="tx1"/>
            </w14:solidFill>
          </w14:textFill>
        </w:rPr>
        <w:t>小组</w:t>
      </w:r>
      <w:r>
        <w:rPr>
          <w:color w:val="000000" w:themeColor="text1"/>
          <w:szCs w:val="21"/>
          <w:highlight w:val="none"/>
          <w14:textFill>
            <w14:solidFill>
              <w14:schemeClr w14:val="tx1"/>
            </w14:solidFill>
          </w14:textFill>
        </w:rPr>
        <w:t>推荐的</w:t>
      </w:r>
      <w:r>
        <w:rPr>
          <w:rFonts w:hint="eastAsia"/>
          <w:color w:val="000000" w:themeColor="text1"/>
          <w:szCs w:val="21"/>
          <w:highlight w:val="none"/>
          <w14:textFill>
            <w14:solidFill>
              <w14:schemeClr w14:val="tx1"/>
            </w14:solidFill>
          </w14:textFill>
        </w:rPr>
        <w:t>成交</w:t>
      </w:r>
      <w:r>
        <w:rPr>
          <w:color w:val="000000" w:themeColor="text1"/>
          <w:szCs w:val="21"/>
          <w:highlight w:val="none"/>
          <w14:textFill>
            <w14:solidFill>
              <w14:schemeClr w14:val="tx1"/>
            </w14:solidFill>
          </w14:textFill>
        </w:rPr>
        <w:t>候选人均</w:t>
      </w:r>
      <w:r>
        <w:rPr>
          <w:rFonts w:hint="eastAsia"/>
          <w:color w:val="000000" w:themeColor="text1"/>
          <w:szCs w:val="21"/>
          <w:highlight w:val="none"/>
          <w14:textFill>
            <w14:solidFill>
              <w14:schemeClr w14:val="tx1"/>
            </w14:solidFill>
          </w14:textFill>
        </w:rPr>
        <w:t>未能与采购人签订合同协议书的；</w:t>
      </w:r>
    </w:p>
    <w:p w14:paraId="16EFA448">
      <w:pPr>
        <w:spacing w:line="360"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（4）超过半数的响应单位报价严重偏离成本价。</w:t>
      </w:r>
    </w:p>
    <w:p w14:paraId="027E098B">
      <w:pPr>
        <w:pStyle w:val="53"/>
        <w:spacing w:before="120"/>
        <w:rPr>
          <w:rStyle w:val="46"/>
          <w:rFonts w:ascii="Times New Roman" w:hAnsi="Times New Roman" w:eastAsia="宋体" w:cs="Times New Roman"/>
          <w:b/>
          <w:bCs w:val="0"/>
          <w:color w:val="000000" w:themeColor="text1"/>
          <w:sz w:val="28"/>
          <w:szCs w:val="28"/>
          <w:highlight w:val="none"/>
          <w14:textFill>
            <w14:solidFill>
              <w14:schemeClr w14:val="tx1"/>
            </w14:solidFill>
          </w14:textFill>
        </w:rPr>
      </w:pPr>
      <w:r>
        <w:rPr>
          <w:rStyle w:val="46"/>
          <w:rFonts w:hint="eastAsia" w:ascii="Times New Roman" w:hAnsi="Times New Roman" w:eastAsia="宋体" w:cs="Times New Roman"/>
          <w:b/>
          <w:bCs w:val="0"/>
          <w:color w:val="000000" w:themeColor="text1"/>
          <w:sz w:val="28"/>
          <w:szCs w:val="28"/>
          <w:highlight w:val="none"/>
          <w14:textFill>
            <w14:solidFill>
              <w14:schemeClr w14:val="tx1"/>
            </w14:solidFill>
          </w14:textFill>
        </w:rPr>
        <w:t>31.不再采购</w:t>
      </w:r>
    </w:p>
    <w:p w14:paraId="3840D37E">
      <w:pPr>
        <w:spacing w:line="360"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重新采购后响应单位仍出现30条中的情况，采购人可选择不再进行采购。</w:t>
      </w:r>
    </w:p>
    <w:p w14:paraId="29FE52E2">
      <w:pPr>
        <w:spacing w:line="360" w:lineRule="auto"/>
        <w:ind w:left="516" w:leftChars="33" w:hanging="447" w:hangingChars="213"/>
        <w:rPr>
          <w:color w:val="000000" w:themeColor="text1"/>
          <w:szCs w:val="21"/>
          <w:highlight w:val="none"/>
          <w14:textFill>
            <w14:solidFill>
              <w14:schemeClr w14:val="tx1"/>
            </w14:solidFill>
          </w14:textFill>
        </w:rPr>
      </w:pPr>
    </w:p>
    <w:p w14:paraId="1CBE64DF">
      <w:pPr>
        <w:spacing w:line="360" w:lineRule="auto"/>
        <w:ind w:left="516" w:leftChars="33" w:hanging="447" w:hangingChars="213"/>
        <w:rPr>
          <w:color w:val="000000" w:themeColor="text1"/>
          <w:szCs w:val="21"/>
          <w:highlight w:val="none"/>
          <w14:textFill>
            <w14:solidFill>
              <w14:schemeClr w14:val="tx1"/>
            </w14:solidFill>
          </w14:textFill>
        </w:rPr>
      </w:pPr>
    </w:p>
    <w:p w14:paraId="703DE020">
      <w:pPr>
        <w:spacing w:line="360" w:lineRule="auto"/>
        <w:ind w:left="516" w:leftChars="33" w:hanging="447" w:hangingChars="213"/>
        <w:rPr>
          <w:color w:val="000000" w:themeColor="text1"/>
          <w:szCs w:val="21"/>
          <w:highlight w:val="none"/>
          <w14:textFill>
            <w14:solidFill>
              <w14:schemeClr w14:val="tx1"/>
            </w14:solidFill>
          </w14:textFill>
        </w:rPr>
        <w:sectPr>
          <w:headerReference r:id="rId8" w:type="default"/>
          <w:footerReference r:id="rId9" w:type="default"/>
          <w:pgSz w:w="11907" w:h="16840"/>
          <w:pgMar w:top="1417" w:right="1701" w:bottom="1417" w:left="1701" w:header="850" w:footer="1134" w:gutter="0"/>
          <w:pgNumType w:fmt="decimal"/>
          <w:cols w:space="0" w:num="1"/>
          <w:rtlGutter w:val="0"/>
          <w:docGrid w:linePitch="312" w:charSpace="0"/>
        </w:sectPr>
      </w:pPr>
    </w:p>
    <w:p w14:paraId="126E0286">
      <w:pPr>
        <w:pStyle w:val="2"/>
        <w:rPr>
          <w:color w:val="000000" w:themeColor="text1"/>
          <w:highlight w:val="none"/>
          <w14:textFill>
            <w14:solidFill>
              <w14:schemeClr w14:val="tx1"/>
            </w14:solidFill>
          </w14:textFill>
        </w:rPr>
      </w:pPr>
      <w:bookmarkStart w:id="526" w:name="_Toc54281140"/>
      <w:bookmarkStart w:id="527" w:name="_Toc53949105"/>
      <w:bookmarkStart w:id="528" w:name="_Toc145499778"/>
      <w:bookmarkStart w:id="529" w:name="_Toc54281566"/>
      <w:bookmarkStart w:id="530" w:name="_Toc53949526"/>
      <w:bookmarkStart w:id="531" w:name="_Toc54278905"/>
      <w:bookmarkStart w:id="532" w:name="_Toc53948684"/>
      <w:bookmarkStart w:id="533" w:name="_Toc53946129"/>
      <w:bookmarkStart w:id="534" w:name="_Toc144872124"/>
      <w:bookmarkStart w:id="535" w:name="_Toc54280714"/>
      <w:bookmarkStart w:id="536" w:name="_Toc54280288"/>
      <w:bookmarkStart w:id="537" w:name="_Toc54291470"/>
      <w:bookmarkStart w:id="538" w:name="_Toc18407865"/>
      <w:r>
        <w:rPr>
          <w:rFonts w:hint="eastAsia"/>
          <w:color w:val="000000" w:themeColor="text1"/>
          <w:highlight w:val="none"/>
          <w14:textFill>
            <w14:solidFill>
              <w14:schemeClr w14:val="tx1"/>
            </w14:solidFill>
          </w14:textFill>
        </w:rPr>
        <w:t>第三篇  分包合同条款</w:t>
      </w:r>
    </w:p>
    <w:p w14:paraId="55C53CFD">
      <w:pPr>
        <w:widowControl/>
        <w:jc w:val="center"/>
        <w:rPr>
          <w:rFonts w:hint="eastAsia"/>
          <w:color w:val="000000" w:themeColor="text1"/>
          <w:highlight w:val="none"/>
          <w14:textFill>
            <w14:solidFill>
              <w14:schemeClr w14:val="tx1"/>
            </w14:solidFill>
          </w14:textFill>
        </w:rPr>
      </w:pPr>
      <w:bookmarkStart w:id="539" w:name="_Toc144872120"/>
      <w:bookmarkStart w:id="540" w:name="_Toc54281136"/>
      <w:bookmarkStart w:id="541" w:name="_Toc53948680"/>
      <w:bookmarkStart w:id="542" w:name="_Toc53939924"/>
      <w:bookmarkStart w:id="543" w:name="_Toc145426864"/>
      <w:bookmarkStart w:id="544" w:name="_Toc53946125"/>
      <w:bookmarkStart w:id="545" w:name="_Toc54280284"/>
      <w:bookmarkStart w:id="546" w:name="_Toc53949101"/>
      <w:bookmarkStart w:id="547" w:name="_Toc145499774"/>
      <w:bookmarkStart w:id="548" w:name="_Toc54281562"/>
      <w:bookmarkStart w:id="549" w:name="_Toc54278901"/>
      <w:bookmarkStart w:id="550" w:name="_Toc54280710"/>
      <w:bookmarkStart w:id="551" w:name="_Toc53949522"/>
      <w:bookmarkStart w:id="552" w:name="_Toc54291466"/>
    </w:p>
    <w:p w14:paraId="69C8C926">
      <w:pPr>
        <w:widowControl/>
        <w:jc w:val="center"/>
        <w:rPr>
          <w:rFonts w:hint="eastAsia"/>
          <w:color w:val="000000" w:themeColor="text1"/>
          <w:highlight w:val="none"/>
          <w14:textFill>
            <w14:solidFill>
              <w14:schemeClr w14:val="tx1"/>
            </w14:solidFill>
          </w14:textFill>
        </w:rPr>
      </w:pPr>
    </w:p>
    <w:p w14:paraId="72EDD70E">
      <w:pPr>
        <w:kinsoku w:val="0"/>
        <w:spacing w:line="360" w:lineRule="auto"/>
        <w:ind w:left="4095" w:leftChars="1950"/>
        <w:rPr>
          <w:rFonts w:eastAsia="仿宋_GB2312"/>
          <w:bCs/>
          <w:color w:val="000000" w:themeColor="text1"/>
          <w:sz w:val="28"/>
          <w:szCs w:val="28"/>
          <w:highlight w:val="none"/>
          <w:u w:val="single"/>
          <w:lang w:eastAsia="zh-CN"/>
          <w14:textFill>
            <w14:solidFill>
              <w14:schemeClr w14:val="tx1"/>
            </w14:solidFill>
          </w14:textFill>
        </w:rPr>
      </w:pPr>
      <w:bookmarkStart w:id="553" w:name="_Hlk126831517"/>
      <w:r>
        <w:rPr>
          <w:rFonts w:hint="eastAsia" w:eastAsia="仿宋_GB2312"/>
          <w:bCs/>
          <w:color w:val="000000" w:themeColor="text1"/>
          <w:sz w:val="28"/>
          <w:szCs w:val="28"/>
          <w:highlight w:val="none"/>
          <w:lang w:eastAsia="zh-CN"/>
          <w14:textFill>
            <w14:solidFill>
              <w14:schemeClr w14:val="tx1"/>
            </w14:solidFill>
          </w14:textFill>
        </w:rPr>
        <w:t>合同编号：</w:t>
      </w:r>
      <w:r>
        <w:rPr>
          <w:rFonts w:eastAsia="仿宋_GB2312"/>
          <w:bCs/>
          <w:color w:val="000000" w:themeColor="text1"/>
          <w:sz w:val="28"/>
          <w:szCs w:val="28"/>
          <w:highlight w:val="none"/>
          <w:u w:val="single"/>
          <w:lang w:eastAsia="zh-CN"/>
          <w14:textFill>
            <w14:solidFill>
              <w14:schemeClr w14:val="tx1"/>
            </w14:solidFill>
          </w14:textFill>
        </w:rPr>
        <w:t xml:space="preserve"> </w:t>
      </w:r>
      <w:r>
        <w:rPr>
          <w:rFonts w:hint="eastAsia" w:eastAsia="仿宋_GB2312"/>
          <w:bCs/>
          <w:color w:val="000000" w:themeColor="text1"/>
          <w:sz w:val="28"/>
          <w:szCs w:val="28"/>
          <w:highlight w:val="none"/>
          <w:u w:val="single"/>
          <w:lang w:eastAsia="zh-CN"/>
          <w14:textFill>
            <w14:solidFill>
              <w14:schemeClr w14:val="tx1"/>
            </w14:solidFill>
          </w14:textFill>
        </w:rPr>
        <w:t>ZJLQ-FB-项目简称-00×/B0×</w:t>
      </w:r>
      <w:r>
        <w:rPr>
          <w:rFonts w:eastAsia="仿宋_GB2312"/>
          <w:bCs/>
          <w:color w:val="000000" w:themeColor="text1"/>
          <w:sz w:val="28"/>
          <w:szCs w:val="28"/>
          <w:highlight w:val="none"/>
          <w:u w:val="single"/>
          <w:lang w:eastAsia="zh-CN"/>
          <w14:textFill>
            <w14:solidFill>
              <w14:schemeClr w14:val="tx1"/>
            </w14:solidFill>
          </w14:textFill>
        </w:rPr>
        <w:t xml:space="preserve"> </w:t>
      </w:r>
    </w:p>
    <w:p w14:paraId="2BE958E0">
      <w:pPr>
        <w:kinsoku w:val="0"/>
        <w:spacing w:line="360" w:lineRule="auto"/>
        <w:rPr>
          <w:color w:val="000000" w:themeColor="text1"/>
          <w:highlight w:val="none"/>
          <w:lang w:eastAsia="zh-CN"/>
          <w14:textFill>
            <w14:solidFill>
              <w14:schemeClr w14:val="tx1"/>
            </w14:solidFill>
          </w14:textFill>
        </w:rPr>
      </w:pPr>
    </w:p>
    <w:p w14:paraId="0314A3D8">
      <w:pPr>
        <w:pStyle w:val="11"/>
        <w:kinsoku w:val="0"/>
        <w:rPr>
          <w:color w:val="000000" w:themeColor="text1"/>
          <w:highlight w:val="none"/>
          <w14:textFill>
            <w14:solidFill>
              <w14:schemeClr w14:val="tx1"/>
            </w14:solidFill>
          </w14:textFill>
        </w:rPr>
      </w:pPr>
    </w:p>
    <w:p w14:paraId="2413E425">
      <w:pPr>
        <w:kinsoku w:val="0"/>
        <w:spacing w:line="360" w:lineRule="auto"/>
        <w:jc w:val="center"/>
        <w:rPr>
          <w:rFonts w:eastAsia="华文中宋"/>
          <w:b/>
          <w:color w:val="000000" w:themeColor="text1"/>
          <w:sz w:val="56"/>
          <w:szCs w:val="48"/>
          <w:highlight w:val="none"/>
          <w:lang w:eastAsia="zh-CN"/>
          <w14:textFill>
            <w14:solidFill>
              <w14:schemeClr w14:val="tx1"/>
            </w14:solidFill>
          </w14:textFill>
        </w:rPr>
      </w:pPr>
      <w:r>
        <w:rPr>
          <w:rFonts w:hint="eastAsia" w:eastAsia="华文中宋"/>
          <w:b/>
          <w:color w:val="000000" w:themeColor="text1"/>
          <w:sz w:val="56"/>
          <w:szCs w:val="48"/>
          <w:highlight w:val="none"/>
          <w:lang w:eastAsia="zh-CN"/>
          <w14:textFill>
            <w14:solidFill>
              <w14:schemeClr w14:val="tx1"/>
            </w14:solidFill>
          </w14:textFill>
        </w:rPr>
        <w:t>建设工程施工劳务分包合同</w:t>
      </w:r>
    </w:p>
    <w:p w14:paraId="1D899A20">
      <w:pPr>
        <w:kinsoku w:val="0"/>
        <w:spacing w:line="360" w:lineRule="auto"/>
        <w:jc w:val="center"/>
        <w:rPr>
          <w:rFonts w:eastAsia="华文中宋"/>
          <w:b/>
          <w:color w:val="000000" w:themeColor="text1"/>
          <w:sz w:val="56"/>
          <w:szCs w:val="48"/>
          <w:highlight w:val="none"/>
          <w:lang w:eastAsia="zh-CN"/>
          <w14:textFill>
            <w14:solidFill>
              <w14:schemeClr w14:val="tx1"/>
            </w14:solidFill>
          </w14:textFill>
        </w:rPr>
      </w:pPr>
      <w:r>
        <w:rPr>
          <w:rFonts w:hint="eastAsia" w:eastAsia="华文中宋"/>
          <w:b/>
          <w:color w:val="000000" w:themeColor="text1"/>
          <w:sz w:val="56"/>
          <w:szCs w:val="48"/>
          <w:highlight w:val="none"/>
          <w:lang w:eastAsia="zh-CN"/>
          <w14:textFill>
            <w14:solidFill>
              <w14:schemeClr w14:val="tx1"/>
            </w14:solidFill>
          </w14:textFill>
        </w:rPr>
        <w:t>（</w:t>
      </w:r>
      <w:r>
        <w:rPr>
          <w:rFonts w:hint="eastAsia" w:eastAsia="华文中宋"/>
          <w:b/>
          <w:color w:val="000000" w:themeColor="text1"/>
          <w:sz w:val="56"/>
          <w:szCs w:val="48"/>
          <w:highlight w:val="none"/>
          <w:lang w:val="en-US" w:eastAsia="zh-CN"/>
          <w14:textFill>
            <w14:solidFill>
              <w14:schemeClr w14:val="tx1"/>
            </w14:solidFill>
          </w14:textFill>
        </w:rPr>
        <w:t>海兴盐场特大桥桥梁基础及下部结构施工工程</w:t>
      </w:r>
      <w:r>
        <w:rPr>
          <w:rFonts w:hint="eastAsia" w:eastAsia="华文中宋"/>
          <w:b/>
          <w:color w:val="000000" w:themeColor="text1"/>
          <w:sz w:val="56"/>
          <w:szCs w:val="48"/>
          <w:highlight w:val="none"/>
          <w:lang w:eastAsia="zh-CN"/>
          <w14:textFill>
            <w14:solidFill>
              <w14:schemeClr w14:val="tx1"/>
            </w14:solidFill>
          </w14:textFill>
        </w:rPr>
        <w:t>）</w:t>
      </w:r>
    </w:p>
    <w:p w14:paraId="211054A0">
      <w:pPr>
        <w:kinsoku w:val="0"/>
        <w:spacing w:line="360" w:lineRule="auto"/>
        <w:jc w:val="center"/>
        <w:rPr>
          <w:rFonts w:hint="eastAsia" w:ascii="宋体" w:hAnsi="宋体" w:cs="宋体"/>
          <w:b/>
          <w:color w:val="000000" w:themeColor="text1"/>
          <w:sz w:val="28"/>
          <w:szCs w:val="28"/>
          <w:highlight w:val="none"/>
          <w:lang w:eastAsia="zh-CN"/>
          <w14:textFill>
            <w14:solidFill>
              <w14:schemeClr w14:val="tx1"/>
            </w14:solidFill>
          </w14:textFill>
        </w:rPr>
      </w:pPr>
      <w:r>
        <w:rPr>
          <w:color w:val="000000" w:themeColor="text1"/>
          <w:highlight w:val="none"/>
          <w14:textFill>
            <w14:solidFill>
              <w14:schemeClr w14:val="tx1"/>
            </w14:solidFill>
          </w14:textFill>
        </w:rPr>
        <w:drawing>
          <wp:anchor distT="0" distB="0" distL="114300" distR="114300" simplePos="0" relativeHeight="251659264" behindDoc="1" locked="0" layoutInCell="1" allowOverlap="1">
            <wp:simplePos x="0" y="0"/>
            <wp:positionH relativeFrom="column">
              <wp:posOffset>2232025</wp:posOffset>
            </wp:positionH>
            <wp:positionV relativeFrom="paragraph">
              <wp:posOffset>329565</wp:posOffset>
            </wp:positionV>
            <wp:extent cx="1685925" cy="2352675"/>
            <wp:effectExtent l="0" t="0" r="3175" b="9525"/>
            <wp:wrapNone/>
            <wp:docPr id="6" name="图片 3" descr="说明: 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说明: 图片1"/>
                    <pic:cNvPicPr>
                      <a:picLocks noChangeAspect="1"/>
                    </pic:cNvPicPr>
                  </pic:nvPicPr>
                  <pic:blipFill>
                    <a:blip r:embed="rId17">
                      <a:clrChange>
                        <a:clrFrom>
                          <a:srgbClr val="FEFEFC"/>
                        </a:clrFrom>
                        <a:clrTo>
                          <a:srgbClr val="FEFEFC">
                            <a:alpha val="0"/>
                          </a:srgbClr>
                        </a:clrTo>
                      </a:clrChange>
                    </a:blip>
                    <a:stretch>
                      <a:fillRect/>
                    </a:stretch>
                  </pic:blipFill>
                  <pic:spPr>
                    <a:xfrm>
                      <a:off x="0" y="0"/>
                      <a:ext cx="1685925" cy="2352675"/>
                    </a:xfrm>
                    <a:prstGeom prst="rect">
                      <a:avLst/>
                    </a:prstGeom>
                    <a:noFill/>
                    <a:ln>
                      <a:noFill/>
                    </a:ln>
                  </pic:spPr>
                </pic:pic>
              </a:graphicData>
            </a:graphic>
          </wp:anchor>
        </w:drawing>
      </w:r>
    </w:p>
    <w:p w14:paraId="3B66098D">
      <w:pPr>
        <w:kinsoku w:val="0"/>
        <w:spacing w:line="360" w:lineRule="auto"/>
        <w:jc w:val="center"/>
        <w:rPr>
          <w:rFonts w:hint="eastAsia" w:ascii="宋体" w:hAnsi="宋体" w:cs="宋体"/>
          <w:b/>
          <w:color w:val="000000" w:themeColor="text1"/>
          <w:sz w:val="28"/>
          <w:szCs w:val="28"/>
          <w:highlight w:val="none"/>
          <w:lang w:eastAsia="zh-CN"/>
          <w14:textFill>
            <w14:solidFill>
              <w14:schemeClr w14:val="tx1"/>
            </w14:solidFill>
          </w14:textFill>
        </w:rPr>
      </w:pPr>
    </w:p>
    <w:p w14:paraId="656CD135">
      <w:pPr>
        <w:kinsoku w:val="0"/>
        <w:spacing w:line="360" w:lineRule="auto"/>
        <w:jc w:val="center"/>
        <w:rPr>
          <w:rFonts w:hint="eastAsia" w:ascii="宋体" w:hAnsi="宋体" w:cs="宋体"/>
          <w:b/>
          <w:color w:val="000000" w:themeColor="text1"/>
          <w:sz w:val="28"/>
          <w:szCs w:val="28"/>
          <w:highlight w:val="none"/>
          <w:lang w:eastAsia="zh-CN"/>
          <w14:textFill>
            <w14:solidFill>
              <w14:schemeClr w14:val="tx1"/>
            </w14:solidFill>
          </w14:textFill>
        </w:rPr>
      </w:pPr>
    </w:p>
    <w:p w14:paraId="2A26976A">
      <w:pPr>
        <w:kinsoku w:val="0"/>
        <w:spacing w:line="360" w:lineRule="auto"/>
        <w:jc w:val="center"/>
        <w:rPr>
          <w:rFonts w:hint="eastAsia" w:ascii="宋体" w:hAnsi="宋体" w:cs="宋体"/>
          <w:b/>
          <w:color w:val="000000" w:themeColor="text1"/>
          <w:sz w:val="28"/>
          <w:szCs w:val="28"/>
          <w:highlight w:val="none"/>
          <w:lang w:eastAsia="zh-CN"/>
          <w14:textFill>
            <w14:solidFill>
              <w14:schemeClr w14:val="tx1"/>
            </w14:solidFill>
          </w14:textFill>
        </w:rPr>
      </w:pPr>
    </w:p>
    <w:bookmarkEnd w:id="553"/>
    <w:p w14:paraId="59A20B50">
      <w:pPr>
        <w:pStyle w:val="11"/>
        <w:kinsoku w:val="0"/>
        <w:rPr>
          <w:color w:val="000000" w:themeColor="text1"/>
          <w:highlight w:val="none"/>
          <w14:textFill>
            <w14:solidFill>
              <w14:schemeClr w14:val="tx1"/>
            </w14:solidFill>
          </w14:textFill>
        </w:rPr>
      </w:pPr>
    </w:p>
    <w:p w14:paraId="057F3F45">
      <w:pPr>
        <w:kinsoku w:val="0"/>
        <w:rPr>
          <w:color w:val="000000" w:themeColor="text1"/>
          <w:highlight w:val="none"/>
          <w:lang w:eastAsia="zh-CN"/>
          <w14:textFill>
            <w14:solidFill>
              <w14:schemeClr w14:val="tx1"/>
            </w14:solidFill>
          </w14:textFill>
        </w:rPr>
      </w:pPr>
    </w:p>
    <w:p w14:paraId="77208F19">
      <w:pPr>
        <w:kinsoku w:val="0"/>
        <w:spacing w:line="360" w:lineRule="auto"/>
        <w:ind w:firstLine="562" w:firstLineChars="200"/>
        <w:rPr>
          <w:rFonts w:hint="eastAsia" w:ascii="仿宋_GB2312" w:hAnsi="仿宋_GB2312" w:eastAsia="仿宋_GB2312" w:cs="仿宋_GB2312"/>
          <w:b/>
          <w:bCs/>
          <w:color w:val="000000" w:themeColor="text1"/>
          <w:sz w:val="28"/>
          <w:szCs w:val="28"/>
          <w:highlight w:val="none"/>
          <w:lang w:eastAsia="zh-CN"/>
          <w14:textFill>
            <w14:solidFill>
              <w14:schemeClr w14:val="tx1"/>
            </w14:solidFill>
          </w14:textFill>
        </w:rPr>
      </w:pPr>
    </w:p>
    <w:p w14:paraId="67B96B7D">
      <w:pPr>
        <w:kinsoku w:val="0"/>
        <w:spacing w:line="360" w:lineRule="auto"/>
        <w:ind w:firstLine="562" w:firstLineChars="200"/>
        <w:jc w:val="center"/>
        <w:rPr>
          <w:rFonts w:hint="eastAsia" w:ascii="仿宋_GB2312" w:hAnsi="仿宋_GB2312" w:eastAsia="仿宋_GB2312" w:cs="仿宋_GB2312"/>
          <w:b/>
          <w:bCs/>
          <w:color w:val="000000" w:themeColor="text1"/>
          <w:sz w:val="28"/>
          <w:szCs w:val="28"/>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 w:val="28"/>
          <w:szCs w:val="28"/>
          <w:highlight w:val="none"/>
          <w:lang w:eastAsia="zh-CN"/>
          <w14:textFill>
            <w14:solidFill>
              <w14:schemeClr w14:val="tx1"/>
            </w14:solidFill>
          </w14:textFill>
        </w:rPr>
        <w:t>工程名称：【                                  】</w:t>
      </w:r>
    </w:p>
    <w:p w14:paraId="21DAF133">
      <w:pPr>
        <w:kinsoku w:val="0"/>
        <w:spacing w:line="360" w:lineRule="auto"/>
        <w:ind w:firstLine="562" w:firstLineChars="200"/>
        <w:jc w:val="center"/>
        <w:rPr>
          <w:rFonts w:hint="eastAsia" w:ascii="仿宋_GB2312" w:hAnsi="仿宋_GB2312" w:eastAsia="仿宋_GB2312" w:cs="仿宋_GB2312"/>
          <w:b/>
          <w:bCs/>
          <w:color w:val="000000" w:themeColor="text1"/>
          <w:sz w:val="28"/>
          <w:szCs w:val="28"/>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 w:val="28"/>
          <w:szCs w:val="28"/>
          <w:highlight w:val="none"/>
          <w:lang w:eastAsia="zh-CN"/>
          <w14:textFill>
            <w14:solidFill>
              <w14:schemeClr w14:val="tx1"/>
            </w14:solidFill>
          </w14:textFill>
        </w:rPr>
        <w:t>甲    方：【                                  】</w:t>
      </w:r>
    </w:p>
    <w:p w14:paraId="1BBA2EC0">
      <w:pPr>
        <w:kinsoku w:val="0"/>
        <w:spacing w:line="360" w:lineRule="auto"/>
        <w:ind w:firstLine="562" w:firstLineChars="200"/>
        <w:jc w:val="center"/>
        <w:rPr>
          <w:rFonts w:hint="eastAsia" w:ascii="仿宋_GB2312" w:hAnsi="仿宋_GB2312" w:eastAsia="仿宋_GB2312" w:cs="仿宋_GB2312"/>
          <w:b/>
          <w:bCs/>
          <w:color w:val="000000" w:themeColor="text1"/>
          <w:sz w:val="28"/>
          <w:szCs w:val="28"/>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 w:val="28"/>
          <w:szCs w:val="28"/>
          <w:highlight w:val="none"/>
          <w:lang w:eastAsia="zh-CN"/>
          <w14:textFill>
            <w14:solidFill>
              <w14:schemeClr w14:val="tx1"/>
            </w14:solidFill>
          </w14:textFill>
        </w:rPr>
        <w:t>乙    方：【                                  】</w:t>
      </w:r>
    </w:p>
    <w:p w14:paraId="0A657346">
      <w:pPr>
        <w:kinsoku w:val="0"/>
        <w:spacing w:line="360" w:lineRule="auto"/>
        <w:ind w:firstLine="562" w:firstLineChars="200"/>
        <w:jc w:val="center"/>
        <w:rPr>
          <w:rFonts w:hint="eastAsia" w:ascii="仿宋_GB2312" w:hAnsi="仿宋_GB2312" w:eastAsia="仿宋_GB2312" w:cs="仿宋_GB2312"/>
          <w:b/>
          <w:bCs/>
          <w:color w:val="000000" w:themeColor="text1"/>
          <w:sz w:val="28"/>
          <w:szCs w:val="28"/>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 w:val="28"/>
          <w:szCs w:val="28"/>
          <w:highlight w:val="none"/>
          <w:lang w:eastAsia="zh-CN"/>
          <w14:textFill>
            <w14:solidFill>
              <w14:schemeClr w14:val="tx1"/>
            </w14:solidFill>
          </w14:textFill>
        </w:rPr>
        <w:t>签订时间：【                                  】</w:t>
      </w:r>
    </w:p>
    <w:p w14:paraId="63DDF484">
      <w:pPr>
        <w:kinsoku w:val="0"/>
        <w:spacing w:line="360" w:lineRule="auto"/>
        <w:ind w:firstLine="562" w:firstLineChars="200"/>
        <w:jc w:val="center"/>
        <w:rPr>
          <w:rFonts w:hint="eastAsia" w:ascii="仿宋_GB2312" w:hAnsi="仿宋_GB2312" w:eastAsia="仿宋_GB2312" w:cs="仿宋_GB2312"/>
          <w:b/>
          <w:bCs/>
          <w:color w:val="000000" w:themeColor="text1"/>
          <w:sz w:val="28"/>
          <w:szCs w:val="28"/>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 w:val="28"/>
          <w:szCs w:val="28"/>
          <w:highlight w:val="none"/>
          <w:lang w:eastAsia="zh-CN"/>
          <w14:textFill>
            <w14:solidFill>
              <w14:schemeClr w14:val="tx1"/>
            </w14:solidFill>
          </w14:textFill>
        </w:rPr>
        <w:t>签订地点：【                                  】</w:t>
      </w:r>
    </w:p>
    <w:p w14:paraId="064358C3">
      <w:pPr>
        <w:kinsoku w:val="0"/>
        <w:spacing w:after="0" w:line="360" w:lineRule="auto"/>
        <w:rPr>
          <w:rFonts w:hint="eastAsia" w:ascii="宋体" w:hAnsi="宋体"/>
          <w:b/>
          <w:color w:val="000000" w:themeColor="text1"/>
          <w:sz w:val="24"/>
          <w:highlight w:val="none"/>
          <w:lang w:eastAsia="zh-CN"/>
          <w14:textFill>
            <w14:solidFill>
              <w14:schemeClr w14:val="tx1"/>
            </w14:solidFill>
          </w14:textFill>
        </w:rPr>
        <w:sectPr>
          <w:headerReference r:id="rId10" w:type="default"/>
          <w:pgSz w:w="11906" w:h="16838"/>
          <w:pgMar w:top="1134" w:right="1134" w:bottom="1134" w:left="1134" w:header="851" w:footer="851" w:gutter="0"/>
          <w:pgNumType w:start="1"/>
          <w:cols w:space="720" w:num="1"/>
          <w:docGrid w:type="lines" w:linePitch="312" w:charSpace="0"/>
        </w:sectPr>
      </w:pPr>
    </w:p>
    <w:p w14:paraId="4E38A3C7">
      <w:pPr>
        <w:kinsoku w:val="0"/>
        <w:spacing w:after="0" w:line="240" w:lineRule="auto"/>
        <w:jc w:val="center"/>
        <w:rPr>
          <w:b/>
          <w:bCs/>
          <w:color w:val="000000" w:themeColor="text1"/>
          <w:sz w:val="28"/>
          <w:szCs w:val="28"/>
          <w:highlight w:val="none"/>
          <w14:textFill>
            <w14:solidFill>
              <w14:schemeClr w14:val="tx1"/>
            </w14:solidFill>
          </w14:textFill>
        </w:rPr>
      </w:pPr>
      <w:bookmarkStart w:id="554" w:name="_Toc101366172"/>
      <w:bookmarkEnd w:id="554"/>
      <w:bookmarkStart w:id="555" w:name="_Toc101366175"/>
      <w:bookmarkEnd w:id="555"/>
      <w:bookmarkStart w:id="556" w:name="_Toc101366174"/>
      <w:bookmarkEnd w:id="556"/>
      <w:bookmarkStart w:id="557" w:name="_Toc101366113"/>
      <w:bookmarkEnd w:id="557"/>
      <w:bookmarkStart w:id="558" w:name="_Toc101366173"/>
      <w:bookmarkEnd w:id="558"/>
      <w:bookmarkStart w:id="559" w:name="_Toc12456"/>
      <w:bookmarkStart w:id="560" w:name="_Toc101357393"/>
      <w:bookmarkStart w:id="561" w:name="_Toc12082"/>
      <w:bookmarkStart w:id="562" w:name="_Toc14093"/>
      <w:bookmarkStart w:id="563" w:name="_Toc11545"/>
      <w:bookmarkStart w:id="564" w:name="_Toc3002"/>
      <w:bookmarkStart w:id="565" w:name="_Toc18608"/>
      <w:bookmarkStart w:id="566" w:name="_Toc5634"/>
      <w:bookmarkStart w:id="567" w:name="_Toc101963469"/>
      <w:bookmarkStart w:id="568" w:name="_Toc24018"/>
      <w:bookmarkStart w:id="569" w:name="_Toc26360"/>
      <w:bookmarkStart w:id="570" w:name="_Toc7729"/>
      <w:bookmarkStart w:id="571" w:name="_Toc31674"/>
      <w:bookmarkStart w:id="572" w:name="_Toc18667"/>
      <w:bookmarkStart w:id="573" w:name="_Toc9357"/>
      <w:bookmarkStart w:id="574" w:name="_Toc4732"/>
      <w:r>
        <w:rPr>
          <w:rFonts w:hint="eastAsia" w:ascii="宋体" w:hAnsi="宋体"/>
          <w:b/>
          <w:bCs/>
          <w:color w:val="000000" w:themeColor="text1"/>
          <w:sz w:val="28"/>
          <w:szCs w:val="28"/>
          <w:highlight w:val="none"/>
          <w14:textFill>
            <w14:solidFill>
              <w14:schemeClr w14:val="tx1"/>
            </w14:solidFill>
          </w14:textFill>
        </w:rPr>
        <w:t>目录</w:t>
      </w:r>
    </w:p>
    <w:p w14:paraId="23D341A7">
      <w:pPr>
        <w:pStyle w:val="22"/>
        <w:tabs>
          <w:tab w:val="right" w:leader="dot" w:pos="9628"/>
          <w:tab w:val="clear" w:pos="8511"/>
        </w:tabs>
        <w:spacing w:after="0" w:line="240" w:lineRule="auto"/>
        <w:rPr>
          <w:rFonts w:hint="eastAsia" w:ascii="宋体" w:hAnsi="宋体" w:cs="Times New Roman"/>
          <w:color w:val="000000" w:themeColor="text1"/>
          <w:kern w:val="2"/>
          <w:sz w:val="21"/>
          <w:szCs w:val="21"/>
          <w:highlight w:val="none"/>
          <w:lang w:eastAsia="zh-CN" w:bidi="ar-SA"/>
          <w14:textFill>
            <w14:solidFill>
              <w14:schemeClr w14:val="tx1"/>
            </w14:solidFill>
          </w14:textFill>
        </w:rPr>
      </w:pPr>
      <w:r>
        <w:rPr>
          <w:rFonts w:ascii="宋体" w:hAnsi="宋体"/>
          <w:color w:val="000000" w:themeColor="text1"/>
          <w:sz w:val="21"/>
          <w:szCs w:val="21"/>
          <w:highlight w:val="none"/>
          <w14:textFill>
            <w14:solidFill>
              <w14:schemeClr w14:val="tx1"/>
            </w14:solidFill>
          </w14:textFill>
        </w:rPr>
        <w:fldChar w:fldCharType="begin"/>
      </w:r>
      <w:r>
        <w:rPr>
          <w:rFonts w:hint="eastAsia" w:ascii="宋体" w:hAnsi="宋体" w:cs="宋体"/>
          <w:color w:val="000000" w:themeColor="text1"/>
          <w:sz w:val="21"/>
          <w:szCs w:val="21"/>
          <w:highlight w:val="none"/>
          <w14:textFill>
            <w14:solidFill>
              <w14:schemeClr w14:val="tx1"/>
            </w14:solidFill>
          </w14:textFill>
        </w:rPr>
        <w:instrText xml:space="preserve">TOC \o "1-2" \h \u </w:instrText>
      </w:r>
      <w:r>
        <w:rPr>
          <w:rFonts w:ascii="宋体" w:hAnsi="宋体"/>
          <w:color w:val="000000" w:themeColor="text1"/>
          <w:sz w:val="21"/>
          <w:szCs w:val="21"/>
          <w:highlight w:val="none"/>
          <w14:textFill>
            <w14:solidFill>
              <w14:schemeClr w14:val="tx1"/>
            </w14:solidFill>
          </w14:textFill>
        </w:rPr>
        <w:fldChar w:fldCharType="separate"/>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"_Toc175764407" </w:instrText>
      </w:r>
      <w:r>
        <w:rPr>
          <w:color w:val="000000" w:themeColor="text1"/>
          <w:highlight w:val="none"/>
          <w14:textFill>
            <w14:solidFill>
              <w14:schemeClr w14:val="tx1"/>
            </w14:solidFill>
          </w14:textFill>
        </w:rPr>
        <w:fldChar w:fldCharType="separate"/>
      </w:r>
      <w:r>
        <w:rPr>
          <w:rStyle w:val="37"/>
          <w:rFonts w:hint="eastAsia" w:ascii="宋体" w:hAnsi="宋体"/>
          <w:color w:val="000000" w:themeColor="text1"/>
          <w:sz w:val="21"/>
          <w:szCs w:val="21"/>
          <w:highlight w:val="none"/>
          <w:lang w:eastAsia="zh-CN"/>
          <w14:textFill>
            <w14:solidFill>
              <w14:schemeClr w14:val="tx1"/>
            </w14:solidFill>
          </w14:textFill>
        </w:rPr>
        <w:t>第一部分 合同协议书</w:t>
      </w:r>
      <w:r>
        <w:rPr>
          <w:rFonts w:hint="eastAsia" w:ascii="宋体" w:hAnsi="宋体"/>
          <w:color w:val="000000" w:themeColor="text1"/>
          <w:sz w:val="21"/>
          <w:szCs w:val="21"/>
          <w:highlight w:val="none"/>
          <w14:textFill>
            <w14:solidFill>
              <w14:schemeClr w14:val="tx1"/>
            </w14:solidFill>
          </w14:textFill>
        </w:rPr>
        <w:tab/>
      </w:r>
      <w:r>
        <w:rPr>
          <w:rFonts w:hint="eastAsia" w:ascii="宋体" w:hAnsi="宋体"/>
          <w:color w:val="000000" w:themeColor="text1"/>
          <w:sz w:val="21"/>
          <w:szCs w:val="21"/>
          <w:highlight w:val="none"/>
          <w14:textFill>
            <w14:solidFill>
              <w14:schemeClr w14:val="tx1"/>
            </w14:solidFill>
          </w14:textFill>
        </w:rPr>
        <w:fldChar w:fldCharType="begin"/>
      </w:r>
      <w:r>
        <w:rPr>
          <w:rFonts w:hint="eastAsia" w:ascii="宋体" w:hAnsi="宋体"/>
          <w:color w:val="000000" w:themeColor="text1"/>
          <w:sz w:val="21"/>
          <w:szCs w:val="21"/>
          <w:highlight w:val="none"/>
          <w14:textFill>
            <w14:solidFill>
              <w14:schemeClr w14:val="tx1"/>
            </w14:solidFill>
          </w14:textFill>
        </w:rPr>
        <w:instrText xml:space="preserve"> </w:instrText>
      </w:r>
      <w:r>
        <w:rPr>
          <w:rFonts w:ascii="宋体" w:hAnsi="宋体"/>
          <w:color w:val="000000" w:themeColor="text1"/>
          <w:sz w:val="21"/>
          <w:szCs w:val="21"/>
          <w:highlight w:val="none"/>
          <w14:textFill>
            <w14:solidFill>
              <w14:schemeClr w14:val="tx1"/>
            </w14:solidFill>
          </w14:textFill>
        </w:rPr>
        <w:instrText xml:space="preserve">PAGEREF _Toc175764407 \h</w:instrText>
      </w:r>
      <w:r>
        <w:rPr>
          <w:rFonts w:hint="eastAsia" w:ascii="宋体" w:hAnsi="宋体"/>
          <w:color w:val="000000" w:themeColor="text1"/>
          <w:sz w:val="21"/>
          <w:szCs w:val="21"/>
          <w:highlight w:val="none"/>
          <w14:textFill>
            <w14:solidFill>
              <w14:schemeClr w14:val="tx1"/>
            </w14:solidFill>
          </w14:textFill>
        </w:rPr>
        <w:instrText xml:space="preserve"> </w:instrText>
      </w:r>
      <w:r>
        <w:rPr>
          <w:rFonts w:hint="eastAsia" w:ascii="宋体" w:hAnsi="宋体"/>
          <w:color w:val="000000" w:themeColor="text1"/>
          <w:sz w:val="21"/>
          <w:szCs w:val="21"/>
          <w:highlight w:val="none"/>
          <w14:textFill>
            <w14:solidFill>
              <w14:schemeClr w14:val="tx1"/>
            </w14:solidFill>
          </w14:textFill>
        </w:rPr>
        <w:fldChar w:fldCharType="separate"/>
      </w:r>
      <w:r>
        <w:rPr>
          <w:rFonts w:hint="eastAsia" w:ascii="宋体" w:hAnsi="宋体"/>
          <w:color w:val="000000" w:themeColor="text1"/>
          <w:sz w:val="21"/>
          <w:szCs w:val="21"/>
          <w:highlight w:val="none"/>
          <w14:textFill>
            <w14:solidFill>
              <w14:schemeClr w14:val="tx1"/>
            </w14:solidFill>
          </w14:textFill>
        </w:rPr>
        <w:t>1</w:t>
      </w:r>
      <w:r>
        <w:rPr>
          <w:rFonts w:hint="eastAsia" w:ascii="宋体" w:hAnsi="宋体"/>
          <w:color w:val="000000" w:themeColor="text1"/>
          <w:sz w:val="21"/>
          <w:szCs w:val="21"/>
          <w:highlight w:val="none"/>
          <w14:textFill>
            <w14:solidFill>
              <w14:schemeClr w14:val="tx1"/>
            </w14:solidFill>
          </w14:textFill>
        </w:rPr>
        <w:fldChar w:fldCharType="end"/>
      </w:r>
      <w:r>
        <w:rPr>
          <w:rFonts w:hint="eastAsia" w:ascii="宋体" w:hAnsi="宋体"/>
          <w:color w:val="000000" w:themeColor="text1"/>
          <w:sz w:val="21"/>
          <w:szCs w:val="21"/>
          <w:highlight w:val="none"/>
          <w14:textFill>
            <w14:solidFill>
              <w14:schemeClr w14:val="tx1"/>
            </w14:solidFill>
          </w14:textFill>
        </w:rPr>
        <w:fldChar w:fldCharType="end"/>
      </w:r>
    </w:p>
    <w:p w14:paraId="07F8448A">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"_Toc175764408" </w:instrText>
      </w:r>
      <w:r>
        <w:rPr>
          <w:color w:val="000000" w:themeColor="text1"/>
          <w:highlight w:val="none"/>
          <w14:textFill>
            <w14:solidFill>
              <w14:schemeClr w14:val="tx1"/>
            </w14:solidFill>
          </w14:textFill>
        </w:rPr>
        <w:fldChar w:fldCharType="separate"/>
      </w:r>
      <w:r>
        <w:rPr>
          <w:rStyle w:val="37"/>
          <w:rFonts w:hint="eastAsia" w:cs="宋体"/>
          <w:color w:val="000000" w:themeColor="text1"/>
          <w:sz w:val="21"/>
          <w:szCs w:val="21"/>
          <w:highlight w:val="none"/>
          <w14:textFill>
            <w14:solidFill>
              <w14:schemeClr w14:val="tx1"/>
            </w14:solidFill>
          </w14:textFill>
        </w:rPr>
        <w:t>1</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lang w:eastAsia="zh-CN"/>
          <w14:textFill>
            <w14:solidFill>
              <w14:schemeClr w14:val="tx1"/>
            </w14:solidFill>
          </w14:textFill>
        </w:rPr>
        <w:t>分包</w:t>
      </w:r>
      <w:r>
        <w:rPr>
          <w:rStyle w:val="37"/>
          <w:rFonts w:hint="eastAsia" w:cs="宋体"/>
          <w:color w:val="000000" w:themeColor="text1"/>
          <w:sz w:val="21"/>
          <w:szCs w:val="21"/>
          <w:highlight w:val="none"/>
          <w14:textFill>
            <w14:solidFill>
              <w14:schemeClr w14:val="tx1"/>
            </w14:solidFill>
          </w14:textFill>
        </w:rPr>
        <w:t>工程概况</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_Toc175764408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1</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02A73F29">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"_Toc175764409" </w:instrText>
      </w:r>
      <w:r>
        <w:rPr>
          <w:color w:val="000000" w:themeColor="text1"/>
          <w:highlight w:val="none"/>
          <w14:textFill>
            <w14:solidFill>
              <w14:schemeClr w14:val="tx1"/>
            </w14:solidFill>
          </w14:textFill>
        </w:rPr>
        <w:fldChar w:fldCharType="separate"/>
      </w:r>
      <w:r>
        <w:rPr>
          <w:rStyle w:val="37"/>
          <w:rFonts w:hint="eastAsia" w:cs="宋体"/>
          <w:color w:val="000000" w:themeColor="text1"/>
          <w:sz w:val="21"/>
          <w:szCs w:val="21"/>
          <w:highlight w:val="none"/>
          <w14:textFill>
            <w14:solidFill>
              <w14:schemeClr w14:val="tx1"/>
            </w14:solidFill>
          </w14:textFill>
        </w:rPr>
        <w:t>2</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14:textFill>
            <w14:solidFill>
              <w14:schemeClr w14:val="tx1"/>
            </w14:solidFill>
          </w14:textFill>
        </w:rPr>
        <w:t>合同工期</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_Toc175764409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1</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7343EF79">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"_Toc175764410" </w:instrText>
      </w:r>
      <w:r>
        <w:rPr>
          <w:color w:val="000000" w:themeColor="text1"/>
          <w:highlight w:val="none"/>
          <w14:textFill>
            <w14:solidFill>
              <w14:schemeClr w14:val="tx1"/>
            </w14:solidFill>
          </w14:textFill>
        </w:rPr>
        <w:fldChar w:fldCharType="separate"/>
      </w:r>
      <w:r>
        <w:rPr>
          <w:rStyle w:val="37"/>
          <w:rFonts w:hint="eastAsia" w:cs="宋体"/>
          <w:color w:val="000000" w:themeColor="text1"/>
          <w:sz w:val="21"/>
          <w:szCs w:val="21"/>
          <w:highlight w:val="none"/>
          <w14:textFill>
            <w14:solidFill>
              <w14:schemeClr w14:val="tx1"/>
            </w14:solidFill>
          </w14:textFill>
        </w:rPr>
        <w:t>3</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14:textFill>
            <w14:solidFill>
              <w14:schemeClr w14:val="tx1"/>
            </w14:solidFill>
          </w14:textFill>
        </w:rPr>
        <w:t>质量标准</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_Toc175764410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1</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5ECE0C47">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"_Toc175764411" </w:instrText>
      </w:r>
      <w:r>
        <w:rPr>
          <w:color w:val="000000" w:themeColor="text1"/>
          <w:highlight w:val="none"/>
          <w14:textFill>
            <w14:solidFill>
              <w14:schemeClr w14:val="tx1"/>
            </w14:solidFill>
          </w14:textFill>
        </w:rPr>
        <w:fldChar w:fldCharType="separate"/>
      </w:r>
      <w:r>
        <w:rPr>
          <w:rStyle w:val="37"/>
          <w:rFonts w:hint="eastAsia" w:cs="宋体"/>
          <w:color w:val="000000" w:themeColor="text1"/>
          <w:sz w:val="21"/>
          <w:szCs w:val="21"/>
          <w:highlight w:val="none"/>
          <w14:textFill>
            <w14:solidFill>
              <w14:schemeClr w14:val="tx1"/>
            </w14:solidFill>
          </w14:textFill>
        </w:rPr>
        <w:t>4</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lang w:eastAsia="zh-CN"/>
          <w14:textFill>
            <w14:solidFill>
              <w14:schemeClr w14:val="tx1"/>
            </w14:solidFill>
          </w14:textFill>
        </w:rPr>
        <w:t>安全文明创优标准</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_Toc175764411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2</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4AAE5AA6">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"_Toc175764412" </w:instrText>
      </w:r>
      <w:r>
        <w:rPr>
          <w:color w:val="000000" w:themeColor="text1"/>
          <w:highlight w:val="none"/>
          <w14:textFill>
            <w14:solidFill>
              <w14:schemeClr w14:val="tx1"/>
            </w14:solidFill>
          </w14:textFill>
        </w:rPr>
        <w:fldChar w:fldCharType="separate"/>
      </w:r>
      <w:r>
        <w:rPr>
          <w:rStyle w:val="37"/>
          <w:rFonts w:hint="eastAsia" w:cs="宋体"/>
          <w:color w:val="000000" w:themeColor="text1"/>
          <w:sz w:val="21"/>
          <w:szCs w:val="21"/>
          <w:highlight w:val="none"/>
          <w:lang w:eastAsia="zh-CN"/>
          <w14:textFill>
            <w14:solidFill>
              <w14:schemeClr w14:val="tx1"/>
            </w14:solidFill>
          </w14:textFill>
        </w:rPr>
        <w:t>5</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lang w:eastAsia="zh-CN"/>
          <w14:textFill>
            <w14:solidFill>
              <w14:schemeClr w14:val="tx1"/>
            </w14:solidFill>
          </w14:textFill>
        </w:rPr>
        <w:t>签约合同价与合同价格形式</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_Toc175764412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2</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79F672B0">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"_Toc175764413" </w:instrText>
      </w:r>
      <w:r>
        <w:rPr>
          <w:color w:val="000000" w:themeColor="text1"/>
          <w:highlight w:val="none"/>
          <w14:textFill>
            <w14:solidFill>
              <w14:schemeClr w14:val="tx1"/>
            </w14:solidFill>
          </w14:textFill>
        </w:rPr>
        <w:fldChar w:fldCharType="separate"/>
      </w:r>
      <w:r>
        <w:rPr>
          <w:rStyle w:val="37"/>
          <w:rFonts w:hint="eastAsia" w:cs="宋体"/>
          <w:color w:val="000000" w:themeColor="text1"/>
          <w:sz w:val="21"/>
          <w:szCs w:val="21"/>
          <w:highlight w:val="none"/>
          <w:lang w:eastAsia="zh-CN"/>
          <w14:textFill>
            <w14:solidFill>
              <w14:schemeClr w14:val="tx1"/>
            </w14:solidFill>
          </w14:textFill>
        </w:rPr>
        <w:t>6</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lang w:eastAsia="zh-CN"/>
          <w14:textFill>
            <w14:solidFill>
              <w14:schemeClr w14:val="tx1"/>
            </w14:solidFill>
          </w14:textFill>
        </w:rPr>
        <w:t>乙方纳税资格和资质</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_Toc175764413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2</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2C3CECF4">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"_Toc175764414" </w:instrText>
      </w:r>
      <w:r>
        <w:rPr>
          <w:color w:val="000000" w:themeColor="text1"/>
          <w:highlight w:val="none"/>
          <w14:textFill>
            <w14:solidFill>
              <w14:schemeClr w14:val="tx1"/>
            </w14:solidFill>
          </w14:textFill>
        </w:rPr>
        <w:fldChar w:fldCharType="separate"/>
      </w:r>
      <w:r>
        <w:rPr>
          <w:rStyle w:val="37"/>
          <w:rFonts w:hint="eastAsia" w:cs="宋体"/>
          <w:color w:val="000000" w:themeColor="text1"/>
          <w:sz w:val="21"/>
          <w:szCs w:val="21"/>
          <w:highlight w:val="none"/>
          <w14:textFill>
            <w14:solidFill>
              <w14:schemeClr w14:val="tx1"/>
            </w14:solidFill>
          </w14:textFill>
        </w:rPr>
        <w:t>7</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14:textFill>
            <w14:solidFill>
              <w14:schemeClr w14:val="tx1"/>
            </w14:solidFill>
          </w14:textFill>
        </w:rPr>
        <w:t>项目经理</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_Toc175764414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3</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635596FC">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"_Toc175764415" </w:instrText>
      </w:r>
      <w:r>
        <w:rPr>
          <w:color w:val="000000" w:themeColor="text1"/>
          <w:highlight w:val="none"/>
          <w14:textFill>
            <w14:solidFill>
              <w14:schemeClr w14:val="tx1"/>
            </w14:solidFill>
          </w14:textFill>
        </w:rPr>
        <w:fldChar w:fldCharType="separate"/>
      </w:r>
      <w:r>
        <w:rPr>
          <w:rStyle w:val="37"/>
          <w:rFonts w:hint="eastAsia" w:cs="宋体"/>
          <w:color w:val="000000" w:themeColor="text1"/>
          <w:sz w:val="21"/>
          <w:szCs w:val="21"/>
          <w:highlight w:val="none"/>
          <w14:textFill>
            <w14:solidFill>
              <w14:schemeClr w14:val="tx1"/>
            </w14:solidFill>
          </w14:textFill>
        </w:rPr>
        <w:t>8</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lang w:eastAsia="zh-CN"/>
          <w14:textFill>
            <w14:solidFill>
              <w14:schemeClr w14:val="tx1"/>
            </w14:solidFill>
          </w14:textFill>
        </w:rPr>
        <w:t>签订时间及地点</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_Toc175764415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3</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752B19F7">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"_Toc175764416" </w:instrText>
      </w:r>
      <w:r>
        <w:rPr>
          <w:color w:val="000000" w:themeColor="text1"/>
          <w:highlight w:val="none"/>
          <w14:textFill>
            <w14:solidFill>
              <w14:schemeClr w14:val="tx1"/>
            </w14:solidFill>
          </w14:textFill>
        </w:rPr>
        <w:fldChar w:fldCharType="separate"/>
      </w:r>
      <w:r>
        <w:rPr>
          <w:rStyle w:val="37"/>
          <w:rFonts w:hint="eastAsia"/>
          <w:color w:val="000000" w:themeColor="text1"/>
          <w:sz w:val="21"/>
          <w:szCs w:val="21"/>
          <w:highlight w:val="none"/>
          <w:lang w:eastAsia="zh-CN"/>
          <w14:textFill>
            <w14:solidFill>
              <w14:schemeClr w14:val="tx1"/>
            </w14:solidFill>
          </w14:textFill>
        </w:rPr>
        <w:t>9</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lang w:eastAsia="zh-CN"/>
          <w14:textFill>
            <w14:solidFill>
              <w14:schemeClr w14:val="tx1"/>
            </w14:solidFill>
          </w14:textFill>
        </w:rPr>
        <w:t>补充协议</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_Toc175764416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3</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10C6E5A2">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"_Toc175764417" </w:instrText>
      </w:r>
      <w:r>
        <w:rPr>
          <w:color w:val="000000" w:themeColor="text1"/>
          <w:highlight w:val="none"/>
          <w14:textFill>
            <w14:solidFill>
              <w14:schemeClr w14:val="tx1"/>
            </w14:solidFill>
          </w14:textFill>
        </w:rPr>
        <w:fldChar w:fldCharType="separate"/>
      </w:r>
      <w:r>
        <w:rPr>
          <w:rStyle w:val="37"/>
          <w:rFonts w:hint="eastAsia" w:cs="宋体"/>
          <w:color w:val="000000" w:themeColor="text1"/>
          <w:sz w:val="21"/>
          <w:szCs w:val="21"/>
          <w:highlight w:val="none"/>
          <w:lang w:eastAsia="zh-CN"/>
          <w14:textFill>
            <w14:solidFill>
              <w14:schemeClr w14:val="tx1"/>
            </w14:solidFill>
          </w14:textFill>
        </w:rPr>
        <w:t>10</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lang w:eastAsia="zh-CN"/>
          <w14:textFill>
            <w14:solidFill>
              <w14:schemeClr w14:val="tx1"/>
            </w14:solidFill>
          </w14:textFill>
        </w:rPr>
        <w:t>合同签约形式</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_Toc175764417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3</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649D1D03">
      <w:pPr>
        <w:pStyle w:val="22"/>
        <w:tabs>
          <w:tab w:val="right" w:leader="dot" w:pos="9628"/>
          <w:tab w:val="clear" w:pos="8511"/>
        </w:tabs>
        <w:spacing w:after="0" w:line="240" w:lineRule="auto"/>
        <w:rPr>
          <w:rFonts w:hint="eastAsia" w:ascii="宋体" w:hAnsi="宋体"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"_Toc175764418" </w:instrText>
      </w:r>
      <w:r>
        <w:rPr>
          <w:color w:val="000000" w:themeColor="text1"/>
          <w:highlight w:val="none"/>
          <w14:textFill>
            <w14:solidFill>
              <w14:schemeClr w14:val="tx1"/>
            </w14:solidFill>
          </w14:textFill>
        </w:rPr>
        <w:fldChar w:fldCharType="separate"/>
      </w:r>
      <w:r>
        <w:rPr>
          <w:rStyle w:val="37"/>
          <w:rFonts w:hint="eastAsia" w:ascii="宋体" w:hAnsi="宋体"/>
          <w:color w:val="000000" w:themeColor="text1"/>
          <w:sz w:val="21"/>
          <w:szCs w:val="21"/>
          <w:highlight w:val="none"/>
          <w:lang w:eastAsia="zh-CN"/>
          <w14:textFill>
            <w14:solidFill>
              <w14:schemeClr w14:val="tx1"/>
            </w14:solidFill>
          </w14:textFill>
        </w:rPr>
        <w:t>第二部分 通用合同条款</w:t>
      </w:r>
      <w:r>
        <w:rPr>
          <w:rFonts w:hint="eastAsia" w:ascii="宋体" w:hAnsi="宋体"/>
          <w:color w:val="000000" w:themeColor="text1"/>
          <w:sz w:val="21"/>
          <w:szCs w:val="21"/>
          <w:highlight w:val="none"/>
          <w14:textFill>
            <w14:solidFill>
              <w14:schemeClr w14:val="tx1"/>
            </w14:solidFill>
          </w14:textFill>
        </w:rPr>
        <w:tab/>
      </w:r>
      <w:r>
        <w:rPr>
          <w:rFonts w:hint="eastAsia" w:ascii="宋体" w:hAnsi="宋体"/>
          <w:color w:val="000000" w:themeColor="text1"/>
          <w:sz w:val="21"/>
          <w:szCs w:val="21"/>
          <w:highlight w:val="none"/>
          <w14:textFill>
            <w14:solidFill>
              <w14:schemeClr w14:val="tx1"/>
            </w14:solidFill>
          </w14:textFill>
        </w:rPr>
        <w:fldChar w:fldCharType="begin"/>
      </w:r>
      <w:r>
        <w:rPr>
          <w:rFonts w:hint="eastAsia" w:ascii="宋体" w:hAnsi="宋体"/>
          <w:color w:val="000000" w:themeColor="text1"/>
          <w:sz w:val="21"/>
          <w:szCs w:val="21"/>
          <w:highlight w:val="none"/>
          <w14:textFill>
            <w14:solidFill>
              <w14:schemeClr w14:val="tx1"/>
            </w14:solidFill>
          </w14:textFill>
        </w:rPr>
        <w:instrText xml:space="preserve"> </w:instrText>
      </w:r>
      <w:r>
        <w:rPr>
          <w:rFonts w:ascii="宋体" w:hAnsi="宋体"/>
          <w:color w:val="000000" w:themeColor="text1"/>
          <w:sz w:val="21"/>
          <w:szCs w:val="21"/>
          <w:highlight w:val="none"/>
          <w14:textFill>
            <w14:solidFill>
              <w14:schemeClr w14:val="tx1"/>
            </w14:solidFill>
          </w14:textFill>
        </w:rPr>
        <w:instrText xml:space="preserve">PAGEREF _Toc175764418 \h</w:instrText>
      </w:r>
      <w:r>
        <w:rPr>
          <w:rFonts w:hint="eastAsia" w:ascii="宋体" w:hAnsi="宋体"/>
          <w:color w:val="000000" w:themeColor="text1"/>
          <w:sz w:val="21"/>
          <w:szCs w:val="21"/>
          <w:highlight w:val="none"/>
          <w14:textFill>
            <w14:solidFill>
              <w14:schemeClr w14:val="tx1"/>
            </w14:solidFill>
          </w14:textFill>
        </w:rPr>
        <w:instrText xml:space="preserve"> </w:instrText>
      </w:r>
      <w:r>
        <w:rPr>
          <w:rFonts w:hint="eastAsia" w:ascii="宋体" w:hAnsi="宋体"/>
          <w:color w:val="000000" w:themeColor="text1"/>
          <w:sz w:val="21"/>
          <w:szCs w:val="21"/>
          <w:highlight w:val="none"/>
          <w14:textFill>
            <w14:solidFill>
              <w14:schemeClr w14:val="tx1"/>
            </w14:solidFill>
          </w14:textFill>
        </w:rPr>
        <w:fldChar w:fldCharType="separate"/>
      </w:r>
      <w:r>
        <w:rPr>
          <w:rFonts w:hint="eastAsia" w:ascii="宋体" w:hAnsi="宋体"/>
          <w:color w:val="000000" w:themeColor="text1"/>
          <w:sz w:val="21"/>
          <w:szCs w:val="21"/>
          <w:highlight w:val="none"/>
          <w14:textFill>
            <w14:solidFill>
              <w14:schemeClr w14:val="tx1"/>
            </w14:solidFill>
          </w14:textFill>
        </w:rPr>
        <w:t>5</w:t>
      </w:r>
      <w:r>
        <w:rPr>
          <w:rFonts w:hint="eastAsia" w:ascii="宋体" w:hAnsi="宋体"/>
          <w:color w:val="000000" w:themeColor="text1"/>
          <w:sz w:val="21"/>
          <w:szCs w:val="21"/>
          <w:highlight w:val="none"/>
          <w14:textFill>
            <w14:solidFill>
              <w14:schemeClr w14:val="tx1"/>
            </w14:solidFill>
          </w14:textFill>
        </w:rPr>
        <w:fldChar w:fldCharType="end"/>
      </w:r>
      <w:r>
        <w:rPr>
          <w:rFonts w:hint="eastAsia" w:ascii="宋体" w:hAnsi="宋体"/>
          <w:color w:val="000000" w:themeColor="text1"/>
          <w:sz w:val="21"/>
          <w:szCs w:val="21"/>
          <w:highlight w:val="none"/>
          <w14:textFill>
            <w14:solidFill>
              <w14:schemeClr w14:val="tx1"/>
            </w14:solidFill>
          </w14:textFill>
        </w:rPr>
        <w:fldChar w:fldCharType="end"/>
      </w:r>
    </w:p>
    <w:p w14:paraId="3B67E8AC">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"_Toc175764419" </w:instrText>
      </w:r>
      <w:r>
        <w:rPr>
          <w:color w:val="000000" w:themeColor="text1"/>
          <w:highlight w:val="none"/>
          <w14:textFill>
            <w14:solidFill>
              <w14:schemeClr w14:val="tx1"/>
            </w14:solidFill>
          </w14:textFill>
        </w:rPr>
        <w:fldChar w:fldCharType="separate"/>
      </w:r>
      <w:r>
        <w:rPr>
          <w:rStyle w:val="37"/>
          <w:rFonts w:hint="eastAsia" w:cs="宋体"/>
          <w:color w:val="000000" w:themeColor="text1"/>
          <w:sz w:val="21"/>
          <w:szCs w:val="21"/>
          <w:highlight w:val="none"/>
          <w14:textFill>
            <w14:solidFill>
              <w14:schemeClr w14:val="tx1"/>
            </w14:solidFill>
          </w14:textFill>
        </w:rPr>
        <w:t>1</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lang w:eastAsia="zh-CN"/>
          <w14:textFill>
            <w14:solidFill>
              <w14:schemeClr w14:val="tx1"/>
            </w14:solidFill>
          </w14:textFill>
        </w:rPr>
        <w:t>词语解释</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_Toc175764419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5</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00D290B1">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"_Toc175764420" </w:instrText>
      </w:r>
      <w:r>
        <w:rPr>
          <w:color w:val="000000" w:themeColor="text1"/>
          <w:highlight w:val="none"/>
          <w14:textFill>
            <w14:solidFill>
              <w14:schemeClr w14:val="tx1"/>
            </w14:solidFill>
          </w14:textFill>
        </w:rPr>
        <w:fldChar w:fldCharType="separate"/>
      </w:r>
      <w:r>
        <w:rPr>
          <w:rStyle w:val="37"/>
          <w:rFonts w:hint="eastAsia" w:cs="宋体"/>
          <w:color w:val="000000" w:themeColor="text1"/>
          <w:sz w:val="21"/>
          <w:szCs w:val="21"/>
          <w:highlight w:val="none"/>
          <w14:textFill>
            <w14:solidFill>
              <w14:schemeClr w14:val="tx1"/>
            </w14:solidFill>
          </w14:textFill>
        </w:rPr>
        <w:t>2</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14:textFill>
            <w14:solidFill>
              <w14:schemeClr w14:val="tx1"/>
            </w14:solidFill>
          </w14:textFill>
        </w:rPr>
        <w:t>适用法律法规</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_Toc175764420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5</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768B361F">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"_Toc175764421" </w:instrText>
      </w:r>
      <w:r>
        <w:rPr>
          <w:color w:val="000000" w:themeColor="text1"/>
          <w:highlight w:val="none"/>
          <w14:textFill>
            <w14:solidFill>
              <w14:schemeClr w14:val="tx1"/>
            </w14:solidFill>
          </w14:textFill>
        </w:rPr>
        <w:fldChar w:fldCharType="separate"/>
      </w:r>
      <w:r>
        <w:rPr>
          <w:rStyle w:val="37"/>
          <w:rFonts w:hint="eastAsia" w:cs="宋体"/>
          <w:color w:val="000000" w:themeColor="text1"/>
          <w:sz w:val="21"/>
          <w:szCs w:val="21"/>
          <w:highlight w:val="none"/>
          <w14:textFill>
            <w14:solidFill>
              <w14:schemeClr w14:val="tx1"/>
            </w14:solidFill>
          </w14:textFill>
        </w:rPr>
        <w:t>3</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14:textFill>
            <w14:solidFill>
              <w14:schemeClr w14:val="tx1"/>
            </w14:solidFill>
          </w14:textFill>
        </w:rPr>
        <w:t>标准和规范</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_Toc175764421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6</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38E06C87">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"_Toc175764422" </w:instrText>
      </w:r>
      <w:r>
        <w:rPr>
          <w:color w:val="000000" w:themeColor="text1"/>
          <w:highlight w:val="none"/>
          <w14:textFill>
            <w14:solidFill>
              <w14:schemeClr w14:val="tx1"/>
            </w14:solidFill>
          </w14:textFill>
        </w:rPr>
        <w:fldChar w:fldCharType="separate"/>
      </w:r>
      <w:r>
        <w:rPr>
          <w:rStyle w:val="37"/>
          <w:rFonts w:hint="eastAsia" w:cs="宋体"/>
          <w:color w:val="000000" w:themeColor="text1"/>
          <w:sz w:val="21"/>
          <w:szCs w:val="21"/>
          <w:highlight w:val="none"/>
          <w:lang w:eastAsia="zh-CN"/>
          <w14:textFill>
            <w14:solidFill>
              <w14:schemeClr w14:val="tx1"/>
            </w14:solidFill>
          </w14:textFill>
        </w:rPr>
        <w:t>4</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lang w:eastAsia="zh-CN"/>
          <w14:textFill>
            <w14:solidFill>
              <w14:schemeClr w14:val="tx1"/>
            </w14:solidFill>
          </w14:textFill>
        </w:rPr>
        <w:t>合同文件组成及解释顺序</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_Toc175764422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6</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2981F1E5">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"_Toc175764423" </w:instrText>
      </w:r>
      <w:r>
        <w:rPr>
          <w:color w:val="000000" w:themeColor="text1"/>
          <w:highlight w:val="none"/>
          <w14:textFill>
            <w14:solidFill>
              <w14:schemeClr w14:val="tx1"/>
            </w14:solidFill>
          </w14:textFill>
        </w:rPr>
        <w:fldChar w:fldCharType="separate"/>
      </w:r>
      <w:r>
        <w:rPr>
          <w:rStyle w:val="37"/>
          <w:rFonts w:hint="eastAsia" w:cs="宋体"/>
          <w:color w:val="000000" w:themeColor="text1"/>
          <w:sz w:val="21"/>
          <w:szCs w:val="21"/>
          <w:highlight w:val="none"/>
          <w14:textFill>
            <w14:solidFill>
              <w14:schemeClr w14:val="tx1"/>
            </w14:solidFill>
          </w14:textFill>
        </w:rPr>
        <w:t>5</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14:textFill>
            <w14:solidFill>
              <w14:schemeClr w14:val="tx1"/>
            </w14:solidFill>
          </w14:textFill>
        </w:rPr>
        <w:t>甲方工作</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_Toc175764423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7</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623C983C">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"_Toc175764424" </w:instrText>
      </w:r>
      <w:r>
        <w:rPr>
          <w:color w:val="000000" w:themeColor="text1"/>
          <w:highlight w:val="none"/>
          <w14:textFill>
            <w14:solidFill>
              <w14:schemeClr w14:val="tx1"/>
            </w14:solidFill>
          </w14:textFill>
        </w:rPr>
        <w:fldChar w:fldCharType="separate"/>
      </w:r>
      <w:r>
        <w:rPr>
          <w:rStyle w:val="37"/>
          <w:rFonts w:hint="eastAsia" w:cs="宋体"/>
          <w:color w:val="000000" w:themeColor="text1"/>
          <w:sz w:val="21"/>
          <w:szCs w:val="21"/>
          <w:highlight w:val="none"/>
          <w14:textFill>
            <w14:solidFill>
              <w14:schemeClr w14:val="tx1"/>
            </w14:solidFill>
          </w14:textFill>
        </w:rPr>
        <w:t>6</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14:textFill>
            <w14:solidFill>
              <w14:schemeClr w14:val="tx1"/>
            </w14:solidFill>
          </w14:textFill>
        </w:rPr>
        <w:t>乙方工作</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_Toc175764424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8</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11552DC4">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"_Toc175764425" </w:instrText>
      </w:r>
      <w:r>
        <w:rPr>
          <w:color w:val="000000" w:themeColor="text1"/>
          <w:highlight w:val="none"/>
          <w14:textFill>
            <w14:solidFill>
              <w14:schemeClr w14:val="tx1"/>
            </w14:solidFill>
          </w14:textFill>
        </w:rPr>
        <w:fldChar w:fldCharType="separate"/>
      </w:r>
      <w:r>
        <w:rPr>
          <w:rStyle w:val="37"/>
          <w:rFonts w:hint="eastAsia" w:cs="宋体"/>
          <w:color w:val="000000" w:themeColor="text1"/>
          <w:sz w:val="21"/>
          <w:szCs w:val="21"/>
          <w:highlight w:val="none"/>
          <w14:textFill>
            <w14:solidFill>
              <w14:schemeClr w14:val="tx1"/>
            </w14:solidFill>
          </w14:textFill>
        </w:rPr>
        <w:t>7</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14:textFill>
            <w14:solidFill>
              <w14:schemeClr w14:val="tx1"/>
            </w14:solidFill>
          </w14:textFill>
        </w:rPr>
        <w:t>技术质量要求</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_Toc175764425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14</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0148ED35">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"_Toc175764426" </w:instrText>
      </w:r>
      <w:r>
        <w:rPr>
          <w:color w:val="000000" w:themeColor="text1"/>
          <w:highlight w:val="none"/>
          <w14:textFill>
            <w14:solidFill>
              <w14:schemeClr w14:val="tx1"/>
            </w14:solidFill>
          </w14:textFill>
        </w:rPr>
        <w:fldChar w:fldCharType="separate"/>
      </w:r>
      <w:r>
        <w:rPr>
          <w:rStyle w:val="37"/>
          <w:rFonts w:hint="eastAsia" w:cs="宋体"/>
          <w:color w:val="000000" w:themeColor="text1"/>
          <w:sz w:val="21"/>
          <w:szCs w:val="21"/>
          <w:highlight w:val="none"/>
          <w14:textFill>
            <w14:solidFill>
              <w14:schemeClr w14:val="tx1"/>
            </w14:solidFill>
          </w14:textFill>
        </w:rPr>
        <w:t>8</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14:textFill>
            <w14:solidFill>
              <w14:schemeClr w14:val="tx1"/>
            </w14:solidFill>
          </w14:textFill>
        </w:rPr>
        <w:t>材料设备管理</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_Toc175764426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15</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2E66867F">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"_Toc175764427" </w:instrText>
      </w:r>
      <w:r>
        <w:rPr>
          <w:color w:val="000000" w:themeColor="text1"/>
          <w:highlight w:val="none"/>
          <w14:textFill>
            <w14:solidFill>
              <w14:schemeClr w14:val="tx1"/>
            </w14:solidFill>
          </w14:textFill>
        </w:rPr>
        <w:fldChar w:fldCharType="separate"/>
      </w:r>
      <w:r>
        <w:rPr>
          <w:rStyle w:val="37"/>
          <w:rFonts w:hint="eastAsia" w:cs="宋体"/>
          <w:color w:val="000000" w:themeColor="text1"/>
          <w:sz w:val="21"/>
          <w:szCs w:val="21"/>
          <w:highlight w:val="none"/>
          <w:lang w:eastAsia="zh-CN"/>
          <w14:textFill>
            <w14:solidFill>
              <w14:schemeClr w14:val="tx1"/>
            </w14:solidFill>
          </w14:textFill>
        </w:rPr>
        <w:t>9</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lang w:eastAsia="zh-CN"/>
          <w14:textFill>
            <w14:solidFill>
              <w14:schemeClr w14:val="tx1"/>
            </w14:solidFill>
          </w14:textFill>
        </w:rPr>
        <w:t>安</w:t>
      </w:r>
      <w:r>
        <w:rPr>
          <w:rStyle w:val="37"/>
          <w:rFonts w:hint="eastAsia" w:cs="宋体"/>
          <w:color w:val="000000" w:themeColor="text1"/>
          <w:sz w:val="21"/>
          <w:szCs w:val="21"/>
          <w:highlight w:val="none"/>
          <w14:textFill>
            <w14:solidFill>
              <w14:schemeClr w14:val="tx1"/>
            </w14:solidFill>
          </w14:textFill>
        </w:rPr>
        <w:t>全</w:t>
      </w:r>
      <w:r>
        <w:rPr>
          <w:rStyle w:val="37"/>
          <w:rFonts w:hint="eastAsia" w:cs="宋体"/>
          <w:color w:val="000000" w:themeColor="text1"/>
          <w:sz w:val="21"/>
          <w:szCs w:val="21"/>
          <w:highlight w:val="none"/>
          <w:lang w:eastAsia="zh-CN"/>
          <w14:textFill>
            <w14:solidFill>
              <w14:schemeClr w14:val="tx1"/>
            </w14:solidFill>
          </w14:textFill>
        </w:rPr>
        <w:t>文明施工</w:t>
      </w:r>
      <w:r>
        <w:rPr>
          <w:rStyle w:val="37"/>
          <w:rFonts w:hint="eastAsia" w:cs="宋体"/>
          <w:color w:val="000000" w:themeColor="text1"/>
          <w:sz w:val="21"/>
          <w:szCs w:val="21"/>
          <w:highlight w:val="none"/>
          <w14:textFill>
            <w14:solidFill>
              <w14:schemeClr w14:val="tx1"/>
            </w14:solidFill>
          </w14:textFill>
        </w:rPr>
        <w:t>管理</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_Toc175764427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17</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1FDCE1F8">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"_Toc175764428" </w:instrText>
      </w:r>
      <w:r>
        <w:rPr>
          <w:color w:val="000000" w:themeColor="text1"/>
          <w:highlight w:val="none"/>
          <w14:textFill>
            <w14:solidFill>
              <w14:schemeClr w14:val="tx1"/>
            </w14:solidFill>
          </w14:textFill>
        </w:rPr>
        <w:fldChar w:fldCharType="separate"/>
      </w:r>
      <w:r>
        <w:rPr>
          <w:rStyle w:val="37"/>
          <w:rFonts w:hint="eastAsia" w:cs="宋体"/>
          <w:color w:val="000000" w:themeColor="text1"/>
          <w:sz w:val="21"/>
          <w:szCs w:val="21"/>
          <w:highlight w:val="none"/>
          <w:lang w:eastAsia="zh-CN"/>
          <w14:textFill>
            <w14:solidFill>
              <w14:schemeClr w14:val="tx1"/>
            </w14:solidFill>
          </w14:textFill>
        </w:rPr>
        <w:t>10</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lang w:eastAsia="zh-CN"/>
          <w14:textFill>
            <w14:solidFill>
              <w14:schemeClr w14:val="tx1"/>
            </w14:solidFill>
          </w14:textFill>
        </w:rPr>
        <w:t>绿色施工、环境保护与职业健康管理</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_Toc175764428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18</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5E54EB27">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"_Toc175764429" </w:instrText>
      </w:r>
      <w:r>
        <w:rPr>
          <w:color w:val="000000" w:themeColor="text1"/>
          <w:highlight w:val="none"/>
          <w14:textFill>
            <w14:solidFill>
              <w14:schemeClr w14:val="tx1"/>
            </w14:solidFill>
          </w14:textFill>
        </w:rPr>
        <w:fldChar w:fldCharType="separate"/>
      </w:r>
      <w:r>
        <w:rPr>
          <w:rStyle w:val="37"/>
          <w:rFonts w:hint="eastAsia" w:cs="宋体"/>
          <w:color w:val="000000" w:themeColor="text1"/>
          <w:sz w:val="21"/>
          <w:szCs w:val="21"/>
          <w:highlight w:val="none"/>
          <w14:textFill>
            <w14:solidFill>
              <w14:schemeClr w14:val="tx1"/>
            </w14:solidFill>
          </w14:textFill>
        </w:rPr>
        <w:t>11</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14:textFill>
            <w14:solidFill>
              <w14:schemeClr w14:val="tx1"/>
            </w14:solidFill>
          </w14:textFill>
        </w:rPr>
        <w:t>工期</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_Toc175764429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20</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33FD7C26">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"_Toc175764430" </w:instrText>
      </w:r>
      <w:r>
        <w:rPr>
          <w:color w:val="000000" w:themeColor="text1"/>
          <w:highlight w:val="none"/>
          <w14:textFill>
            <w14:solidFill>
              <w14:schemeClr w14:val="tx1"/>
            </w14:solidFill>
          </w14:textFill>
        </w:rPr>
        <w:fldChar w:fldCharType="separate"/>
      </w:r>
      <w:r>
        <w:rPr>
          <w:rStyle w:val="37"/>
          <w:rFonts w:hint="eastAsia" w:cs="宋体"/>
          <w:color w:val="000000" w:themeColor="text1"/>
          <w:sz w:val="21"/>
          <w:szCs w:val="21"/>
          <w:highlight w:val="none"/>
          <w14:textFill>
            <w14:solidFill>
              <w14:schemeClr w14:val="tx1"/>
            </w14:solidFill>
          </w14:textFill>
        </w:rPr>
        <w:t>12</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lang w:eastAsia="zh-CN"/>
          <w14:textFill>
            <w14:solidFill>
              <w14:schemeClr w14:val="tx1"/>
            </w14:solidFill>
          </w14:textFill>
        </w:rPr>
        <w:t>试验和检验</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_Toc175764430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21</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665F8A63">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"_Toc175764431" </w:instrText>
      </w:r>
      <w:r>
        <w:rPr>
          <w:color w:val="000000" w:themeColor="text1"/>
          <w:highlight w:val="none"/>
          <w14:textFill>
            <w14:solidFill>
              <w14:schemeClr w14:val="tx1"/>
            </w14:solidFill>
          </w14:textFill>
        </w:rPr>
        <w:fldChar w:fldCharType="separate"/>
      </w:r>
      <w:r>
        <w:rPr>
          <w:rStyle w:val="37"/>
          <w:rFonts w:hint="eastAsia" w:cs="宋体"/>
          <w:color w:val="000000" w:themeColor="text1"/>
          <w:sz w:val="21"/>
          <w:szCs w:val="21"/>
          <w:highlight w:val="none"/>
          <w14:textFill>
            <w14:solidFill>
              <w14:schemeClr w14:val="tx1"/>
            </w14:solidFill>
          </w14:textFill>
        </w:rPr>
        <w:t>13</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14:textFill>
            <w14:solidFill>
              <w14:schemeClr w14:val="tx1"/>
            </w14:solidFill>
          </w14:textFill>
        </w:rPr>
        <w:t>合同价款与计量方式</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_Toc175764431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22</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156CC66A">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"_Toc175764432" </w:instrText>
      </w:r>
      <w:r>
        <w:rPr>
          <w:color w:val="000000" w:themeColor="text1"/>
          <w:highlight w:val="none"/>
          <w14:textFill>
            <w14:solidFill>
              <w14:schemeClr w14:val="tx1"/>
            </w14:solidFill>
          </w14:textFill>
        </w:rPr>
        <w:fldChar w:fldCharType="separate"/>
      </w:r>
      <w:r>
        <w:rPr>
          <w:rStyle w:val="37"/>
          <w:rFonts w:hint="eastAsia" w:cs="宋体"/>
          <w:color w:val="000000" w:themeColor="text1"/>
          <w:sz w:val="21"/>
          <w:szCs w:val="21"/>
          <w:highlight w:val="none"/>
          <w14:textFill>
            <w14:solidFill>
              <w14:schemeClr w14:val="tx1"/>
            </w14:solidFill>
          </w14:textFill>
        </w:rPr>
        <w:t>14</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14:textFill>
            <w14:solidFill>
              <w14:schemeClr w14:val="tx1"/>
            </w14:solidFill>
          </w14:textFill>
        </w:rPr>
        <w:t>变更</w:t>
      </w:r>
      <w:r>
        <w:rPr>
          <w:rStyle w:val="37"/>
          <w:rFonts w:hint="eastAsia" w:cs="宋体"/>
          <w:color w:val="000000" w:themeColor="text1"/>
          <w:sz w:val="21"/>
          <w:szCs w:val="21"/>
          <w:highlight w:val="none"/>
          <w:lang w:eastAsia="zh-CN"/>
          <w14:textFill>
            <w14:solidFill>
              <w14:schemeClr w14:val="tx1"/>
            </w14:solidFill>
          </w14:textFill>
        </w:rPr>
        <w:t>签证</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_Toc175764432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25</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61805256">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"_Toc175764433" </w:instrText>
      </w:r>
      <w:r>
        <w:rPr>
          <w:color w:val="000000" w:themeColor="text1"/>
          <w:highlight w:val="none"/>
          <w14:textFill>
            <w14:solidFill>
              <w14:schemeClr w14:val="tx1"/>
            </w14:solidFill>
          </w14:textFill>
        </w:rPr>
        <w:fldChar w:fldCharType="separate"/>
      </w:r>
      <w:r>
        <w:rPr>
          <w:rStyle w:val="37"/>
          <w:rFonts w:hint="eastAsia" w:cs="宋体"/>
          <w:color w:val="000000" w:themeColor="text1"/>
          <w:sz w:val="21"/>
          <w:szCs w:val="21"/>
          <w:highlight w:val="none"/>
          <w14:textFill>
            <w14:solidFill>
              <w14:schemeClr w14:val="tx1"/>
            </w14:solidFill>
          </w14:textFill>
        </w:rPr>
        <w:t>15</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14:textFill>
            <w14:solidFill>
              <w14:schemeClr w14:val="tx1"/>
            </w14:solidFill>
          </w14:textFill>
        </w:rPr>
        <w:t>工程款支付</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_Toc175764433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27</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581B0EC2">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"_Toc175764434" </w:instrText>
      </w:r>
      <w:r>
        <w:rPr>
          <w:color w:val="000000" w:themeColor="text1"/>
          <w:highlight w:val="none"/>
          <w14:textFill>
            <w14:solidFill>
              <w14:schemeClr w14:val="tx1"/>
            </w14:solidFill>
          </w14:textFill>
        </w:rPr>
        <w:fldChar w:fldCharType="separate"/>
      </w:r>
      <w:r>
        <w:rPr>
          <w:rStyle w:val="37"/>
          <w:rFonts w:hint="eastAsia" w:cs="宋体"/>
          <w:color w:val="000000" w:themeColor="text1"/>
          <w:sz w:val="21"/>
          <w:szCs w:val="21"/>
          <w:highlight w:val="none"/>
          <w14:textFill>
            <w14:solidFill>
              <w14:schemeClr w14:val="tx1"/>
            </w14:solidFill>
          </w14:textFill>
        </w:rPr>
        <w:t>16</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lang w:eastAsia="zh-CN"/>
          <w14:textFill>
            <w14:solidFill>
              <w14:schemeClr w14:val="tx1"/>
            </w14:solidFill>
          </w14:textFill>
        </w:rPr>
        <w:t>过程结算</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_Toc175764434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28</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0941AC20">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"_Toc175764435" </w:instrText>
      </w:r>
      <w:r>
        <w:rPr>
          <w:color w:val="000000" w:themeColor="text1"/>
          <w:highlight w:val="none"/>
          <w14:textFill>
            <w14:solidFill>
              <w14:schemeClr w14:val="tx1"/>
            </w14:solidFill>
          </w14:textFill>
        </w:rPr>
        <w:fldChar w:fldCharType="separate"/>
      </w:r>
      <w:r>
        <w:rPr>
          <w:rStyle w:val="37"/>
          <w:rFonts w:hint="eastAsia" w:cs="宋体"/>
          <w:color w:val="000000" w:themeColor="text1"/>
          <w:sz w:val="21"/>
          <w:szCs w:val="21"/>
          <w:highlight w:val="none"/>
          <w14:textFill>
            <w14:solidFill>
              <w14:schemeClr w14:val="tx1"/>
            </w14:solidFill>
          </w14:textFill>
        </w:rPr>
        <w:t>17</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lang w:eastAsia="zh-CN"/>
          <w14:textFill>
            <w14:solidFill>
              <w14:schemeClr w14:val="tx1"/>
            </w14:solidFill>
          </w14:textFill>
        </w:rPr>
        <w:t>最终</w:t>
      </w:r>
      <w:r>
        <w:rPr>
          <w:rStyle w:val="37"/>
          <w:rFonts w:hint="eastAsia" w:cs="宋体"/>
          <w:color w:val="000000" w:themeColor="text1"/>
          <w:sz w:val="21"/>
          <w:szCs w:val="21"/>
          <w:highlight w:val="none"/>
          <w14:textFill>
            <w14:solidFill>
              <w14:schemeClr w14:val="tx1"/>
            </w14:solidFill>
          </w14:textFill>
        </w:rPr>
        <w:t>结算</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_Toc175764435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28</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0560290B">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"_Toc175764436" </w:instrText>
      </w:r>
      <w:r>
        <w:rPr>
          <w:color w:val="000000" w:themeColor="text1"/>
          <w:highlight w:val="none"/>
          <w14:textFill>
            <w14:solidFill>
              <w14:schemeClr w14:val="tx1"/>
            </w14:solidFill>
          </w14:textFill>
        </w:rPr>
        <w:fldChar w:fldCharType="separate"/>
      </w:r>
      <w:r>
        <w:rPr>
          <w:rStyle w:val="37"/>
          <w:rFonts w:hint="eastAsia" w:cs="宋体"/>
          <w:color w:val="000000" w:themeColor="text1"/>
          <w:sz w:val="21"/>
          <w:szCs w:val="21"/>
          <w:highlight w:val="none"/>
          <w14:textFill>
            <w14:solidFill>
              <w14:schemeClr w14:val="tx1"/>
            </w14:solidFill>
          </w14:textFill>
        </w:rPr>
        <w:t>18</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lang w:eastAsia="zh-CN"/>
          <w14:textFill>
            <w14:solidFill>
              <w14:schemeClr w14:val="tx1"/>
            </w14:solidFill>
          </w14:textFill>
        </w:rPr>
        <w:t>完工验收</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_Toc175764436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29</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3C545B4A">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"_Toc175764437" </w:instrText>
      </w:r>
      <w:r>
        <w:rPr>
          <w:color w:val="000000" w:themeColor="text1"/>
          <w:highlight w:val="none"/>
          <w14:textFill>
            <w14:solidFill>
              <w14:schemeClr w14:val="tx1"/>
            </w14:solidFill>
          </w14:textFill>
        </w:rPr>
        <w:fldChar w:fldCharType="separate"/>
      </w:r>
      <w:r>
        <w:rPr>
          <w:rStyle w:val="37"/>
          <w:rFonts w:hint="eastAsia" w:cs="宋体"/>
          <w:color w:val="000000" w:themeColor="text1"/>
          <w:sz w:val="21"/>
          <w:szCs w:val="21"/>
          <w:highlight w:val="none"/>
          <w14:textFill>
            <w14:solidFill>
              <w14:schemeClr w14:val="tx1"/>
            </w14:solidFill>
          </w14:textFill>
        </w:rPr>
        <w:t>19</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14:textFill>
            <w14:solidFill>
              <w14:schemeClr w14:val="tx1"/>
            </w14:solidFill>
          </w14:textFill>
        </w:rPr>
        <w:t>履约</w:t>
      </w:r>
      <w:r>
        <w:rPr>
          <w:rStyle w:val="37"/>
          <w:rFonts w:hint="eastAsia" w:cs="宋体"/>
          <w:color w:val="000000" w:themeColor="text1"/>
          <w:sz w:val="21"/>
          <w:szCs w:val="21"/>
          <w:highlight w:val="none"/>
          <w:lang w:eastAsia="zh-CN"/>
          <w14:textFill>
            <w14:solidFill>
              <w14:schemeClr w14:val="tx1"/>
            </w14:solidFill>
          </w14:textFill>
        </w:rPr>
        <w:t>保证</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_Toc175764437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30</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0683E44C">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"_Toc175764438" </w:instrText>
      </w:r>
      <w:r>
        <w:rPr>
          <w:color w:val="000000" w:themeColor="text1"/>
          <w:highlight w:val="none"/>
          <w14:textFill>
            <w14:solidFill>
              <w14:schemeClr w14:val="tx1"/>
            </w14:solidFill>
          </w14:textFill>
        </w:rPr>
        <w:fldChar w:fldCharType="separate"/>
      </w:r>
      <w:r>
        <w:rPr>
          <w:rStyle w:val="37"/>
          <w:rFonts w:hint="eastAsia" w:cs="宋体"/>
          <w:color w:val="000000" w:themeColor="text1"/>
          <w:kern w:val="10"/>
          <w:sz w:val="21"/>
          <w:szCs w:val="21"/>
          <w:highlight w:val="none"/>
          <w14:textFill>
            <w14:solidFill>
              <w14:schemeClr w14:val="tx1"/>
            </w14:solidFill>
          </w14:textFill>
        </w:rPr>
        <w:t>20</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lang w:eastAsia="zh-CN"/>
          <w14:textFill>
            <w14:solidFill>
              <w14:schemeClr w14:val="tx1"/>
            </w14:solidFill>
          </w14:textFill>
        </w:rPr>
        <w:t>缺陷责任与</w:t>
      </w:r>
      <w:r>
        <w:rPr>
          <w:rStyle w:val="37"/>
          <w:rFonts w:hint="eastAsia" w:cs="宋体"/>
          <w:color w:val="000000" w:themeColor="text1"/>
          <w:sz w:val="21"/>
          <w:szCs w:val="21"/>
          <w:highlight w:val="none"/>
          <w14:textFill>
            <w14:solidFill>
              <w14:schemeClr w14:val="tx1"/>
            </w14:solidFill>
          </w14:textFill>
        </w:rPr>
        <w:t>保修</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_Toc175764438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30</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2D2E230C">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"_Toc175764439" </w:instrText>
      </w:r>
      <w:r>
        <w:rPr>
          <w:color w:val="000000" w:themeColor="text1"/>
          <w:highlight w:val="none"/>
          <w14:textFill>
            <w14:solidFill>
              <w14:schemeClr w14:val="tx1"/>
            </w14:solidFill>
          </w14:textFill>
        </w:rPr>
        <w:fldChar w:fldCharType="separate"/>
      </w:r>
      <w:r>
        <w:rPr>
          <w:rStyle w:val="37"/>
          <w:rFonts w:hint="eastAsia" w:cs="宋体"/>
          <w:color w:val="000000" w:themeColor="text1"/>
          <w:kern w:val="10"/>
          <w:sz w:val="21"/>
          <w:szCs w:val="21"/>
          <w:highlight w:val="none"/>
          <w14:textFill>
            <w14:solidFill>
              <w14:schemeClr w14:val="tx1"/>
            </w14:solidFill>
          </w14:textFill>
        </w:rPr>
        <w:t>21</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14:textFill>
            <w14:solidFill>
              <w14:schemeClr w14:val="tx1"/>
            </w14:solidFill>
          </w14:textFill>
        </w:rPr>
        <w:t>保险</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_Toc175764439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32</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03DA2064">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"_Toc175764440" </w:instrText>
      </w:r>
      <w:r>
        <w:rPr>
          <w:color w:val="000000" w:themeColor="text1"/>
          <w:highlight w:val="none"/>
          <w14:textFill>
            <w14:solidFill>
              <w14:schemeClr w14:val="tx1"/>
            </w14:solidFill>
          </w14:textFill>
        </w:rPr>
        <w:fldChar w:fldCharType="separate"/>
      </w:r>
      <w:r>
        <w:rPr>
          <w:rStyle w:val="37"/>
          <w:rFonts w:hint="eastAsia" w:cs="宋体"/>
          <w:color w:val="000000" w:themeColor="text1"/>
          <w:sz w:val="21"/>
          <w:szCs w:val="21"/>
          <w:highlight w:val="none"/>
          <w14:textFill>
            <w14:solidFill>
              <w14:schemeClr w14:val="tx1"/>
            </w14:solidFill>
          </w14:textFill>
        </w:rPr>
        <w:t>22</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14:textFill>
            <w14:solidFill>
              <w14:schemeClr w14:val="tx1"/>
            </w14:solidFill>
          </w14:textFill>
        </w:rPr>
        <w:t>不可抗力</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_Toc175764440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32</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76F54913">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"_Toc175764441" </w:instrText>
      </w:r>
      <w:r>
        <w:rPr>
          <w:color w:val="000000" w:themeColor="text1"/>
          <w:highlight w:val="none"/>
          <w14:textFill>
            <w14:solidFill>
              <w14:schemeClr w14:val="tx1"/>
            </w14:solidFill>
          </w14:textFill>
        </w:rPr>
        <w:fldChar w:fldCharType="separate"/>
      </w:r>
      <w:r>
        <w:rPr>
          <w:rStyle w:val="37"/>
          <w:rFonts w:hint="eastAsia" w:cs="宋体"/>
          <w:color w:val="000000" w:themeColor="text1"/>
          <w:sz w:val="21"/>
          <w:szCs w:val="21"/>
          <w:highlight w:val="none"/>
          <w14:textFill>
            <w14:solidFill>
              <w14:schemeClr w14:val="tx1"/>
            </w14:solidFill>
          </w14:textFill>
        </w:rPr>
        <w:t>23</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14:textFill>
            <w14:solidFill>
              <w14:schemeClr w14:val="tx1"/>
            </w14:solidFill>
          </w14:textFill>
        </w:rPr>
        <w:t>违约</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_Toc175764441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33</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0FE5A4D4">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"_Toc175764442" </w:instrText>
      </w:r>
      <w:r>
        <w:rPr>
          <w:color w:val="000000" w:themeColor="text1"/>
          <w:highlight w:val="none"/>
          <w14:textFill>
            <w14:solidFill>
              <w14:schemeClr w14:val="tx1"/>
            </w14:solidFill>
          </w14:textFill>
        </w:rPr>
        <w:fldChar w:fldCharType="separate"/>
      </w:r>
      <w:r>
        <w:rPr>
          <w:rStyle w:val="37"/>
          <w:rFonts w:hint="eastAsia" w:cs="宋体"/>
          <w:color w:val="000000" w:themeColor="text1"/>
          <w:sz w:val="21"/>
          <w:szCs w:val="21"/>
          <w:highlight w:val="none"/>
          <w14:textFill>
            <w14:solidFill>
              <w14:schemeClr w14:val="tx1"/>
            </w14:solidFill>
          </w14:textFill>
        </w:rPr>
        <w:t>24</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14:textFill>
            <w14:solidFill>
              <w14:schemeClr w14:val="tx1"/>
            </w14:solidFill>
          </w14:textFill>
        </w:rPr>
        <w:t>争议解决</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_Toc175764442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33</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2578396C">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"_Toc175764443" </w:instrText>
      </w:r>
      <w:r>
        <w:rPr>
          <w:color w:val="000000" w:themeColor="text1"/>
          <w:highlight w:val="none"/>
          <w14:textFill>
            <w14:solidFill>
              <w14:schemeClr w14:val="tx1"/>
            </w14:solidFill>
          </w14:textFill>
        </w:rPr>
        <w:fldChar w:fldCharType="separate"/>
      </w:r>
      <w:r>
        <w:rPr>
          <w:rStyle w:val="37"/>
          <w:rFonts w:hint="eastAsia" w:cs="宋体"/>
          <w:color w:val="000000" w:themeColor="text1"/>
          <w:sz w:val="21"/>
          <w:szCs w:val="21"/>
          <w:highlight w:val="none"/>
          <w14:textFill>
            <w14:solidFill>
              <w14:schemeClr w14:val="tx1"/>
            </w14:solidFill>
          </w14:textFill>
        </w:rPr>
        <w:t>25</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14:textFill>
            <w14:solidFill>
              <w14:schemeClr w14:val="tx1"/>
            </w14:solidFill>
          </w14:textFill>
        </w:rPr>
        <w:t>合同终止</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_Toc175764443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33</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7E82109E">
      <w:pPr>
        <w:pStyle w:val="22"/>
        <w:tabs>
          <w:tab w:val="right" w:leader="dot" w:pos="9628"/>
          <w:tab w:val="clear" w:pos="8511"/>
        </w:tabs>
        <w:spacing w:after="0" w:line="240" w:lineRule="auto"/>
        <w:rPr>
          <w:rFonts w:hint="eastAsia" w:ascii="宋体" w:hAnsi="宋体"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"_Toc175764444" </w:instrText>
      </w:r>
      <w:r>
        <w:rPr>
          <w:color w:val="000000" w:themeColor="text1"/>
          <w:highlight w:val="none"/>
          <w14:textFill>
            <w14:solidFill>
              <w14:schemeClr w14:val="tx1"/>
            </w14:solidFill>
          </w14:textFill>
        </w:rPr>
        <w:fldChar w:fldCharType="separate"/>
      </w:r>
      <w:r>
        <w:rPr>
          <w:rStyle w:val="37"/>
          <w:rFonts w:hint="eastAsia" w:ascii="宋体" w:hAnsi="宋体"/>
          <w:color w:val="000000" w:themeColor="text1"/>
          <w:sz w:val="21"/>
          <w:szCs w:val="21"/>
          <w:highlight w:val="none"/>
          <w:lang w:eastAsia="zh-CN"/>
          <w14:textFill>
            <w14:solidFill>
              <w14:schemeClr w14:val="tx1"/>
            </w14:solidFill>
          </w14:textFill>
        </w:rPr>
        <w:t>第三部分 专用合同条款</w:t>
      </w:r>
      <w:r>
        <w:rPr>
          <w:rFonts w:hint="eastAsia" w:ascii="宋体" w:hAnsi="宋体"/>
          <w:color w:val="000000" w:themeColor="text1"/>
          <w:sz w:val="21"/>
          <w:szCs w:val="21"/>
          <w:highlight w:val="none"/>
          <w14:textFill>
            <w14:solidFill>
              <w14:schemeClr w14:val="tx1"/>
            </w14:solidFill>
          </w14:textFill>
        </w:rPr>
        <w:tab/>
      </w:r>
      <w:r>
        <w:rPr>
          <w:rFonts w:hint="eastAsia" w:ascii="宋体" w:hAnsi="宋体"/>
          <w:color w:val="000000" w:themeColor="text1"/>
          <w:sz w:val="21"/>
          <w:szCs w:val="21"/>
          <w:highlight w:val="none"/>
          <w14:textFill>
            <w14:solidFill>
              <w14:schemeClr w14:val="tx1"/>
            </w14:solidFill>
          </w14:textFill>
        </w:rPr>
        <w:fldChar w:fldCharType="begin"/>
      </w:r>
      <w:r>
        <w:rPr>
          <w:rFonts w:hint="eastAsia" w:ascii="宋体" w:hAnsi="宋体"/>
          <w:color w:val="000000" w:themeColor="text1"/>
          <w:sz w:val="21"/>
          <w:szCs w:val="21"/>
          <w:highlight w:val="none"/>
          <w14:textFill>
            <w14:solidFill>
              <w14:schemeClr w14:val="tx1"/>
            </w14:solidFill>
          </w14:textFill>
        </w:rPr>
        <w:instrText xml:space="preserve"> </w:instrText>
      </w:r>
      <w:r>
        <w:rPr>
          <w:rFonts w:ascii="宋体" w:hAnsi="宋体"/>
          <w:color w:val="000000" w:themeColor="text1"/>
          <w:sz w:val="21"/>
          <w:szCs w:val="21"/>
          <w:highlight w:val="none"/>
          <w14:textFill>
            <w14:solidFill>
              <w14:schemeClr w14:val="tx1"/>
            </w14:solidFill>
          </w14:textFill>
        </w:rPr>
        <w:instrText xml:space="preserve">PAGEREF _Toc175764444 \h</w:instrText>
      </w:r>
      <w:r>
        <w:rPr>
          <w:rFonts w:hint="eastAsia" w:ascii="宋体" w:hAnsi="宋体"/>
          <w:color w:val="000000" w:themeColor="text1"/>
          <w:sz w:val="21"/>
          <w:szCs w:val="21"/>
          <w:highlight w:val="none"/>
          <w14:textFill>
            <w14:solidFill>
              <w14:schemeClr w14:val="tx1"/>
            </w14:solidFill>
          </w14:textFill>
        </w:rPr>
        <w:instrText xml:space="preserve"> </w:instrText>
      </w:r>
      <w:r>
        <w:rPr>
          <w:rFonts w:hint="eastAsia" w:ascii="宋体" w:hAnsi="宋体"/>
          <w:color w:val="000000" w:themeColor="text1"/>
          <w:sz w:val="21"/>
          <w:szCs w:val="21"/>
          <w:highlight w:val="none"/>
          <w14:textFill>
            <w14:solidFill>
              <w14:schemeClr w14:val="tx1"/>
            </w14:solidFill>
          </w14:textFill>
        </w:rPr>
        <w:fldChar w:fldCharType="separate"/>
      </w:r>
      <w:r>
        <w:rPr>
          <w:rFonts w:hint="eastAsia" w:ascii="宋体" w:hAnsi="宋体"/>
          <w:color w:val="000000" w:themeColor="text1"/>
          <w:sz w:val="21"/>
          <w:szCs w:val="21"/>
          <w:highlight w:val="none"/>
          <w14:textFill>
            <w14:solidFill>
              <w14:schemeClr w14:val="tx1"/>
            </w14:solidFill>
          </w14:textFill>
        </w:rPr>
        <w:t>35</w:t>
      </w:r>
      <w:r>
        <w:rPr>
          <w:rFonts w:hint="eastAsia" w:ascii="宋体" w:hAnsi="宋体"/>
          <w:color w:val="000000" w:themeColor="text1"/>
          <w:sz w:val="21"/>
          <w:szCs w:val="21"/>
          <w:highlight w:val="none"/>
          <w14:textFill>
            <w14:solidFill>
              <w14:schemeClr w14:val="tx1"/>
            </w14:solidFill>
          </w14:textFill>
        </w:rPr>
        <w:fldChar w:fldCharType="end"/>
      </w:r>
      <w:r>
        <w:rPr>
          <w:rFonts w:hint="eastAsia" w:ascii="宋体" w:hAnsi="宋体"/>
          <w:color w:val="000000" w:themeColor="text1"/>
          <w:sz w:val="21"/>
          <w:szCs w:val="21"/>
          <w:highlight w:val="none"/>
          <w14:textFill>
            <w14:solidFill>
              <w14:schemeClr w14:val="tx1"/>
            </w14:solidFill>
          </w14:textFill>
        </w:rPr>
        <w:fldChar w:fldCharType="end"/>
      </w:r>
    </w:p>
    <w:p w14:paraId="75D6BB31">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"_Toc175764445" </w:instrText>
      </w:r>
      <w:r>
        <w:rPr>
          <w:color w:val="000000" w:themeColor="text1"/>
          <w:highlight w:val="none"/>
          <w14:textFill>
            <w14:solidFill>
              <w14:schemeClr w14:val="tx1"/>
            </w14:solidFill>
          </w14:textFill>
        </w:rPr>
        <w:fldChar w:fldCharType="separate"/>
      </w:r>
      <w:r>
        <w:rPr>
          <w:rStyle w:val="37"/>
          <w:rFonts w:hint="eastAsia" w:cs="宋体"/>
          <w:color w:val="000000" w:themeColor="text1"/>
          <w:sz w:val="21"/>
          <w:szCs w:val="21"/>
          <w:highlight w:val="none"/>
          <w:lang w:eastAsia="zh-CN"/>
          <w14:textFill>
            <w14:solidFill>
              <w14:schemeClr w14:val="tx1"/>
            </w14:solidFill>
          </w14:textFill>
        </w:rPr>
        <w:t>1</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lang w:eastAsia="zh-CN"/>
          <w14:textFill>
            <w14:solidFill>
              <w14:schemeClr w14:val="tx1"/>
            </w14:solidFill>
          </w14:textFill>
        </w:rPr>
        <w:t>词语解释</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_Toc175764445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35</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590640DF">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"_Toc175764446" </w:instrText>
      </w:r>
      <w:r>
        <w:rPr>
          <w:color w:val="000000" w:themeColor="text1"/>
          <w:highlight w:val="none"/>
          <w14:textFill>
            <w14:solidFill>
              <w14:schemeClr w14:val="tx1"/>
            </w14:solidFill>
          </w14:textFill>
        </w:rPr>
        <w:fldChar w:fldCharType="separate"/>
      </w:r>
      <w:r>
        <w:rPr>
          <w:rStyle w:val="37"/>
          <w:rFonts w:hint="eastAsia" w:cs="宋体"/>
          <w:color w:val="000000" w:themeColor="text1"/>
          <w:sz w:val="21"/>
          <w:szCs w:val="21"/>
          <w:highlight w:val="none"/>
          <w:lang w:eastAsia="zh-CN"/>
          <w14:textFill>
            <w14:solidFill>
              <w14:schemeClr w14:val="tx1"/>
            </w14:solidFill>
          </w14:textFill>
        </w:rPr>
        <w:t>2</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lang w:eastAsia="zh-CN"/>
          <w14:textFill>
            <w14:solidFill>
              <w14:schemeClr w14:val="tx1"/>
            </w14:solidFill>
          </w14:textFill>
        </w:rPr>
        <w:t>适用法律法规</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_Toc175764446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35</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2BEAE30B">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"_Toc175764447" </w:instrText>
      </w:r>
      <w:r>
        <w:rPr>
          <w:color w:val="000000" w:themeColor="text1"/>
          <w:highlight w:val="none"/>
          <w14:textFill>
            <w14:solidFill>
              <w14:schemeClr w14:val="tx1"/>
            </w14:solidFill>
          </w14:textFill>
        </w:rPr>
        <w:fldChar w:fldCharType="separate"/>
      </w:r>
      <w:r>
        <w:rPr>
          <w:rStyle w:val="37"/>
          <w:rFonts w:hint="eastAsia" w:cs="宋体"/>
          <w:color w:val="000000" w:themeColor="text1"/>
          <w:sz w:val="21"/>
          <w:szCs w:val="21"/>
          <w:highlight w:val="none"/>
          <w:lang w:eastAsia="zh-CN"/>
          <w14:textFill>
            <w14:solidFill>
              <w14:schemeClr w14:val="tx1"/>
            </w14:solidFill>
          </w14:textFill>
        </w:rPr>
        <w:t>3</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lang w:eastAsia="zh-CN"/>
          <w14:textFill>
            <w14:solidFill>
              <w14:schemeClr w14:val="tx1"/>
            </w14:solidFill>
          </w14:textFill>
        </w:rPr>
        <w:t>标准和规范</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_Toc175764447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35</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7608EAC9">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"_Toc175764448" </w:instrText>
      </w:r>
      <w:r>
        <w:rPr>
          <w:color w:val="000000" w:themeColor="text1"/>
          <w:highlight w:val="none"/>
          <w14:textFill>
            <w14:solidFill>
              <w14:schemeClr w14:val="tx1"/>
            </w14:solidFill>
          </w14:textFill>
        </w:rPr>
        <w:fldChar w:fldCharType="separate"/>
      </w:r>
      <w:r>
        <w:rPr>
          <w:rStyle w:val="37"/>
          <w:rFonts w:hint="eastAsia" w:cs="宋体"/>
          <w:color w:val="000000" w:themeColor="text1"/>
          <w:sz w:val="21"/>
          <w:szCs w:val="21"/>
          <w:highlight w:val="none"/>
          <w:lang w:eastAsia="zh-CN"/>
          <w14:textFill>
            <w14:solidFill>
              <w14:schemeClr w14:val="tx1"/>
            </w14:solidFill>
          </w14:textFill>
        </w:rPr>
        <w:t>4</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lang w:eastAsia="zh-CN"/>
          <w14:textFill>
            <w14:solidFill>
              <w14:schemeClr w14:val="tx1"/>
            </w14:solidFill>
          </w14:textFill>
        </w:rPr>
        <w:t>合同文件组成及解释顺序</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_Toc175764448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35</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1C3898FB">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"_Toc175764449" </w:instrText>
      </w:r>
      <w:r>
        <w:rPr>
          <w:color w:val="000000" w:themeColor="text1"/>
          <w:highlight w:val="none"/>
          <w14:textFill>
            <w14:solidFill>
              <w14:schemeClr w14:val="tx1"/>
            </w14:solidFill>
          </w14:textFill>
        </w:rPr>
        <w:fldChar w:fldCharType="separate"/>
      </w:r>
      <w:r>
        <w:rPr>
          <w:rStyle w:val="37"/>
          <w:rFonts w:hint="eastAsia" w:cs="宋体"/>
          <w:color w:val="000000" w:themeColor="text1"/>
          <w:sz w:val="21"/>
          <w:szCs w:val="21"/>
          <w:highlight w:val="none"/>
          <w:lang w:eastAsia="zh-CN"/>
          <w14:textFill>
            <w14:solidFill>
              <w14:schemeClr w14:val="tx1"/>
            </w14:solidFill>
          </w14:textFill>
        </w:rPr>
        <w:t>5</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lang w:eastAsia="zh-CN"/>
          <w14:textFill>
            <w14:solidFill>
              <w14:schemeClr w14:val="tx1"/>
            </w14:solidFill>
          </w14:textFill>
        </w:rPr>
        <w:t>甲方工作</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_Toc175764449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35</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6C0543A6">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"_Toc175764450" </w:instrText>
      </w:r>
      <w:r>
        <w:rPr>
          <w:color w:val="000000" w:themeColor="text1"/>
          <w:highlight w:val="none"/>
          <w14:textFill>
            <w14:solidFill>
              <w14:schemeClr w14:val="tx1"/>
            </w14:solidFill>
          </w14:textFill>
        </w:rPr>
        <w:fldChar w:fldCharType="separate"/>
      </w:r>
      <w:r>
        <w:rPr>
          <w:rStyle w:val="37"/>
          <w:rFonts w:hint="eastAsia" w:cs="宋体"/>
          <w:color w:val="000000" w:themeColor="text1"/>
          <w:sz w:val="21"/>
          <w:szCs w:val="21"/>
          <w:highlight w:val="none"/>
          <w14:textFill>
            <w14:solidFill>
              <w14:schemeClr w14:val="tx1"/>
            </w14:solidFill>
          </w14:textFill>
        </w:rPr>
        <w:t>6</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lang w:eastAsia="zh-CN"/>
          <w14:textFill>
            <w14:solidFill>
              <w14:schemeClr w14:val="tx1"/>
            </w14:solidFill>
          </w14:textFill>
        </w:rPr>
        <w:t>乙方工作</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_Toc175764450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35</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47DC7CC2">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"_Toc175764451" </w:instrText>
      </w:r>
      <w:r>
        <w:rPr>
          <w:color w:val="000000" w:themeColor="text1"/>
          <w:highlight w:val="none"/>
          <w14:textFill>
            <w14:solidFill>
              <w14:schemeClr w14:val="tx1"/>
            </w14:solidFill>
          </w14:textFill>
        </w:rPr>
        <w:fldChar w:fldCharType="separate"/>
      </w:r>
      <w:r>
        <w:rPr>
          <w:rStyle w:val="37"/>
          <w:rFonts w:hint="eastAsia" w:cs="宋体"/>
          <w:color w:val="000000" w:themeColor="text1"/>
          <w:sz w:val="21"/>
          <w:szCs w:val="21"/>
          <w:highlight w:val="none"/>
          <w14:textFill>
            <w14:solidFill>
              <w14:schemeClr w14:val="tx1"/>
            </w14:solidFill>
          </w14:textFill>
        </w:rPr>
        <w:t>7</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lang w:eastAsia="zh-CN"/>
          <w14:textFill>
            <w14:solidFill>
              <w14:schemeClr w14:val="tx1"/>
            </w14:solidFill>
          </w14:textFill>
        </w:rPr>
        <w:t>技术质量要求</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_Toc175764451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37</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00374EF1">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"_Toc175764452" </w:instrText>
      </w:r>
      <w:r>
        <w:rPr>
          <w:color w:val="000000" w:themeColor="text1"/>
          <w:highlight w:val="none"/>
          <w14:textFill>
            <w14:solidFill>
              <w14:schemeClr w14:val="tx1"/>
            </w14:solidFill>
          </w14:textFill>
        </w:rPr>
        <w:fldChar w:fldCharType="separate"/>
      </w:r>
      <w:r>
        <w:rPr>
          <w:rStyle w:val="37"/>
          <w:rFonts w:hint="eastAsia" w:cs="宋体"/>
          <w:color w:val="000000" w:themeColor="text1"/>
          <w:sz w:val="21"/>
          <w:szCs w:val="21"/>
          <w:highlight w:val="none"/>
          <w:lang w:eastAsia="zh-CN"/>
          <w14:textFill>
            <w14:solidFill>
              <w14:schemeClr w14:val="tx1"/>
            </w14:solidFill>
          </w14:textFill>
        </w:rPr>
        <w:t>8</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lang w:eastAsia="zh-CN"/>
          <w14:textFill>
            <w14:solidFill>
              <w14:schemeClr w14:val="tx1"/>
            </w14:solidFill>
          </w14:textFill>
        </w:rPr>
        <w:t>材料设备管理</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_Toc175764452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37</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7155521B">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"_Toc175764453" </w:instrText>
      </w:r>
      <w:r>
        <w:rPr>
          <w:color w:val="000000" w:themeColor="text1"/>
          <w:highlight w:val="none"/>
          <w14:textFill>
            <w14:solidFill>
              <w14:schemeClr w14:val="tx1"/>
            </w14:solidFill>
          </w14:textFill>
        </w:rPr>
        <w:fldChar w:fldCharType="separate"/>
      </w:r>
      <w:r>
        <w:rPr>
          <w:rStyle w:val="37"/>
          <w:rFonts w:hint="eastAsia" w:cs="宋体"/>
          <w:color w:val="000000" w:themeColor="text1"/>
          <w:sz w:val="21"/>
          <w:szCs w:val="21"/>
          <w:highlight w:val="none"/>
          <w14:textFill>
            <w14:solidFill>
              <w14:schemeClr w14:val="tx1"/>
            </w14:solidFill>
          </w14:textFill>
        </w:rPr>
        <w:t>9</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lang w:eastAsia="zh-CN"/>
          <w14:textFill>
            <w14:solidFill>
              <w14:schemeClr w14:val="tx1"/>
            </w14:solidFill>
          </w14:textFill>
        </w:rPr>
        <w:t>安全文明施工管理</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_Toc175764453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37</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73C412E9">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"_Toc175764454" </w:instrText>
      </w:r>
      <w:r>
        <w:rPr>
          <w:color w:val="000000" w:themeColor="text1"/>
          <w:highlight w:val="none"/>
          <w14:textFill>
            <w14:solidFill>
              <w14:schemeClr w14:val="tx1"/>
            </w14:solidFill>
          </w14:textFill>
        </w:rPr>
        <w:fldChar w:fldCharType="separate"/>
      </w:r>
      <w:r>
        <w:rPr>
          <w:rStyle w:val="37"/>
          <w:rFonts w:hint="eastAsia" w:cs="宋体"/>
          <w:color w:val="000000" w:themeColor="text1"/>
          <w:sz w:val="21"/>
          <w:szCs w:val="21"/>
          <w:highlight w:val="none"/>
          <w:lang w:eastAsia="zh-CN"/>
          <w14:textFill>
            <w14:solidFill>
              <w14:schemeClr w14:val="tx1"/>
            </w14:solidFill>
          </w14:textFill>
        </w:rPr>
        <w:t>10</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lang w:eastAsia="zh-CN"/>
          <w14:textFill>
            <w14:solidFill>
              <w14:schemeClr w14:val="tx1"/>
            </w14:solidFill>
          </w14:textFill>
        </w:rPr>
        <w:t>绿色施工、环境保护与职业健康管理</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_Toc175764454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38</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41E6826A">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"_Toc175764455" </w:instrText>
      </w:r>
      <w:r>
        <w:rPr>
          <w:color w:val="000000" w:themeColor="text1"/>
          <w:highlight w:val="none"/>
          <w14:textFill>
            <w14:solidFill>
              <w14:schemeClr w14:val="tx1"/>
            </w14:solidFill>
          </w14:textFill>
        </w:rPr>
        <w:fldChar w:fldCharType="separate"/>
      </w:r>
      <w:r>
        <w:rPr>
          <w:rStyle w:val="37"/>
          <w:rFonts w:hint="eastAsia" w:cs="宋体"/>
          <w:color w:val="000000" w:themeColor="text1"/>
          <w:sz w:val="21"/>
          <w:szCs w:val="21"/>
          <w:highlight w:val="none"/>
          <w:lang w:eastAsia="zh-CN"/>
          <w14:textFill>
            <w14:solidFill>
              <w14:schemeClr w14:val="tx1"/>
            </w14:solidFill>
          </w14:textFill>
        </w:rPr>
        <w:t>11</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lang w:eastAsia="zh-CN"/>
          <w14:textFill>
            <w14:solidFill>
              <w14:schemeClr w14:val="tx1"/>
            </w14:solidFill>
          </w14:textFill>
        </w:rPr>
        <w:t>工期</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_Toc175764455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38</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7DF2595E">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"_Toc175764456" </w:instrText>
      </w:r>
      <w:r>
        <w:rPr>
          <w:color w:val="000000" w:themeColor="text1"/>
          <w:highlight w:val="none"/>
          <w14:textFill>
            <w14:solidFill>
              <w14:schemeClr w14:val="tx1"/>
            </w14:solidFill>
          </w14:textFill>
        </w:rPr>
        <w:fldChar w:fldCharType="separate"/>
      </w:r>
      <w:r>
        <w:rPr>
          <w:rStyle w:val="37"/>
          <w:rFonts w:hint="eastAsia" w:cs="宋体"/>
          <w:color w:val="000000" w:themeColor="text1"/>
          <w:sz w:val="21"/>
          <w:szCs w:val="21"/>
          <w:highlight w:val="none"/>
          <w14:textFill>
            <w14:solidFill>
              <w14:schemeClr w14:val="tx1"/>
            </w14:solidFill>
          </w14:textFill>
        </w:rPr>
        <w:t>12</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lang w:eastAsia="zh-CN"/>
          <w14:textFill>
            <w14:solidFill>
              <w14:schemeClr w14:val="tx1"/>
            </w14:solidFill>
          </w14:textFill>
        </w:rPr>
        <w:t>试验和检验</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_Toc175764456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38</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671422EB">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"_Toc175764457" </w:instrText>
      </w:r>
      <w:r>
        <w:rPr>
          <w:color w:val="000000" w:themeColor="text1"/>
          <w:highlight w:val="none"/>
          <w14:textFill>
            <w14:solidFill>
              <w14:schemeClr w14:val="tx1"/>
            </w14:solidFill>
          </w14:textFill>
        </w:rPr>
        <w:fldChar w:fldCharType="separate"/>
      </w:r>
      <w:r>
        <w:rPr>
          <w:rStyle w:val="37"/>
          <w:rFonts w:hint="eastAsia" w:cs="宋体"/>
          <w:color w:val="000000" w:themeColor="text1"/>
          <w:sz w:val="21"/>
          <w:szCs w:val="21"/>
          <w:highlight w:val="none"/>
          <w14:textFill>
            <w14:solidFill>
              <w14:schemeClr w14:val="tx1"/>
            </w14:solidFill>
          </w14:textFill>
        </w:rPr>
        <w:t>13</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14:textFill>
            <w14:solidFill>
              <w14:schemeClr w14:val="tx1"/>
            </w14:solidFill>
          </w14:textFill>
        </w:rPr>
        <w:t>合同价款与计量方式</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_Toc175764457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38</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5AED1DDF">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"_Toc175764458" </w:instrText>
      </w:r>
      <w:r>
        <w:rPr>
          <w:color w:val="000000" w:themeColor="text1"/>
          <w:highlight w:val="none"/>
          <w14:textFill>
            <w14:solidFill>
              <w14:schemeClr w14:val="tx1"/>
            </w14:solidFill>
          </w14:textFill>
        </w:rPr>
        <w:fldChar w:fldCharType="separate"/>
      </w:r>
      <w:r>
        <w:rPr>
          <w:rStyle w:val="37"/>
          <w:rFonts w:hint="eastAsia" w:cs="宋体"/>
          <w:color w:val="000000" w:themeColor="text1"/>
          <w:sz w:val="21"/>
          <w:szCs w:val="21"/>
          <w:highlight w:val="none"/>
          <w14:textFill>
            <w14:solidFill>
              <w14:schemeClr w14:val="tx1"/>
            </w14:solidFill>
          </w14:textFill>
        </w:rPr>
        <w:t>14</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14:textFill>
            <w14:solidFill>
              <w14:schemeClr w14:val="tx1"/>
            </w14:solidFill>
          </w14:textFill>
        </w:rPr>
        <w:t>变更</w:t>
      </w:r>
      <w:r>
        <w:rPr>
          <w:rStyle w:val="37"/>
          <w:rFonts w:hint="eastAsia" w:cs="宋体"/>
          <w:color w:val="000000" w:themeColor="text1"/>
          <w:sz w:val="21"/>
          <w:szCs w:val="21"/>
          <w:highlight w:val="none"/>
          <w:lang w:eastAsia="zh-CN"/>
          <w14:textFill>
            <w14:solidFill>
              <w14:schemeClr w14:val="tx1"/>
            </w14:solidFill>
          </w14:textFill>
        </w:rPr>
        <w:t>签证</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_Toc175764458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40</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0F9D011C">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"_Toc175764459" </w:instrText>
      </w:r>
      <w:r>
        <w:rPr>
          <w:color w:val="000000" w:themeColor="text1"/>
          <w:highlight w:val="none"/>
          <w14:textFill>
            <w14:solidFill>
              <w14:schemeClr w14:val="tx1"/>
            </w14:solidFill>
          </w14:textFill>
        </w:rPr>
        <w:fldChar w:fldCharType="separate"/>
      </w:r>
      <w:r>
        <w:rPr>
          <w:rStyle w:val="37"/>
          <w:rFonts w:hint="eastAsia" w:cs="宋体"/>
          <w:color w:val="000000" w:themeColor="text1"/>
          <w:sz w:val="21"/>
          <w:szCs w:val="21"/>
          <w:highlight w:val="none"/>
          <w14:textFill>
            <w14:solidFill>
              <w14:schemeClr w14:val="tx1"/>
            </w14:solidFill>
          </w14:textFill>
        </w:rPr>
        <w:t>15</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14:textFill>
            <w14:solidFill>
              <w14:schemeClr w14:val="tx1"/>
            </w14:solidFill>
          </w14:textFill>
        </w:rPr>
        <w:t>工程款支付</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_Toc175764459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40</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417D8CF4">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"_Toc175764460" </w:instrText>
      </w:r>
      <w:r>
        <w:rPr>
          <w:color w:val="000000" w:themeColor="text1"/>
          <w:highlight w:val="none"/>
          <w14:textFill>
            <w14:solidFill>
              <w14:schemeClr w14:val="tx1"/>
            </w14:solidFill>
          </w14:textFill>
        </w:rPr>
        <w:fldChar w:fldCharType="separate"/>
      </w:r>
      <w:r>
        <w:rPr>
          <w:rStyle w:val="37"/>
          <w:rFonts w:hint="eastAsia" w:cs="宋体"/>
          <w:color w:val="000000" w:themeColor="text1"/>
          <w:sz w:val="21"/>
          <w:szCs w:val="21"/>
          <w:highlight w:val="none"/>
          <w14:textFill>
            <w14:solidFill>
              <w14:schemeClr w14:val="tx1"/>
            </w14:solidFill>
          </w14:textFill>
        </w:rPr>
        <w:t>16</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lang w:eastAsia="zh-CN"/>
          <w14:textFill>
            <w14:solidFill>
              <w14:schemeClr w14:val="tx1"/>
            </w14:solidFill>
          </w14:textFill>
        </w:rPr>
        <w:t>过程结算</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_Toc175764460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44</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2354E4F9">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"_Toc175764461" </w:instrText>
      </w:r>
      <w:r>
        <w:rPr>
          <w:color w:val="000000" w:themeColor="text1"/>
          <w:highlight w:val="none"/>
          <w14:textFill>
            <w14:solidFill>
              <w14:schemeClr w14:val="tx1"/>
            </w14:solidFill>
          </w14:textFill>
        </w:rPr>
        <w:fldChar w:fldCharType="separate"/>
      </w:r>
      <w:r>
        <w:rPr>
          <w:rStyle w:val="37"/>
          <w:rFonts w:hint="eastAsia" w:cs="宋体"/>
          <w:color w:val="000000" w:themeColor="text1"/>
          <w:sz w:val="21"/>
          <w:szCs w:val="21"/>
          <w:highlight w:val="none"/>
          <w14:textFill>
            <w14:solidFill>
              <w14:schemeClr w14:val="tx1"/>
            </w14:solidFill>
          </w14:textFill>
        </w:rPr>
        <w:t>17</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lang w:eastAsia="zh-CN"/>
          <w14:textFill>
            <w14:solidFill>
              <w14:schemeClr w14:val="tx1"/>
            </w14:solidFill>
          </w14:textFill>
        </w:rPr>
        <w:t>最终</w:t>
      </w:r>
      <w:r>
        <w:rPr>
          <w:rStyle w:val="37"/>
          <w:rFonts w:hint="eastAsia" w:cs="宋体"/>
          <w:color w:val="000000" w:themeColor="text1"/>
          <w:sz w:val="21"/>
          <w:szCs w:val="21"/>
          <w:highlight w:val="none"/>
          <w14:textFill>
            <w14:solidFill>
              <w14:schemeClr w14:val="tx1"/>
            </w14:solidFill>
          </w14:textFill>
        </w:rPr>
        <w:t>结算</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_Toc175764461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44</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311A895E">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"_Toc175764462" </w:instrText>
      </w:r>
      <w:r>
        <w:rPr>
          <w:color w:val="000000" w:themeColor="text1"/>
          <w:highlight w:val="none"/>
          <w14:textFill>
            <w14:solidFill>
              <w14:schemeClr w14:val="tx1"/>
            </w14:solidFill>
          </w14:textFill>
        </w:rPr>
        <w:fldChar w:fldCharType="separate"/>
      </w:r>
      <w:r>
        <w:rPr>
          <w:rStyle w:val="37"/>
          <w:rFonts w:hint="eastAsia" w:cs="宋体"/>
          <w:color w:val="000000" w:themeColor="text1"/>
          <w:sz w:val="21"/>
          <w:szCs w:val="21"/>
          <w:highlight w:val="none"/>
          <w14:textFill>
            <w14:solidFill>
              <w14:schemeClr w14:val="tx1"/>
            </w14:solidFill>
          </w14:textFill>
        </w:rPr>
        <w:t>18</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lang w:eastAsia="zh-CN"/>
          <w14:textFill>
            <w14:solidFill>
              <w14:schemeClr w14:val="tx1"/>
            </w14:solidFill>
          </w14:textFill>
        </w:rPr>
        <w:t>完工验收</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_Toc175764462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45</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340B0F82">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"_Toc175764463" </w:instrText>
      </w:r>
      <w:r>
        <w:rPr>
          <w:color w:val="000000" w:themeColor="text1"/>
          <w:highlight w:val="none"/>
          <w14:textFill>
            <w14:solidFill>
              <w14:schemeClr w14:val="tx1"/>
            </w14:solidFill>
          </w14:textFill>
        </w:rPr>
        <w:fldChar w:fldCharType="separate"/>
      </w:r>
      <w:r>
        <w:rPr>
          <w:rStyle w:val="37"/>
          <w:rFonts w:hint="eastAsia" w:cs="宋体"/>
          <w:color w:val="000000" w:themeColor="text1"/>
          <w:sz w:val="21"/>
          <w:szCs w:val="21"/>
          <w:highlight w:val="none"/>
          <w14:textFill>
            <w14:solidFill>
              <w14:schemeClr w14:val="tx1"/>
            </w14:solidFill>
          </w14:textFill>
        </w:rPr>
        <w:t>19</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14:textFill>
            <w14:solidFill>
              <w14:schemeClr w14:val="tx1"/>
            </w14:solidFill>
          </w14:textFill>
        </w:rPr>
        <w:t>履约保</w:t>
      </w:r>
      <w:r>
        <w:rPr>
          <w:rStyle w:val="37"/>
          <w:rFonts w:hint="eastAsia" w:cs="宋体"/>
          <w:color w:val="000000" w:themeColor="text1"/>
          <w:sz w:val="21"/>
          <w:szCs w:val="21"/>
          <w:highlight w:val="none"/>
          <w:lang w:eastAsia="zh-CN"/>
          <w14:textFill>
            <w14:solidFill>
              <w14:schemeClr w14:val="tx1"/>
            </w14:solidFill>
          </w14:textFill>
        </w:rPr>
        <w:t>证</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_Toc175764463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45</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4644F785">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"_Toc175764464" </w:instrText>
      </w:r>
      <w:r>
        <w:rPr>
          <w:color w:val="000000" w:themeColor="text1"/>
          <w:highlight w:val="none"/>
          <w14:textFill>
            <w14:solidFill>
              <w14:schemeClr w14:val="tx1"/>
            </w14:solidFill>
          </w14:textFill>
        </w:rPr>
        <w:fldChar w:fldCharType="separate"/>
      </w:r>
      <w:r>
        <w:rPr>
          <w:rStyle w:val="37"/>
          <w:rFonts w:hint="eastAsia" w:cs="宋体"/>
          <w:color w:val="000000" w:themeColor="text1"/>
          <w:sz w:val="21"/>
          <w:szCs w:val="21"/>
          <w:highlight w:val="none"/>
          <w14:textFill>
            <w14:solidFill>
              <w14:schemeClr w14:val="tx1"/>
            </w14:solidFill>
          </w14:textFill>
        </w:rPr>
        <w:t>20</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lang w:eastAsia="zh-CN"/>
          <w14:textFill>
            <w14:solidFill>
              <w14:schemeClr w14:val="tx1"/>
            </w14:solidFill>
          </w14:textFill>
        </w:rPr>
        <w:t>缺陷责任与</w:t>
      </w:r>
      <w:r>
        <w:rPr>
          <w:rStyle w:val="37"/>
          <w:rFonts w:hint="eastAsia" w:cs="宋体"/>
          <w:color w:val="000000" w:themeColor="text1"/>
          <w:sz w:val="21"/>
          <w:szCs w:val="21"/>
          <w:highlight w:val="none"/>
          <w14:textFill>
            <w14:solidFill>
              <w14:schemeClr w14:val="tx1"/>
            </w14:solidFill>
          </w14:textFill>
        </w:rPr>
        <w:t>保修</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_Toc175764464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45</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0DC065A4">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"_Toc175764465" </w:instrText>
      </w:r>
      <w:r>
        <w:rPr>
          <w:color w:val="000000" w:themeColor="text1"/>
          <w:highlight w:val="none"/>
          <w14:textFill>
            <w14:solidFill>
              <w14:schemeClr w14:val="tx1"/>
            </w14:solidFill>
          </w14:textFill>
        </w:rPr>
        <w:fldChar w:fldCharType="separate"/>
      </w:r>
      <w:r>
        <w:rPr>
          <w:rStyle w:val="37"/>
          <w:rFonts w:hint="eastAsia" w:cs="宋体"/>
          <w:color w:val="000000" w:themeColor="text1"/>
          <w:sz w:val="21"/>
          <w:szCs w:val="21"/>
          <w:highlight w:val="none"/>
          <w14:textFill>
            <w14:solidFill>
              <w14:schemeClr w14:val="tx1"/>
            </w14:solidFill>
          </w14:textFill>
        </w:rPr>
        <w:t>21</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14:textFill>
            <w14:solidFill>
              <w14:schemeClr w14:val="tx1"/>
            </w14:solidFill>
          </w14:textFill>
        </w:rPr>
        <w:t>保险</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_Toc175764465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45</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56225F60">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"_Toc175764466" </w:instrText>
      </w:r>
      <w:r>
        <w:rPr>
          <w:color w:val="000000" w:themeColor="text1"/>
          <w:highlight w:val="none"/>
          <w14:textFill>
            <w14:solidFill>
              <w14:schemeClr w14:val="tx1"/>
            </w14:solidFill>
          </w14:textFill>
        </w:rPr>
        <w:fldChar w:fldCharType="separate"/>
      </w:r>
      <w:r>
        <w:rPr>
          <w:rStyle w:val="37"/>
          <w:rFonts w:hint="eastAsia" w:cs="宋体"/>
          <w:color w:val="000000" w:themeColor="text1"/>
          <w:sz w:val="21"/>
          <w:szCs w:val="21"/>
          <w:highlight w:val="none"/>
          <w14:textFill>
            <w14:solidFill>
              <w14:schemeClr w14:val="tx1"/>
            </w14:solidFill>
          </w14:textFill>
        </w:rPr>
        <w:t>22</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14:textFill>
            <w14:solidFill>
              <w14:schemeClr w14:val="tx1"/>
            </w14:solidFill>
          </w14:textFill>
        </w:rPr>
        <w:t>不可抗力</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_Toc175764466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46</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6D279CA0">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"_Toc175764467" </w:instrText>
      </w:r>
      <w:r>
        <w:rPr>
          <w:color w:val="000000" w:themeColor="text1"/>
          <w:highlight w:val="none"/>
          <w14:textFill>
            <w14:solidFill>
              <w14:schemeClr w14:val="tx1"/>
            </w14:solidFill>
          </w14:textFill>
        </w:rPr>
        <w:fldChar w:fldCharType="separate"/>
      </w:r>
      <w:r>
        <w:rPr>
          <w:rStyle w:val="37"/>
          <w:rFonts w:hint="eastAsia" w:cs="宋体"/>
          <w:color w:val="000000" w:themeColor="text1"/>
          <w:sz w:val="21"/>
          <w:szCs w:val="21"/>
          <w:highlight w:val="none"/>
          <w14:textFill>
            <w14:solidFill>
              <w14:schemeClr w14:val="tx1"/>
            </w14:solidFill>
          </w14:textFill>
        </w:rPr>
        <w:t>23</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14:textFill>
            <w14:solidFill>
              <w14:schemeClr w14:val="tx1"/>
            </w14:solidFill>
          </w14:textFill>
        </w:rPr>
        <w:t>违约</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_Toc175764467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46</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7EC84000">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"_Toc175764468" </w:instrText>
      </w:r>
      <w:r>
        <w:rPr>
          <w:color w:val="000000" w:themeColor="text1"/>
          <w:highlight w:val="none"/>
          <w14:textFill>
            <w14:solidFill>
              <w14:schemeClr w14:val="tx1"/>
            </w14:solidFill>
          </w14:textFill>
        </w:rPr>
        <w:fldChar w:fldCharType="separate"/>
      </w:r>
      <w:r>
        <w:rPr>
          <w:rStyle w:val="37"/>
          <w:rFonts w:hint="eastAsia" w:cs="宋体"/>
          <w:color w:val="000000" w:themeColor="text1"/>
          <w:sz w:val="21"/>
          <w:szCs w:val="21"/>
          <w:highlight w:val="none"/>
          <w14:textFill>
            <w14:solidFill>
              <w14:schemeClr w14:val="tx1"/>
            </w14:solidFill>
          </w14:textFill>
        </w:rPr>
        <w:t>24</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14:textFill>
            <w14:solidFill>
              <w14:schemeClr w14:val="tx1"/>
            </w14:solidFill>
          </w14:textFill>
        </w:rPr>
        <w:t>争议解决</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_Toc175764468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50</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3A4657A7">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"_Toc175764469" </w:instrText>
      </w:r>
      <w:r>
        <w:rPr>
          <w:color w:val="000000" w:themeColor="text1"/>
          <w:highlight w:val="none"/>
          <w14:textFill>
            <w14:solidFill>
              <w14:schemeClr w14:val="tx1"/>
            </w14:solidFill>
          </w14:textFill>
        </w:rPr>
        <w:fldChar w:fldCharType="separate"/>
      </w:r>
      <w:r>
        <w:rPr>
          <w:rStyle w:val="37"/>
          <w:rFonts w:hint="eastAsia" w:cs="宋体"/>
          <w:color w:val="000000" w:themeColor="text1"/>
          <w:sz w:val="21"/>
          <w:szCs w:val="21"/>
          <w:highlight w:val="none"/>
          <w14:textFill>
            <w14:solidFill>
              <w14:schemeClr w14:val="tx1"/>
            </w14:solidFill>
          </w14:textFill>
        </w:rPr>
        <w:t>25</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14:textFill>
            <w14:solidFill>
              <w14:schemeClr w14:val="tx1"/>
            </w14:solidFill>
          </w14:textFill>
        </w:rPr>
        <w:t>合同终止</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_Toc175764469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50</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7B17B8D0">
      <w:pPr>
        <w:pStyle w:val="26"/>
        <w:tabs>
          <w:tab w:val="left" w:pos="1540"/>
          <w:tab w:val="right" w:leader="dot" w:pos="9628"/>
          <w:tab w:val="clear" w:pos="8505"/>
        </w:tabs>
        <w:spacing w:after="0" w:line="240" w:lineRule="auto"/>
        <w:ind w:left="942" w:firstLine="46"/>
        <w:rPr>
          <w:rFonts w:hint="eastAsia"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"_Toc175764470" </w:instrText>
      </w:r>
      <w:r>
        <w:rPr>
          <w:color w:val="000000" w:themeColor="text1"/>
          <w:highlight w:val="none"/>
          <w14:textFill>
            <w14:solidFill>
              <w14:schemeClr w14:val="tx1"/>
            </w14:solidFill>
          </w14:textFill>
        </w:rPr>
        <w:fldChar w:fldCharType="separate"/>
      </w:r>
      <w:r>
        <w:rPr>
          <w:rStyle w:val="37"/>
          <w:rFonts w:hint="eastAsia" w:cs="宋体"/>
          <w:color w:val="000000" w:themeColor="text1"/>
          <w:sz w:val="21"/>
          <w:szCs w:val="21"/>
          <w:highlight w:val="none"/>
          <w14:textFill>
            <w14:solidFill>
              <w14:schemeClr w14:val="tx1"/>
            </w14:solidFill>
          </w14:textFill>
        </w:rPr>
        <w:t>26</w:t>
      </w:r>
      <w:r>
        <w:rPr>
          <w:rFonts w:hint="eastAsia" w:cs="Times New Roman"/>
          <w:color w:val="000000" w:themeColor="text1"/>
          <w:kern w:val="2"/>
          <w:sz w:val="21"/>
          <w:szCs w:val="21"/>
          <w:highlight w:val="none"/>
          <w:lang w:eastAsia="zh-CN" w:bidi="ar-SA"/>
          <w14:textFill>
            <w14:solidFill>
              <w14:schemeClr w14:val="tx1"/>
            </w14:solidFill>
          </w14:textFill>
        </w:rPr>
        <w:tab/>
      </w:r>
      <w:r>
        <w:rPr>
          <w:rStyle w:val="37"/>
          <w:rFonts w:hint="eastAsia" w:cs="宋体"/>
          <w:color w:val="000000" w:themeColor="text1"/>
          <w:sz w:val="21"/>
          <w:szCs w:val="21"/>
          <w:highlight w:val="none"/>
          <w14:textFill>
            <w14:solidFill>
              <w14:schemeClr w14:val="tx1"/>
            </w14:solidFill>
          </w14:textFill>
        </w:rPr>
        <w:t>合同附件</w:t>
      </w:r>
      <w:r>
        <w:rPr>
          <w:rFonts w:hint="eastAsia"/>
          <w:color w:val="000000" w:themeColor="text1"/>
          <w:sz w:val="21"/>
          <w:szCs w:val="21"/>
          <w:highlight w:val="none"/>
          <w14:textFill>
            <w14:solidFill>
              <w14:schemeClr w14:val="tx1"/>
            </w14:solidFill>
          </w14:textFill>
        </w:rPr>
        <w:tab/>
      </w:r>
      <w:r>
        <w:rPr>
          <w:rFonts w:hint="eastAsia"/>
          <w:color w:val="000000" w:themeColor="text1"/>
          <w:sz w:val="21"/>
          <w:szCs w:val="21"/>
          <w:highlight w:val="none"/>
          <w14:textFill>
            <w14:solidFill>
              <w14:schemeClr w14:val="tx1"/>
            </w14:solidFill>
          </w14:textFill>
        </w:rPr>
        <w:fldChar w:fldCharType="begin"/>
      </w:r>
      <w:r>
        <w:rPr>
          <w:rFonts w:hint="eastAsia"/>
          <w:color w:val="000000" w:themeColor="text1"/>
          <w:sz w:val="21"/>
          <w:szCs w:val="21"/>
          <w:highlight w:val="none"/>
          <w14:textFill>
            <w14:solidFill>
              <w14:schemeClr w14:val="tx1"/>
            </w14:solidFill>
          </w14:textFill>
        </w:rPr>
        <w:instrText xml:space="preserve"> </w:instrText>
      </w:r>
      <w:r>
        <w:rPr>
          <w:color w:val="000000" w:themeColor="text1"/>
          <w:sz w:val="21"/>
          <w:szCs w:val="21"/>
          <w:highlight w:val="none"/>
          <w14:textFill>
            <w14:solidFill>
              <w14:schemeClr w14:val="tx1"/>
            </w14:solidFill>
          </w14:textFill>
        </w:rPr>
        <w:instrText xml:space="preserve">PAGEREF _Toc175764470 \h</w:instrText>
      </w:r>
      <w:r>
        <w:rPr>
          <w:rFonts w:hint="eastAsia"/>
          <w:color w:val="000000" w:themeColor="text1"/>
          <w:sz w:val="21"/>
          <w:szCs w:val="21"/>
          <w:highlight w:val="none"/>
          <w14:textFill>
            <w14:solidFill>
              <w14:schemeClr w14:val="tx1"/>
            </w14:solidFill>
          </w14:textFill>
        </w:rPr>
        <w:instrText xml:space="preserve"> </w:instrText>
      </w:r>
      <w:r>
        <w:rPr>
          <w:rFonts w:hint="eastAsia"/>
          <w:color w:val="000000" w:themeColor="text1"/>
          <w:sz w:val="21"/>
          <w:szCs w:val="21"/>
          <w:highlight w:val="none"/>
          <w14:textFill>
            <w14:solidFill>
              <w14:schemeClr w14:val="tx1"/>
            </w14:solidFill>
          </w14:textFill>
        </w:rPr>
        <w:fldChar w:fldCharType="separate"/>
      </w:r>
      <w:r>
        <w:rPr>
          <w:rFonts w:hint="eastAsia"/>
          <w:color w:val="000000" w:themeColor="text1"/>
          <w:sz w:val="21"/>
          <w:szCs w:val="21"/>
          <w:highlight w:val="none"/>
          <w14:textFill>
            <w14:solidFill>
              <w14:schemeClr w14:val="tx1"/>
            </w14:solidFill>
          </w14:textFill>
        </w:rPr>
        <w:t>51</w:t>
      </w:r>
      <w:r>
        <w:rPr>
          <w:rFonts w:hint="eastAsia"/>
          <w:color w:val="000000" w:themeColor="text1"/>
          <w:sz w:val="21"/>
          <w:szCs w:val="21"/>
          <w:highlight w:val="none"/>
          <w14:textFill>
            <w14:solidFill>
              <w14:schemeClr w14:val="tx1"/>
            </w14:solidFill>
          </w14:textFill>
        </w:rPr>
        <w:fldChar w:fldCharType="end"/>
      </w:r>
      <w:r>
        <w:rPr>
          <w:rFonts w:hint="eastAsia"/>
          <w:color w:val="000000" w:themeColor="text1"/>
          <w:sz w:val="21"/>
          <w:szCs w:val="21"/>
          <w:highlight w:val="none"/>
          <w14:textFill>
            <w14:solidFill>
              <w14:schemeClr w14:val="tx1"/>
            </w14:solidFill>
          </w14:textFill>
        </w:rPr>
        <w:fldChar w:fldCharType="end"/>
      </w:r>
    </w:p>
    <w:p w14:paraId="78F7724E">
      <w:pPr>
        <w:pStyle w:val="22"/>
        <w:tabs>
          <w:tab w:val="right" w:leader="dot" w:pos="9628"/>
          <w:tab w:val="clear" w:pos="8511"/>
        </w:tabs>
        <w:spacing w:after="0" w:line="240" w:lineRule="auto"/>
        <w:rPr>
          <w:rFonts w:hint="eastAsia" w:ascii="宋体" w:hAnsi="宋体"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"_Toc175764471" </w:instrText>
      </w:r>
      <w:r>
        <w:rPr>
          <w:color w:val="000000" w:themeColor="text1"/>
          <w:highlight w:val="none"/>
          <w14:textFill>
            <w14:solidFill>
              <w14:schemeClr w14:val="tx1"/>
            </w14:solidFill>
          </w14:textFill>
        </w:rPr>
        <w:fldChar w:fldCharType="separate"/>
      </w:r>
      <w:r>
        <w:rPr>
          <w:rStyle w:val="37"/>
          <w:rFonts w:hint="eastAsia" w:ascii="宋体" w:hAnsi="宋体" w:cs="宋体"/>
          <w:color w:val="000000" w:themeColor="text1"/>
          <w:sz w:val="21"/>
          <w:szCs w:val="21"/>
          <w:highlight w:val="none"/>
          <w:lang w:eastAsia="zh-CN"/>
          <w14:textFill>
            <w14:solidFill>
              <w14:schemeClr w14:val="tx1"/>
            </w14:solidFill>
          </w14:textFill>
        </w:rPr>
        <w:t>附件1.工程量清单</w:t>
      </w:r>
      <w:r>
        <w:rPr>
          <w:rFonts w:hint="eastAsia" w:ascii="宋体" w:hAnsi="宋体"/>
          <w:color w:val="000000" w:themeColor="text1"/>
          <w:sz w:val="21"/>
          <w:szCs w:val="21"/>
          <w:highlight w:val="none"/>
          <w14:textFill>
            <w14:solidFill>
              <w14:schemeClr w14:val="tx1"/>
            </w14:solidFill>
          </w14:textFill>
        </w:rPr>
        <w:tab/>
      </w:r>
      <w:r>
        <w:rPr>
          <w:rFonts w:hint="eastAsia" w:ascii="宋体" w:hAnsi="宋体"/>
          <w:color w:val="000000" w:themeColor="text1"/>
          <w:sz w:val="21"/>
          <w:szCs w:val="21"/>
          <w:highlight w:val="none"/>
          <w14:textFill>
            <w14:solidFill>
              <w14:schemeClr w14:val="tx1"/>
            </w14:solidFill>
          </w14:textFill>
        </w:rPr>
        <w:fldChar w:fldCharType="begin"/>
      </w:r>
      <w:r>
        <w:rPr>
          <w:rFonts w:hint="eastAsia" w:ascii="宋体" w:hAnsi="宋体"/>
          <w:color w:val="000000" w:themeColor="text1"/>
          <w:sz w:val="21"/>
          <w:szCs w:val="21"/>
          <w:highlight w:val="none"/>
          <w14:textFill>
            <w14:solidFill>
              <w14:schemeClr w14:val="tx1"/>
            </w14:solidFill>
          </w14:textFill>
        </w:rPr>
        <w:instrText xml:space="preserve"> </w:instrText>
      </w:r>
      <w:r>
        <w:rPr>
          <w:rFonts w:ascii="宋体" w:hAnsi="宋体"/>
          <w:color w:val="000000" w:themeColor="text1"/>
          <w:sz w:val="21"/>
          <w:szCs w:val="21"/>
          <w:highlight w:val="none"/>
          <w14:textFill>
            <w14:solidFill>
              <w14:schemeClr w14:val="tx1"/>
            </w14:solidFill>
          </w14:textFill>
        </w:rPr>
        <w:instrText xml:space="preserve">PAGEREF _Toc175764471 \h</w:instrText>
      </w:r>
      <w:r>
        <w:rPr>
          <w:rFonts w:hint="eastAsia" w:ascii="宋体" w:hAnsi="宋体"/>
          <w:color w:val="000000" w:themeColor="text1"/>
          <w:sz w:val="21"/>
          <w:szCs w:val="21"/>
          <w:highlight w:val="none"/>
          <w14:textFill>
            <w14:solidFill>
              <w14:schemeClr w14:val="tx1"/>
            </w14:solidFill>
          </w14:textFill>
        </w:rPr>
        <w:instrText xml:space="preserve"> </w:instrText>
      </w:r>
      <w:r>
        <w:rPr>
          <w:rFonts w:hint="eastAsia" w:ascii="宋体" w:hAnsi="宋体"/>
          <w:color w:val="000000" w:themeColor="text1"/>
          <w:sz w:val="21"/>
          <w:szCs w:val="21"/>
          <w:highlight w:val="none"/>
          <w14:textFill>
            <w14:solidFill>
              <w14:schemeClr w14:val="tx1"/>
            </w14:solidFill>
          </w14:textFill>
        </w:rPr>
        <w:fldChar w:fldCharType="separate"/>
      </w:r>
      <w:r>
        <w:rPr>
          <w:rFonts w:hint="eastAsia" w:ascii="宋体" w:hAnsi="宋体"/>
          <w:color w:val="000000" w:themeColor="text1"/>
          <w:sz w:val="21"/>
          <w:szCs w:val="21"/>
          <w:highlight w:val="none"/>
          <w14:textFill>
            <w14:solidFill>
              <w14:schemeClr w14:val="tx1"/>
            </w14:solidFill>
          </w14:textFill>
        </w:rPr>
        <w:t>51</w:t>
      </w:r>
      <w:r>
        <w:rPr>
          <w:rFonts w:hint="eastAsia" w:ascii="宋体" w:hAnsi="宋体"/>
          <w:color w:val="000000" w:themeColor="text1"/>
          <w:sz w:val="21"/>
          <w:szCs w:val="21"/>
          <w:highlight w:val="none"/>
          <w14:textFill>
            <w14:solidFill>
              <w14:schemeClr w14:val="tx1"/>
            </w14:solidFill>
          </w14:textFill>
        </w:rPr>
        <w:fldChar w:fldCharType="end"/>
      </w:r>
      <w:r>
        <w:rPr>
          <w:rFonts w:hint="eastAsia" w:ascii="宋体" w:hAnsi="宋体"/>
          <w:color w:val="000000" w:themeColor="text1"/>
          <w:sz w:val="21"/>
          <w:szCs w:val="21"/>
          <w:highlight w:val="none"/>
          <w14:textFill>
            <w14:solidFill>
              <w14:schemeClr w14:val="tx1"/>
            </w14:solidFill>
          </w14:textFill>
        </w:rPr>
        <w:fldChar w:fldCharType="end"/>
      </w:r>
    </w:p>
    <w:p w14:paraId="774A32A1">
      <w:pPr>
        <w:pStyle w:val="22"/>
        <w:tabs>
          <w:tab w:val="right" w:leader="dot" w:pos="9628"/>
          <w:tab w:val="clear" w:pos="8511"/>
        </w:tabs>
        <w:spacing w:after="0" w:line="240" w:lineRule="auto"/>
        <w:rPr>
          <w:rFonts w:hint="eastAsia" w:ascii="宋体" w:hAnsi="宋体"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"_Toc175764472" </w:instrText>
      </w:r>
      <w:r>
        <w:rPr>
          <w:color w:val="000000" w:themeColor="text1"/>
          <w:highlight w:val="none"/>
          <w14:textFill>
            <w14:solidFill>
              <w14:schemeClr w14:val="tx1"/>
            </w14:solidFill>
          </w14:textFill>
        </w:rPr>
        <w:fldChar w:fldCharType="separate"/>
      </w:r>
      <w:r>
        <w:rPr>
          <w:rStyle w:val="37"/>
          <w:rFonts w:hint="eastAsia" w:ascii="宋体" w:hAnsi="宋体" w:cs="宋体"/>
          <w:color w:val="000000" w:themeColor="text1"/>
          <w:sz w:val="21"/>
          <w:szCs w:val="21"/>
          <w:highlight w:val="none"/>
          <w:lang w:eastAsia="zh-CN"/>
          <w14:textFill>
            <w14:solidFill>
              <w14:schemeClr w14:val="tx1"/>
            </w14:solidFill>
          </w14:textFill>
        </w:rPr>
        <w:t>附件2.甲供材料、机械设备明细表</w:t>
      </w:r>
      <w:r>
        <w:rPr>
          <w:rFonts w:hint="eastAsia" w:ascii="宋体" w:hAnsi="宋体"/>
          <w:color w:val="000000" w:themeColor="text1"/>
          <w:sz w:val="21"/>
          <w:szCs w:val="21"/>
          <w:highlight w:val="none"/>
          <w14:textFill>
            <w14:solidFill>
              <w14:schemeClr w14:val="tx1"/>
            </w14:solidFill>
          </w14:textFill>
        </w:rPr>
        <w:tab/>
      </w:r>
      <w:r>
        <w:rPr>
          <w:rFonts w:hint="eastAsia" w:ascii="宋体" w:hAnsi="宋体"/>
          <w:color w:val="000000" w:themeColor="text1"/>
          <w:sz w:val="21"/>
          <w:szCs w:val="21"/>
          <w:highlight w:val="none"/>
          <w14:textFill>
            <w14:solidFill>
              <w14:schemeClr w14:val="tx1"/>
            </w14:solidFill>
          </w14:textFill>
        </w:rPr>
        <w:fldChar w:fldCharType="begin"/>
      </w:r>
      <w:r>
        <w:rPr>
          <w:rFonts w:hint="eastAsia" w:ascii="宋体" w:hAnsi="宋体"/>
          <w:color w:val="000000" w:themeColor="text1"/>
          <w:sz w:val="21"/>
          <w:szCs w:val="21"/>
          <w:highlight w:val="none"/>
          <w14:textFill>
            <w14:solidFill>
              <w14:schemeClr w14:val="tx1"/>
            </w14:solidFill>
          </w14:textFill>
        </w:rPr>
        <w:instrText xml:space="preserve"> </w:instrText>
      </w:r>
      <w:r>
        <w:rPr>
          <w:rFonts w:ascii="宋体" w:hAnsi="宋体"/>
          <w:color w:val="000000" w:themeColor="text1"/>
          <w:sz w:val="21"/>
          <w:szCs w:val="21"/>
          <w:highlight w:val="none"/>
          <w14:textFill>
            <w14:solidFill>
              <w14:schemeClr w14:val="tx1"/>
            </w14:solidFill>
          </w14:textFill>
        </w:rPr>
        <w:instrText xml:space="preserve">PAGEREF _Toc175764472 \h</w:instrText>
      </w:r>
      <w:r>
        <w:rPr>
          <w:rFonts w:hint="eastAsia" w:ascii="宋体" w:hAnsi="宋体"/>
          <w:color w:val="000000" w:themeColor="text1"/>
          <w:sz w:val="21"/>
          <w:szCs w:val="21"/>
          <w:highlight w:val="none"/>
          <w14:textFill>
            <w14:solidFill>
              <w14:schemeClr w14:val="tx1"/>
            </w14:solidFill>
          </w14:textFill>
        </w:rPr>
        <w:instrText xml:space="preserve"> </w:instrText>
      </w:r>
      <w:r>
        <w:rPr>
          <w:rFonts w:hint="eastAsia" w:ascii="宋体" w:hAnsi="宋体"/>
          <w:color w:val="000000" w:themeColor="text1"/>
          <w:sz w:val="21"/>
          <w:szCs w:val="21"/>
          <w:highlight w:val="none"/>
          <w14:textFill>
            <w14:solidFill>
              <w14:schemeClr w14:val="tx1"/>
            </w14:solidFill>
          </w14:textFill>
        </w:rPr>
        <w:fldChar w:fldCharType="separate"/>
      </w:r>
      <w:r>
        <w:rPr>
          <w:rFonts w:hint="eastAsia" w:ascii="宋体" w:hAnsi="宋体"/>
          <w:color w:val="000000" w:themeColor="text1"/>
          <w:sz w:val="21"/>
          <w:szCs w:val="21"/>
          <w:highlight w:val="none"/>
          <w14:textFill>
            <w14:solidFill>
              <w14:schemeClr w14:val="tx1"/>
            </w14:solidFill>
          </w14:textFill>
        </w:rPr>
        <w:t>51</w:t>
      </w:r>
      <w:r>
        <w:rPr>
          <w:rFonts w:hint="eastAsia" w:ascii="宋体" w:hAnsi="宋体"/>
          <w:color w:val="000000" w:themeColor="text1"/>
          <w:sz w:val="21"/>
          <w:szCs w:val="21"/>
          <w:highlight w:val="none"/>
          <w14:textFill>
            <w14:solidFill>
              <w14:schemeClr w14:val="tx1"/>
            </w14:solidFill>
          </w14:textFill>
        </w:rPr>
        <w:fldChar w:fldCharType="end"/>
      </w:r>
      <w:r>
        <w:rPr>
          <w:rFonts w:hint="eastAsia" w:ascii="宋体" w:hAnsi="宋体"/>
          <w:color w:val="000000" w:themeColor="text1"/>
          <w:sz w:val="21"/>
          <w:szCs w:val="21"/>
          <w:highlight w:val="none"/>
          <w14:textFill>
            <w14:solidFill>
              <w14:schemeClr w14:val="tx1"/>
            </w14:solidFill>
          </w14:textFill>
        </w:rPr>
        <w:fldChar w:fldCharType="end"/>
      </w:r>
    </w:p>
    <w:p w14:paraId="6BE610C6">
      <w:pPr>
        <w:pStyle w:val="22"/>
        <w:tabs>
          <w:tab w:val="right" w:leader="dot" w:pos="9628"/>
          <w:tab w:val="clear" w:pos="8511"/>
        </w:tabs>
        <w:spacing w:after="0" w:line="240" w:lineRule="auto"/>
        <w:rPr>
          <w:rFonts w:hint="eastAsia" w:ascii="宋体" w:hAnsi="宋体"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"_Toc175764473" </w:instrText>
      </w:r>
      <w:r>
        <w:rPr>
          <w:color w:val="000000" w:themeColor="text1"/>
          <w:highlight w:val="none"/>
          <w14:textFill>
            <w14:solidFill>
              <w14:schemeClr w14:val="tx1"/>
            </w14:solidFill>
          </w14:textFill>
        </w:rPr>
        <w:fldChar w:fldCharType="separate"/>
      </w:r>
      <w:r>
        <w:rPr>
          <w:rStyle w:val="37"/>
          <w:rFonts w:hint="eastAsia" w:ascii="宋体" w:hAnsi="宋体" w:cs="宋体"/>
          <w:color w:val="000000" w:themeColor="text1"/>
          <w:sz w:val="21"/>
          <w:szCs w:val="21"/>
          <w:highlight w:val="none"/>
          <w:lang w:eastAsia="zh-CN"/>
          <w14:textFill>
            <w14:solidFill>
              <w14:schemeClr w14:val="tx1"/>
            </w14:solidFill>
          </w14:textFill>
        </w:rPr>
        <w:t>附件3.拟投入本合同工程主要人员汇总表</w:t>
      </w:r>
      <w:r>
        <w:rPr>
          <w:rFonts w:hint="eastAsia" w:ascii="宋体" w:hAnsi="宋体"/>
          <w:color w:val="000000" w:themeColor="text1"/>
          <w:sz w:val="21"/>
          <w:szCs w:val="21"/>
          <w:highlight w:val="none"/>
          <w14:textFill>
            <w14:solidFill>
              <w14:schemeClr w14:val="tx1"/>
            </w14:solidFill>
          </w14:textFill>
        </w:rPr>
        <w:tab/>
      </w:r>
      <w:r>
        <w:rPr>
          <w:rFonts w:hint="eastAsia" w:ascii="宋体" w:hAnsi="宋体"/>
          <w:color w:val="000000" w:themeColor="text1"/>
          <w:sz w:val="21"/>
          <w:szCs w:val="21"/>
          <w:highlight w:val="none"/>
          <w14:textFill>
            <w14:solidFill>
              <w14:schemeClr w14:val="tx1"/>
            </w14:solidFill>
          </w14:textFill>
        </w:rPr>
        <w:fldChar w:fldCharType="begin"/>
      </w:r>
      <w:r>
        <w:rPr>
          <w:rFonts w:hint="eastAsia" w:ascii="宋体" w:hAnsi="宋体"/>
          <w:color w:val="000000" w:themeColor="text1"/>
          <w:sz w:val="21"/>
          <w:szCs w:val="21"/>
          <w:highlight w:val="none"/>
          <w14:textFill>
            <w14:solidFill>
              <w14:schemeClr w14:val="tx1"/>
            </w14:solidFill>
          </w14:textFill>
        </w:rPr>
        <w:instrText xml:space="preserve"> </w:instrText>
      </w:r>
      <w:r>
        <w:rPr>
          <w:rFonts w:ascii="宋体" w:hAnsi="宋体"/>
          <w:color w:val="000000" w:themeColor="text1"/>
          <w:sz w:val="21"/>
          <w:szCs w:val="21"/>
          <w:highlight w:val="none"/>
          <w14:textFill>
            <w14:solidFill>
              <w14:schemeClr w14:val="tx1"/>
            </w14:solidFill>
          </w14:textFill>
        </w:rPr>
        <w:instrText xml:space="preserve">PAGEREF _Toc175764473 \h</w:instrText>
      </w:r>
      <w:r>
        <w:rPr>
          <w:rFonts w:hint="eastAsia" w:ascii="宋体" w:hAnsi="宋体"/>
          <w:color w:val="000000" w:themeColor="text1"/>
          <w:sz w:val="21"/>
          <w:szCs w:val="21"/>
          <w:highlight w:val="none"/>
          <w14:textFill>
            <w14:solidFill>
              <w14:schemeClr w14:val="tx1"/>
            </w14:solidFill>
          </w14:textFill>
        </w:rPr>
        <w:instrText xml:space="preserve"> </w:instrText>
      </w:r>
      <w:r>
        <w:rPr>
          <w:rFonts w:hint="eastAsia" w:ascii="宋体" w:hAnsi="宋体"/>
          <w:color w:val="000000" w:themeColor="text1"/>
          <w:sz w:val="21"/>
          <w:szCs w:val="21"/>
          <w:highlight w:val="none"/>
          <w14:textFill>
            <w14:solidFill>
              <w14:schemeClr w14:val="tx1"/>
            </w14:solidFill>
          </w14:textFill>
        </w:rPr>
        <w:fldChar w:fldCharType="separate"/>
      </w:r>
      <w:r>
        <w:rPr>
          <w:rFonts w:hint="eastAsia" w:ascii="宋体" w:hAnsi="宋体"/>
          <w:color w:val="000000" w:themeColor="text1"/>
          <w:sz w:val="21"/>
          <w:szCs w:val="21"/>
          <w:highlight w:val="none"/>
          <w14:textFill>
            <w14:solidFill>
              <w14:schemeClr w14:val="tx1"/>
            </w14:solidFill>
          </w14:textFill>
        </w:rPr>
        <w:t>51</w:t>
      </w:r>
      <w:r>
        <w:rPr>
          <w:rFonts w:hint="eastAsia" w:ascii="宋体" w:hAnsi="宋体"/>
          <w:color w:val="000000" w:themeColor="text1"/>
          <w:sz w:val="21"/>
          <w:szCs w:val="21"/>
          <w:highlight w:val="none"/>
          <w14:textFill>
            <w14:solidFill>
              <w14:schemeClr w14:val="tx1"/>
            </w14:solidFill>
          </w14:textFill>
        </w:rPr>
        <w:fldChar w:fldCharType="end"/>
      </w:r>
      <w:r>
        <w:rPr>
          <w:rFonts w:hint="eastAsia" w:ascii="宋体" w:hAnsi="宋体"/>
          <w:color w:val="000000" w:themeColor="text1"/>
          <w:sz w:val="21"/>
          <w:szCs w:val="21"/>
          <w:highlight w:val="none"/>
          <w14:textFill>
            <w14:solidFill>
              <w14:schemeClr w14:val="tx1"/>
            </w14:solidFill>
          </w14:textFill>
        </w:rPr>
        <w:fldChar w:fldCharType="end"/>
      </w:r>
    </w:p>
    <w:p w14:paraId="32575012">
      <w:pPr>
        <w:pStyle w:val="22"/>
        <w:tabs>
          <w:tab w:val="right" w:leader="dot" w:pos="9628"/>
          <w:tab w:val="clear" w:pos="8511"/>
        </w:tabs>
        <w:spacing w:after="0" w:line="240" w:lineRule="auto"/>
        <w:rPr>
          <w:rFonts w:hint="eastAsia" w:ascii="宋体" w:hAnsi="宋体"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"_Toc175764474" </w:instrText>
      </w:r>
      <w:r>
        <w:rPr>
          <w:color w:val="000000" w:themeColor="text1"/>
          <w:highlight w:val="none"/>
          <w14:textFill>
            <w14:solidFill>
              <w14:schemeClr w14:val="tx1"/>
            </w14:solidFill>
          </w14:textFill>
        </w:rPr>
        <w:fldChar w:fldCharType="separate"/>
      </w:r>
      <w:r>
        <w:rPr>
          <w:rStyle w:val="37"/>
          <w:rFonts w:hint="eastAsia" w:ascii="宋体" w:hAnsi="宋体" w:cs="宋体"/>
          <w:color w:val="000000" w:themeColor="text1"/>
          <w:sz w:val="21"/>
          <w:szCs w:val="21"/>
          <w:highlight w:val="none"/>
          <w:lang w:eastAsia="zh-CN"/>
          <w14:textFill>
            <w14:solidFill>
              <w14:schemeClr w14:val="tx1"/>
            </w14:solidFill>
          </w14:textFill>
        </w:rPr>
        <w:t>附件4.拟进场机械设备一览表</w:t>
      </w:r>
      <w:r>
        <w:rPr>
          <w:rFonts w:hint="eastAsia" w:ascii="宋体" w:hAnsi="宋体"/>
          <w:color w:val="000000" w:themeColor="text1"/>
          <w:sz w:val="21"/>
          <w:szCs w:val="21"/>
          <w:highlight w:val="none"/>
          <w14:textFill>
            <w14:solidFill>
              <w14:schemeClr w14:val="tx1"/>
            </w14:solidFill>
          </w14:textFill>
        </w:rPr>
        <w:tab/>
      </w:r>
      <w:r>
        <w:rPr>
          <w:rFonts w:hint="eastAsia" w:ascii="宋体" w:hAnsi="宋体"/>
          <w:color w:val="000000" w:themeColor="text1"/>
          <w:sz w:val="21"/>
          <w:szCs w:val="21"/>
          <w:highlight w:val="none"/>
          <w14:textFill>
            <w14:solidFill>
              <w14:schemeClr w14:val="tx1"/>
            </w14:solidFill>
          </w14:textFill>
        </w:rPr>
        <w:fldChar w:fldCharType="begin"/>
      </w:r>
      <w:r>
        <w:rPr>
          <w:rFonts w:hint="eastAsia" w:ascii="宋体" w:hAnsi="宋体"/>
          <w:color w:val="000000" w:themeColor="text1"/>
          <w:sz w:val="21"/>
          <w:szCs w:val="21"/>
          <w:highlight w:val="none"/>
          <w14:textFill>
            <w14:solidFill>
              <w14:schemeClr w14:val="tx1"/>
            </w14:solidFill>
          </w14:textFill>
        </w:rPr>
        <w:instrText xml:space="preserve"> </w:instrText>
      </w:r>
      <w:r>
        <w:rPr>
          <w:rFonts w:ascii="宋体" w:hAnsi="宋体"/>
          <w:color w:val="000000" w:themeColor="text1"/>
          <w:sz w:val="21"/>
          <w:szCs w:val="21"/>
          <w:highlight w:val="none"/>
          <w14:textFill>
            <w14:solidFill>
              <w14:schemeClr w14:val="tx1"/>
            </w14:solidFill>
          </w14:textFill>
        </w:rPr>
        <w:instrText xml:space="preserve">PAGEREF _Toc175764474 \h</w:instrText>
      </w:r>
      <w:r>
        <w:rPr>
          <w:rFonts w:hint="eastAsia" w:ascii="宋体" w:hAnsi="宋体"/>
          <w:color w:val="000000" w:themeColor="text1"/>
          <w:sz w:val="21"/>
          <w:szCs w:val="21"/>
          <w:highlight w:val="none"/>
          <w14:textFill>
            <w14:solidFill>
              <w14:schemeClr w14:val="tx1"/>
            </w14:solidFill>
          </w14:textFill>
        </w:rPr>
        <w:instrText xml:space="preserve"> </w:instrText>
      </w:r>
      <w:r>
        <w:rPr>
          <w:rFonts w:hint="eastAsia" w:ascii="宋体" w:hAnsi="宋体"/>
          <w:color w:val="000000" w:themeColor="text1"/>
          <w:sz w:val="21"/>
          <w:szCs w:val="21"/>
          <w:highlight w:val="none"/>
          <w14:textFill>
            <w14:solidFill>
              <w14:schemeClr w14:val="tx1"/>
            </w14:solidFill>
          </w14:textFill>
        </w:rPr>
        <w:fldChar w:fldCharType="separate"/>
      </w:r>
      <w:r>
        <w:rPr>
          <w:rFonts w:hint="eastAsia" w:ascii="宋体" w:hAnsi="宋体"/>
          <w:color w:val="000000" w:themeColor="text1"/>
          <w:sz w:val="21"/>
          <w:szCs w:val="21"/>
          <w:highlight w:val="none"/>
          <w14:textFill>
            <w14:solidFill>
              <w14:schemeClr w14:val="tx1"/>
            </w14:solidFill>
          </w14:textFill>
        </w:rPr>
        <w:t>51</w:t>
      </w:r>
      <w:r>
        <w:rPr>
          <w:rFonts w:hint="eastAsia" w:ascii="宋体" w:hAnsi="宋体"/>
          <w:color w:val="000000" w:themeColor="text1"/>
          <w:sz w:val="21"/>
          <w:szCs w:val="21"/>
          <w:highlight w:val="none"/>
          <w14:textFill>
            <w14:solidFill>
              <w14:schemeClr w14:val="tx1"/>
            </w14:solidFill>
          </w14:textFill>
        </w:rPr>
        <w:fldChar w:fldCharType="end"/>
      </w:r>
      <w:r>
        <w:rPr>
          <w:rFonts w:hint="eastAsia" w:ascii="宋体" w:hAnsi="宋体"/>
          <w:color w:val="000000" w:themeColor="text1"/>
          <w:sz w:val="21"/>
          <w:szCs w:val="21"/>
          <w:highlight w:val="none"/>
          <w14:textFill>
            <w14:solidFill>
              <w14:schemeClr w14:val="tx1"/>
            </w14:solidFill>
          </w14:textFill>
        </w:rPr>
        <w:fldChar w:fldCharType="end"/>
      </w:r>
    </w:p>
    <w:p w14:paraId="22538C5F">
      <w:pPr>
        <w:pStyle w:val="22"/>
        <w:tabs>
          <w:tab w:val="right" w:leader="dot" w:pos="9628"/>
          <w:tab w:val="clear" w:pos="8511"/>
        </w:tabs>
        <w:spacing w:after="0" w:line="240" w:lineRule="auto"/>
        <w:rPr>
          <w:rFonts w:hint="eastAsia" w:ascii="宋体" w:hAnsi="宋体"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"_Toc175764475" </w:instrText>
      </w:r>
      <w:r>
        <w:rPr>
          <w:color w:val="000000" w:themeColor="text1"/>
          <w:highlight w:val="none"/>
          <w14:textFill>
            <w14:solidFill>
              <w14:schemeClr w14:val="tx1"/>
            </w14:solidFill>
          </w14:textFill>
        </w:rPr>
        <w:fldChar w:fldCharType="separate"/>
      </w:r>
      <w:r>
        <w:rPr>
          <w:rStyle w:val="37"/>
          <w:rFonts w:hint="eastAsia" w:ascii="宋体" w:hAnsi="宋体" w:cs="宋体"/>
          <w:color w:val="000000" w:themeColor="text1"/>
          <w:sz w:val="21"/>
          <w:szCs w:val="21"/>
          <w:highlight w:val="none"/>
          <w:lang w:eastAsia="zh-CN"/>
          <w14:textFill>
            <w14:solidFill>
              <w14:schemeClr w14:val="tx1"/>
            </w14:solidFill>
          </w14:textFill>
        </w:rPr>
        <w:t>附件5.安全管理协议书</w:t>
      </w:r>
      <w:r>
        <w:rPr>
          <w:rFonts w:hint="eastAsia" w:ascii="宋体" w:hAnsi="宋体"/>
          <w:color w:val="000000" w:themeColor="text1"/>
          <w:sz w:val="21"/>
          <w:szCs w:val="21"/>
          <w:highlight w:val="none"/>
          <w14:textFill>
            <w14:solidFill>
              <w14:schemeClr w14:val="tx1"/>
            </w14:solidFill>
          </w14:textFill>
        </w:rPr>
        <w:tab/>
      </w:r>
      <w:r>
        <w:rPr>
          <w:rFonts w:hint="eastAsia" w:ascii="宋体" w:hAnsi="宋体"/>
          <w:color w:val="000000" w:themeColor="text1"/>
          <w:sz w:val="21"/>
          <w:szCs w:val="21"/>
          <w:highlight w:val="none"/>
          <w14:textFill>
            <w14:solidFill>
              <w14:schemeClr w14:val="tx1"/>
            </w14:solidFill>
          </w14:textFill>
        </w:rPr>
        <w:fldChar w:fldCharType="begin"/>
      </w:r>
      <w:r>
        <w:rPr>
          <w:rFonts w:hint="eastAsia" w:ascii="宋体" w:hAnsi="宋体"/>
          <w:color w:val="000000" w:themeColor="text1"/>
          <w:sz w:val="21"/>
          <w:szCs w:val="21"/>
          <w:highlight w:val="none"/>
          <w14:textFill>
            <w14:solidFill>
              <w14:schemeClr w14:val="tx1"/>
            </w14:solidFill>
          </w14:textFill>
        </w:rPr>
        <w:instrText xml:space="preserve"> </w:instrText>
      </w:r>
      <w:r>
        <w:rPr>
          <w:rFonts w:ascii="宋体" w:hAnsi="宋体"/>
          <w:color w:val="000000" w:themeColor="text1"/>
          <w:sz w:val="21"/>
          <w:szCs w:val="21"/>
          <w:highlight w:val="none"/>
          <w14:textFill>
            <w14:solidFill>
              <w14:schemeClr w14:val="tx1"/>
            </w14:solidFill>
          </w14:textFill>
        </w:rPr>
        <w:instrText xml:space="preserve">PAGEREF _Toc175764475 \h</w:instrText>
      </w:r>
      <w:r>
        <w:rPr>
          <w:rFonts w:hint="eastAsia" w:ascii="宋体" w:hAnsi="宋体"/>
          <w:color w:val="000000" w:themeColor="text1"/>
          <w:sz w:val="21"/>
          <w:szCs w:val="21"/>
          <w:highlight w:val="none"/>
          <w14:textFill>
            <w14:solidFill>
              <w14:schemeClr w14:val="tx1"/>
            </w14:solidFill>
          </w14:textFill>
        </w:rPr>
        <w:instrText xml:space="preserve"> </w:instrText>
      </w:r>
      <w:r>
        <w:rPr>
          <w:rFonts w:hint="eastAsia" w:ascii="宋体" w:hAnsi="宋体"/>
          <w:color w:val="000000" w:themeColor="text1"/>
          <w:sz w:val="21"/>
          <w:szCs w:val="21"/>
          <w:highlight w:val="none"/>
          <w14:textFill>
            <w14:solidFill>
              <w14:schemeClr w14:val="tx1"/>
            </w14:solidFill>
          </w14:textFill>
        </w:rPr>
        <w:fldChar w:fldCharType="separate"/>
      </w:r>
      <w:r>
        <w:rPr>
          <w:rFonts w:hint="eastAsia" w:ascii="宋体" w:hAnsi="宋体"/>
          <w:color w:val="000000" w:themeColor="text1"/>
          <w:sz w:val="21"/>
          <w:szCs w:val="21"/>
          <w:highlight w:val="none"/>
          <w14:textFill>
            <w14:solidFill>
              <w14:schemeClr w14:val="tx1"/>
            </w14:solidFill>
          </w14:textFill>
        </w:rPr>
        <w:t>51</w:t>
      </w:r>
      <w:r>
        <w:rPr>
          <w:rFonts w:hint="eastAsia" w:ascii="宋体" w:hAnsi="宋体"/>
          <w:color w:val="000000" w:themeColor="text1"/>
          <w:sz w:val="21"/>
          <w:szCs w:val="21"/>
          <w:highlight w:val="none"/>
          <w14:textFill>
            <w14:solidFill>
              <w14:schemeClr w14:val="tx1"/>
            </w14:solidFill>
          </w14:textFill>
        </w:rPr>
        <w:fldChar w:fldCharType="end"/>
      </w:r>
      <w:r>
        <w:rPr>
          <w:rFonts w:hint="eastAsia" w:ascii="宋体" w:hAnsi="宋体"/>
          <w:color w:val="000000" w:themeColor="text1"/>
          <w:sz w:val="21"/>
          <w:szCs w:val="21"/>
          <w:highlight w:val="none"/>
          <w14:textFill>
            <w14:solidFill>
              <w14:schemeClr w14:val="tx1"/>
            </w14:solidFill>
          </w14:textFill>
        </w:rPr>
        <w:fldChar w:fldCharType="end"/>
      </w:r>
    </w:p>
    <w:p w14:paraId="1BF2299D">
      <w:pPr>
        <w:pStyle w:val="22"/>
        <w:tabs>
          <w:tab w:val="right" w:leader="dot" w:pos="9628"/>
          <w:tab w:val="clear" w:pos="8511"/>
        </w:tabs>
        <w:spacing w:after="0" w:line="240" w:lineRule="auto"/>
        <w:rPr>
          <w:rFonts w:hint="eastAsia" w:ascii="宋体" w:hAnsi="宋体"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"_Toc175764476" </w:instrText>
      </w:r>
      <w:r>
        <w:rPr>
          <w:color w:val="000000" w:themeColor="text1"/>
          <w:highlight w:val="none"/>
          <w14:textFill>
            <w14:solidFill>
              <w14:schemeClr w14:val="tx1"/>
            </w14:solidFill>
          </w14:textFill>
        </w:rPr>
        <w:fldChar w:fldCharType="separate"/>
      </w:r>
      <w:r>
        <w:rPr>
          <w:rStyle w:val="37"/>
          <w:rFonts w:hint="eastAsia" w:ascii="宋体" w:hAnsi="宋体" w:cs="宋体"/>
          <w:color w:val="000000" w:themeColor="text1"/>
          <w:sz w:val="21"/>
          <w:szCs w:val="21"/>
          <w:highlight w:val="none"/>
          <w:lang w:eastAsia="zh-CN"/>
          <w14:textFill>
            <w14:solidFill>
              <w14:schemeClr w14:val="tx1"/>
            </w14:solidFill>
          </w14:textFill>
        </w:rPr>
        <w:t>附件6.廉政合同</w:t>
      </w:r>
      <w:r>
        <w:rPr>
          <w:rFonts w:hint="eastAsia" w:ascii="宋体" w:hAnsi="宋体"/>
          <w:color w:val="000000" w:themeColor="text1"/>
          <w:sz w:val="21"/>
          <w:szCs w:val="21"/>
          <w:highlight w:val="none"/>
          <w14:textFill>
            <w14:solidFill>
              <w14:schemeClr w14:val="tx1"/>
            </w14:solidFill>
          </w14:textFill>
        </w:rPr>
        <w:tab/>
      </w:r>
      <w:r>
        <w:rPr>
          <w:rFonts w:hint="eastAsia" w:ascii="宋体" w:hAnsi="宋体"/>
          <w:color w:val="000000" w:themeColor="text1"/>
          <w:sz w:val="21"/>
          <w:szCs w:val="21"/>
          <w:highlight w:val="none"/>
          <w14:textFill>
            <w14:solidFill>
              <w14:schemeClr w14:val="tx1"/>
            </w14:solidFill>
          </w14:textFill>
        </w:rPr>
        <w:fldChar w:fldCharType="begin"/>
      </w:r>
      <w:r>
        <w:rPr>
          <w:rFonts w:hint="eastAsia" w:ascii="宋体" w:hAnsi="宋体"/>
          <w:color w:val="000000" w:themeColor="text1"/>
          <w:sz w:val="21"/>
          <w:szCs w:val="21"/>
          <w:highlight w:val="none"/>
          <w14:textFill>
            <w14:solidFill>
              <w14:schemeClr w14:val="tx1"/>
            </w14:solidFill>
          </w14:textFill>
        </w:rPr>
        <w:instrText xml:space="preserve"> </w:instrText>
      </w:r>
      <w:r>
        <w:rPr>
          <w:rFonts w:ascii="宋体" w:hAnsi="宋体"/>
          <w:color w:val="000000" w:themeColor="text1"/>
          <w:sz w:val="21"/>
          <w:szCs w:val="21"/>
          <w:highlight w:val="none"/>
          <w14:textFill>
            <w14:solidFill>
              <w14:schemeClr w14:val="tx1"/>
            </w14:solidFill>
          </w14:textFill>
        </w:rPr>
        <w:instrText xml:space="preserve">PAGEREF _Toc175764476 \h</w:instrText>
      </w:r>
      <w:r>
        <w:rPr>
          <w:rFonts w:hint="eastAsia" w:ascii="宋体" w:hAnsi="宋体"/>
          <w:color w:val="000000" w:themeColor="text1"/>
          <w:sz w:val="21"/>
          <w:szCs w:val="21"/>
          <w:highlight w:val="none"/>
          <w14:textFill>
            <w14:solidFill>
              <w14:schemeClr w14:val="tx1"/>
            </w14:solidFill>
          </w14:textFill>
        </w:rPr>
        <w:instrText xml:space="preserve"> </w:instrText>
      </w:r>
      <w:r>
        <w:rPr>
          <w:rFonts w:hint="eastAsia" w:ascii="宋体" w:hAnsi="宋体"/>
          <w:color w:val="000000" w:themeColor="text1"/>
          <w:sz w:val="21"/>
          <w:szCs w:val="21"/>
          <w:highlight w:val="none"/>
          <w14:textFill>
            <w14:solidFill>
              <w14:schemeClr w14:val="tx1"/>
            </w14:solidFill>
          </w14:textFill>
        </w:rPr>
        <w:fldChar w:fldCharType="separate"/>
      </w:r>
      <w:r>
        <w:rPr>
          <w:rFonts w:hint="eastAsia" w:ascii="宋体" w:hAnsi="宋体"/>
          <w:color w:val="000000" w:themeColor="text1"/>
          <w:sz w:val="21"/>
          <w:szCs w:val="21"/>
          <w:highlight w:val="none"/>
          <w14:textFill>
            <w14:solidFill>
              <w14:schemeClr w14:val="tx1"/>
            </w14:solidFill>
          </w14:textFill>
        </w:rPr>
        <w:t>51</w:t>
      </w:r>
      <w:r>
        <w:rPr>
          <w:rFonts w:hint="eastAsia" w:ascii="宋体" w:hAnsi="宋体"/>
          <w:color w:val="000000" w:themeColor="text1"/>
          <w:sz w:val="21"/>
          <w:szCs w:val="21"/>
          <w:highlight w:val="none"/>
          <w14:textFill>
            <w14:solidFill>
              <w14:schemeClr w14:val="tx1"/>
            </w14:solidFill>
          </w14:textFill>
        </w:rPr>
        <w:fldChar w:fldCharType="end"/>
      </w:r>
      <w:r>
        <w:rPr>
          <w:rFonts w:hint="eastAsia" w:ascii="宋体" w:hAnsi="宋体"/>
          <w:color w:val="000000" w:themeColor="text1"/>
          <w:sz w:val="21"/>
          <w:szCs w:val="21"/>
          <w:highlight w:val="none"/>
          <w14:textFill>
            <w14:solidFill>
              <w14:schemeClr w14:val="tx1"/>
            </w14:solidFill>
          </w14:textFill>
        </w:rPr>
        <w:fldChar w:fldCharType="end"/>
      </w:r>
    </w:p>
    <w:p w14:paraId="185871E1">
      <w:pPr>
        <w:pStyle w:val="22"/>
        <w:tabs>
          <w:tab w:val="right" w:leader="dot" w:pos="9628"/>
          <w:tab w:val="clear" w:pos="8511"/>
        </w:tabs>
        <w:spacing w:after="0" w:line="240" w:lineRule="auto"/>
        <w:rPr>
          <w:rFonts w:hint="eastAsia" w:ascii="宋体" w:hAnsi="宋体"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"_Toc175764477" </w:instrText>
      </w:r>
      <w:r>
        <w:rPr>
          <w:color w:val="000000" w:themeColor="text1"/>
          <w:highlight w:val="none"/>
          <w14:textFill>
            <w14:solidFill>
              <w14:schemeClr w14:val="tx1"/>
            </w14:solidFill>
          </w14:textFill>
        </w:rPr>
        <w:fldChar w:fldCharType="separate"/>
      </w:r>
      <w:r>
        <w:rPr>
          <w:rStyle w:val="37"/>
          <w:rFonts w:hint="eastAsia" w:ascii="宋体" w:hAnsi="宋体" w:cs="宋体"/>
          <w:color w:val="000000" w:themeColor="text1"/>
          <w:sz w:val="21"/>
          <w:szCs w:val="21"/>
          <w:highlight w:val="none"/>
          <w:lang w:eastAsia="zh-CN"/>
          <w14:textFill>
            <w14:solidFill>
              <w14:schemeClr w14:val="tx1"/>
            </w14:solidFill>
          </w14:textFill>
        </w:rPr>
        <w:t>附件7.履约授权管理协议</w:t>
      </w:r>
      <w:r>
        <w:rPr>
          <w:rFonts w:hint="eastAsia" w:ascii="宋体" w:hAnsi="宋体"/>
          <w:color w:val="000000" w:themeColor="text1"/>
          <w:sz w:val="21"/>
          <w:szCs w:val="21"/>
          <w:highlight w:val="none"/>
          <w14:textFill>
            <w14:solidFill>
              <w14:schemeClr w14:val="tx1"/>
            </w14:solidFill>
          </w14:textFill>
        </w:rPr>
        <w:tab/>
      </w:r>
      <w:r>
        <w:rPr>
          <w:rFonts w:hint="eastAsia" w:ascii="宋体" w:hAnsi="宋体"/>
          <w:color w:val="000000" w:themeColor="text1"/>
          <w:sz w:val="21"/>
          <w:szCs w:val="21"/>
          <w:highlight w:val="none"/>
          <w14:textFill>
            <w14:solidFill>
              <w14:schemeClr w14:val="tx1"/>
            </w14:solidFill>
          </w14:textFill>
        </w:rPr>
        <w:fldChar w:fldCharType="begin"/>
      </w:r>
      <w:r>
        <w:rPr>
          <w:rFonts w:hint="eastAsia" w:ascii="宋体" w:hAnsi="宋体"/>
          <w:color w:val="000000" w:themeColor="text1"/>
          <w:sz w:val="21"/>
          <w:szCs w:val="21"/>
          <w:highlight w:val="none"/>
          <w14:textFill>
            <w14:solidFill>
              <w14:schemeClr w14:val="tx1"/>
            </w14:solidFill>
          </w14:textFill>
        </w:rPr>
        <w:instrText xml:space="preserve"> </w:instrText>
      </w:r>
      <w:r>
        <w:rPr>
          <w:rFonts w:ascii="宋体" w:hAnsi="宋体"/>
          <w:color w:val="000000" w:themeColor="text1"/>
          <w:sz w:val="21"/>
          <w:szCs w:val="21"/>
          <w:highlight w:val="none"/>
          <w14:textFill>
            <w14:solidFill>
              <w14:schemeClr w14:val="tx1"/>
            </w14:solidFill>
          </w14:textFill>
        </w:rPr>
        <w:instrText xml:space="preserve">PAGEREF _Toc175764477 \h</w:instrText>
      </w:r>
      <w:r>
        <w:rPr>
          <w:rFonts w:hint="eastAsia" w:ascii="宋体" w:hAnsi="宋体"/>
          <w:color w:val="000000" w:themeColor="text1"/>
          <w:sz w:val="21"/>
          <w:szCs w:val="21"/>
          <w:highlight w:val="none"/>
          <w14:textFill>
            <w14:solidFill>
              <w14:schemeClr w14:val="tx1"/>
            </w14:solidFill>
          </w14:textFill>
        </w:rPr>
        <w:instrText xml:space="preserve"> </w:instrText>
      </w:r>
      <w:r>
        <w:rPr>
          <w:rFonts w:hint="eastAsia" w:ascii="宋体" w:hAnsi="宋体"/>
          <w:color w:val="000000" w:themeColor="text1"/>
          <w:sz w:val="21"/>
          <w:szCs w:val="21"/>
          <w:highlight w:val="none"/>
          <w14:textFill>
            <w14:solidFill>
              <w14:schemeClr w14:val="tx1"/>
            </w14:solidFill>
          </w14:textFill>
        </w:rPr>
        <w:fldChar w:fldCharType="separate"/>
      </w:r>
      <w:r>
        <w:rPr>
          <w:rFonts w:hint="eastAsia" w:ascii="宋体" w:hAnsi="宋体"/>
          <w:color w:val="000000" w:themeColor="text1"/>
          <w:sz w:val="21"/>
          <w:szCs w:val="21"/>
          <w:highlight w:val="none"/>
          <w14:textFill>
            <w14:solidFill>
              <w14:schemeClr w14:val="tx1"/>
            </w14:solidFill>
          </w14:textFill>
        </w:rPr>
        <w:t>51</w:t>
      </w:r>
      <w:r>
        <w:rPr>
          <w:rFonts w:hint="eastAsia" w:ascii="宋体" w:hAnsi="宋体"/>
          <w:color w:val="000000" w:themeColor="text1"/>
          <w:sz w:val="21"/>
          <w:szCs w:val="21"/>
          <w:highlight w:val="none"/>
          <w14:textFill>
            <w14:solidFill>
              <w14:schemeClr w14:val="tx1"/>
            </w14:solidFill>
          </w14:textFill>
        </w:rPr>
        <w:fldChar w:fldCharType="end"/>
      </w:r>
      <w:r>
        <w:rPr>
          <w:rFonts w:hint="eastAsia" w:ascii="宋体" w:hAnsi="宋体"/>
          <w:color w:val="000000" w:themeColor="text1"/>
          <w:sz w:val="21"/>
          <w:szCs w:val="21"/>
          <w:highlight w:val="none"/>
          <w14:textFill>
            <w14:solidFill>
              <w14:schemeClr w14:val="tx1"/>
            </w14:solidFill>
          </w14:textFill>
        </w:rPr>
        <w:fldChar w:fldCharType="end"/>
      </w:r>
    </w:p>
    <w:p w14:paraId="5BAFACC5">
      <w:pPr>
        <w:pStyle w:val="22"/>
        <w:tabs>
          <w:tab w:val="right" w:leader="dot" w:pos="9628"/>
          <w:tab w:val="clear" w:pos="8511"/>
        </w:tabs>
        <w:spacing w:after="0" w:line="240" w:lineRule="auto"/>
        <w:rPr>
          <w:rFonts w:hint="eastAsia" w:ascii="宋体" w:hAnsi="宋体"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"_Toc175764478" </w:instrText>
      </w:r>
      <w:r>
        <w:rPr>
          <w:color w:val="000000" w:themeColor="text1"/>
          <w:highlight w:val="none"/>
          <w14:textFill>
            <w14:solidFill>
              <w14:schemeClr w14:val="tx1"/>
            </w14:solidFill>
          </w14:textFill>
        </w:rPr>
        <w:fldChar w:fldCharType="separate"/>
      </w:r>
      <w:r>
        <w:rPr>
          <w:rStyle w:val="37"/>
          <w:rFonts w:hint="eastAsia" w:ascii="宋体" w:hAnsi="宋体" w:cs="宋体"/>
          <w:color w:val="000000" w:themeColor="text1"/>
          <w:sz w:val="21"/>
          <w:szCs w:val="21"/>
          <w:highlight w:val="none"/>
          <w:lang w:eastAsia="zh-CN"/>
          <w14:textFill>
            <w14:solidFill>
              <w14:schemeClr w14:val="tx1"/>
            </w14:solidFill>
          </w14:textFill>
        </w:rPr>
        <w:t>附件8.工程项目施工质量管理协议书</w:t>
      </w:r>
      <w:r>
        <w:rPr>
          <w:rFonts w:hint="eastAsia" w:ascii="宋体" w:hAnsi="宋体"/>
          <w:color w:val="000000" w:themeColor="text1"/>
          <w:sz w:val="21"/>
          <w:szCs w:val="21"/>
          <w:highlight w:val="none"/>
          <w14:textFill>
            <w14:solidFill>
              <w14:schemeClr w14:val="tx1"/>
            </w14:solidFill>
          </w14:textFill>
        </w:rPr>
        <w:tab/>
      </w:r>
      <w:r>
        <w:rPr>
          <w:rFonts w:hint="eastAsia" w:ascii="宋体" w:hAnsi="宋体"/>
          <w:color w:val="000000" w:themeColor="text1"/>
          <w:sz w:val="21"/>
          <w:szCs w:val="21"/>
          <w:highlight w:val="none"/>
          <w14:textFill>
            <w14:solidFill>
              <w14:schemeClr w14:val="tx1"/>
            </w14:solidFill>
          </w14:textFill>
        </w:rPr>
        <w:fldChar w:fldCharType="begin"/>
      </w:r>
      <w:r>
        <w:rPr>
          <w:rFonts w:hint="eastAsia" w:ascii="宋体" w:hAnsi="宋体"/>
          <w:color w:val="000000" w:themeColor="text1"/>
          <w:sz w:val="21"/>
          <w:szCs w:val="21"/>
          <w:highlight w:val="none"/>
          <w14:textFill>
            <w14:solidFill>
              <w14:schemeClr w14:val="tx1"/>
            </w14:solidFill>
          </w14:textFill>
        </w:rPr>
        <w:instrText xml:space="preserve"> </w:instrText>
      </w:r>
      <w:r>
        <w:rPr>
          <w:rFonts w:ascii="宋体" w:hAnsi="宋体"/>
          <w:color w:val="000000" w:themeColor="text1"/>
          <w:sz w:val="21"/>
          <w:szCs w:val="21"/>
          <w:highlight w:val="none"/>
          <w14:textFill>
            <w14:solidFill>
              <w14:schemeClr w14:val="tx1"/>
            </w14:solidFill>
          </w14:textFill>
        </w:rPr>
        <w:instrText xml:space="preserve">PAGEREF _Toc175764478 \h</w:instrText>
      </w:r>
      <w:r>
        <w:rPr>
          <w:rFonts w:hint="eastAsia" w:ascii="宋体" w:hAnsi="宋体"/>
          <w:color w:val="000000" w:themeColor="text1"/>
          <w:sz w:val="21"/>
          <w:szCs w:val="21"/>
          <w:highlight w:val="none"/>
          <w14:textFill>
            <w14:solidFill>
              <w14:schemeClr w14:val="tx1"/>
            </w14:solidFill>
          </w14:textFill>
        </w:rPr>
        <w:instrText xml:space="preserve"> </w:instrText>
      </w:r>
      <w:r>
        <w:rPr>
          <w:rFonts w:hint="eastAsia" w:ascii="宋体" w:hAnsi="宋体"/>
          <w:color w:val="000000" w:themeColor="text1"/>
          <w:sz w:val="21"/>
          <w:szCs w:val="21"/>
          <w:highlight w:val="none"/>
          <w14:textFill>
            <w14:solidFill>
              <w14:schemeClr w14:val="tx1"/>
            </w14:solidFill>
          </w14:textFill>
        </w:rPr>
        <w:fldChar w:fldCharType="separate"/>
      </w:r>
      <w:r>
        <w:rPr>
          <w:rFonts w:hint="eastAsia" w:ascii="宋体" w:hAnsi="宋体"/>
          <w:color w:val="000000" w:themeColor="text1"/>
          <w:sz w:val="21"/>
          <w:szCs w:val="21"/>
          <w:highlight w:val="none"/>
          <w14:textFill>
            <w14:solidFill>
              <w14:schemeClr w14:val="tx1"/>
            </w14:solidFill>
          </w14:textFill>
        </w:rPr>
        <w:t>51</w:t>
      </w:r>
      <w:r>
        <w:rPr>
          <w:rFonts w:hint="eastAsia" w:ascii="宋体" w:hAnsi="宋体"/>
          <w:color w:val="000000" w:themeColor="text1"/>
          <w:sz w:val="21"/>
          <w:szCs w:val="21"/>
          <w:highlight w:val="none"/>
          <w14:textFill>
            <w14:solidFill>
              <w14:schemeClr w14:val="tx1"/>
            </w14:solidFill>
          </w14:textFill>
        </w:rPr>
        <w:fldChar w:fldCharType="end"/>
      </w:r>
      <w:r>
        <w:rPr>
          <w:rFonts w:hint="eastAsia" w:ascii="宋体" w:hAnsi="宋体"/>
          <w:color w:val="000000" w:themeColor="text1"/>
          <w:sz w:val="21"/>
          <w:szCs w:val="21"/>
          <w:highlight w:val="none"/>
          <w14:textFill>
            <w14:solidFill>
              <w14:schemeClr w14:val="tx1"/>
            </w14:solidFill>
          </w14:textFill>
        </w:rPr>
        <w:fldChar w:fldCharType="end"/>
      </w:r>
    </w:p>
    <w:p w14:paraId="7F6886C7">
      <w:pPr>
        <w:pStyle w:val="22"/>
        <w:tabs>
          <w:tab w:val="right" w:leader="dot" w:pos="9628"/>
          <w:tab w:val="clear" w:pos="8511"/>
        </w:tabs>
        <w:spacing w:after="0" w:line="240" w:lineRule="auto"/>
        <w:rPr>
          <w:rFonts w:hint="eastAsia" w:ascii="宋体" w:hAnsi="宋体"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"_Toc175764479" </w:instrText>
      </w:r>
      <w:r>
        <w:rPr>
          <w:color w:val="000000" w:themeColor="text1"/>
          <w:highlight w:val="none"/>
          <w14:textFill>
            <w14:solidFill>
              <w14:schemeClr w14:val="tx1"/>
            </w14:solidFill>
          </w14:textFill>
        </w:rPr>
        <w:fldChar w:fldCharType="separate"/>
      </w:r>
      <w:r>
        <w:rPr>
          <w:rStyle w:val="37"/>
          <w:rFonts w:hint="eastAsia" w:ascii="宋体" w:hAnsi="宋体" w:cs="宋体"/>
          <w:color w:val="000000" w:themeColor="text1"/>
          <w:sz w:val="21"/>
          <w:szCs w:val="21"/>
          <w:highlight w:val="none"/>
          <w:lang w:eastAsia="zh-CN"/>
          <w14:textFill>
            <w14:solidFill>
              <w14:schemeClr w14:val="tx1"/>
            </w14:solidFill>
          </w14:textFill>
        </w:rPr>
        <w:t>附件9.质量保修书</w:t>
      </w:r>
      <w:r>
        <w:rPr>
          <w:rFonts w:hint="eastAsia" w:ascii="宋体" w:hAnsi="宋体"/>
          <w:color w:val="000000" w:themeColor="text1"/>
          <w:sz w:val="21"/>
          <w:szCs w:val="21"/>
          <w:highlight w:val="none"/>
          <w14:textFill>
            <w14:solidFill>
              <w14:schemeClr w14:val="tx1"/>
            </w14:solidFill>
          </w14:textFill>
        </w:rPr>
        <w:tab/>
      </w:r>
      <w:r>
        <w:rPr>
          <w:rFonts w:hint="eastAsia" w:ascii="宋体" w:hAnsi="宋体"/>
          <w:color w:val="000000" w:themeColor="text1"/>
          <w:sz w:val="21"/>
          <w:szCs w:val="21"/>
          <w:highlight w:val="none"/>
          <w14:textFill>
            <w14:solidFill>
              <w14:schemeClr w14:val="tx1"/>
            </w14:solidFill>
          </w14:textFill>
        </w:rPr>
        <w:fldChar w:fldCharType="begin"/>
      </w:r>
      <w:r>
        <w:rPr>
          <w:rFonts w:hint="eastAsia" w:ascii="宋体" w:hAnsi="宋体"/>
          <w:color w:val="000000" w:themeColor="text1"/>
          <w:sz w:val="21"/>
          <w:szCs w:val="21"/>
          <w:highlight w:val="none"/>
          <w14:textFill>
            <w14:solidFill>
              <w14:schemeClr w14:val="tx1"/>
            </w14:solidFill>
          </w14:textFill>
        </w:rPr>
        <w:instrText xml:space="preserve"> </w:instrText>
      </w:r>
      <w:r>
        <w:rPr>
          <w:rFonts w:ascii="宋体" w:hAnsi="宋体"/>
          <w:color w:val="000000" w:themeColor="text1"/>
          <w:sz w:val="21"/>
          <w:szCs w:val="21"/>
          <w:highlight w:val="none"/>
          <w14:textFill>
            <w14:solidFill>
              <w14:schemeClr w14:val="tx1"/>
            </w14:solidFill>
          </w14:textFill>
        </w:rPr>
        <w:instrText xml:space="preserve">PAGEREF _Toc175764479 \h</w:instrText>
      </w:r>
      <w:r>
        <w:rPr>
          <w:rFonts w:hint="eastAsia" w:ascii="宋体" w:hAnsi="宋体"/>
          <w:color w:val="000000" w:themeColor="text1"/>
          <w:sz w:val="21"/>
          <w:szCs w:val="21"/>
          <w:highlight w:val="none"/>
          <w14:textFill>
            <w14:solidFill>
              <w14:schemeClr w14:val="tx1"/>
            </w14:solidFill>
          </w14:textFill>
        </w:rPr>
        <w:instrText xml:space="preserve"> </w:instrText>
      </w:r>
      <w:r>
        <w:rPr>
          <w:rFonts w:hint="eastAsia" w:ascii="宋体" w:hAnsi="宋体"/>
          <w:color w:val="000000" w:themeColor="text1"/>
          <w:sz w:val="21"/>
          <w:szCs w:val="21"/>
          <w:highlight w:val="none"/>
          <w14:textFill>
            <w14:solidFill>
              <w14:schemeClr w14:val="tx1"/>
            </w14:solidFill>
          </w14:textFill>
        </w:rPr>
        <w:fldChar w:fldCharType="separate"/>
      </w:r>
      <w:r>
        <w:rPr>
          <w:rFonts w:hint="eastAsia" w:ascii="宋体" w:hAnsi="宋体"/>
          <w:color w:val="000000" w:themeColor="text1"/>
          <w:sz w:val="21"/>
          <w:szCs w:val="21"/>
          <w:highlight w:val="none"/>
          <w14:textFill>
            <w14:solidFill>
              <w14:schemeClr w14:val="tx1"/>
            </w14:solidFill>
          </w14:textFill>
        </w:rPr>
        <w:t>51</w:t>
      </w:r>
      <w:r>
        <w:rPr>
          <w:rFonts w:hint="eastAsia" w:ascii="宋体" w:hAnsi="宋体"/>
          <w:color w:val="000000" w:themeColor="text1"/>
          <w:sz w:val="21"/>
          <w:szCs w:val="21"/>
          <w:highlight w:val="none"/>
          <w14:textFill>
            <w14:solidFill>
              <w14:schemeClr w14:val="tx1"/>
            </w14:solidFill>
          </w14:textFill>
        </w:rPr>
        <w:fldChar w:fldCharType="end"/>
      </w:r>
      <w:r>
        <w:rPr>
          <w:rFonts w:hint="eastAsia" w:ascii="宋体" w:hAnsi="宋体"/>
          <w:color w:val="000000" w:themeColor="text1"/>
          <w:sz w:val="21"/>
          <w:szCs w:val="21"/>
          <w:highlight w:val="none"/>
          <w14:textFill>
            <w14:solidFill>
              <w14:schemeClr w14:val="tx1"/>
            </w14:solidFill>
          </w14:textFill>
        </w:rPr>
        <w:fldChar w:fldCharType="end"/>
      </w:r>
    </w:p>
    <w:p w14:paraId="59A1DC79">
      <w:pPr>
        <w:pStyle w:val="22"/>
        <w:tabs>
          <w:tab w:val="right" w:leader="dot" w:pos="9628"/>
          <w:tab w:val="clear" w:pos="8511"/>
        </w:tabs>
        <w:spacing w:after="0" w:line="240" w:lineRule="auto"/>
        <w:rPr>
          <w:rFonts w:hint="eastAsia" w:ascii="宋体" w:hAnsi="宋体"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"_Toc175764480" </w:instrText>
      </w:r>
      <w:r>
        <w:rPr>
          <w:color w:val="000000" w:themeColor="text1"/>
          <w:highlight w:val="none"/>
          <w14:textFill>
            <w14:solidFill>
              <w14:schemeClr w14:val="tx1"/>
            </w14:solidFill>
          </w14:textFill>
        </w:rPr>
        <w:fldChar w:fldCharType="separate"/>
      </w:r>
      <w:r>
        <w:rPr>
          <w:rStyle w:val="37"/>
          <w:rFonts w:hint="eastAsia" w:ascii="宋体" w:hAnsi="宋体" w:cs="宋体"/>
          <w:color w:val="000000" w:themeColor="text1"/>
          <w:sz w:val="21"/>
          <w:szCs w:val="21"/>
          <w:highlight w:val="none"/>
          <w:lang w:eastAsia="zh-CN"/>
          <w14:textFill>
            <w14:solidFill>
              <w14:schemeClr w14:val="tx1"/>
            </w14:solidFill>
          </w14:textFill>
        </w:rPr>
        <w:t>附件10.农民工工资管理协议</w:t>
      </w:r>
      <w:r>
        <w:rPr>
          <w:rFonts w:hint="eastAsia" w:ascii="宋体" w:hAnsi="宋体"/>
          <w:color w:val="000000" w:themeColor="text1"/>
          <w:sz w:val="21"/>
          <w:szCs w:val="21"/>
          <w:highlight w:val="none"/>
          <w14:textFill>
            <w14:solidFill>
              <w14:schemeClr w14:val="tx1"/>
            </w14:solidFill>
          </w14:textFill>
        </w:rPr>
        <w:tab/>
      </w:r>
      <w:r>
        <w:rPr>
          <w:rFonts w:hint="eastAsia" w:ascii="宋体" w:hAnsi="宋体"/>
          <w:color w:val="000000" w:themeColor="text1"/>
          <w:sz w:val="21"/>
          <w:szCs w:val="21"/>
          <w:highlight w:val="none"/>
          <w14:textFill>
            <w14:solidFill>
              <w14:schemeClr w14:val="tx1"/>
            </w14:solidFill>
          </w14:textFill>
        </w:rPr>
        <w:fldChar w:fldCharType="begin"/>
      </w:r>
      <w:r>
        <w:rPr>
          <w:rFonts w:hint="eastAsia" w:ascii="宋体" w:hAnsi="宋体"/>
          <w:color w:val="000000" w:themeColor="text1"/>
          <w:sz w:val="21"/>
          <w:szCs w:val="21"/>
          <w:highlight w:val="none"/>
          <w14:textFill>
            <w14:solidFill>
              <w14:schemeClr w14:val="tx1"/>
            </w14:solidFill>
          </w14:textFill>
        </w:rPr>
        <w:instrText xml:space="preserve"> </w:instrText>
      </w:r>
      <w:r>
        <w:rPr>
          <w:rFonts w:ascii="宋体" w:hAnsi="宋体"/>
          <w:color w:val="000000" w:themeColor="text1"/>
          <w:sz w:val="21"/>
          <w:szCs w:val="21"/>
          <w:highlight w:val="none"/>
          <w14:textFill>
            <w14:solidFill>
              <w14:schemeClr w14:val="tx1"/>
            </w14:solidFill>
          </w14:textFill>
        </w:rPr>
        <w:instrText xml:space="preserve">PAGEREF _Toc175764480 \h</w:instrText>
      </w:r>
      <w:r>
        <w:rPr>
          <w:rFonts w:hint="eastAsia" w:ascii="宋体" w:hAnsi="宋体"/>
          <w:color w:val="000000" w:themeColor="text1"/>
          <w:sz w:val="21"/>
          <w:szCs w:val="21"/>
          <w:highlight w:val="none"/>
          <w14:textFill>
            <w14:solidFill>
              <w14:schemeClr w14:val="tx1"/>
            </w14:solidFill>
          </w14:textFill>
        </w:rPr>
        <w:instrText xml:space="preserve"> </w:instrText>
      </w:r>
      <w:r>
        <w:rPr>
          <w:rFonts w:hint="eastAsia" w:ascii="宋体" w:hAnsi="宋体"/>
          <w:color w:val="000000" w:themeColor="text1"/>
          <w:sz w:val="21"/>
          <w:szCs w:val="21"/>
          <w:highlight w:val="none"/>
          <w14:textFill>
            <w14:solidFill>
              <w14:schemeClr w14:val="tx1"/>
            </w14:solidFill>
          </w14:textFill>
        </w:rPr>
        <w:fldChar w:fldCharType="separate"/>
      </w:r>
      <w:r>
        <w:rPr>
          <w:rFonts w:hint="eastAsia" w:ascii="宋体" w:hAnsi="宋体"/>
          <w:color w:val="000000" w:themeColor="text1"/>
          <w:sz w:val="21"/>
          <w:szCs w:val="21"/>
          <w:highlight w:val="none"/>
          <w14:textFill>
            <w14:solidFill>
              <w14:schemeClr w14:val="tx1"/>
            </w14:solidFill>
          </w14:textFill>
        </w:rPr>
        <w:t>51</w:t>
      </w:r>
      <w:r>
        <w:rPr>
          <w:rFonts w:hint="eastAsia" w:ascii="宋体" w:hAnsi="宋体"/>
          <w:color w:val="000000" w:themeColor="text1"/>
          <w:sz w:val="21"/>
          <w:szCs w:val="21"/>
          <w:highlight w:val="none"/>
          <w14:textFill>
            <w14:solidFill>
              <w14:schemeClr w14:val="tx1"/>
            </w14:solidFill>
          </w14:textFill>
        </w:rPr>
        <w:fldChar w:fldCharType="end"/>
      </w:r>
      <w:r>
        <w:rPr>
          <w:rFonts w:hint="eastAsia" w:ascii="宋体" w:hAnsi="宋体"/>
          <w:color w:val="000000" w:themeColor="text1"/>
          <w:sz w:val="21"/>
          <w:szCs w:val="21"/>
          <w:highlight w:val="none"/>
          <w14:textFill>
            <w14:solidFill>
              <w14:schemeClr w14:val="tx1"/>
            </w14:solidFill>
          </w14:textFill>
        </w:rPr>
        <w:fldChar w:fldCharType="end"/>
      </w:r>
    </w:p>
    <w:p w14:paraId="4AC41558">
      <w:pPr>
        <w:pStyle w:val="22"/>
        <w:tabs>
          <w:tab w:val="right" w:leader="dot" w:pos="9628"/>
          <w:tab w:val="clear" w:pos="8511"/>
        </w:tabs>
        <w:spacing w:after="0" w:line="240" w:lineRule="auto"/>
        <w:rPr>
          <w:rFonts w:hint="eastAsia" w:ascii="宋体" w:hAnsi="宋体"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"_Toc175764481" </w:instrText>
      </w:r>
      <w:r>
        <w:rPr>
          <w:color w:val="000000" w:themeColor="text1"/>
          <w:highlight w:val="none"/>
          <w14:textFill>
            <w14:solidFill>
              <w14:schemeClr w14:val="tx1"/>
            </w14:solidFill>
          </w14:textFill>
        </w:rPr>
        <w:fldChar w:fldCharType="separate"/>
      </w:r>
      <w:r>
        <w:rPr>
          <w:rStyle w:val="37"/>
          <w:rFonts w:hint="eastAsia" w:ascii="宋体" w:hAnsi="宋体" w:cs="宋体"/>
          <w:color w:val="000000" w:themeColor="text1"/>
          <w:sz w:val="21"/>
          <w:szCs w:val="21"/>
          <w:highlight w:val="none"/>
          <w:lang w:eastAsia="zh-CN"/>
          <w14:textFill>
            <w14:solidFill>
              <w14:schemeClr w14:val="tx1"/>
            </w14:solidFill>
          </w14:textFill>
        </w:rPr>
        <w:t>附件11.项目部合规权限告知书</w:t>
      </w:r>
      <w:r>
        <w:rPr>
          <w:rFonts w:hint="eastAsia" w:ascii="宋体" w:hAnsi="宋体"/>
          <w:color w:val="000000" w:themeColor="text1"/>
          <w:sz w:val="21"/>
          <w:szCs w:val="21"/>
          <w:highlight w:val="none"/>
          <w14:textFill>
            <w14:solidFill>
              <w14:schemeClr w14:val="tx1"/>
            </w14:solidFill>
          </w14:textFill>
        </w:rPr>
        <w:tab/>
      </w:r>
      <w:r>
        <w:rPr>
          <w:rFonts w:hint="eastAsia" w:ascii="宋体" w:hAnsi="宋体"/>
          <w:color w:val="000000" w:themeColor="text1"/>
          <w:sz w:val="21"/>
          <w:szCs w:val="21"/>
          <w:highlight w:val="none"/>
          <w14:textFill>
            <w14:solidFill>
              <w14:schemeClr w14:val="tx1"/>
            </w14:solidFill>
          </w14:textFill>
        </w:rPr>
        <w:fldChar w:fldCharType="begin"/>
      </w:r>
      <w:r>
        <w:rPr>
          <w:rFonts w:hint="eastAsia" w:ascii="宋体" w:hAnsi="宋体"/>
          <w:color w:val="000000" w:themeColor="text1"/>
          <w:sz w:val="21"/>
          <w:szCs w:val="21"/>
          <w:highlight w:val="none"/>
          <w14:textFill>
            <w14:solidFill>
              <w14:schemeClr w14:val="tx1"/>
            </w14:solidFill>
          </w14:textFill>
        </w:rPr>
        <w:instrText xml:space="preserve"> </w:instrText>
      </w:r>
      <w:r>
        <w:rPr>
          <w:rFonts w:ascii="宋体" w:hAnsi="宋体"/>
          <w:color w:val="000000" w:themeColor="text1"/>
          <w:sz w:val="21"/>
          <w:szCs w:val="21"/>
          <w:highlight w:val="none"/>
          <w14:textFill>
            <w14:solidFill>
              <w14:schemeClr w14:val="tx1"/>
            </w14:solidFill>
          </w14:textFill>
        </w:rPr>
        <w:instrText xml:space="preserve">PAGEREF _Toc175764481 \h</w:instrText>
      </w:r>
      <w:r>
        <w:rPr>
          <w:rFonts w:hint="eastAsia" w:ascii="宋体" w:hAnsi="宋体"/>
          <w:color w:val="000000" w:themeColor="text1"/>
          <w:sz w:val="21"/>
          <w:szCs w:val="21"/>
          <w:highlight w:val="none"/>
          <w14:textFill>
            <w14:solidFill>
              <w14:schemeClr w14:val="tx1"/>
            </w14:solidFill>
          </w14:textFill>
        </w:rPr>
        <w:instrText xml:space="preserve"> </w:instrText>
      </w:r>
      <w:r>
        <w:rPr>
          <w:rFonts w:hint="eastAsia" w:ascii="宋体" w:hAnsi="宋体"/>
          <w:color w:val="000000" w:themeColor="text1"/>
          <w:sz w:val="21"/>
          <w:szCs w:val="21"/>
          <w:highlight w:val="none"/>
          <w14:textFill>
            <w14:solidFill>
              <w14:schemeClr w14:val="tx1"/>
            </w14:solidFill>
          </w14:textFill>
        </w:rPr>
        <w:fldChar w:fldCharType="separate"/>
      </w:r>
      <w:r>
        <w:rPr>
          <w:rFonts w:hint="eastAsia" w:ascii="宋体" w:hAnsi="宋体"/>
          <w:color w:val="000000" w:themeColor="text1"/>
          <w:sz w:val="21"/>
          <w:szCs w:val="21"/>
          <w:highlight w:val="none"/>
          <w14:textFill>
            <w14:solidFill>
              <w14:schemeClr w14:val="tx1"/>
            </w14:solidFill>
          </w14:textFill>
        </w:rPr>
        <w:t>51</w:t>
      </w:r>
      <w:r>
        <w:rPr>
          <w:rFonts w:hint="eastAsia" w:ascii="宋体" w:hAnsi="宋体"/>
          <w:color w:val="000000" w:themeColor="text1"/>
          <w:sz w:val="21"/>
          <w:szCs w:val="21"/>
          <w:highlight w:val="none"/>
          <w14:textFill>
            <w14:solidFill>
              <w14:schemeClr w14:val="tx1"/>
            </w14:solidFill>
          </w14:textFill>
        </w:rPr>
        <w:fldChar w:fldCharType="end"/>
      </w:r>
      <w:r>
        <w:rPr>
          <w:rFonts w:hint="eastAsia" w:ascii="宋体" w:hAnsi="宋体"/>
          <w:color w:val="000000" w:themeColor="text1"/>
          <w:sz w:val="21"/>
          <w:szCs w:val="21"/>
          <w:highlight w:val="none"/>
          <w14:textFill>
            <w14:solidFill>
              <w14:schemeClr w14:val="tx1"/>
            </w14:solidFill>
          </w14:textFill>
        </w:rPr>
        <w:fldChar w:fldCharType="end"/>
      </w:r>
    </w:p>
    <w:p w14:paraId="2B5CECFD">
      <w:pPr>
        <w:pStyle w:val="22"/>
        <w:tabs>
          <w:tab w:val="right" w:leader="dot" w:pos="9628"/>
          <w:tab w:val="clear" w:pos="8511"/>
        </w:tabs>
        <w:spacing w:after="0" w:line="240" w:lineRule="auto"/>
        <w:rPr>
          <w:rFonts w:hint="eastAsia" w:ascii="宋体" w:hAnsi="宋体"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"_Toc175764482" </w:instrText>
      </w:r>
      <w:r>
        <w:rPr>
          <w:color w:val="000000" w:themeColor="text1"/>
          <w:highlight w:val="none"/>
          <w14:textFill>
            <w14:solidFill>
              <w14:schemeClr w14:val="tx1"/>
            </w14:solidFill>
          </w14:textFill>
        </w:rPr>
        <w:fldChar w:fldCharType="separate"/>
      </w:r>
      <w:r>
        <w:rPr>
          <w:rStyle w:val="37"/>
          <w:rFonts w:hint="eastAsia" w:ascii="宋体" w:hAnsi="宋体" w:cs="宋体"/>
          <w:color w:val="000000" w:themeColor="text1"/>
          <w:sz w:val="21"/>
          <w:szCs w:val="21"/>
          <w:highlight w:val="none"/>
          <w:lang w:eastAsia="zh-CN"/>
          <w14:textFill>
            <w14:solidFill>
              <w14:schemeClr w14:val="tx1"/>
            </w14:solidFill>
          </w14:textFill>
        </w:rPr>
        <w:t>附件12.授权委托书（分包方）</w:t>
      </w:r>
      <w:r>
        <w:rPr>
          <w:rFonts w:hint="eastAsia" w:ascii="宋体" w:hAnsi="宋体"/>
          <w:color w:val="000000" w:themeColor="text1"/>
          <w:sz w:val="21"/>
          <w:szCs w:val="21"/>
          <w:highlight w:val="none"/>
          <w14:textFill>
            <w14:solidFill>
              <w14:schemeClr w14:val="tx1"/>
            </w14:solidFill>
          </w14:textFill>
        </w:rPr>
        <w:tab/>
      </w:r>
      <w:r>
        <w:rPr>
          <w:rFonts w:hint="eastAsia" w:ascii="宋体" w:hAnsi="宋体"/>
          <w:color w:val="000000" w:themeColor="text1"/>
          <w:sz w:val="21"/>
          <w:szCs w:val="21"/>
          <w:highlight w:val="none"/>
          <w14:textFill>
            <w14:solidFill>
              <w14:schemeClr w14:val="tx1"/>
            </w14:solidFill>
          </w14:textFill>
        </w:rPr>
        <w:fldChar w:fldCharType="begin"/>
      </w:r>
      <w:r>
        <w:rPr>
          <w:rFonts w:hint="eastAsia" w:ascii="宋体" w:hAnsi="宋体"/>
          <w:color w:val="000000" w:themeColor="text1"/>
          <w:sz w:val="21"/>
          <w:szCs w:val="21"/>
          <w:highlight w:val="none"/>
          <w14:textFill>
            <w14:solidFill>
              <w14:schemeClr w14:val="tx1"/>
            </w14:solidFill>
          </w14:textFill>
        </w:rPr>
        <w:instrText xml:space="preserve"> </w:instrText>
      </w:r>
      <w:r>
        <w:rPr>
          <w:rFonts w:ascii="宋体" w:hAnsi="宋体"/>
          <w:color w:val="000000" w:themeColor="text1"/>
          <w:sz w:val="21"/>
          <w:szCs w:val="21"/>
          <w:highlight w:val="none"/>
          <w14:textFill>
            <w14:solidFill>
              <w14:schemeClr w14:val="tx1"/>
            </w14:solidFill>
          </w14:textFill>
        </w:rPr>
        <w:instrText xml:space="preserve">PAGEREF _Toc175764482 \h</w:instrText>
      </w:r>
      <w:r>
        <w:rPr>
          <w:rFonts w:hint="eastAsia" w:ascii="宋体" w:hAnsi="宋体"/>
          <w:color w:val="000000" w:themeColor="text1"/>
          <w:sz w:val="21"/>
          <w:szCs w:val="21"/>
          <w:highlight w:val="none"/>
          <w14:textFill>
            <w14:solidFill>
              <w14:schemeClr w14:val="tx1"/>
            </w14:solidFill>
          </w14:textFill>
        </w:rPr>
        <w:instrText xml:space="preserve"> </w:instrText>
      </w:r>
      <w:r>
        <w:rPr>
          <w:rFonts w:hint="eastAsia" w:ascii="宋体" w:hAnsi="宋体"/>
          <w:color w:val="000000" w:themeColor="text1"/>
          <w:sz w:val="21"/>
          <w:szCs w:val="21"/>
          <w:highlight w:val="none"/>
          <w14:textFill>
            <w14:solidFill>
              <w14:schemeClr w14:val="tx1"/>
            </w14:solidFill>
          </w14:textFill>
        </w:rPr>
        <w:fldChar w:fldCharType="separate"/>
      </w:r>
      <w:r>
        <w:rPr>
          <w:rFonts w:hint="eastAsia" w:ascii="宋体" w:hAnsi="宋体"/>
          <w:color w:val="000000" w:themeColor="text1"/>
          <w:sz w:val="21"/>
          <w:szCs w:val="21"/>
          <w:highlight w:val="none"/>
          <w14:textFill>
            <w14:solidFill>
              <w14:schemeClr w14:val="tx1"/>
            </w14:solidFill>
          </w14:textFill>
        </w:rPr>
        <w:t>51</w:t>
      </w:r>
      <w:r>
        <w:rPr>
          <w:rFonts w:hint="eastAsia" w:ascii="宋体" w:hAnsi="宋体"/>
          <w:color w:val="000000" w:themeColor="text1"/>
          <w:sz w:val="21"/>
          <w:szCs w:val="21"/>
          <w:highlight w:val="none"/>
          <w14:textFill>
            <w14:solidFill>
              <w14:schemeClr w14:val="tx1"/>
            </w14:solidFill>
          </w14:textFill>
        </w:rPr>
        <w:fldChar w:fldCharType="end"/>
      </w:r>
      <w:r>
        <w:rPr>
          <w:rFonts w:hint="eastAsia" w:ascii="宋体" w:hAnsi="宋体"/>
          <w:color w:val="000000" w:themeColor="text1"/>
          <w:sz w:val="21"/>
          <w:szCs w:val="21"/>
          <w:highlight w:val="none"/>
          <w14:textFill>
            <w14:solidFill>
              <w14:schemeClr w14:val="tx1"/>
            </w14:solidFill>
          </w14:textFill>
        </w:rPr>
        <w:fldChar w:fldCharType="end"/>
      </w:r>
    </w:p>
    <w:p w14:paraId="53F8E692">
      <w:pPr>
        <w:pStyle w:val="22"/>
        <w:tabs>
          <w:tab w:val="right" w:leader="dot" w:pos="9628"/>
          <w:tab w:val="clear" w:pos="8511"/>
        </w:tabs>
        <w:spacing w:after="0" w:line="240" w:lineRule="auto"/>
        <w:rPr>
          <w:rFonts w:hint="eastAsia" w:ascii="宋体" w:hAnsi="宋体"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"_Toc175764483" </w:instrText>
      </w:r>
      <w:r>
        <w:rPr>
          <w:color w:val="000000" w:themeColor="text1"/>
          <w:highlight w:val="none"/>
          <w14:textFill>
            <w14:solidFill>
              <w14:schemeClr w14:val="tx1"/>
            </w14:solidFill>
          </w14:textFill>
        </w:rPr>
        <w:fldChar w:fldCharType="separate"/>
      </w:r>
      <w:r>
        <w:rPr>
          <w:rStyle w:val="37"/>
          <w:rFonts w:hint="eastAsia" w:ascii="宋体" w:hAnsi="宋体" w:cs="宋体"/>
          <w:color w:val="000000" w:themeColor="text1"/>
          <w:sz w:val="21"/>
          <w:szCs w:val="21"/>
          <w:highlight w:val="none"/>
          <w:lang w:eastAsia="zh-CN"/>
          <w14:textFill>
            <w14:solidFill>
              <w14:schemeClr w14:val="tx1"/>
            </w14:solidFill>
          </w14:textFill>
        </w:rPr>
        <w:t>附件13.农民工工资代发授权委托书</w:t>
      </w:r>
      <w:r>
        <w:rPr>
          <w:rFonts w:hint="eastAsia" w:ascii="宋体" w:hAnsi="宋体"/>
          <w:color w:val="000000" w:themeColor="text1"/>
          <w:sz w:val="21"/>
          <w:szCs w:val="21"/>
          <w:highlight w:val="none"/>
          <w14:textFill>
            <w14:solidFill>
              <w14:schemeClr w14:val="tx1"/>
            </w14:solidFill>
          </w14:textFill>
        </w:rPr>
        <w:tab/>
      </w:r>
      <w:r>
        <w:rPr>
          <w:rFonts w:hint="eastAsia" w:ascii="宋体" w:hAnsi="宋体"/>
          <w:color w:val="000000" w:themeColor="text1"/>
          <w:sz w:val="21"/>
          <w:szCs w:val="21"/>
          <w:highlight w:val="none"/>
          <w14:textFill>
            <w14:solidFill>
              <w14:schemeClr w14:val="tx1"/>
            </w14:solidFill>
          </w14:textFill>
        </w:rPr>
        <w:fldChar w:fldCharType="begin"/>
      </w:r>
      <w:r>
        <w:rPr>
          <w:rFonts w:hint="eastAsia" w:ascii="宋体" w:hAnsi="宋体"/>
          <w:color w:val="000000" w:themeColor="text1"/>
          <w:sz w:val="21"/>
          <w:szCs w:val="21"/>
          <w:highlight w:val="none"/>
          <w14:textFill>
            <w14:solidFill>
              <w14:schemeClr w14:val="tx1"/>
            </w14:solidFill>
          </w14:textFill>
        </w:rPr>
        <w:instrText xml:space="preserve"> </w:instrText>
      </w:r>
      <w:r>
        <w:rPr>
          <w:rFonts w:ascii="宋体" w:hAnsi="宋体"/>
          <w:color w:val="000000" w:themeColor="text1"/>
          <w:sz w:val="21"/>
          <w:szCs w:val="21"/>
          <w:highlight w:val="none"/>
          <w14:textFill>
            <w14:solidFill>
              <w14:schemeClr w14:val="tx1"/>
            </w14:solidFill>
          </w14:textFill>
        </w:rPr>
        <w:instrText xml:space="preserve">PAGEREF _Toc175764483 \h</w:instrText>
      </w:r>
      <w:r>
        <w:rPr>
          <w:rFonts w:hint="eastAsia" w:ascii="宋体" w:hAnsi="宋体"/>
          <w:color w:val="000000" w:themeColor="text1"/>
          <w:sz w:val="21"/>
          <w:szCs w:val="21"/>
          <w:highlight w:val="none"/>
          <w14:textFill>
            <w14:solidFill>
              <w14:schemeClr w14:val="tx1"/>
            </w14:solidFill>
          </w14:textFill>
        </w:rPr>
        <w:instrText xml:space="preserve"> </w:instrText>
      </w:r>
      <w:r>
        <w:rPr>
          <w:rFonts w:hint="eastAsia" w:ascii="宋体" w:hAnsi="宋体"/>
          <w:color w:val="000000" w:themeColor="text1"/>
          <w:sz w:val="21"/>
          <w:szCs w:val="21"/>
          <w:highlight w:val="none"/>
          <w14:textFill>
            <w14:solidFill>
              <w14:schemeClr w14:val="tx1"/>
            </w14:solidFill>
          </w14:textFill>
        </w:rPr>
        <w:fldChar w:fldCharType="separate"/>
      </w:r>
      <w:r>
        <w:rPr>
          <w:rFonts w:hint="eastAsia" w:ascii="宋体" w:hAnsi="宋体"/>
          <w:color w:val="000000" w:themeColor="text1"/>
          <w:sz w:val="21"/>
          <w:szCs w:val="21"/>
          <w:highlight w:val="none"/>
          <w14:textFill>
            <w14:solidFill>
              <w14:schemeClr w14:val="tx1"/>
            </w14:solidFill>
          </w14:textFill>
        </w:rPr>
        <w:t>51</w:t>
      </w:r>
      <w:r>
        <w:rPr>
          <w:rFonts w:hint="eastAsia" w:ascii="宋体" w:hAnsi="宋体"/>
          <w:color w:val="000000" w:themeColor="text1"/>
          <w:sz w:val="21"/>
          <w:szCs w:val="21"/>
          <w:highlight w:val="none"/>
          <w14:textFill>
            <w14:solidFill>
              <w14:schemeClr w14:val="tx1"/>
            </w14:solidFill>
          </w14:textFill>
        </w:rPr>
        <w:fldChar w:fldCharType="end"/>
      </w:r>
      <w:r>
        <w:rPr>
          <w:rFonts w:hint="eastAsia" w:ascii="宋体" w:hAnsi="宋体"/>
          <w:color w:val="000000" w:themeColor="text1"/>
          <w:sz w:val="21"/>
          <w:szCs w:val="21"/>
          <w:highlight w:val="none"/>
          <w14:textFill>
            <w14:solidFill>
              <w14:schemeClr w14:val="tx1"/>
            </w14:solidFill>
          </w14:textFill>
        </w:rPr>
        <w:fldChar w:fldCharType="end"/>
      </w:r>
    </w:p>
    <w:p w14:paraId="1CAE3B96">
      <w:pPr>
        <w:pStyle w:val="22"/>
        <w:tabs>
          <w:tab w:val="right" w:leader="dot" w:pos="9628"/>
          <w:tab w:val="clear" w:pos="8511"/>
        </w:tabs>
        <w:spacing w:after="0" w:line="240" w:lineRule="auto"/>
        <w:rPr>
          <w:rFonts w:hint="eastAsia" w:ascii="宋体" w:hAnsi="宋体"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"_Toc175764484" </w:instrText>
      </w:r>
      <w:r>
        <w:rPr>
          <w:color w:val="000000" w:themeColor="text1"/>
          <w:highlight w:val="none"/>
          <w14:textFill>
            <w14:solidFill>
              <w14:schemeClr w14:val="tx1"/>
            </w14:solidFill>
          </w14:textFill>
        </w:rPr>
        <w:fldChar w:fldCharType="separate"/>
      </w:r>
      <w:r>
        <w:rPr>
          <w:rStyle w:val="37"/>
          <w:rFonts w:hint="eastAsia" w:ascii="宋体" w:hAnsi="宋体" w:cs="宋体"/>
          <w:color w:val="000000" w:themeColor="text1"/>
          <w:sz w:val="21"/>
          <w:szCs w:val="21"/>
          <w:highlight w:val="none"/>
          <w:lang w:eastAsia="zh-CN"/>
          <w14:textFill>
            <w14:solidFill>
              <w14:schemeClr w14:val="tx1"/>
            </w14:solidFill>
          </w14:textFill>
        </w:rPr>
        <w:t>附件14.农民工当期工资支付完毕声明书</w:t>
      </w:r>
      <w:r>
        <w:rPr>
          <w:rFonts w:hint="eastAsia" w:ascii="宋体" w:hAnsi="宋体"/>
          <w:color w:val="000000" w:themeColor="text1"/>
          <w:sz w:val="21"/>
          <w:szCs w:val="21"/>
          <w:highlight w:val="none"/>
          <w14:textFill>
            <w14:solidFill>
              <w14:schemeClr w14:val="tx1"/>
            </w14:solidFill>
          </w14:textFill>
        </w:rPr>
        <w:tab/>
      </w:r>
      <w:r>
        <w:rPr>
          <w:rFonts w:hint="eastAsia" w:ascii="宋体" w:hAnsi="宋体"/>
          <w:color w:val="000000" w:themeColor="text1"/>
          <w:sz w:val="21"/>
          <w:szCs w:val="21"/>
          <w:highlight w:val="none"/>
          <w14:textFill>
            <w14:solidFill>
              <w14:schemeClr w14:val="tx1"/>
            </w14:solidFill>
          </w14:textFill>
        </w:rPr>
        <w:fldChar w:fldCharType="begin"/>
      </w:r>
      <w:r>
        <w:rPr>
          <w:rFonts w:hint="eastAsia" w:ascii="宋体" w:hAnsi="宋体"/>
          <w:color w:val="000000" w:themeColor="text1"/>
          <w:sz w:val="21"/>
          <w:szCs w:val="21"/>
          <w:highlight w:val="none"/>
          <w14:textFill>
            <w14:solidFill>
              <w14:schemeClr w14:val="tx1"/>
            </w14:solidFill>
          </w14:textFill>
        </w:rPr>
        <w:instrText xml:space="preserve"> </w:instrText>
      </w:r>
      <w:r>
        <w:rPr>
          <w:rFonts w:ascii="宋体" w:hAnsi="宋体"/>
          <w:color w:val="000000" w:themeColor="text1"/>
          <w:sz w:val="21"/>
          <w:szCs w:val="21"/>
          <w:highlight w:val="none"/>
          <w14:textFill>
            <w14:solidFill>
              <w14:schemeClr w14:val="tx1"/>
            </w14:solidFill>
          </w14:textFill>
        </w:rPr>
        <w:instrText xml:space="preserve">PAGEREF _Toc175764484 \h</w:instrText>
      </w:r>
      <w:r>
        <w:rPr>
          <w:rFonts w:hint="eastAsia" w:ascii="宋体" w:hAnsi="宋体"/>
          <w:color w:val="000000" w:themeColor="text1"/>
          <w:sz w:val="21"/>
          <w:szCs w:val="21"/>
          <w:highlight w:val="none"/>
          <w14:textFill>
            <w14:solidFill>
              <w14:schemeClr w14:val="tx1"/>
            </w14:solidFill>
          </w14:textFill>
        </w:rPr>
        <w:instrText xml:space="preserve"> </w:instrText>
      </w:r>
      <w:r>
        <w:rPr>
          <w:rFonts w:hint="eastAsia" w:ascii="宋体" w:hAnsi="宋体"/>
          <w:color w:val="000000" w:themeColor="text1"/>
          <w:sz w:val="21"/>
          <w:szCs w:val="21"/>
          <w:highlight w:val="none"/>
          <w14:textFill>
            <w14:solidFill>
              <w14:schemeClr w14:val="tx1"/>
            </w14:solidFill>
          </w14:textFill>
        </w:rPr>
        <w:fldChar w:fldCharType="separate"/>
      </w:r>
      <w:r>
        <w:rPr>
          <w:rFonts w:hint="eastAsia" w:ascii="宋体" w:hAnsi="宋体"/>
          <w:color w:val="000000" w:themeColor="text1"/>
          <w:sz w:val="21"/>
          <w:szCs w:val="21"/>
          <w:highlight w:val="none"/>
          <w14:textFill>
            <w14:solidFill>
              <w14:schemeClr w14:val="tx1"/>
            </w14:solidFill>
          </w14:textFill>
        </w:rPr>
        <w:t>51</w:t>
      </w:r>
      <w:r>
        <w:rPr>
          <w:rFonts w:hint="eastAsia" w:ascii="宋体" w:hAnsi="宋体"/>
          <w:color w:val="000000" w:themeColor="text1"/>
          <w:sz w:val="21"/>
          <w:szCs w:val="21"/>
          <w:highlight w:val="none"/>
          <w14:textFill>
            <w14:solidFill>
              <w14:schemeClr w14:val="tx1"/>
            </w14:solidFill>
          </w14:textFill>
        </w:rPr>
        <w:fldChar w:fldCharType="end"/>
      </w:r>
      <w:r>
        <w:rPr>
          <w:rFonts w:hint="eastAsia" w:ascii="宋体" w:hAnsi="宋体"/>
          <w:color w:val="000000" w:themeColor="text1"/>
          <w:sz w:val="21"/>
          <w:szCs w:val="21"/>
          <w:highlight w:val="none"/>
          <w14:textFill>
            <w14:solidFill>
              <w14:schemeClr w14:val="tx1"/>
            </w14:solidFill>
          </w14:textFill>
        </w:rPr>
        <w:fldChar w:fldCharType="end"/>
      </w:r>
    </w:p>
    <w:p w14:paraId="7F73BE89">
      <w:pPr>
        <w:pStyle w:val="22"/>
        <w:tabs>
          <w:tab w:val="right" w:leader="dot" w:pos="9628"/>
          <w:tab w:val="clear" w:pos="8511"/>
        </w:tabs>
        <w:spacing w:after="0" w:line="240" w:lineRule="auto"/>
        <w:rPr>
          <w:rFonts w:hint="eastAsia" w:ascii="宋体" w:hAnsi="宋体"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"_Toc175764485" </w:instrText>
      </w:r>
      <w:r>
        <w:rPr>
          <w:color w:val="000000" w:themeColor="text1"/>
          <w:highlight w:val="none"/>
          <w14:textFill>
            <w14:solidFill>
              <w14:schemeClr w14:val="tx1"/>
            </w14:solidFill>
          </w14:textFill>
        </w:rPr>
        <w:fldChar w:fldCharType="separate"/>
      </w:r>
      <w:r>
        <w:rPr>
          <w:rStyle w:val="37"/>
          <w:rFonts w:hint="eastAsia" w:ascii="宋体" w:hAnsi="宋体" w:cs="宋体"/>
          <w:color w:val="000000" w:themeColor="text1"/>
          <w:sz w:val="21"/>
          <w:szCs w:val="21"/>
          <w:highlight w:val="none"/>
          <w:lang w:eastAsia="zh-CN"/>
          <w14:textFill>
            <w14:solidFill>
              <w14:schemeClr w14:val="tx1"/>
            </w14:solidFill>
          </w14:textFill>
        </w:rPr>
        <w:t>附件15.违约金扣款通知单</w:t>
      </w:r>
      <w:r>
        <w:rPr>
          <w:rFonts w:hint="eastAsia" w:ascii="宋体" w:hAnsi="宋体"/>
          <w:color w:val="000000" w:themeColor="text1"/>
          <w:sz w:val="21"/>
          <w:szCs w:val="21"/>
          <w:highlight w:val="none"/>
          <w14:textFill>
            <w14:solidFill>
              <w14:schemeClr w14:val="tx1"/>
            </w14:solidFill>
          </w14:textFill>
        </w:rPr>
        <w:tab/>
      </w:r>
      <w:r>
        <w:rPr>
          <w:rFonts w:hint="eastAsia" w:ascii="宋体" w:hAnsi="宋体"/>
          <w:color w:val="000000" w:themeColor="text1"/>
          <w:sz w:val="21"/>
          <w:szCs w:val="21"/>
          <w:highlight w:val="none"/>
          <w14:textFill>
            <w14:solidFill>
              <w14:schemeClr w14:val="tx1"/>
            </w14:solidFill>
          </w14:textFill>
        </w:rPr>
        <w:fldChar w:fldCharType="begin"/>
      </w:r>
      <w:r>
        <w:rPr>
          <w:rFonts w:hint="eastAsia" w:ascii="宋体" w:hAnsi="宋体"/>
          <w:color w:val="000000" w:themeColor="text1"/>
          <w:sz w:val="21"/>
          <w:szCs w:val="21"/>
          <w:highlight w:val="none"/>
          <w14:textFill>
            <w14:solidFill>
              <w14:schemeClr w14:val="tx1"/>
            </w14:solidFill>
          </w14:textFill>
        </w:rPr>
        <w:instrText xml:space="preserve"> </w:instrText>
      </w:r>
      <w:r>
        <w:rPr>
          <w:rFonts w:ascii="宋体" w:hAnsi="宋体"/>
          <w:color w:val="000000" w:themeColor="text1"/>
          <w:sz w:val="21"/>
          <w:szCs w:val="21"/>
          <w:highlight w:val="none"/>
          <w14:textFill>
            <w14:solidFill>
              <w14:schemeClr w14:val="tx1"/>
            </w14:solidFill>
          </w14:textFill>
        </w:rPr>
        <w:instrText xml:space="preserve">PAGEREF _Toc175764485 \h</w:instrText>
      </w:r>
      <w:r>
        <w:rPr>
          <w:rFonts w:hint="eastAsia" w:ascii="宋体" w:hAnsi="宋体"/>
          <w:color w:val="000000" w:themeColor="text1"/>
          <w:sz w:val="21"/>
          <w:szCs w:val="21"/>
          <w:highlight w:val="none"/>
          <w14:textFill>
            <w14:solidFill>
              <w14:schemeClr w14:val="tx1"/>
            </w14:solidFill>
          </w14:textFill>
        </w:rPr>
        <w:instrText xml:space="preserve"> </w:instrText>
      </w:r>
      <w:r>
        <w:rPr>
          <w:rFonts w:hint="eastAsia" w:ascii="宋体" w:hAnsi="宋体"/>
          <w:color w:val="000000" w:themeColor="text1"/>
          <w:sz w:val="21"/>
          <w:szCs w:val="21"/>
          <w:highlight w:val="none"/>
          <w14:textFill>
            <w14:solidFill>
              <w14:schemeClr w14:val="tx1"/>
            </w14:solidFill>
          </w14:textFill>
        </w:rPr>
        <w:fldChar w:fldCharType="separate"/>
      </w:r>
      <w:r>
        <w:rPr>
          <w:rFonts w:hint="eastAsia" w:ascii="宋体" w:hAnsi="宋体"/>
          <w:color w:val="000000" w:themeColor="text1"/>
          <w:sz w:val="21"/>
          <w:szCs w:val="21"/>
          <w:highlight w:val="none"/>
          <w14:textFill>
            <w14:solidFill>
              <w14:schemeClr w14:val="tx1"/>
            </w14:solidFill>
          </w14:textFill>
        </w:rPr>
        <w:t>51</w:t>
      </w:r>
      <w:r>
        <w:rPr>
          <w:rFonts w:hint="eastAsia" w:ascii="宋体" w:hAnsi="宋体"/>
          <w:color w:val="000000" w:themeColor="text1"/>
          <w:sz w:val="21"/>
          <w:szCs w:val="21"/>
          <w:highlight w:val="none"/>
          <w14:textFill>
            <w14:solidFill>
              <w14:schemeClr w14:val="tx1"/>
            </w14:solidFill>
          </w14:textFill>
        </w:rPr>
        <w:fldChar w:fldCharType="end"/>
      </w:r>
      <w:r>
        <w:rPr>
          <w:rFonts w:hint="eastAsia" w:ascii="宋体" w:hAnsi="宋体"/>
          <w:color w:val="000000" w:themeColor="text1"/>
          <w:sz w:val="21"/>
          <w:szCs w:val="21"/>
          <w:highlight w:val="none"/>
          <w14:textFill>
            <w14:solidFill>
              <w14:schemeClr w14:val="tx1"/>
            </w14:solidFill>
          </w14:textFill>
        </w:rPr>
        <w:fldChar w:fldCharType="end"/>
      </w:r>
    </w:p>
    <w:p w14:paraId="1925E2C8">
      <w:pPr>
        <w:pStyle w:val="22"/>
        <w:tabs>
          <w:tab w:val="right" w:leader="dot" w:pos="9628"/>
          <w:tab w:val="clear" w:pos="8511"/>
        </w:tabs>
        <w:spacing w:after="0" w:line="240" w:lineRule="auto"/>
        <w:rPr>
          <w:rFonts w:hint="eastAsia" w:ascii="宋体" w:hAnsi="宋体" w:cs="Times New Roman"/>
          <w:color w:val="000000" w:themeColor="text1"/>
          <w:kern w:val="2"/>
          <w:sz w:val="21"/>
          <w:szCs w:val="21"/>
          <w:highlight w:val="none"/>
          <w:lang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"_Toc175764486" </w:instrText>
      </w:r>
      <w:r>
        <w:rPr>
          <w:color w:val="000000" w:themeColor="text1"/>
          <w:highlight w:val="none"/>
          <w14:textFill>
            <w14:solidFill>
              <w14:schemeClr w14:val="tx1"/>
            </w14:solidFill>
          </w14:textFill>
        </w:rPr>
        <w:fldChar w:fldCharType="separate"/>
      </w:r>
      <w:r>
        <w:rPr>
          <w:rStyle w:val="37"/>
          <w:rFonts w:hint="eastAsia" w:ascii="宋体" w:hAnsi="宋体" w:cs="宋体"/>
          <w:color w:val="000000" w:themeColor="text1"/>
          <w:sz w:val="21"/>
          <w:szCs w:val="21"/>
          <w:highlight w:val="none"/>
          <w:lang w:eastAsia="zh-CN"/>
          <w14:textFill>
            <w14:solidFill>
              <w14:schemeClr w14:val="tx1"/>
            </w14:solidFill>
          </w14:textFill>
        </w:rPr>
        <w:t>附件16.签证工作内容记录单</w:t>
      </w:r>
      <w:r>
        <w:rPr>
          <w:rFonts w:hint="eastAsia" w:ascii="宋体" w:hAnsi="宋体"/>
          <w:color w:val="000000" w:themeColor="text1"/>
          <w:sz w:val="21"/>
          <w:szCs w:val="21"/>
          <w:highlight w:val="none"/>
          <w14:textFill>
            <w14:solidFill>
              <w14:schemeClr w14:val="tx1"/>
            </w14:solidFill>
          </w14:textFill>
        </w:rPr>
        <w:tab/>
      </w:r>
      <w:r>
        <w:rPr>
          <w:rFonts w:hint="eastAsia" w:ascii="宋体" w:hAnsi="宋体"/>
          <w:color w:val="000000" w:themeColor="text1"/>
          <w:sz w:val="21"/>
          <w:szCs w:val="21"/>
          <w:highlight w:val="none"/>
          <w14:textFill>
            <w14:solidFill>
              <w14:schemeClr w14:val="tx1"/>
            </w14:solidFill>
          </w14:textFill>
        </w:rPr>
        <w:fldChar w:fldCharType="begin"/>
      </w:r>
      <w:r>
        <w:rPr>
          <w:rFonts w:hint="eastAsia" w:ascii="宋体" w:hAnsi="宋体"/>
          <w:color w:val="000000" w:themeColor="text1"/>
          <w:sz w:val="21"/>
          <w:szCs w:val="21"/>
          <w:highlight w:val="none"/>
          <w14:textFill>
            <w14:solidFill>
              <w14:schemeClr w14:val="tx1"/>
            </w14:solidFill>
          </w14:textFill>
        </w:rPr>
        <w:instrText xml:space="preserve"> </w:instrText>
      </w:r>
      <w:r>
        <w:rPr>
          <w:rFonts w:ascii="宋体" w:hAnsi="宋体"/>
          <w:color w:val="000000" w:themeColor="text1"/>
          <w:sz w:val="21"/>
          <w:szCs w:val="21"/>
          <w:highlight w:val="none"/>
          <w14:textFill>
            <w14:solidFill>
              <w14:schemeClr w14:val="tx1"/>
            </w14:solidFill>
          </w14:textFill>
        </w:rPr>
        <w:instrText xml:space="preserve">PAGEREF _Toc175764486 \h</w:instrText>
      </w:r>
      <w:r>
        <w:rPr>
          <w:rFonts w:hint="eastAsia" w:ascii="宋体" w:hAnsi="宋体"/>
          <w:color w:val="000000" w:themeColor="text1"/>
          <w:sz w:val="21"/>
          <w:szCs w:val="21"/>
          <w:highlight w:val="none"/>
          <w14:textFill>
            <w14:solidFill>
              <w14:schemeClr w14:val="tx1"/>
            </w14:solidFill>
          </w14:textFill>
        </w:rPr>
        <w:instrText xml:space="preserve"> </w:instrText>
      </w:r>
      <w:r>
        <w:rPr>
          <w:rFonts w:hint="eastAsia" w:ascii="宋体" w:hAnsi="宋体"/>
          <w:color w:val="000000" w:themeColor="text1"/>
          <w:sz w:val="21"/>
          <w:szCs w:val="21"/>
          <w:highlight w:val="none"/>
          <w14:textFill>
            <w14:solidFill>
              <w14:schemeClr w14:val="tx1"/>
            </w14:solidFill>
          </w14:textFill>
        </w:rPr>
        <w:fldChar w:fldCharType="separate"/>
      </w:r>
      <w:r>
        <w:rPr>
          <w:rFonts w:hint="eastAsia" w:ascii="宋体" w:hAnsi="宋体"/>
          <w:color w:val="000000" w:themeColor="text1"/>
          <w:sz w:val="21"/>
          <w:szCs w:val="21"/>
          <w:highlight w:val="none"/>
          <w14:textFill>
            <w14:solidFill>
              <w14:schemeClr w14:val="tx1"/>
            </w14:solidFill>
          </w14:textFill>
        </w:rPr>
        <w:t>52</w:t>
      </w:r>
      <w:r>
        <w:rPr>
          <w:rFonts w:hint="eastAsia" w:ascii="宋体" w:hAnsi="宋体"/>
          <w:color w:val="000000" w:themeColor="text1"/>
          <w:sz w:val="21"/>
          <w:szCs w:val="21"/>
          <w:highlight w:val="none"/>
          <w14:textFill>
            <w14:solidFill>
              <w14:schemeClr w14:val="tx1"/>
            </w14:solidFill>
          </w14:textFill>
        </w:rPr>
        <w:fldChar w:fldCharType="end"/>
      </w:r>
      <w:r>
        <w:rPr>
          <w:rFonts w:hint="eastAsia" w:ascii="宋体" w:hAnsi="宋体"/>
          <w:color w:val="000000" w:themeColor="text1"/>
          <w:sz w:val="21"/>
          <w:szCs w:val="21"/>
          <w:highlight w:val="none"/>
          <w14:textFill>
            <w14:solidFill>
              <w14:schemeClr w14:val="tx1"/>
            </w14:solidFill>
          </w14:textFill>
        </w:rPr>
        <w:fldChar w:fldCharType="end"/>
      </w:r>
    </w:p>
    <w:p w14:paraId="681FBC53">
      <w:pPr>
        <w:pStyle w:val="22"/>
        <w:tabs>
          <w:tab w:val="right" w:leader="dot" w:pos="9628"/>
          <w:tab w:val="clear" w:pos="8511"/>
        </w:tabs>
        <w:spacing w:after="0" w:line="240" w:lineRule="auto"/>
        <w:jc w:val="both"/>
        <w:rPr>
          <w:rFonts w:hint="eastAsia" w:ascii="宋体" w:hAnsi="宋体"/>
          <w:color w:val="000000" w:themeColor="text1"/>
          <w:sz w:val="21"/>
          <w:szCs w:val="21"/>
          <w:highlight w:val="none"/>
          <w14:textFill>
            <w14:solidFill>
              <w14:schemeClr w14:val="tx1"/>
            </w14:solidFill>
          </w14:textFill>
        </w:rPr>
      </w:pPr>
      <w:r>
        <w:rPr>
          <w:rFonts w:ascii="宋体" w:hAnsi="宋体"/>
          <w:color w:val="000000" w:themeColor="text1"/>
          <w:sz w:val="21"/>
          <w:szCs w:val="21"/>
          <w:highlight w:val="none"/>
          <w14:textFill>
            <w14:solidFill>
              <w14:schemeClr w14:val="tx1"/>
            </w14:solidFill>
          </w14:textFill>
        </w:rPr>
        <w:fldChar w:fldCharType="end"/>
      </w:r>
    </w:p>
    <w:p w14:paraId="10BF952A">
      <w:pPr>
        <w:kinsoku w:val="0"/>
        <w:spacing w:beforeAutospacing="1" w:after="100" w:afterAutospacing="1" w:line="360" w:lineRule="auto"/>
        <w:rPr>
          <w:rFonts w:hint="eastAsia" w:ascii="宋体" w:hAnsi="宋体"/>
          <w:b/>
          <w:color w:val="000000" w:themeColor="text1"/>
          <w:sz w:val="30"/>
          <w:szCs w:val="30"/>
          <w:highlight w:val="none"/>
          <w:lang w:eastAsia="zh-CN"/>
          <w14:textFill>
            <w14:solidFill>
              <w14:schemeClr w14:val="tx1"/>
            </w14:solidFill>
          </w14:textFill>
        </w:rPr>
        <w:sectPr>
          <w:headerReference r:id="rId11" w:type="default"/>
          <w:footerReference r:id="rId12" w:type="default"/>
          <w:pgSz w:w="11906" w:h="16838"/>
          <w:pgMar w:top="1134" w:right="1134" w:bottom="1134" w:left="1134" w:header="851" w:footer="850" w:gutter="0"/>
          <w:pgNumType w:start="1"/>
          <w:cols w:space="720" w:num="1"/>
          <w:docGrid w:type="lines" w:linePitch="312" w:charSpace="0"/>
        </w:sectPr>
      </w:pPr>
    </w:p>
    <w:p w14:paraId="48BFEA5E">
      <w:pPr>
        <w:numPr>
          <w:ilvl w:val="0"/>
          <w:numId w:val="3"/>
        </w:numPr>
        <w:kinsoku w:val="0"/>
        <w:spacing w:line="360" w:lineRule="auto"/>
        <w:ind w:left="158" w:leftChars="75"/>
        <w:jc w:val="center"/>
        <w:outlineLvl w:val="0"/>
        <w:rPr>
          <w:rFonts w:hint="eastAsia" w:ascii="宋体" w:hAnsi="宋体"/>
          <w:b/>
          <w:color w:val="000000" w:themeColor="text1"/>
          <w:sz w:val="32"/>
          <w:szCs w:val="32"/>
          <w:highlight w:val="none"/>
          <w:lang w:eastAsia="zh-CN"/>
          <w14:textFill>
            <w14:solidFill>
              <w14:schemeClr w14:val="tx1"/>
            </w14:solidFill>
          </w14:textFill>
        </w:rPr>
      </w:pPr>
      <w:bookmarkStart w:id="575" w:name="_Toc175764407"/>
      <w:r>
        <w:rPr>
          <w:rFonts w:hint="eastAsia" w:ascii="宋体" w:hAnsi="宋体"/>
          <w:b/>
          <w:color w:val="000000" w:themeColor="text1"/>
          <w:sz w:val="32"/>
          <w:szCs w:val="32"/>
          <w:highlight w:val="none"/>
          <w:lang w:eastAsia="zh-CN"/>
          <w14:textFill>
            <w14:solidFill>
              <w14:schemeClr w14:val="tx1"/>
            </w14:solidFill>
          </w14:textFill>
        </w:rPr>
        <w:t>合同协议书</w:t>
      </w:r>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p>
    <w:p w14:paraId="5B610B51">
      <w:pPr>
        <w:kinsoku w:val="0"/>
        <w:spacing w:after="0" w:line="360" w:lineRule="auto"/>
        <w:ind w:left="158" w:leftChars="75"/>
        <w:rPr>
          <w:rFonts w:hint="eastAsia" w:ascii="宋体" w:hAnsi="宋体" w:eastAsia="宋体" w:cs="宋体"/>
          <w:b/>
          <w:color w:val="000000" w:themeColor="text1"/>
          <w:sz w:val="21"/>
          <w:szCs w:val="21"/>
          <w:highlight w:val="none"/>
          <w:lang w:eastAsia="zh-CN"/>
          <w14:textFill>
            <w14:solidFill>
              <w14:schemeClr w14:val="tx1"/>
            </w14:solidFill>
          </w14:textFill>
        </w:rPr>
      </w:pPr>
      <w:r>
        <w:rPr>
          <w:rFonts w:hint="eastAsia" w:ascii="宋体" w:hAnsi="宋体" w:eastAsia="宋体" w:cs="宋体"/>
          <w:b/>
          <w:color w:val="000000" w:themeColor="text1"/>
          <w:sz w:val="21"/>
          <w:szCs w:val="21"/>
          <w:highlight w:val="none"/>
          <w:lang w:eastAsia="zh-CN"/>
          <w14:textFill>
            <w14:solidFill>
              <w14:schemeClr w14:val="tx1"/>
            </w14:solidFill>
          </w14:textFill>
        </w:rPr>
        <w:t>甲方（全称）：中建路桥集团</w:t>
      </w:r>
      <w:r>
        <w:rPr>
          <w:rFonts w:hint="eastAsia" w:ascii="宋体" w:hAnsi="宋体" w:cs="宋体"/>
          <w:b/>
          <w:color w:val="000000" w:themeColor="text1"/>
          <w:sz w:val="21"/>
          <w:szCs w:val="21"/>
          <w:highlight w:val="none"/>
          <w:lang w:val="en-US" w:eastAsia="zh-CN"/>
          <w14:textFill>
            <w14:solidFill>
              <w14:schemeClr w14:val="tx1"/>
            </w14:solidFill>
          </w14:textFill>
        </w:rPr>
        <w:t>第二工程</w:t>
      </w:r>
      <w:r>
        <w:rPr>
          <w:rFonts w:hint="eastAsia" w:ascii="宋体" w:hAnsi="宋体" w:eastAsia="宋体" w:cs="宋体"/>
          <w:b/>
          <w:color w:val="000000" w:themeColor="text1"/>
          <w:sz w:val="21"/>
          <w:szCs w:val="21"/>
          <w:highlight w:val="none"/>
          <w:lang w:eastAsia="zh-CN"/>
          <w14:textFill>
            <w14:solidFill>
              <w14:schemeClr w14:val="tx1"/>
            </w14:solidFill>
          </w14:textFill>
        </w:rPr>
        <w:t>有限公司</w:t>
      </w:r>
    </w:p>
    <w:p w14:paraId="502D6734">
      <w:pPr>
        <w:kinsoku w:val="0"/>
        <w:spacing w:after="0" w:line="360" w:lineRule="auto"/>
        <w:ind w:left="158" w:leftChars="75"/>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color w:val="000000" w:themeColor="text1"/>
          <w:sz w:val="21"/>
          <w:szCs w:val="21"/>
          <w:highlight w:val="none"/>
          <w:lang w:eastAsia="zh-CN"/>
          <w14:textFill>
            <w14:solidFill>
              <w14:schemeClr w14:val="tx1"/>
            </w14:solidFill>
          </w14:textFill>
        </w:rPr>
        <w:t>乙方（全称）：</w:t>
      </w:r>
      <w:r>
        <w:rPr>
          <w:rFonts w:hint="eastAsia" w:ascii="宋体" w:hAnsi="宋体" w:eastAsia="宋体" w:cs="宋体"/>
          <w:b/>
          <w:color w:val="000000" w:themeColor="text1"/>
          <w:sz w:val="21"/>
          <w:szCs w:val="21"/>
          <w:highlight w:val="none"/>
          <w:u w:val="single"/>
          <w:lang w:eastAsia="zh-CN"/>
          <w14:textFill>
            <w14:solidFill>
              <w14:schemeClr w14:val="tx1"/>
            </w14:solidFill>
          </w14:textFill>
        </w:rPr>
        <w:t xml:space="preserve">                     </w:t>
      </w:r>
    </w:p>
    <w:p w14:paraId="44172D11">
      <w:pPr>
        <w:kinsoku w:val="0"/>
        <w:spacing w:after="0" w:line="360" w:lineRule="auto"/>
        <w:ind w:left="158" w:leftChars="75" w:firstLine="420" w:firstLineChars="200"/>
        <w:jc w:val="both"/>
        <w:rPr>
          <w:rFonts w:hint="eastAsia" w:ascii="宋体" w:hAnsi="宋体" w:eastAsia="宋体" w:cs="宋体"/>
          <w:color w:val="000000" w:themeColor="text1"/>
          <w:sz w:val="21"/>
          <w:szCs w:val="21"/>
          <w:highlight w:val="none"/>
          <w:u w:val="single"/>
          <w:lang w:eastAsia="zh-CN"/>
          <w14:textFill>
            <w14:solidFill>
              <w14:schemeClr w14:val="tx1"/>
            </w14:solidFill>
          </w14:textFill>
        </w:rPr>
      </w:pPr>
      <w:bookmarkStart w:id="576" w:name="A1"/>
      <w:bookmarkEnd w:id="576"/>
      <w:r>
        <w:rPr>
          <w:rFonts w:hint="eastAsia" w:ascii="宋体" w:hAnsi="宋体" w:eastAsia="宋体" w:cs="宋体"/>
          <w:color w:val="000000" w:themeColor="text1"/>
          <w:sz w:val="21"/>
          <w:szCs w:val="21"/>
          <w:highlight w:val="none"/>
          <w:lang w:eastAsia="zh-CN"/>
          <w14:textFill>
            <w14:solidFill>
              <w14:schemeClr w14:val="tx1"/>
            </w14:solidFill>
          </w14:textFill>
        </w:rPr>
        <w:t>根据《中华人民共和国民法典》、《中华人民共和国建筑法》、《中华人民共和国采购投标法》及有关法律规定，遵循平等、自愿、公平、诚信、互利的原则，经过友好协商就</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海兴高速项目海兴盐场特大桥便道维修、挡捻土工布施工劳务分包</w:t>
      </w:r>
      <w:r>
        <w:rPr>
          <w:rFonts w:hint="eastAsia" w:ascii="宋体" w:hAnsi="宋体" w:eastAsia="宋体" w:cs="宋体"/>
          <w:color w:val="000000" w:themeColor="text1"/>
          <w:sz w:val="21"/>
          <w:szCs w:val="21"/>
          <w:highlight w:val="none"/>
          <w:lang w:eastAsia="zh-CN"/>
          <w14:textFill>
            <w14:solidFill>
              <w14:schemeClr w14:val="tx1"/>
            </w14:solidFill>
          </w14:textFill>
        </w:rPr>
        <w:t>施工及有关事项协商一致，双方达成如下协议：</w:t>
      </w:r>
    </w:p>
    <w:p w14:paraId="49980B10">
      <w:pPr>
        <w:widowControl w:val="0"/>
        <w:numPr>
          <w:ilvl w:val="0"/>
          <w:numId w:val="4"/>
        </w:numPr>
        <w:tabs>
          <w:tab w:val="left" w:pos="900"/>
        </w:tabs>
        <w:kinsoku w:val="0"/>
        <w:spacing w:after="0" w:line="360" w:lineRule="auto"/>
        <w:ind w:left="158" w:leftChars="75"/>
        <w:jc w:val="both"/>
        <w:outlineLvl w:val="1"/>
        <w:rPr>
          <w:rFonts w:hint="eastAsia" w:ascii="宋体" w:hAnsi="宋体" w:eastAsia="宋体" w:cs="宋体"/>
          <w:b/>
          <w:color w:val="000000" w:themeColor="text1"/>
          <w:sz w:val="21"/>
          <w:szCs w:val="21"/>
          <w:highlight w:val="none"/>
          <w14:textFill>
            <w14:solidFill>
              <w14:schemeClr w14:val="tx1"/>
            </w14:solidFill>
          </w14:textFill>
        </w:rPr>
      </w:pPr>
      <w:bookmarkStart w:id="577" w:name="_Toc32504"/>
      <w:bookmarkStart w:id="578" w:name="_Toc17748"/>
      <w:bookmarkStart w:id="579" w:name="_Toc3651"/>
      <w:bookmarkStart w:id="580" w:name="_Toc2334"/>
      <w:bookmarkStart w:id="581" w:name="_Toc175764408"/>
      <w:bookmarkStart w:id="582" w:name="_Toc21439"/>
      <w:bookmarkStart w:id="583" w:name="_Toc2199"/>
      <w:bookmarkStart w:id="584" w:name="_Toc30819"/>
      <w:bookmarkStart w:id="585" w:name="_Toc28202"/>
      <w:bookmarkStart w:id="586" w:name="_Toc23003"/>
      <w:bookmarkStart w:id="587" w:name="_Toc351203481"/>
      <w:bookmarkStart w:id="588" w:name="_Toc13150"/>
      <w:bookmarkStart w:id="589" w:name="_Toc4246"/>
      <w:bookmarkStart w:id="590" w:name="_Toc1550"/>
      <w:bookmarkStart w:id="591" w:name="_Toc32083"/>
      <w:bookmarkStart w:id="592" w:name="_Toc101963470"/>
      <w:bookmarkStart w:id="593" w:name="_Toc21610"/>
      <w:bookmarkStart w:id="594" w:name="_Toc8611"/>
      <w:bookmarkStart w:id="595" w:name="_Toc101357394"/>
      <w:bookmarkStart w:id="596" w:name="_Toc8865"/>
      <w:bookmarkStart w:id="597" w:name="_Toc483"/>
      <w:bookmarkStart w:id="598" w:name="_Toc22494"/>
      <w:r>
        <w:rPr>
          <w:rFonts w:hint="eastAsia" w:ascii="宋体" w:hAnsi="宋体" w:eastAsia="宋体" w:cs="宋体"/>
          <w:b/>
          <w:color w:val="000000" w:themeColor="text1"/>
          <w:sz w:val="21"/>
          <w:szCs w:val="21"/>
          <w:highlight w:val="none"/>
          <w:lang w:eastAsia="zh-CN"/>
          <w14:textFill>
            <w14:solidFill>
              <w14:schemeClr w14:val="tx1"/>
            </w14:solidFill>
          </w14:textFill>
        </w:rPr>
        <w:t>分包</w:t>
      </w:r>
      <w:r>
        <w:rPr>
          <w:rFonts w:hint="eastAsia" w:ascii="宋体" w:hAnsi="宋体" w:eastAsia="宋体" w:cs="宋体"/>
          <w:b/>
          <w:color w:val="000000" w:themeColor="text1"/>
          <w:sz w:val="21"/>
          <w:szCs w:val="21"/>
          <w:highlight w:val="none"/>
          <w14:textFill>
            <w14:solidFill>
              <w14:schemeClr w14:val="tx1"/>
            </w14:solidFill>
          </w14:textFill>
        </w:rPr>
        <w:t>工程概况</w:t>
      </w:r>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p>
    <w:p w14:paraId="03627614">
      <w:pPr>
        <w:numPr>
          <w:ilvl w:val="1"/>
          <w:numId w:val="4"/>
        </w:numPr>
        <w:kinsoku w:val="0"/>
        <w:spacing w:after="0" w:line="360" w:lineRule="auto"/>
        <w:ind w:left="315" w:leftChars="150"/>
        <w:rPr>
          <w:rFonts w:hint="eastAsia" w:ascii="宋体" w:hAnsi="宋体" w:eastAsia="宋体" w:cs="宋体"/>
          <w:color w:val="000000" w:themeColor="text1"/>
          <w:sz w:val="21"/>
          <w:szCs w:val="21"/>
          <w:highlight w:val="none"/>
          <w:lang w:eastAsia="zh-CN"/>
          <w14:textFill>
            <w14:solidFill>
              <w14:schemeClr w14:val="tx1"/>
            </w14:solidFill>
          </w14:textFill>
        </w:rPr>
      </w:pPr>
      <w:bookmarkStart w:id="599" w:name="_Toc101357395"/>
      <w:r>
        <w:rPr>
          <w:rFonts w:hint="eastAsia" w:ascii="宋体" w:hAnsi="宋体" w:eastAsia="宋体" w:cs="宋体"/>
          <w:color w:val="000000" w:themeColor="text1"/>
          <w:sz w:val="21"/>
          <w:szCs w:val="21"/>
          <w:highlight w:val="none"/>
          <w:lang w:eastAsia="zh-CN"/>
          <w14:textFill>
            <w14:solidFill>
              <w14:schemeClr w14:val="tx1"/>
            </w14:solidFill>
          </w14:textFill>
        </w:rPr>
        <w:t>工程名称：</w:t>
      </w:r>
      <w:bookmarkEnd w:id="599"/>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w:t>
      </w:r>
      <w:r>
        <w:rPr>
          <w:rFonts w:hint="eastAsia" w:ascii="宋体" w:hAnsi="宋体" w:cs="宋体"/>
          <w:color w:val="000000" w:themeColor="text1"/>
          <w:sz w:val="21"/>
          <w:szCs w:val="21"/>
          <w:highlight w:val="none"/>
          <w:u w:val="single"/>
          <w:lang w:val="en-US" w:eastAsia="zh-CN"/>
          <w14:textFill>
            <w14:solidFill>
              <w14:schemeClr w14:val="tx1"/>
            </w14:solidFill>
          </w14:textFill>
        </w:rPr>
        <w:t>海兴高速项目</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w:t>
      </w:r>
    </w:p>
    <w:p w14:paraId="0BEEABFE">
      <w:pPr>
        <w:numPr>
          <w:ilvl w:val="1"/>
          <w:numId w:val="4"/>
        </w:numPr>
        <w:kinsoku w:val="0"/>
        <w:spacing w:after="0" w:line="360" w:lineRule="auto"/>
        <w:ind w:left="315" w:leftChars="150"/>
        <w:rPr>
          <w:rFonts w:hint="eastAsia" w:ascii="宋体" w:hAnsi="宋体" w:eastAsia="宋体" w:cs="宋体"/>
          <w:color w:val="000000" w:themeColor="text1"/>
          <w:sz w:val="21"/>
          <w:szCs w:val="21"/>
          <w:highlight w:val="none"/>
          <w:lang w:eastAsia="zh-CN"/>
          <w14:textFill>
            <w14:solidFill>
              <w14:schemeClr w14:val="tx1"/>
            </w14:solidFill>
          </w14:textFill>
        </w:rPr>
      </w:pPr>
      <w:bookmarkStart w:id="600" w:name="_Toc101357396"/>
      <w:r>
        <w:rPr>
          <w:rFonts w:hint="eastAsia" w:ascii="宋体" w:hAnsi="宋体" w:eastAsia="宋体" w:cs="宋体"/>
          <w:color w:val="000000" w:themeColor="text1"/>
          <w:sz w:val="21"/>
          <w:szCs w:val="21"/>
          <w:highlight w:val="none"/>
          <w:lang w:eastAsia="zh-CN"/>
          <w14:textFill>
            <w14:solidFill>
              <w14:schemeClr w14:val="tx1"/>
            </w14:solidFill>
          </w14:textFill>
        </w:rPr>
        <w:t>工程地点：</w:t>
      </w:r>
      <w:bookmarkEnd w:id="600"/>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沧州市海兴县</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 xml:space="preserve"> </w:t>
      </w:r>
    </w:p>
    <w:p w14:paraId="22BFACCC">
      <w:pPr>
        <w:numPr>
          <w:ilvl w:val="1"/>
          <w:numId w:val="4"/>
        </w:numPr>
        <w:kinsoku w:val="0"/>
        <w:spacing w:after="0" w:line="360" w:lineRule="auto"/>
        <w:ind w:left="315" w:leftChars="150"/>
        <w:rPr>
          <w:rFonts w:hint="eastAsia" w:ascii="宋体" w:hAnsi="宋体" w:eastAsia="宋体" w:cs="宋体"/>
          <w:color w:val="000000" w:themeColor="text1"/>
          <w:sz w:val="21"/>
          <w:szCs w:val="21"/>
          <w:highlight w:val="none"/>
          <w:lang w:eastAsia="zh-CN"/>
          <w14:textFill>
            <w14:solidFill>
              <w14:schemeClr w14:val="tx1"/>
            </w14:solidFill>
          </w14:textFill>
        </w:rPr>
      </w:pPr>
      <w:bookmarkStart w:id="601" w:name="_Toc101357397"/>
      <w:r>
        <w:rPr>
          <w:rFonts w:hint="eastAsia" w:ascii="宋体" w:hAnsi="宋体" w:eastAsia="宋体" w:cs="宋体"/>
          <w:color w:val="000000" w:themeColor="text1"/>
          <w:sz w:val="21"/>
          <w:szCs w:val="21"/>
          <w:highlight w:val="none"/>
          <w:lang w:eastAsia="zh-CN"/>
          <w14:textFill>
            <w14:solidFill>
              <w14:schemeClr w14:val="tx1"/>
            </w14:solidFill>
          </w14:textFill>
        </w:rPr>
        <w:t>工程承包范围：</w:t>
      </w:r>
      <w:bookmarkEnd w:id="601"/>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海兴盐场特大桥范围内109-129#桥墩基础及下部结构等施工内容</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，具体内容详见施工图纸及施工方案。</w:t>
      </w:r>
    </w:p>
    <w:p w14:paraId="528EF349">
      <w:pPr>
        <w:kinsoku w:val="0"/>
        <w:spacing w:after="0" w:line="360" w:lineRule="auto"/>
        <w:ind w:left="315" w:leftChars="15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（1）</w:t>
      </w:r>
      <w:r>
        <w:rPr>
          <w:rFonts w:hint="eastAsia" w:ascii="宋体" w:hAnsi="宋体" w:eastAsia="宋体" w:cs="宋体"/>
          <w:color w:val="000000" w:themeColor="text1"/>
          <w:sz w:val="21"/>
          <w:szCs w:val="21"/>
          <w:highlight w:val="none"/>
          <w:lang w:eastAsia="zh-CN"/>
          <w14:textFill>
            <w14:solidFill>
              <w14:schemeClr w14:val="tx1"/>
            </w14:solidFill>
          </w14:textFill>
        </w:rPr>
        <w:t>建设单位或甲方要求新增或减少的工作内容。</w:t>
      </w:r>
    </w:p>
    <w:p w14:paraId="15F0FF0F">
      <w:pPr>
        <w:kinsoku w:val="0"/>
        <w:spacing w:after="0" w:line="360" w:lineRule="auto"/>
        <w:ind w:left="315" w:leftChars="15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（2）</w:t>
      </w:r>
      <w:r>
        <w:rPr>
          <w:rFonts w:hint="eastAsia" w:ascii="宋体" w:hAnsi="宋体" w:eastAsia="宋体" w:cs="宋体"/>
          <w:color w:val="000000" w:themeColor="text1"/>
          <w:sz w:val="21"/>
          <w:szCs w:val="21"/>
          <w:highlight w:val="none"/>
          <w:lang w:eastAsia="zh-CN"/>
          <w14:textFill>
            <w14:solidFill>
              <w14:schemeClr w14:val="tx1"/>
            </w14:solidFill>
          </w14:textFill>
        </w:rPr>
        <w:t>根据施工图、施工相关规范及施工技术方案所列的、隐含的、可以合理推断出的或按照惯例应由乙方完成的工作内容。</w:t>
      </w:r>
    </w:p>
    <w:p w14:paraId="519EA60D">
      <w:pPr>
        <w:kinsoku w:val="0"/>
        <w:spacing w:after="0" w:line="360" w:lineRule="auto"/>
        <w:ind w:left="315" w:leftChars="15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（3）</w:t>
      </w:r>
      <w:r>
        <w:rPr>
          <w:rFonts w:hint="eastAsia" w:ascii="宋体" w:hAnsi="宋体" w:eastAsia="宋体" w:cs="宋体"/>
          <w:color w:val="000000" w:themeColor="text1"/>
          <w:sz w:val="21"/>
          <w:szCs w:val="21"/>
          <w:highlight w:val="none"/>
          <w:lang w:eastAsia="zh-CN"/>
          <w14:textFill>
            <w14:solidFill>
              <w14:schemeClr w14:val="tx1"/>
            </w14:solidFill>
          </w14:textFill>
        </w:rPr>
        <w:t>建设单位或甲方指定的其它需乙方单位配合的工作内容。</w:t>
      </w:r>
    </w:p>
    <w:p w14:paraId="348B5F5C">
      <w:pPr>
        <w:numPr>
          <w:ilvl w:val="1"/>
          <w:numId w:val="4"/>
        </w:numPr>
        <w:kinsoku w:val="0"/>
        <w:spacing w:after="0" w:line="360" w:lineRule="auto"/>
        <w:ind w:left="315" w:leftChars="150"/>
        <w:rPr>
          <w:rFonts w:hint="eastAsia" w:ascii="宋体" w:hAnsi="宋体" w:eastAsia="宋体" w:cs="宋体"/>
          <w:color w:val="000000" w:themeColor="text1"/>
          <w:sz w:val="21"/>
          <w:szCs w:val="21"/>
          <w:highlight w:val="none"/>
          <w:u w:val="single"/>
          <w:lang w:eastAsia="zh-CN"/>
          <w14:textFill>
            <w14:solidFill>
              <w14:schemeClr w14:val="tx1"/>
            </w14:solidFill>
          </w14:textFill>
        </w:rPr>
      </w:pPr>
      <w:bookmarkStart w:id="602" w:name="_Toc101357398"/>
      <w:r>
        <w:rPr>
          <w:rFonts w:hint="eastAsia" w:ascii="宋体" w:hAnsi="宋体" w:eastAsia="宋体" w:cs="宋体"/>
          <w:color w:val="000000" w:themeColor="text1"/>
          <w:sz w:val="21"/>
          <w:szCs w:val="21"/>
          <w:highlight w:val="none"/>
          <w:lang w:eastAsia="zh-CN"/>
          <w14:textFill>
            <w14:solidFill>
              <w14:schemeClr w14:val="tx1"/>
            </w14:solidFill>
          </w14:textFill>
        </w:rPr>
        <w:t>工作界面划分：</w:t>
      </w:r>
      <w:bookmarkEnd w:id="602"/>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海兴盐场特大桥范围内109-129#桥墩基础及下部结构等施工内容，具体内容详见施工图纸及施工方案。</w:t>
      </w:r>
    </w:p>
    <w:p w14:paraId="448925D0">
      <w:pPr>
        <w:numPr>
          <w:ilvl w:val="1"/>
          <w:numId w:val="4"/>
        </w:numPr>
        <w:kinsoku w:val="0"/>
        <w:spacing w:after="0" w:line="360" w:lineRule="auto"/>
        <w:ind w:left="315" w:leftChars="150"/>
        <w:jc w:val="both"/>
        <w:rPr>
          <w:rFonts w:hint="eastAsia" w:ascii="宋体" w:hAnsi="宋体" w:eastAsia="宋体" w:cs="宋体"/>
          <w:color w:val="000000" w:themeColor="text1"/>
          <w:sz w:val="21"/>
          <w:szCs w:val="21"/>
          <w:highlight w:val="none"/>
          <w:u w:val="single"/>
          <w:lang w:eastAsia="zh-CN"/>
          <w14:textFill>
            <w14:solidFill>
              <w14:schemeClr w14:val="tx1"/>
            </w14:solidFill>
          </w14:textFill>
        </w:rPr>
      </w:pPr>
      <w:bookmarkStart w:id="603" w:name="_Toc101357399"/>
      <w:r>
        <w:rPr>
          <w:rFonts w:hint="eastAsia" w:ascii="宋体" w:hAnsi="宋体" w:eastAsia="宋体" w:cs="宋体"/>
          <w:color w:val="000000" w:themeColor="text1"/>
          <w:sz w:val="21"/>
          <w:szCs w:val="21"/>
          <w:highlight w:val="none"/>
          <w:lang w:eastAsia="zh-CN"/>
          <w14:textFill>
            <w14:solidFill>
              <w14:schemeClr w14:val="tx1"/>
            </w14:solidFill>
          </w14:textFill>
        </w:rPr>
        <w:t>工程承包方式：</w:t>
      </w:r>
      <w:r>
        <w:rPr>
          <w:rFonts w:hint="eastAsia" w:ascii="宋体" w:hAnsi="宋体" w:eastAsia="宋体" w:cs="宋体"/>
          <w:b/>
          <w:bCs/>
          <w:color w:val="000000" w:themeColor="text1"/>
          <w:sz w:val="21"/>
          <w:szCs w:val="21"/>
          <w:highlight w:val="none"/>
          <w:u w:val="single"/>
          <w:lang w:eastAsia="zh-CN"/>
          <w14:textFill>
            <w14:solidFill>
              <w14:schemeClr w14:val="tx1"/>
            </w14:solidFill>
          </w14:textFill>
        </w:rPr>
        <w:t>包劳务、包低值易耗的小型机具、包辅材、包工期、包质量、包安全、包生态环保、包绿色文明施工。</w:t>
      </w:r>
      <w:bookmarkEnd w:id="603"/>
    </w:p>
    <w:p w14:paraId="75695306">
      <w:pPr>
        <w:kinsoku w:val="0"/>
        <w:spacing w:after="0" w:line="360" w:lineRule="auto"/>
        <w:ind w:left="315" w:leftChars="150"/>
        <w:jc w:val="both"/>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1.6如乙方在工期、质量、安全生产、文明施工、环境保护、项目管理等任何一方面不能满足建设单位或甲方要求的，</w:t>
      </w:r>
      <w:r>
        <w:rPr>
          <w:rFonts w:hint="eastAsia" w:ascii="宋体" w:hAnsi="宋体" w:eastAsia="宋体" w:cs="宋体"/>
          <w:b/>
          <w:bCs/>
          <w:color w:val="000000" w:themeColor="text1"/>
          <w:sz w:val="21"/>
          <w:szCs w:val="21"/>
          <w:highlight w:val="none"/>
          <w:lang w:eastAsia="zh-CN"/>
          <w14:textFill>
            <w14:solidFill>
              <w14:schemeClr w14:val="tx1"/>
            </w14:solidFill>
          </w14:textFill>
        </w:rPr>
        <w:t>甲方均可调整乙方承包范围直至终止合同，乙方不得提出任何异议和赔偿要求。</w:t>
      </w:r>
    </w:p>
    <w:p w14:paraId="2EC02BCC">
      <w:pPr>
        <w:kinsoku w:val="0"/>
        <w:spacing w:after="0" w:line="360" w:lineRule="auto"/>
        <w:ind w:left="315" w:leftChars="15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1.7施工范围及数量为暂定，实际施工过程中甲方可以根据实际施工情况增加或减少乙方的施工内容，乙方必须按照甲方的指令进行施工，确保现场施工进度。</w:t>
      </w:r>
    </w:p>
    <w:p w14:paraId="6ABF91EF">
      <w:pPr>
        <w:widowControl w:val="0"/>
        <w:numPr>
          <w:ilvl w:val="0"/>
          <w:numId w:val="4"/>
        </w:numPr>
        <w:tabs>
          <w:tab w:val="left" w:pos="900"/>
        </w:tabs>
        <w:kinsoku w:val="0"/>
        <w:spacing w:after="0" w:line="360" w:lineRule="auto"/>
        <w:ind w:left="158" w:leftChars="75"/>
        <w:jc w:val="both"/>
        <w:outlineLvl w:val="1"/>
        <w:rPr>
          <w:rFonts w:hint="eastAsia" w:ascii="宋体" w:hAnsi="宋体" w:eastAsia="宋体" w:cs="宋体"/>
          <w:b/>
          <w:color w:val="000000" w:themeColor="text1"/>
          <w:sz w:val="21"/>
          <w:szCs w:val="21"/>
          <w:highlight w:val="none"/>
          <w14:textFill>
            <w14:solidFill>
              <w14:schemeClr w14:val="tx1"/>
            </w14:solidFill>
          </w14:textFill>
        </w:rPr>
      </w:pPr>
      <w:bookmarkStart w:id="604" w:name="_Toc101963471"/>
      <w:bookmarkStart w:id="605" w:name="_Toc17751"/>
      <w:bookmarkStart w:id="606" w:name="_Toc16056"/>
      <w:bookmarkStart w:id="607" w:name="_Toc6989"/>
      <w:bookmarkStart w:id="608" w:name="_Toc101357400"/>
      <w:bookmarkStart w:id="609" w:name="_Toc9023"/>
      <w:bookmarkStart w:id="610" w:name="_Toc7679"/>
      <w:bookmarkStart w:id="611" w:name="_Toc12274"/>
      <w:bookmarkStart w:id="612" w:name="_Toc351203482"/>
      <w:bookmarkStart w:id="613" w:name="_Toc4429"/>
      <w:bookmarkStart w:id="614" w:name="_Toc2814"/>
      <w:bookmarkStart w:id="615" w:name="_Toc32244"/>
      <w:bookmarkStart w:id="616" w:name="_Toc15598"/>
      <w:bookmarkStart w:id="617" w:name="_Toc19204"/>
      <w:bookmarkStart w:id="618" w:name="_Toc28749"/>
      <w:bookmarkStart w:id="619" w:name="_Toc15812"/>
      <w:bookmarkStart w:id="620" w:name="_Toc23847"/>
      <w:bookmarkStart w:id="621" w:name="_Toc21139"/>
      <w:bookmarkStart w:id="622" w:name="_Toc22403"/>
      <w:bookmarkStart w:id="623" w:name="_Toc30497"/>
      <w:bookmarkStart w:id="624" w:name="_Toc175764409"/>
      <w:bookmarkStart w:id="625" w:name="_Toc30729"/>
      <w:r>
        <w:rPr>
          <w:rFonts w:hint="eastAsia" w:ascii="宋体" w:hAnsi="宋体" w:eastAsia="宋体" w:cs="宋体"/>
          <w:b/>
          <w:color w:val="000000" w:themeColor="text1"/>
          <w:sz w:val="21"/>
          <w:szCs w:val="21"/>
          <w:highlight w:val="none"/>
          <w14:textFill>
            <w14:solidFill>
              <w14:schemeClr w14:val="tx1"/>
            </w14:solidFill>
          </w14:textFill>
        </w:rPr>
        <w:t>合同工期</w:t>
      </w:r>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p>
    <w:p w14:paraId="5E33C4D9">
      <w:pPr>
        <w:numPr>
          <w:ilvl w:val="1"/>
          <w:numId w:val="4"/>
        </w:numPr>
        <w:kinsoku w:val="0"/>
        <w:spacing w:after="0" w:line="360" w:lineRule="auto"/>
        <w:ind w:left="315" w:leftChars="15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 xml:space="preserve"> 计划开工日期：</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  </w:t>
      </w:r>
      <w:r>
        <w:rPr>
          <w:rFonts w:hint="eastAsia" w:ascii="宋体" w:hAnsi="宋体" w:eastAsia="宋体" w:cs="宋体"/>
          <w:color w:val="000000" w:themeColor="text1"/>
          <w:sz w:val="21"/>
          <w:szCs w:val="21"/>
          <w:highlight w:val="none"/>
          <w:lang w:eastAsia="zh-CN"/>
          <w14:textFill>
            <w14:solidFill>
              <w14:schemeClr w14:val="tx1"/>
            </w14:solidFill>
          </w14:textFill>
        </w:rPr>
        <w:t>年</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 </w:t>
      </w:r>
      <w:r>
        <w:rPr>
          <w:rFonts w:hint="eastAsia" w:ascii="宋体" w:hAnsi="宋体" w:eastAsia="宋体" w:cs="宋体"/>
          <w:color w:val="000000" w:themeColor="text1"/>
          <w:sz w:val="21"/>
          <w:szCs w:val="21"/>
          <w:highlight w:val="none"/>
          <w:lang w:eastAsia="zh-CN"/>
          <w14:textFill>
            <w14:solidFill>
              <w14:schemeClr w14:val="tx1"/>
            </w14:solidFill>
          </w14:textFill>
        </w:rPr>
        <w:t>月</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 </w:t>
      </w:r>
      <w:r>
        <w:rPr>
          <w:rFonts w:hint="eastAsia" w:ascii="宋体" w:hAnsi="宋体" w:eastAsia="宋体" w:cs="宋体"/>
          <w:color w:val="000000" w:themeColor="text1"/>
          <w:sz w:val="21"/>
          <w:szCs w:val="21"/>
          <w:highlight w:val="none"/>
          <w:lang w:eastAsia="zh-CN"/>
          <w14:textFill>
            <w14:solidFill>
              <w14:schemeClr w14:val="tx1"/>
            </w14:solidFill>
          </w14:textFill>
        </w:rPr>
        <w:t>日，计划竣工日期：</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  </w:t>
      </w:r>
      <w:r>
        <w:rPr>
          <w:rFonts w:hint="eastAsia" w:ascii="宋体" w:hAnsi="宋体" w:eastAsia="宋体" w:cs="宋体"/>
          <w:color w:val="000000" w:themeColor="text1"/>
          <w:sz w:val="21"/>
          <w:szCs w:val="21"/>
          <w:highlight w:val="none"/>
          <w:lang w:eastAsia="zh-CN"/>
          <w14:textFill>
            <w14:solidFill>
              <w14:schemeClr w14:val="tx1"/>
            </w14:solidFill>
          </w14:textFill>
        </w:rPr>
        <w:t>年</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 </w:t>
      </w:r>
      <w:r>
        <w:rPr>
          <w:rFonts w:hint="eastAsia" w:ascii="宋体" w:hAnsi="宋体" w:eastAsia="宋体" w:cs="宋体"/>
          <w:color w:val="000000" w:themeColor="text1"/>
          <w:sz w:val="21"/>
          <w:szCs w:val="21"/>
          <w:highlight w:val="none"/>
          <w:lang w:eastAsia="zh-CN"/>
          <w14:textFill>
            <w14:solidFill>
              <w14:schemeClr w14:val="tx1"/>
            </w14:solidFill>
          </w14:textFill>
        </w:rPr>
        <w:t>月</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 </w:t>
      </w:r>
      <w:r>
        <w:rPr>
          <w:rFonts w:hint="eastAsia" w:ascii="宋体" w:hAnsi="宋体" w:eastAsia="宋体" w:cs="宋体"/>
          <w:color w:val="000000" w:themeColor="text1"/>
          <w:sz w:val="21"/>
          <w:szCs w:val="21"/>
          <w:highlight w:val="none"/>
          <w:lang w:eastAsia="zh-CN"/>
          <w14:textFill>
            <w14:solidFill>
              <w14:schemeClr w14:val="tx1"/>
            </w14:solidFill>
          </w14:textFill>
        </w:rPr>
        <w:t>日，工期总日历天数：</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  </w:t>
      </w:r>
      <w:r>
        <w:rPr>
          <w:rFonts w:hint="eastAsia" w:ascii="宋体" w:hAnsi="宋体" w:eastAsia="宋体" w:cs="宋体"/>
          <w:color w:val="000000" w:themeColor="text1"/>
          <w:sz w:val="21"/>
          <w:szCs w:val="21"/>
          <w:highlight w:val="none"/>
          <w:lang w:eastAsia="zh-CN"/>
          <w14:textFill>
            <w14:solidFill>
              <w14:schemeClr w14:val="tx1"/>
            </w14:solidFill>
          </w14:textFill>
        </w:rPr>
        <w:t>天，工期总日历天数与根据前述计划日期计算的工期天数不一致的，以工期总日历天数为准。</w:t>
      </w:r>
    </w:p>
    <w:p w14:paraId="117A541A">
      <w:pPr>
        <w:numPr>
          <w:ilvl w:val="1"/>
          <w:numId w:val="4"/>
        </w:numPr>
        <w:kinsoku w:val="0"/>
        <w:spacing w:after="0" w:line="360" w:lineRule="auto"/>
        <w:ind w:left="315" w:leftChars="150"/>
        <w:jc w:val="both"/>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具体开工日期以甲方通知为准，除合同另有约定外，工期总日历天数不变，乙方必须根据现场实际情况及工作量做好施工组织安排。</w:t>
      </w:r>
    </w:p>
    <w:p w14:paraId="09CE6F09">
      <w:pPr>
        <w:widowControl w:val="0"/>
        <w:numPr>
          <w:ilvl w:val="0"/>
          <w:numId w:val="4"/>
        </w:numPr>
        <w:tabs>
          <w:tab w:val="left" w:pos="900"/>
        </w:tabs>
        <w:kinsoku w:val="0"/>
        <w:spacing w:after="0" w:line="360" w:lineRule="auto"/>
        <w:ind w:left="158" w:leftChars="75"/>
        <w:jc w:val="both"/>
        <w:outlineLvl w:val="1"/>
        <w:rPr>
          <w:rFonts w:hint="eastAsia" w:ascii="宋体" w:hAnsi="宋体" w:eastAsia="宋体" w:cs="宋体"/>
          <w:b/>
          <w:color w:val="000000" w:themeColor="text1"/>
          <w:sz w:val="21"/>
          <w:szCs w:val="21"/>
          <w:highlight w:val="none"/>
          <w14:textFill>
            <w14:solidFill>
              <w14:schemeClr w14:val="tx1"/>
            </w14:solidFill>
          </w14:textFill>
        </w:rPr>
      </w:pPr>
      <w:bookmarkStart w:id="626" w:name="_Toc27860"/>
      <w:bookmarkStart w:id="627" w:name="_Toc21496"/>
      <w:bookmarkStart w:id="628" w:name="_Toc23602"/>
      <w:bookmarkStart w:id="629" w:name="_Toc6170"/>
      <w:bookmarkStart w:id="630" w:name="_Toc2743"/>
      <w:bookmarkStart w:id="631" w:name="_Toc28108"/>
      <w:bookmarkStart w:id="632" w:name="_Toc29682"/>
      <w:bookmarkStart w:id="633" w:name="_Toc25651"/>
      <w:bookmarkStart w:id="634" w:name="_Toc30379"/>
      <w:bookmarkStart w:id="635" w:name="_Toc175764410"/>
      <w:bookmarkStart w:id="636" w:name="_Toc597"/>
      <w:bookmarkStart w:id="637" w:name="_Toc351203483"/>
      <w:bookmarkStart w:id="638" w:name="_Toc21182"/>
      <w:bookmarkStart w:id="639" w:name="_Toc101963472"/>
      <w:bookmarkStart w:id="640" w:name="_Toc25527"/>
      <w:bookmarkStart w:id="641" w:name="_Toc26290"/>
      <w:bookmarkStart w:id="642" w:name="_Toc29395"/>
      <w:bookmarkStart w:id="643" w:name="_Toc6608"/>
      <w:bookmarkStart w:id="644" w:name="_Toc19634"/>
      <w:bookmarkStart w:id="645" w:name="_Toc32101"/>
      <w:bookmarkStart w:id="646" w:name="_Toc30195"/>
      <w:bookmarkStart w:id="647" w:name="_Toc101357401"/>
      <w:r>
        <w:rPr>
          <w:rFonts w:hint="eastAsia" w:ascii="宋体" w:hAnsi="宋体" w:eastAsia="宋体" w:cs="宋体"/>
          <w:b/>
          <w:color w:val="000000" w:themeColor="text1"/>
          <w:sz w:val="21"/>
          <w:szCs w:val="21"/>
          <w:highlight w:val="none"/>
          <w14:textFill>
            <w14:solidFill>
              <w14:schemeClr w14:val="tx1"/>
            </w14:solidFill>
          </w14:textFill>
        </w:rPr>
        <w:t>质量标准</w:t>
      </w:r>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p>
    <w:p w14:paraId="54AC13A5">
      <w:pPr>
        <w:kinsoku w:val="0"/>
        <w:spacing w:after="0" w:line="360" w:lineRule="auto"/>
        <w:ind w:left="105" w:leftChars="50" w:firstLine="210" w:firstLineChars="100"/>
        <w:rPr>
          <w:rFonts w:hint="eastAsia" w:ascii="宋体" w:hAnsi="宋体" w:eastAsia="宋体" w:cs="宋体"/>
          <w:color w:val="000000" w:themeColor="text1"/>
          <w:sz w:val="21"/>
          <w:szCs w:val="21"/>
          <w:highlight w:val="none"/>
          <w:u w:val="singl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分包工程质量标准：</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合格</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56A1D545">
      <w:pPr>
        <w:kinsoku w:val="0"/>
        <w:spacing w:after="0" w:line="360" w:lineRule="auto"/>
        <w:ind w:left="105" w:leftChars="50" w:firstLine="210" w:firstLineChars="1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本工程创优标准：</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无</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7FE24BED">
      <w:pPr>
        <w:widowControl w:val="0"/>
        <w:numPr>
          <w:ilvl w:val="0"/>
          <w:numId w:val="4"/>
        </w:numPr>
        <w:tabs>
          <w:tab w:val="left" w:pos="900"/>
        </w:tabs>
        <w:kinsoku w:val="0"/>
        <w:spacing w:after="0" w:line="360" w:lineRule="auto"/>
        <w:ind w:left="158" w:leftChars="75"/>
        <w:jc w:val="both"/>
        <w:outlineLvl w:val="1"/>
        <w:rPr>
          <w:rFonts w:hint="eastAsia" w:ascii="宋体" w:hAnsi="宋体" w:eastAsia="宋体" w:cs="宋体"/>
          <w:b/>
          <w:color w:val="000000" w:themeColor="text1"/>
          <w:sz w:val="21"/>
          <w:szCs w:val="21"/>
          <w:highlight w:val="none"/>
          <w14:textFill>
            <w14:solidFill>
              <w14:schemeClr w14:val="tx1"/>
            </w14:solidFill>
          </w14:textFill>
        </w:rPr>
      </w:pPr>
      <w:bookmarkStart w:id="648" w:name="_Toc101963473"/>
      <w:bookmarkStart w:id="649" w:name="_Toc175764411"/>
      <w:r>
        <w:rPr>
          <w:rFonts w:hint="eastAsia" w:ascii="宋体" w:hAnsi="宋体" w:eastAsia="宋体" w:cs="宋体"/>
          <w:b/>
          <w:color w:val="000000" w:themeColor="text1"/>
          <w:sz w:val="21"/>
          <w:szCs w:val="21"/>
          <w:highlight w:val="none"/>
          <w:lang w:eastAsia="zh-CN"/>
          <w14:textFill>
            <w14:solidFill>
              <w14:schemeClr w14:val="tx1"/>
            </w14:solidFill>
          </w14:textFill>
        </w:rPr>
        <w:t>安全文明创优标准</w:t>
      </w:r>
      <w:bookmarkEnd w:id="648"/>
      <w:bookmarkEnd w:id="649"/>
    </w:p>
    <w:p w14:paraId="2A074C8F">
      <w:pPr>
        <w:kinsoku w:val="0"/>
        <w:spacing w:after="0" w:line="360" w:lineRule="auto"/>
        <w:ind w:left="105" w:leftChars="50" w:firstLine="210" w:firstLineChars="1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本分包工程安全文明创优标准：</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不发生重大安全生产责任事故 </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375F2C54">
      <w:pPr>
        <w:widowControl w:val="0"/>
        <w:numPr>
          <w:ilvl w:val="0"/>
          <w:numId w:val="4"/>
        </w:numPr>
        <w:tabs>
          <w:tab w:val="left" w:pos="900"/>
        </w:tabs>
        <w:kinsoku w:val="0"/>
        <w:spacing w:after="0" w:line="360" w:lineRule="auto"/>
        <w:ind w:left="158" w:leftChars="75"/>
        <w:jc w:val="both"/>
        <w:outlineLvl w:val="1"/>
        <w:rPr>
          <w:rFonts w:hint="eastAsia" w:ascii="宋体" w:hAnsi="宋体" w:eastAsia="宋体" w:cs="宋体"/>
          <w:b/>
          <w:color w:val="000000" w:themeColor="text1"/>
          <w:sz w:val="21"/>
          <w:szCs w:val="21"/>
          <w:highlight w:val="none"/>
          <w:lang w:eastAsia="zh-CN"/>
          <w14:textFill>
            <w14:solidFill>
              <w14:schemeClr w14:val="tx1"/>
            </w14:solidFill>
          </w14:textFill>
        </w:rPr>
      </w:pPr>
      <w:bookmarkStart w:id="650" w:name="_Toc17121"/>
      <w:bookmarkStart w:id="651" w:name="_Toc101357402"/>
      <w:bookmarkStart w:id="652" w:name="_Toc28916"/>
      <w:bookmarkStart w:id="653" w:name="_Toc9320"/>
      <w:bookmarkStart w:id="654" w:name="_Toc175764412"/>
      <w:bookmarkStart w:id="655" w:name="_Toc27322"/>
      <w:bookmarkStart w:id="656" w:name="_Toc13344"/>
      <w:bookmarkStart w:id="657" w:name="_Toc16953"/>
      <w:bookmarkStart w:id="658" w:name="_Toc351203484"/>
      <w:bookmarkStart w:id="659" w:name="_Toc28621"/>
      <w:bookmarkStart w:id="660" w:name="_Toc10293"/>
      <w:bookmarkStart w:id="661" w:name="_Toc30832"/>
      <w:bookmarkStart w:id="662" w:name="_Toc26631"/>
      <w:bookmarkStart w:id="663" w:name="_Toc16273"/>
      <w:bookmarkStart w:id="664" w:name="_Toc3"/>
      <w:bookmarkStart w:id="665" w:name="_Toc101963474"/>
      <w:bookmarkStart w:id="666" w:name="_Toc31427"/>
      <w:bookmarkStart w:id="667" w:name="_Toc27005"/>
      <w:bookmarkStart w:id="668" w:name="_Toc26069"/>
      <w:bookmarkStart w:id="669" w:name="_Toc11484"/>
      <w:bookmarkStart w:id="670" w:name="_Toc20783"/>
      <w:bookmarkStart w:id="671" w:name="_Toc18203"/>
      <w:r>
        <w:rPr>
          <w:rFonts w:hint="eastAsia" w:ascii="宋体" w:hAnsi="宋体" w:eastAsia="宋体" w:cs="宋体"/>
          <w:b/>
          <w:color w:val="000000" w:themeColor="text1"/>
          <w:sz w:val="21"/>
          <w:szCs w:val="21"/>
          <w:highlight w:val="none"/>
          <w:lang w:eastAsia="zh-CN"/>
          <w14:textFill>
            <w14:solidFill>
              <w14:schemeClr w14:val="tx1"/>
            </w14:solidFill>
          </w14:textFill>
        </w:rPr>
        <w:t>签约合同价与合同价格形式</w:t>
      </w:r>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r>
        <w:rPr>
          <w:rFonts w:hint="eastAsia" w:ascii="宋体" w:hAnsi="宋体" w:eastAsia="宋体" w:cs="宋体"/>
          <w:b/>
          <w:color w:val="000000" w:themeColor="text1"/>
          <w:sz w:val="21"/>
          <w:szCs w:val="21"/>
          <w:highlight w:val="none"/>
          <w:lang w:eastAsia="zh-CN"/>
          <w14:textFill>
            <w14:solidFill>
              <w14:schemeClr w14:val="tx1"/>
            </w14:solidFill>
          </w14:textFill>
        </w:rPr>
        <w:tab/>
      </w:r>
    </w:p>
    <w:p w14:paraId="368F6143">
      <w:pPr>
        <w:numPr>
          <w:ilvl w:val="1"/>
          <w:numId w:val="4"/>
        </w:numPr>
        <w:kinsoku w:val="0"/>
        <w:spacing w:after="0" w:line="360" w:lineRule="auto"/>
        <w:ind w:left="315" w:leftChars="150"/>
        <w:rPr>
          <w:rFonts w:hint="eastAsia" w:ascii="宋体" w:hAnsi="宋体" w:eastAsia="宋体" w:cs="宋体"/>
          <w:color w:val="000000" w:themeColor="text1"/>
          <w:sz w:val="21"/>
          <w:szCs w:val="21"/>
          <w:highlight w:val="none"/>
          <w:lang w:eastAsia="zh-CN"/>
          <w14:textFill>
            <w14:solidFill>
              <w14:schemeClr w14:val="tx1"/>
            </w14:solidFill>
          </w14:textFill>
        </w:rPr>
      </w:pPr>
      <w:bookmarkStart w:id="672" w:name="_Toc101357404"/>
      <w:r>
        <w:rPr>
          <w:rFonts w:hint="eastAsia" w:ascii="宋体" w:hAnsi="宋体" w:eastAsia="宋体" w:cs="宋体"/>
          <w:color w:val="000000" w:themeColor="text1"/>
          <w:sz w:val="21"/>
          <w:szCs w:val="21"/>
          <w:highlight w:val="none"/>
          <w:lang w:eastAsia="zh-CN"/>
          <w14:textFill>
            <w14:solidFill>
              <w14:schemeClr w14:val="tx1"/>
            </w14:solidFill>
          </w14:textFill>
        </w:rPr>
        <w:t>签约合同价暂定为：</w:t>
      </w:r>
      <w:bookmarkEnd w:id="672"/>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p>
    <w:p w14:paraId="2EA0AAE2">
      <w:pPr>
        <w:widowControl w:val="0"/>
        <w:kinsoku w:val="0"/>
        <w:spacing w:after="0" w:line="360" w:lineRule="auto"/>
        <w:ind w:left="315" w:leftChars="150" w:firstLine="210" w:firstLineChars="1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 xml:space="preserve">不含增值税造价：¥ </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  </w:t>
      </w:r>
      <w:r>
        <w:rPr>
          <w:rFonts w:hint="eastAsia" w:ascii="宋体" w:hAnsi="宋体" w:eastAsia="宋体" w:cs="宋体"/>
          <w:color w:val="000000" w:themeColor="text1"/>
          <w:sz w:val="21"/>
          <w:szCs w:val="21"/>
          <w:highlight w:val="none"/>
          <w:lang w:eastAsia="zh-CN"/>
          <w14:textFill>
            <w14:solidFill>
              <w14:schemeClr w14:val="tx1"/>
            </w14:solidFill>
          </w14:textFill>
        </w:rPr>
        <w:t>元（人民币大写：</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  </w:t>
      </w:r>
      <w:r>
        <w:rPr>
          <w:rFonts w:hint="eastAsia" w:ascii="宋体" w:hAnsi="宋体" w:eastAsia="宋体" w:cs="宋体"/>
          <w:color w:val="000000" w:themeColor="text1"/>
          <w:sz w:val="21"/>
          <w:szCs w:val="21"/>
          <w:highlight w:val="none"/>
          <w:lang w:eastAsia="zh-CN"/>
          <w14:textFill>
            <w14:solidFill>
              <w14:schemeClr w14:val="tx1"/>
            </w14:solidFill>
          </w14:textFill>
        </w:rPr>
        <w:t>元），</w:t>
      </w:r>
    </w:p>
    <w:p w14:paraId="5E52026B">
      <w:pPr>
        <w:widowControl w:val="0"/>
        <w:kinsoku w:val="0"/>
        <w:spacing w:after="0" w:line="360" w:lineRule="auto"/>
        <w:ind w:left="315" w:leftChars="150" w:firstLine="210" w:firstLineChars="1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 xml:space="preserve">增值税：¥ </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  </w:t>
      </w:r>
      <w:r>
        <w:rPr>
          <w:rFonts w:hint="eastAsia" w:ascii="宋体" w:hAnsi="宋体" w:eastAsia="宋体" w:cs="宋体"/>
          <w:color w:val="000000" w:themeColor="text1"/>
          <w:sz w:val="21"/>
          <w:szCs w:val="21"/>
          <w:highlight w:val="none"/>
          <w:lang w:eastAsia="zh-CN"/>
          <w14:textFill>
            <w14:solidFill>
              <w14:schemeClr w14:val="tx1"/>
            </w14:solidFill>
          </w14:textFill>
        </w:rPr>
        <w:t>元（人民币大写：</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  </w:t>
      </w:r>
      <w:r>
        <w:rPr>
          <w:rFonts w:hint="eastAsia" w:ascii="宋体" w:hAnsi="宋体" w:eastAsia="宋体" w:cs="宋体"/>
          <w:color w:val="000000" w:themeColor="text1"/>
          <w:sz w:val="21"/>
          <w:szCs w:val="21"/>
          <w:highlight w:val="none"/>
          <w:lang w:eastAsia="zh-CN"/>
          <w14:textFill>
            <w14:solidFill>
              <w14:schemeClr w14:val="tx1"/>
            </w14:solidFill>
          </w14:textFill>
        </w:rPr>
        <w:t>元），</w:t>
      </w:r>
    </w:p>
    <w:p w14:paraId="5A2E9E30">
      <w:pPr>
        <w:widowControl w:val="0"/>
        <w:kinsoku w:val="0"/>
        <w:spacing w:after="0" w:line="360" w:lineRule="auto"/>
        <w:ind w:left="315" w:leftChars="150" w:firstLine="210" w:firstLineChars="1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 xml:space="preserve">含增值税合同暂定总价：¥ </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  </w:t>
      </w:r>
      <w:r>
        <w:rPr>
          <w:rFonts w:hint="eastAsia" w:ascii="宋体" w:hAnsi="宋体" w:eastAsia="宋体" w:cs="宋体"/>
          <w:color w:val="000000" w:themeColor="text1"/>
          <w:sz w:val="21"/>
          <w:szCs w:val="21"/>
          <w:highlight w:val="none"/>
          <w:lang w:eastAsia="zh-CN"/>
          <w14:textFill>
            <w14:solidFill>
              <w14:schemeClr w14:val="tx1"/>
            </w14:solidFill>
          </w14:textFill>
        </w:rPr>
        <w:t>元（人民币大写：</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  </w:t>
      </w:r>
      <w:r>
        <w:rPr>
          <w:rFonts w:hint="eastAsia" w:ascii="宋体" w:hAnsi="宋体" w:eastAsia="宋体" w:cs="宋体"/>
          <w:color w:val="000000" w:themeColor="text1"/>
          <w:sz w:val="21"/>
          <w:szCs w:val="21"/>
          <w:highlight w:val="none"/>
          <w:lang w:eastAsia="zh-CN"/>
          <w14:textFill>
            <w14:solidFill>
              <w14:schemeClr w14:val="tx1"/>
            </w14:solidFill>
          </w14:textFill>
        </w:rPr>
        <w:t>元）。</w:t>
      </w:r>
    </w:p>
    <w:p w14:paraId="4AF5F7C7">
      <w:pPr>
        <w:tabs>
          <w:tab w:val="left" w:pos="6544"/>
        </w:tabs>
        <w:kinsoku w:val="0"/>
        <w:spacing w:after="0" w:line="360" w:lineRule="auto"/>
        <w:ind w:left="315" w:leftChars="15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其中：</w:t>
      </w:r>
    </w:p>
    <w:p w14:paraId="7366B2B9">
      <w:pPr>
        <w:numPr>
          <w:ilvl w:val="0"/>
          <w:numId w:val="5"/>
        </w:numPr>
        <w:kinsoku w:val="0"/>
        <w:spacing w:after="0" w:line="360" w:lineRule="auto"/>
        <w:ind w:left="315" w:leftChars="150" w:firstLine="630" w:firstLineChars="3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 xml:space="preserve">人工费（不含增值税）：¥ </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  </w:t>
      </w:r>
      <w:r>
        <w:rPr>
          <w:rFonts w:hint="eastAsia" w:ascii="宋体" w:hAnsi="宋体" w:eastAsia="宋体" w:cs="宋体"/>
          <w:color w:val="000000" w:themeColor="text1"/>
          <w:sz w:val="21"/>
          <w:szCs w:val="21"/>
          <w:highlight w:val="none"/>
          <w:lang w:eastAsia="zh-CN"/>
          <w14:textFill>
            <w14:solidFill>
              <w14:schemeClr w14:val="tx1"/>
            </w14:solidFill>
          </w14:textFill>
        </w:rPr>
        <w:t>元（人民币大写：</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  </w:t>
      </w:r>
      <w:r>
        <w:rPr>
          <w:rFonts w:hint="eastAsia" w:ascii="宋体" w:hAnsi="宋体" w:eastAsia="宋体" w:cs="宋体"/>
          <w:color w:val="000000" w:themeColor="text1"/>
          <w:sz w:val="21"/>
          <w:szCs w:val="21"/>
          <w:highlight w:val="none"/>
          <w:lang w:eastAsia="zh-CN"/>
          <w14:textFill>
            <w14:solidFill>
              <w14:schemeClr w14:val="tx1"/>
            </w14:solidFill>
          </w14:textFill>
        </w:rPr>
        <w:t>元）。</w:t>
      </w:r>
    </w:p>
    <w:p w14:paraId="5000A58A">
      <w:pPr>
        <w:numPr>
          <w:ilvl w:val="0"/>
          <w:numId w:val="0"/>
        </w:numPr>
        <w:kinsoku w:val="0"/>
        <w:spacing w:after="0" w:line="360" w:lineRule="auto"/>
        <w:ind w:leftChars="45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 xml:space="preserve">（2）暂估价：¥ </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 </w:t>
      </w:r>
      <w:r>
        <w:rPr>
          <w:rFonts w:hint="eastAsia" w:ascii="宋体" w:hAnsi="宋体" w:eastAsia="宋体" w:cs="宋体"/>
          <w:color w:val="000000" w:themeColor="text1"/>
          <w:sz w:val="21"/>
          <w:szCs w:val="21"/>
          <w:highlight w:val="none"/>
          <w:lang w:eastAsia="zh-CN"/>
          <w14:textFill>
            <w14:solidFill>
              <w14:schemeClr w14:val="tx1"/>
            </w14:solidFill>
          </w14:textFill>
        </w:rPr>
        <w:t>元（人民币大写：</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 </w:t>
      </w:r>
      <w:r>
        <w:rPr>
          <w:rFonts w:hint="eastAsia" w:ascii="宋体" w:hAnsi="宋体" w:eastAsia="宋体" w:cs="宋体"/>
          <w:color w:val="000000" w:themeColor="text1"/>
          <w:sz w:val="21"/>
          <w:szCs w:val="21"/>
          <w:highlight w:val="none"/>
          <w:lang w:eastAsia="zh-CN"/>
          <w14:textFill>
            <w14:solidFill>
              <w14:schemeClr w14:val="tx1"/>
            </w14:solidFill>
          </w14:textFill>
        </w:rPr>
        <w:t>元）。（如有）</w:t>
      </w:r>
    </w:p>
    <w:p w14:paraId="1EEBFC55">
      <w:pPr>
        <w:kinsoku w:val="0"/>
        <w:spacing w:after="0" w:line="360" w:lineRule="auto"/>
        <w:ind w:left="315" w:leftChars="150" w:firstLine="630" w:firstLineChars="300"/>
        <w:jc w:val="both"/>
        <w:rPr>
          <w:rFonts w:hint="eastAsia" w:ascii="宋体" w:hAnsi="宋体" w:eastAsia="宋体" w:cs="宋体"/>
          <w:b/>
          <w:bCs/>
          <w:color w:val="000000" w:themeColor="text1"/>
          <w:kern w:val="10"/>
          <w:sz w:val="21"/>
          <w:szCs w:val="21"/>
          <w:highlight w:val="none"/>
          <w:u w:val="singl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 xml:space="preserve">（3）安全生产费用金额（不含增值税）：¥ </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  </w:t>
      </w:r>
      <w:r>
        <w:rPr>
          <w:rFonts w:hint="eastAsia" w:ascii="宋体" w:hAnsi="宋体" w:eastAsia="宋体" w:cs="宋体"/>
          <w:color w:val="000000" w:themeColor="text1"/>
          <w:sz w:val="21"/>
          <w:szCs w:val="21"/>
          <w:highlight w:val="none"/>
          <w:lang w:eastAsia="zh-CN"/>
          <w14:textFill>
            <w14:solidFill>
              <w14:schemeClr w14:val="tx1"/>
            </w14:solidFill>
          </w14:textFill>
        </w:rPr>
        <w:t>元（人民币大写：</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  </w:t>
      </w:r>
      <w:r>
        <w:rPr>
          <w:rFonts w:hint="eastAsia" w:ascii="宋体" w:hAnsi="宋体" w:eastAsia="宋体" w:cs="宋体"/>
          <w:color w:val="000000" w:themeColor="text1"/>
          <w:sz w:val="21"/>
          <w:szCs w:val="21"/>
          <w:highlight w:val="none"/>
          <w:lang w:eastAsia="zh-CN"/>
          <w14:textFill>
            <w14:solidFill>
              <w14:schemeClr w14:val="tx1"/>
            </w14:solidFill>
          </w14:textFill>
        </w:rPr>
        <w:t>元）。</w:t>
      </w:r>
    </w:p>
    <w:p w14:paraId="089F2374">
      <w:pPr>
        <w:numPr>
          <w:ilvl w:val="1"/>
          <w:numId w:val="4"/>
        </w:numPr>
        <w:kinsoku w:val="0"/>
        <w:spacing w:after="0" w:line="360" w:lineRule="auto"/>
        <w:ind w:left="315" w:leftChars="150"/>
        <w:rPr>
          <w:rFonts w:hint="eastAsia" w:ascii="宋体" w:hAnsi="宋体" w:eastAsia="宋体" w:cs="宋体"/>
          <w:color w:val="000000" w:themeColor="text1"/>
          <w:sz w:val="21"/>
          <w:szCs w:val="21"/>
          <w:highlight w:val="none"/>
          <w:lang w:eastAsia="zh-CN"/>
          <w14:textFill>
            <w14:solidFill>
              <w14:schemeClr w14:val="tx1"/>
            </w14:solidFill>
          </w14:textFill>
        </w:rPr>
      </w:pPr>
      <w:bookmarkStart w:id="673" w:name="_Toc101357403"/>
      <w:bookmarkStart w:id="674" w:name="_Toc101357405"/>
      <w:r>
        <w:rPr>
          <w:rFonts w:hint="eastAsia" w:ascii="宋体" w:hAnsi="宋体" w:eastAsia="宋体" w:cs="宋体"/>
          <w:color w:val="000000" w:themeColor="text1"/>
          <w:sz w:val="21"/>
          <w:szCs w:val="21"/>
          <w:highlight w:val="none"/>
          <w:lang w:eastAsia="zh-CN"/>
          <w14:textFill>
            <w14:solidFill>
              <w14:schemeClr w14:val="tx1"/>
            </w14:solidFill>
          </w14:textFill>
        </w:rPr>
        <w:t xml:space="preserve">合同价格形式：本合同采用 </w:t>
      </w:r>
      <w:r>
        <w:rPr>
          <w:rFonts w:ascii="宋体" w:hAnsi="宋体" w:eastAsia="宋体" w:cs="宋体"/>
          <w:color w:val="000000" w:themeColor="text1"/>
          <w:sz w:val="21"/>
          <w:szCs w:val="21"/>
          <w:highlight w:val="none"/>
          <w:lang w:eastAsia="zh-CN"/>
          <w14:textFill>
            <w14:solidFill>
              <w14:schemeClr w14:val="tx1"/>
            </w14:solidFill>
          </w14:textFill>
        </w:rPr>
        <w:sym w:font="Wingdings 2" w:char="F052"/>
      </w:r>
      <w:r>
        <w:rPr>
          <w:rFonts w:hint="eastAsia" w:ascii="宋体" w:hAnsi="宋体" w:eastAsia="宋体" w:cs="宋体"/>
          <w:color w:val="000000" w:themeColor="text1"/>
          <w:sz w:val="21"/>
          <w:szCs w:val="21"/>
          <w:highlight w:val="none"/>
          <w:lang w:eastAsia="zh-CN"/>
          <w14:textFill>
            <w14:solidFill>
              <w14:schemeClr w14:val="tx1"/>
            </w14:solidFill>
          </w14:textFill>
        </w:rPr>
        <w:t xml:space="preserve"> 固定单价合同 /</w:t>
      </w:r>
      <w:r>
        <w:rPr>
          <w:rFonts w:ascii="宋体" w:hAnsi="宋体" w:eastAsia="宋体" w:cs="宋体"/>
          <w:color w:val="000000" w:themeColor="text1"/>
          <w:sz w:val="21"/>
          <w:szCs w:val="21"/>
          <w:highlight w:val="none"/>
          <w:lang w:eastAsia="zh-CN"/>
          <w14:textFill>
            <w14:solidFill>
              <w14:schemeClr w14:val="tx1"/>
            </w14:solidFill>
          </w14:textFill>
        </w:rPr>
        <w:sym w:font="Wingdings 2" w:char="F0A3"/>
      </w:r>
      <w:r>
        <w:rPr>
          <w:rFonts w:hint="eastAsia" w:ascii="宋体" w:hAnsi="宋体" w:eastAsia="宋体" w:cs="宋体"/>
          <w:color w:val="000000" w:themeColor="text1"/>
          <w:sz w:val="21"/>
          <w:szCs w:val="21"/>
          <w:highlight w:val="none"/>
          <w:lang w:eastAsia="zh-CN"/>
          <w14:textFill>
            <w14:solidFill>
              <w14:schemeClr w14:val="tx1"/>
            </w14:solidFill>
          </w14:textFill>
        </w:rPr>
        <w:t>固定总价合同/</w:t>
      </w:r>
      <w:r>
        <w:rPr>
          <w:rFonts w:ascii="宋体" w:hAnsi="宋体" w:eastAsia="宋体" w:cs="宋体"/>
          <w:color w:val="000000" w:themeColor="text1"/>
          <w:sz w:val="21"/>
          <w:szCs w:val="21"/>
          <w:highlight w:val="none"/>
          <w:lang w:eastAsia="zh-CN"/>
          <w14:textFill>
            <w14:solidFill>
              <w14:schemeClr w14:val="tx1"/>
            </w14:solidFill>
          </w14:textFill>
        </w:rPr>
        <w:sym w:font="Wingdings 2" w:char="F0A3"/>
      </w:r>
      <w:r>
        <w:rPr>
          <w:rFonts w:hint="eastAsia" w:ascii="宋体" w:hAnsi="宋体" w:eastAsia="宋体" w:cs="宋体"/>
          <w:color w:val="000000" w:themeColor="text1"/>
          <w:sz w:val="21"/>
          <w:szCs w:val="21"/>
          <w:highlight w:val="none"/>
          <w:lang w:eastAsia="zh-CN"/>
          <w14:textFill>
            <w14:solidFill>
              <w14:schemeClr w14:val="tx1"/>
            </w14:solidFill>
          </w14:textFill>
        </w:rPr>
        <w:t xml:space="preserve">其他 </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w:t>
      </w:r>
    </w:p>
    <w:bookmarkEnd w:id="673"/>
    <w:p w14:paraId="2E1BEC7E">
      <w:pPr>
        <w:numPr>
          <w:ilvl w:val="1"/>
          <w:numId w:val="4"/>
        </w:numPr>
        <w:kinsoku w:val="0"/>
        <w:spacing w:after="0" w:line="360" w:lineRule="auto"/>
        <w:ind w:left="315" w:leftChars="15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合同价格明细：具体内容详见附件1：《工程量清单计价表》。</w:t>
      </w:r>
      <w:bookmarkEnd w:id="674"/>
    </w:p>
    <w:p w14:paraId="3285A77F">
      <w:pPr>
        <w:widowControl w:val="0"/>
        <w:numPr>
          <w:ilvl w:val="0"/>
          <w:numId w:val="4"/>
        </w:numPr>
        <w:tabs>
          <w:tab w:val="left" w:pos="900"/>
        </w:tabs>
        <w:kinsoku w:val="0"/>
        <w:spacing w:after="0" w:line="360" w:lineRule="auto"/>
        <w:ind w:left="158" w:leftChars="75"/>
        <w:jc w:val="both"/>
        <w:outlineLvl w:val="1"/>
        <w:rPr>
          <w:rFonts w:hint="eastAsia" w:ascii="宋体" w:hAnsi="宋体" w:eastAsia="宋体" w:cs="宋体"/>
          <w:b/>
          <w:color w:val="000000" w:themeColor="text1"/>
          <w:sz w:val="21"/>
          <w:szCs w:val="21"/>
          <w:highlight w:val="none"/>
          <w:lang w:eastAsia="zh-CN"/>
          <w14:textFill>
            <w14:solidFill>
              <w14:schemeClr w14:val="tx1"/>
            </w14:solidFill>
          </w14:textFill>
        </w:rPr>
      </w:pPr>
      <w:bookmarkStart w:id="675" w:name="_Toc3612"/>
      <w:bookmarkStart w:id="676" w:name="_Toc14963"/>
      <w:bookmarkStart w:id="677" w:name="_Toc22154"/>
      <w:bookmarkStart w:id="678" w:name="_Toc17689"/>
      <w:bookmarkStart w:id="679" w:name="_Toc19489"/>
      <w:bookmarkStart w:id="680" w:name="_Toc29755"/>
      <w:bookmarkStart w:id="681" w:name="_Toc30646"/>
      <w:bookmarkStart w:id="682" w:name="_Toc23654"/>
      <w:bookmarkStart w:id="683" w:name="_Toc9869"/>
      <w:bookmarkStart w:id="684" w:name="_Toc25495"/>
      <w:bookmarkStart w:id="685" w:name="_Toc28291"/>
      <w:bookmarkStart w:id="686" w:name="_Toc175764413"/>
      <w:bookmarkStart w:id="687" w:name="_Toc22266"/>
      <w:bookmarkStart w:id="688" w:name="_Toc15277"/>
      <w:bookmarkStart w:id="689" w:name="_Toc5608"/>
      <w:bookmarkStart w:id="690" w:name="_Toc101357408"/>
      <w:bookmarkStart w:id="691" w:name="_Toc20921"/>
      <w:bookmarkStart w:id="692" w:name="_Toc2970"/>
      <w:bookmarkStart w:id="693" w:name="_Toc6380"/>
      <w:bookmarkStart w:id="694" w:name="_Toc14778"/>
      <w:bookmarkStart w:id="695" w:name="_Toc101963475"/>
      <w:r>
        <w:rPr>
          <w:rFonts w:hint="eastAsia" w:ascii="宋体" w:hAnsi="宋体" w:eastAsia="宋体" w:cs="宋体"/>
          <w:b/>
          <w:color w:val="000000" w:themeColor="text1"/>
          <w:sz w:val="21"/>
          <w:szCs w:val="21"/>
          <w:highlight w:val="none"/>
          <w:lang w:eastAsia="zh-CN"/>
          <w14:textFill>
            <w14:solidFill>
              <w14:schemeClr w14:val="tx1"/>
            </w14:solidFill>
          </w14:textFill>
        </w:rPr>
        <w:t>乙方纳税资格和资质</w:t>
      </w:r>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p>
    <w:p w14:paraId="42951B5D">
      <w:pPr>
        <w:widowControl w:val="0"/>
        <w:numPr>
          <w:ilvl w:val="1"/>
          <w:numId w:val="4"/>
        </w:numPr>
        <w:tabs>
          <w:tab w:val="left" w:pos="1320"/>
        </w:tabs>
        <w:kinsoku w:val="0"/>
        <w:spacing w:after="0" w:line="360" w:lineRule="auto"/>
        <w:ind w:left="315" w:leftChars="15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乙方纳税义务人的纳税资格：</w:t>
      </w:r>
      <w:r>
        <w:rPr>
          <w:rFonts w:ascii="宋体" w:hAnsi="宋体" w:eastAsia="宋体" w:cs="宋体"/>
          <w:color w:val="000000" w:themeColor="text1"/>
          <w:sz w:val="21"/>
          <w:szCs w:val="21"/>
          <w:highlight w:val="none"/>
          <w14:textFill>
            <w14:solidFill>
              <w14:schemeClr w14:val="tx1"/>
            </w14:solidFill>
          </w14:textFill>
        </w:rPr>
        <w:sym w:font="Wingdings 2" w:char="00A3"/>
      </w:r>
      <w:r>
        <w:rPr>
          <w:rFonts w:hint="eastAsia" w:ascii="宋体" w:hAnsi="宋体" w:eastAsia="宋体" w:cs="宋体"/>
          <w:color w:val="000000" w:themeColor="text1"/>
          <w:sz w:val="21"/>
          <w:szCs w:val="21"/>
          <w:highlight w:val="none"/>
          <w:lang w:eastAsia="zh-CN"/>
          <w14:textFill>
            <w14:solidFill>
              <w14:schemeClr w14:val="tx1"/>
            </w14:solidFill>
          </w14:textFill>
        </w:rPr>
        <w:t>一般纳税人/</w:t>
      </w:r>
      <w:r>
        <w:rPr>
          <w:rFonts w:ascii="宋体" w:hAnsi="宋体" w:eastAsia="宋体" w:cs="宋体"/>
          <w:color w:val="000000" w:themeColor="text1"/>
          <w:sz w:val="21"/>
          <w:szCs w:val="21"/>
          <w:highlight w:val="none"/>
          <w14:textFill>
            <w14:solidFill>
              <w14:schemeClr w14:val="tx1"/>
            </w14:solidFill>
          </w14:textFill>
        </w:rPr>
        <w:sym w:font="Wingdings 2" w:char="F0A3"/>
      </w:r>
      <w:r>
        <w:rPr>
          <w:rFonts w:hint="eastAsia" w:ascii="宋体" w:hAnsi="宋体" w:eastAsia="宋体" w:cs="宋体"/>
          <w:color w:val="000000" w:themeColor="text1"/>
          <w:sz w:val="21"/>
          <w:szCs w:val="21"/>
          <w:highlight w:val="none"/>
          <w:lang w:eastAsia="zh-CN"/>
          <w14:textFill>
            <w14:solidFill>
              <w14:schemeClr w14:val="tx1"/>
            </w14:solidFill>
          </w14:textFill>
        </w:rPr>
        <w:t>小规模纳税人/</w:t>
      </w:r>
      <w:r>
        <w:rPr>
          <w:rFonts w:ascii="宋体" w:hAnsi="宋体" w:eastAsia="宋体" w:cs="宋体"/>
          <w:color w:val="000000" w:themeColor="text1"/>
          <w:sz w:val="21"/>
          <w:szCs w:val="21"/>
          <w:highlight w:val="none"/>
          <w14:textFill>
            <w14:solidFill>
              <w14:schemeClr w14:val="tx1"/>
            </w14:solidFill>
          </w14:textFill>
        </w:rPr>
        <w:sym w:font="Wingdings 2" w:char="F0A3"/>
      </w:r>
      <w:r>
        <w:rPr>
          <w:rFonts w:hint="eastAsia" w:ascii="宋体" w:hAnsi="宋体" w:eastAsia="宋体" w:cs="宋体"/>
          <w:color w:val="000000" w:themeColor="text1"/>
          <w:sz w:val="21"/>
          <w:szCs w:val="21"/>
          <w:highlight w:val="none"/>
          <w:lang w:eastAsia="zh-CN"/>
          <w14:textFill>
            <w14:solidFill>
              <w14:schemeClr w14:val="tx1"/>
            </w14:solidFill>
          </w14:textFill>
        </w:rPr>
        <w:t>其他。</w:t>
      </w:r>
    </w:p>
    <w:p w14:paraId="1D11D39D">
      <w:pPr>
        <w:widowControl w:val="0"/>
        <w:numPr>
          <w:ilvl w:val="1"/>
          <w:numId w:val="4"/>
        </w:numPr>
        <w:tabs>
          <w:tab w:val="left" w:pos="1320"/>
        </w:tabs>
        <w:kinsoku w:val="0"/>
        <w:spacing w:after="0" w:line="360" w:lineRule="auto"/>
        <w:ind w:left="315" w:leftChars="15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乙方提供的票据是：</w:t>
      </w:r>
      <w:r>
        <w:rPr>
          <w:rFonts w:ascii="宋体" w:hAnsi="宋体" w:eastAsia="宋体" w:cs="宋体"/>
          <w:color w:val="000000" w:themeColor="text1"/>
          <w:sz w:val="21"/>
          <w:szCs w:val="21"/>
          <w:highlight w:val="none"/>
          <w14:textFill>
            <w14:solidFill>
              <w14:schemeClr w14:val="tx1"/>
            </w14:solidFill>
          </w14:textFill>
        </w:rPr>
        <w:sym w:font="Wingdings 2" w:char="00A3"/>
      </w:r>
      <w:r>
        <w:rPr>
          <w:rFonts w:hint="eastAsia" w:ascii="宋体" w:hAnsi="宋体" w:eastAsia="宋体" w:cs="宋体"/>
          <w:color w:val="000000" w:themeColor="text1"/>
          <w:sz w:val="21"/>
          <w:szCs w:val="21"/>
          <w:highlight w:val="none"/>
          <w:lang w:eastAsia="zh-CN"/>
          <w14:textFill>
            <w14:solidFill>
              <w14:schemeClr w14:val="tx1"/>
            </w14:solidFill>
          </w14:textFill>
        </w:rPr>
        <w:t>增值税专用发票，</w:t>
      </w:r>
      <w:r>
        <w:rPr>
          <w:rFonts w:ascii="宋体" w:hAnsi="宋体" w:eastAsia="宋体" w:cs="宋体"/>
          <w:color w:val="000000" w:themeColor="text1"/>
          <w:sz w:val="21"/>
          <w:szCs w:val="21"/>
          <w:highlight w:val="none"/>
          <w14:textFill>
            <w14:solidFill>
              <w14:schemeClr w14:val="tx1"/>
            </w14:solidFill>
          </w14:textFill>
        </w:rPr>
        <w:sym w:font="Wingdings 2" w:char="F0A3"/>
      </w:r>
      <w:r>
        <w:rPr>
          <w:rFonts w:hint="eastAsia" w:ascii="宋体" w:hAnsi="宋体" w:eastAsia="宋体" w:cs="宋体"/>
          <w:color w:val="000000" w:themeColor="text1"/>
          <w:sz w:val="21"/>
          <w:szCs w:val="21"/>
          <w:highlight w:val="none"/>
          <w:lang w:eastAsia="zh-CN"/>
          <w14:textFill>
            <w14:solidFill>
              <w14:schemeClr w14:val="tx1"/>
            </w14:solidFill>
          </w14:textFill>
        </w:rPr>
        <w:t>增值税普通发票。</w:t>
      </w:r>
    </w:p>
    <w:p w14:paraId="4B02BA0C">
      <w:pPr>
        <w:widowControl w:val="0"/>
        <w:numPr>
          <w:ilvl w:val="1"/>
          <w:numId w:val="4"/>
        </w:numPr>
        <w:tabs>
          <w:tab w:val="left" w:pos="1320"/>
        </w:tabs>
        <w:kinsoku w:val="0"/>
        <w:spacing w:after="0" w:line="360" w:lineRule="auto"/>
        <w:ind w:left="315" w:leftChars="15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增值税率是：</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9</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ascii="宋体" w:hAnsi="宋体" w:eastAsia="宋体" w:cs="宋体"/>
          <w:color w:val="000000" w:themeColor="text1"/>
          <w:sz w:val="21"/>
          <w:szCs w:val="21"/>
          <w:highlight w:val="none"/>
          <w14:textFill>
            <w14:solidFill>
              <w14:schemeClr w14:val="tx1"/>
            </w14:solidFill>
          </w14:textFill>
        </w:rPr>
        <w:sym w:font="Wingdings 2" w:char="00A3"/>
      </w:r>
      <w:r>
        <w:rPr>
          <w:rFonts w:hint="eastAsia" w:ascii="宋体" w:hAnsi="宋体" w:eastAsia="宋体" w:cs="宋体"/>
          <w:color w:val="000000" w:themeColor="text1"/>
          <w:sz w:val="21"/>
          <w:szCs w:val="21"/>
          <w:highlight w:val="none"/>
          <w:lang w:eastAsia="zh-CN"/>
          <w14:textFill>
            <w14:solidFill>
              <w14:schemeClr w14:val="tx1"/>
            </w14:solidFill>
          </w14:textFill>
        </w:rPr>
        <w:t>能抵扣，</w:t>
      </w:r>
      <w:r>
        <w:rPr>
          <w:rFonts w:ascii="宋体" w:hAnsi="宋体" w:eastAsia="宋体" w:cs="宋体"/>
          <w:color w:val="000000" w:themeColor="text1"/>
          <w:sz w:val="21"/>
          <w:szCs w:val="21"/>
          <w:highlight w:val="none"/>
          <w14:textFill>
            <w14:solidFill>
              <w14:schemeClr w14:val="tx1"/>
            </w14:solidFill>
          </w14:textFill>
        </w:rPr>
        <w:sym w:font="Wingdings 2" w:char="F0A3"/>
      </w:r>
      <w:r>
        <w:rPr>
          <w:rFonts w:hint="eastAsia" w:ascii="宋体" w:hAnsi="宋体" w:eastAsia="宋体" w:cs="宋体"/>
          <w:color w:val="000000" w:themeColor="text1"/>
          <w:sz w:val="21"/>
          <w:szCs w:val="21"/>
          <w:highlight w:val="none"/>
          <w:lang w:eastAsia="zh-CN"/>
          <w14:textFill>
            <w14:solidFill>
              <w14:schemeClr w14:val="tx1"/>
            </w14:solidFill>
          </w14:textFill>
        </w:rPr>
        <w:t>不能抵扣。</w:t>
      </w:r>
    </w:p>
    <w:p w14:paraId="3119DE4F">
      <w:pPr>
        <w:widowControl w:val="0"/>
        <w:numPr>
          <w:ilvl w:val="1"/>
          <w:numId w:val="4"/>
        </w:numPr>
        <w:tabs>
          <w:tab w:val="left" w:pos="1320"/>
        </w:tabs>
        <w:kinsoku w:val="0"/>
        <w:spacing w:after="0" w:line="360" w:lineRule="auto"/>
        <w:ind w:left="315" w:leftChars="15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营业执照，统一社会信用代码：</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             </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6D9424E6">
      <w:pPr>
        <w:widowControl w:val="0"/>
        <w:tabs>
          <w:tab w:val="left" w:pos="1320"/>
        </w:tabs>
        <w:kinsoku w:val="0"/>
        <w:spacing w:after="0" w:line="360" w:lineRule="auto"/>
        <w:ind w:left="315" w:leftChars="150"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营业期限：</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             </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4478DE5E">
      <w:pPr>
        <w:widowControl w:val="0"/>
        <w:numPr>
          <w:ilvl w:val="1"/>
          <w:numId w:val="4"/>
        </w:numPr>
        <w:tabs>
          <w:tab w:val="left" w:pos="1320"/>
        </w:tabs>
        <w:kinsoku w:val="0"/>
        <w:spacing w:after="0" w:line="360" w:lineRule="auto"/>
        <w:ind w:left="315" w:leftChars="15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安全生产许可证，证书编号：</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             </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2010A70D">
      <w:pPr>
        <w:widowControl w:val="0"/>
        <w:tabs>
          <w:tab w:val="left" w:pos="1320"/>
        </w:tabs>
        <w:kinsoku w:val="0"/>
        <w:spacing w:after="0" w:line="360" w:lineRule="auto"/>
        <w:ind w:left="315" w:leftChars="150"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有效期：</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年</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月</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日至</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年</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月</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日。</w:t>
      </w:r>
    </w:p>
    <w:p w14:paraId="5E2C77EC">
      <w:pPr>
        <w:widowControl w:val="0"/>
        <w:numPr>
          <w:ilvl w:val="1"/>
          <w:numId w:val="4"/>
        </w:numPr>
        <w:tabs>
          <w:tab w:val="left" w:pos="1320"/>
        </w:tabs>
        <w:kinsoku w:val="0"/>
        <w:spacing w:after="0" w:line="360" w:lineRule="auto"/>
        <w:ind w:left="315" w:leftChars="150"/>
        <w:jc w:val="both"/>
        <w:rPr>
          <w:rFonts w:hint="eastAsia" w:ascii="宋体" w:hAnsi="宋体" w:eastAsia="宋体" w:cs="宋体"/>
          <w:color w:val="000000" w:themeColor="text1"/>
          <w:sz w:val="21"/>
          <w:szCs w:val="21"/>
          <w:highlight w:val="none"/>
          <w:u w:val="singl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劳务分包资质证书，证书编号：</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             </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728A9978">
      <w:pPr>
        <w:widowControl w:val="0"/>
        <w:tabs>
          <w:tab w:val="left" w:pos="1320"/>
        </w:tabs>
        <w:kinsoku w:val="0"/>
        <w:spacing w:after="0" w:line="360" w:lineRule="auto"/>
        <w:ind w:left="315" w:leftChars="150"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有效期：</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年</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月</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日至</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年</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月</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日，</w:t>
      </w:r>
    </w:p>
    <w:p w14:paraId="0BDE6A8C">
      <w:pPr>
        <w:widowControl w:val="0"/>
        <w:tabs>
          <w:tab w:val="left" w:pos="1320"/>
        </w:tabs>
        <w:kinsoku w:val="0"/>
        <w:spacing w:after="0" w:line="360" w:lineRule="auto"/>
        <w:ind w:left="315" w:leftChars="150" w:firstLine="420" w:firstLineChars="200"/>
        <w:jc w:val="both"/>
        <w:rPr>
          <w:rFonts w:hint="eastAsia" w:ascii="宋体" w:hAnsi="宋体" w:eastAsia="宋体" w:cs="宋体"/>
          <w:color w:val="000000" w:themeColor="text1"/>
          <w:sz w:val="21"/>
          <w:szCs w:val="21"/>
          <w:highlight w:val="none"/>
          <w:u w:val="singl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资质类别及等级：</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             </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181AE505">
      <w:pPr>
        <w:widowControl w:val="0"/>
        <w:numPr>
          <w:ilvl w:val="0"/>
          <w:numId w:val="4"/>
        </w:numPr>
        <w:tabs>
          <w:tab w:val="left" w:pos="900"/>
        </w:tabs>
        <w:kinsoku w:val="0"/>
        <w:spacing w:after="0" w:line="360" w:lineRule="auto"/>
        <w:ind w:left="158" w:leftChars="75"/>
        <w:jc w:val="both"/>
        <w:outlineLvl w:val="1"/>
        <w:rPr>
          <w:rFonts w:hint="eastAsia" w:ascii="宋体" w:hAnsi="宋体" w:eastAsia="宋体" w:cs="宋体"/>
          <w:b/>
          <w:color w:val="000000" w:themeColor="text1"/>
          <w:sz w:val="21"/>
          <w:szCs w:val="21"/>
          <w:highlight w:val="none"/>
          <w14:textFill>
            <w14:solidFill>
              <w14:schemeClr w14:val="tx1"/>
            </w14:solidFill>
          </w14:textFill>
        </w:rPr>
      </w:pPr>
      <w:bookmarkStart w:id="696" w:name="_Toc23875"/>
      <w:bookmarkStart w:id="697" w:name="_Toc19050"/>
      <w:bookmarkStart w:id="698" w:name="_Toc29628"/>
      <w:bookmarkStart w:id="699" w:name="_Toc21117"/>
      <w:bookmarkStart w:id="700" w:name="_Toc175764414"/>
      <w:bookmarkStart w:id="701" w:name="_Toc9261"/>
      <w:bookmarkStart w:id="702" w:name="_Toc12262"/>
      <w:bookmarkStart w:id="703" w:name="_Toc25496"/>
      <w:bookmarkStart w:id="704" w:name="_Toc16785"/>
      <w:bookmarkStart w:id="705" w:name="_Toc28072"/>
      <w:bookmarkStart w:id="706" w:name="_Toc3435"/>
      <w:bookmarkStart w:id="707" w:name="_Toc15232"/>
      <w:bookmarkStart w:id="708" w:name="_Toc22777"/>
      <w:bookmarkStart w:id="709" w:name="_Toc28027"/>
      <w:bookmarkStart w:id="710" w:name="_Toc18826"/>
      <w:bookmarkStart w:id="711" w:name="_Toc27449"/>
      <w:bookmarkStart w:id="712" w:name="_Toc101963476"/>
      <w:bookmarkStart w:id="713" w:name="_Toc101357409"/>
      <w:bookmarkStart w:id="714" w:name="_Toc22660"/>
      <w:bookmarkStart w:id="715" w:name="_Toc28845"/>
      <w:bookmarkStart w:id="716" w:name="_Toc7942"/>
      <w:r>
        <w:rPr>
          <w:rFonts w:hint="eastAsia" w:ascii="宋体" w:hAnsi="宋体" w:eastAsia="宋体" w:cs="宋体"/>
          <w:b/>
          <w:color w:val="000000" w:themeColor="text1"/>
          <w:sz w:val="21"/>
          <w:szCs w:val="21"/>
          <w:highlight w:val="none"/>
          <w14:textFill>
            <w14:solidFill>
              <w14:schemeClr w14:val="tx1"/>
            </w14:solidFill>
          </w14:textFill>
        </w:rPr>
        <w:t>项目经理</w:t>
      </w:r>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p>
    <w:p w14:paraId="1AFC98C8">
      <w:pPr>
        <w:numPr>
          <w:ilvl w:val="1"/>
          <w:numId w:val="4"/>
        </w:numPr>
        <w:kinsoku w:val="0"/>
        <w:spacing w:after="0" w:line="360" w:lineRule="auto"/>
        <w:ind w:left="315" w:leftChars="15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甲方项目经理：</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  </w:t>
      </w:r>
      <w:r>
        <w:rPr>
          <w:rFonts w:hint="eastAsia" w:ascii="宋体" w:hAnsi="宋体" w:eastAsia="宋体" w:cs="宋体"/>
          <w:color w:val="000000" w:themeColor="text1"/>
          <w:sz w:val="21"/>
          <w:szCs w:val="21"/>
          <w:highlight w:val="none"/>
          <w:lang w:eastAsia="zh-CN"/>
          <w14:textFill>
            <w14:solidFill>
              <w14:schemeClr w14:val="tx1"/>
            </w14:solidFill>
          </w14:textFill>
        </w:rPr>
        <w:t>，身份证号码</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             </w:t>
      </w:r>
      <w:r>
        <w:rPr>
          <w:rFonts w:hint="eastAsia" w:ascii="宋体" w:hAnsi="宋体" w:eastAsia="宋体" w:cs="宋体"/>
          <w:color w:val="000000" w:themeColor="text1"/>
          <w:sz w:val="21"/>
          <w:szCs w:val="21"/>
          <w:highlight w:val="none"/>
          <w:lang w:eastAsia="zh-CN"/>
          <w14:textFill>
            <w14:solidFill>
              <w14:schemeClr w14:val="tx1"/>
            </w14:solidFill>
          </w14:textFill>
        </w:rPr>
        <w:t>，联系电话：</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    </w:t>
      </w:r>
      <w:r>
        <w:rPr>
          <w:rFonts w:hint="eastAsia" w:ascii="宋体" w:hAnsi="宋体" w:eastAsia="宋体" w:cs="宋体"/>
          <w:color w:val="000000" w:themeColor="text1"/>
          <w:sz w:val="21"/>
          <w:szCs w:val="21"/>
          <w:highlight w:val="none"/>
          <w:lang w:eastAsia="zh-CN"/>
          <w14:textFill>
            <w14:solidFill>
              <w14:schemeClr w14:val="tx1"/>
            </w14:solidFill>
          </w14:textFill>
        </w:rPr>
        <w:t>。甲方项目经理代表甲方负责现场管理，但无权单独处理合同调价、付款、结算、借款、担保、融投资及除本合同外经济合同的签订事项，也无权变更或解除分包合同。甲方项目部及项目经理权限具体详见《项目部合规权限告知书》。</w:t>
      </w:r>
    </w:p>
    <w:p w14:paraId="37FF07A2">
      <w:pPr>
        <w:numPr>
          <w:ilvl w:val="1"/>
          <w:numId w:val="4"/>
        </w:numPr>
        <w:kinsoku w:val="0"/>
        <w:spacing w:after="0" w:line="360" w:lineRule="auto"/>
        <w:ind w:left="315" w:leftChars="15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乙方项目经理：</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  </w:t>
      </w:r>
      <w:r>
        <w:rPr>
          <w:rFonts w:hint="eastAsia" w:ascii="宋体" w:hAnsi="宋体" w:eastAsia="宋体" w:cs="宋体"/>
          <w:color w:val="000000" w:themeColor="text1"/>
          <w:sz w:val="21"/>
          <w:szCs w:val="21"/>
          <w:highlight w:val="none"/>
          <w:lang w:eastAsia="zh-CN"/>
          <w14:textFill>
            <w14:solidFill>
              <w14:schemeClr w14:val="tx1"/>
            </w14:solidFill>
          </w14:textFill>
        </w:rPr>
        <w:t>，身份证号码</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         </w:t>
      </w:r>
      <w:r>
        <w:rPr>
          <w:rFonts w:hint="eastAsia" w:ascii="宋体" w:hAnsi="宋体" w:eastAsia="宋体" w:cs="宋体"/>
          <w:color w:val="000000" w:themeColor="text1"/>
          <w:sz w:val="21"/>
          <w:szCs w:val="21"/>
          <w:highlight w:val="none"/>
          <w:lang w:eastAsia="zh-CN"/>
          <w14:textFill>
            <w14:solidFill>
              <w14:schemeClr w14:val="tx1"/>
            </w14:solidFill>
          </w14:textFill>
        </w:rPr>
        <w:t>，联系电话：</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         </w:t>
      </w:r>
      <w:r>
        <w:rPr>
          <w:rFonts w:hint="eastAsia" w:ascii="宋体" w:hAnsi="宋体" w:eastAsia="宋体" w:cs="宋体"/>
          <w:color w:val="000000" w:themeColor="text1"/>
          <w:sz w:val="21"/>
          <w:szCs w:val="21"/>
          <w:highlight w:val="none"/>
          <w:lang w:eastAsia="zh-CN"/>
          <w14:textFill>
            <w14:solidFill>
              <w14:schemeClr w14:val="tx1"/>
            </w14:solidFill>
          </w14:textFill>
        </w:rPr>
        <w:t>。乙方项目经理应是乙方正式聘用的员工，必须持有授权委托书，代表乙方履行合同，负责施工管理、签署任何文件、处理与工程有关的所有事务等，乙方承担乙方项目经理行为的全部法律后果。</w:t>
      </w:r>
    </w:p>
    <w:p w14:paraId="2AB2D311">
      <w:pPr>
        <w:widowControl w:val="0"/>
        <w:numPr>
          <w:ilvl w:val="0"/>
          <w:numId w:val="4"/>
        </w:numPr>
        <w:tabs>
          <w:tab w:val="left" w:pos="900"/>
        </w:tabs>
        <w:kinsoku w:val="0"/>
        <w:spacing w:after="0" w:line="360" w:lineRule="auto"/>
        <w:ind w:left="158" w:leftChars="75"/>
        <w:jc w:val="both"/>
        <w:outlineLvl w:val="1"/>
        <w:rPr>
          <w:rFonts w:hint="eastAsia" w:ascii="宋体" w:hAnsi="宋体" w:eastAsia="宋体" w:cs="宋体"/>
          <w:b/>
          <w:color w:val="000000" w:themeColor="text1"/>
          <w:sz w:val="21"/>
          <w:szCs w:val="21"/>
          <w:highlight w:val="none"/>
          <w14:textFill>
            <w14:solidFill>
              <w14:schemeClr w14:val="tx1"/>
            </w14:solidFill>
          </w14:textFill>
        </w:rPr>
      </w:pPr>
      <w:bookmarkStart w:id="717" w:name="_Toc101963477"/>
      <w:bookmarkStart w:id="718" w:name="_Toc175764415"/>
      <w:r>
        <w:rPr>
          <w:rFonts w:hint="eastAsia" w:ascii="宋体" w:hAnsi="宋体" w:eastAsia="宋体" w:cs="宋体"/>
          <w:b/>
          <w:color w:val="000000" w:themeColor="text1"/>
          <w:sz w:val="21"/>
          <w:szCs w:val="21"/>
          <w:highlight w:val="none"/>
          <w:lang w:eastAsia="zh-CN"/>
          <w14:textFill>
            <w14:solidFill>
              <w14:schemeClr w14:val="tx1"/>
            </w14:solidFill>
          </w14:textFill>
        </w:rPr>
        <w:t>签订时间及地点</w:t>
      </w:r>
      <w:bookmarkEnd w:id="717"/>
      <w:bookmarkEnd w:id="718"/>
    </w:p>
    <w:p w14:paraId="540AE03B">
      <w:pPr>
        <w:kinsoku w:val="0"/>
        <w:spacing w:after="0" w:line="360" w:lineRule="auto"/>
        <w:ind w:left="105" w:leftChars="50" w:firstLine="210" w:firstLineChars="1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本合同于</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  </w:t>
      </w:r>
      <w:r>
        <w:rPr>
          <w:rFonts w:hint="eastAsia" w:ascii="宋体" w:hAnsi="宋体" w:eastAsia="宋体" w:cs="宋体"/>
          <w:color w:val="000000" w:themeColor="text1"/>
          <w:sz w:val="21"/>
          <w:szCs w:val="21"/>
          <w:highlight w:val="none"/>
          <w:lang w:eastAsia="zh-CN"/>
          <w14:textFill>
            <w14:solidFill>
              <w14:schemeClr w14:val="tx1"/>
            </w14:solidFill>
          </w14:textFill>
        </w:rPr>
        <w:t>年</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 </w:t>
      </w:r>
      <w:r>
        <w:rPr>
          <w:rFonts w:hint="eastAsia" w:ascii="宋体" w:hAnsi="宋体" w:eastAsia="宋体" w:cs="宋体"/>
          <w:color w:val="000000" w:themeColor="text1"/>
          <w:sz w:val="21"/>
          <w:szCs w:val="21"/>
          <w:highlight w:val="none"/>
          <w:lang w:eastAsia="zh-CN"/>
          <w14:textFill>
            <w14:solidFill>
              <w14:schemeClr w14:val="tx1"/>
            </w14:solidFill>
          </w14:textFill>
        </w:rPr>
        <w:t>月</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 </w:t>
      </w:r>
      <w:r>
        <w:rPr>
          <w:rFonts w:hint="eastAsia" w:ascii="宋体" w:hAnsi="宋体" w:eastAsia="宋体" w:cs="宋体"/>
          <w:color w:val="000000" w:themeColor="text1"/>
          <w:sz w:val="21"/>
          <w:szCs w:val="21"/>
          <w:highlight w:val="none"/>
          <w:lang w:eastAsia="zh-CN"/>
          <w14:textFill>
            <w14:solidFill>
              <w14:schemeClr w14:val="tx1"/>
            </w14:solidFill>
          </w14:textFill>
        </w:rPr>
        <w:t>日签订。</w:t>
      </w:r>
    </w:p>
    <w:p w14:paraId="67609581">
      <w:pPr>
        <w:kinsoku w:val="0"/>
        <w:spacing w:after="0" w:line="360" w:lineRule="auto"/>
        <w:ind w:left="105" w:leftChars="50" w:firstLine="210" w:firstLineChars="1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合同订立地点：</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河北省石家庄市桥西区建设南大街70号 </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70E21F85">
      <w:pPr>
        <w:widowControl w:val="0"/>
        <w:numPr>
          <w:ilvl w:val="0"/>
          <w:numId w:val="4"/>
        </w:numPr>
        <w:tabs>
          <w:tab w:val="left" w:pos="900"/>
        </w:tabs>
        <w:kinsoku w:val="0"/>
        <w:spacing w:after="0" w:line="360" w:lineRule="auto"/>
        <w:ind w:left="158" w:leftChars="75"/>
        <w:jc w:val="both"/>
        <w:outlineLvl w:val="1"/>
        <w:rPr>
          <w:color w:val="000000" w:themeColor="text1"/>
          <w:highlight w:val="none"/>
          <w:lang w:eastAsia="zh-CN"/>
          <w14:textFill>
            <w14:solidFill>
              <w14:schemeClr w14:val="tx1"/>
            </w14:solidFill>
          </w14:textFill>
        </w:rPr>
      </w:pPr>
      <w:bookmarkStart w:id="719" w:name="_Toc175764416"/>
      <w:r>
        <w:rPr>
          <w:rFonts w:hint="eastAsia" w:ascii="宋体" w:hAnsi="宋体" w:eastAsia="宋体" w:cs="宋体"/>
          <w:b/>
          <w:color w:val="000000" w:themeColor="text1"/>
          <w:sz w:val="21"/>
          <w:szCs w:val="21"/>
          <w:highlight w:val="none"/>
          <w:lang w:eastAsia="zh-CN"/>
          <w14:textFill>
            <w14:solidFill>
              <w14:schemeClr w14:val="tx1"/>
            </w14:solidFill>
          </w14:textFill>
        </w:rPr>
        <w:t>补充协议</w:t>
      </w:r>
      <w:bookmarkEnd w:id="719"/>
    </w:p>
    <w:p w14:paraId="6BEA1D02">
      <w:pPr>
        <w:kinsoku w:val="0"/>
        <w:spacing w:after="0" w:line="360" w:lineRule="auto"/>
        <w:ind w:left="44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1.无论分包过程结算是否超过合同额，当合同清单外新增工作内容超出原合同价款的5%时，双方须及时签订补充协议，否则新增工作内容暂不予计量，直至完成补充协议的签订。</w:t>
      </w:r>
    </w:p>
    <w:p w14:paraId="5A980C46">
      <w:pPr>
        <w:kinsoku w:val="0"/>
        <w:spacing w:after="0" w:line="360" w:lineRule="auto"/>
        <w:ind w:left="44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2.合同未尽事宜，合同双方另行签订补充协议，补充协议是合同的组成部分。</w:t>
      </w:r>
    </w:p>
    <w:p w14:paraId="4ED98D59">
      <w:pPr>
        <w:widowControl w:val="0"/>
        <w:numPr>
          <w:ilvl w:val="0"/>
          <w:numId w:val="4"/>
        </w:numPr>
        <w:tabs>
          <w:tab w:val="left" w:pos="900"/>
        </w:tabs>
        <w:kinsoku w:val="0"/>
        <w:spacing w:after="0" w:line="360" w:lineRule="auto"/>
        <w:ind w:left="158" w:leftChars="75"/>
        <w:jc w:val="both"/>
        <w:outlineLvl w:val="1"/>
        <w:rPr>
          <w:rFonts w:hint="eastAsia" w:ascii="宋体" w:hAnsi="宋体" w:eastAsia="宋体" w:cs="宋体"/>
          <w:b/>
          <w:color w:val="000000" w:themeColor="text1"/>
          <w:sz w:val="21"/>
          <w:szCs w:val="21"/>
          <w:highlight w:val="none"/>
          <w:lang w:eastAsia="zh-CN"/>
          <w14:textFill>
            <w14:solidFill>
              <w14:schemeClr w14:val="tx1"/>
            </w14:solidFill>
          </w14:textFill>
        </w:rPr>
      </w:pPr>
      <w:bookmarkStart w:id="720" w:name="_Toc175764417"/>
      <w:r>
        <w:rPr>
          <w:rFonts w:hint="eastAsia" w:ascii="宋体" w:hAnsi="宋体" w:eastAsia="宋体" w:cs="宋体"/>
          <w:b/>
          <w:color w:val="000000" w:themeColor="text1"/>
          <w:sz w:val="21"/>
          <w:szCs w:val="21"/>
          <w:highlight w:val="none"/>
          <w:lang w:eastAsia="zh-CN"/>
          <w14:textFill>
            <w14:solidFill>
              <w14:schemeClr w14:val="tx1"/>
            </w14:solidFill>
          </w14:textFill>
        </w:rPr>
        <w:t>合同签约形式</w:t>
      </w:r>
      <w:bookmarkEnd w:id="720"/>
    </w:p>
    <w:p w14:paraId="0186C89E">
      <w:pPr>
        <w:kinsoku w:val="0"/>
        <w:spacing w:after="0" w:line="360" w:lineRule="auto"/>
        <w:ind w:left="440"/>
        <w:jc w:val="both"/>
        <w:rPr>
          <w:rFonts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本合同签约形式适用第</w:t>
      </w:r>
      <w:r>
        <w:rPr>
          <w:rFonts w:hint="eastAsia" w:ascii="宋体" w:hAnsi="宋体" w:eastAsia="宋体" w:cs="宋体"/>
          <w:b/>
          <w:bCs/>
          <w:color w:val="000000" w:themeColor="text1"/>
          <w:sz w:val="21"/>
          <w:szCs w:val="21"/>
          <w:highlight w:val="none"/>
          <w:u w:val="single"/>
          <w:lang w:eastAsia="zh-CN"/>
          <w14:textFill>
            <w14:solidFill>
              <w14:schemeClr w14:val="tx1"/>
            </w14:solidFill>
          </w14:textFill>
        </w:rPr>
        <w:t xml:space="preserve">  </w:t>
      </w:r>
      <w:r>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t>2</w:t>
      </w:r>
      <w:r>
        <w:rPr>
          <w:rFonts w:hint="eastAsia" w:ascii="宋体" w:hAnsi="宋体" w:eastAsia="宋体" w:cs="宋体"/>
          <w:b/>
          <w:bCs/>
          <w:color w:val="000000" w:themeColor="text1"/>
          <w:sz w:val="21"/>
          <w:szCs w:val="21"/>
          <w:highlight w:val="none"/>
          <w:u w:val="single"/>
          <w:lang w:eastAsia="zh-CN"/>
          <w14:textFill>
            <w14:solidFill>
              <w14:schemeClr w14:val="tx1"/>
            </w14:solidFill>
          </w14:textFill>
        </w:rPr>
        <w:t xml:space="preserve">  </w:t>
      </w:r>
      <w:r>
        <w:rPr>
          <w:rFonts w:hint="eastAsia" w:ascii="宋体" w:hAnsi="宋体" w:eastAsia="宋体" w:cs="宋体"/>
          <w:b/>
          <w:bCs/>
          <w:color w:val="000000" w:themeColor="text1"/>
          <w:sz w:val="21"/>
          <w:szCs w:val="21"/>
          <w:highlight w:val="none"/>
          <w:lang w:eastAsia="zh-CN"/>
          <w14:textFill>
            <w14:solidFill>
              <w14:schemeClr w14:val="tx1"/>
            </w14:solidFill>
          </w14:textFill>
        </w:rPr>
        <w:t>条</w:t>
      </w:r>
      <w:r>
        <w:rPr>
          <w:rFonts w:hint="eastAsia" w:ascii="宋体" w:hAnsi="宋体" w:eastAsia="宋体" w:cs="宋体"/>
          <w:b/>
          <w:bCs/>
          <w:color w:val="000000" w:themeColor="text1"/>
          <w:sz w:val="21"/>
          <w:szCs w:val="21"/>
          <w:highlight w:val="none"/>
          <w:lang w:eastAsia="zh-CN"/>
          <w14:textFill>
            <w14:solidFill>
              <w14:schemeClr w14:val="tx1"/>
            </w14:solidFill>
          </w14:textFill>
        </w:rPr>
        <w:t>。</w:t>
      </w:r>
    </w:p>
    <w:p w14:paraId="47701554">
      <w:pPr>
        <w:kinsoku w:val="0"/>
        <w:spacing w:after="0" w:line="360" w:lineRule="auto"/>
        <w:ind w:left="440"/>
        <w:jc w:val="both"/>
        <w:rPr>
          <w:rFonts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双方同意以电子签章的方式签署本合同。乙方确保在电子签章平台注册时，使用的企业信息和个人相关信息真实有效，并且自觉遵守国家法律法规和甲方在该平台的合同签约流程。本合同自双方加盖电子签章之日起生效。合同生效后，双方均可对本合同进行查阅、下载、打印。下载、打印后的合同可以与平台中的电子合同进行比对，如有不同，以平台中的电子合同为准。甲乙双方使用电子签章方式签署的合同，只有通过验证生效的电子原件具有法律效力，未经电子印章服务平台公司提供书面证明材料的电子合同打印版不能作为法律依据。如因乙方使用不当给甲方造成损失，乙方愿自行承担由此造成的全部经济损失和法律责任。</w:t>
      </w:r>
    </w:p>
    <w:p w14:paraId="29000189">
      <w:pPr>
        <w:kinsoku w:val="0"/>
        <w:spacing w:after="0" w:line="360" w:lineRule="auto"/>
        <w:ind w:left="44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2.双方同意通过加盖物理印章的方式签署本合同，合同自双方盖章后生效，完成合同约定的全部内容，经验收合格且保修期满后即告终止。合同壹式</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陆</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份，甲方执</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伍</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份，乙方执</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壹</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份。</w:t>
      </w:r>
    </w:p>
    <w:tbl>
      <w:tblPr>
        <w:tblStyle w:val="31"/>
        <w:tblW w:w="0" w:type="auto"/>
        <w:tblInd w:w="0" w:type="dxa"/>
        <w:tblLayout w:type="autofit"/>
        <w:tblCellMar>
          <w:top w:w="0" w:type="dxa"/>
          <w:left w:w="108" w:type="dxa"/>
          <w:bottom w:w="0" w:type="dxa"/>
          <w:right w:w="108" w:type="dxa"/>
        </w:tblCellMar>
      </w:tblPr>
      <w:tblGrid>
        <w:gridCol w:w="4844"/>
        <w:gridCol w:w="4794"/>
      </w:tblGrid>
      <w:tr w14:paraId="29A55B86">
        <w:tblPrEx>
          <w:tblCellMar>
            <w:top w:w="0" w:type="dxa"/>
            <w:left w:w="108" w:type="dxa"/>
            <w:bottom w:w="0" w:type="dxa"/>
            <w:right w:w="108" w:type="dxa"/>
          </w:tblCellMar>
        </w:tblPrEx>
        <w:trPr>
          <w:trHeight w:val="1417" w:hRule="atLeast"/>
        </w:trPr>
        <w:tc>
          <w:tcPr>
            <w:tcW w:w="4844" w:type="dxa"/>
            <w:noWrap w:val="0"/>
            <w:vAlign w:val="center"/>
          </w:tcPr>
          <w:p w14:paraId="28E34292">
            <w:pPr>
              <w:kinsoku w:val="0"/>
              <w:spacing w:beforeLines="0" w:afterLines="0"/>
              <w:rPr>
                <w:rFonts w:hint="default" w:ascii="宋体" w:hAnsi="宋体" w:eastAsia="宋体" w:cs="宋体"/>
                <w:color w:val="000000" w:themeColor="text1"/>
                <w:sz w:val="21"/>
                <w:szCs w:val="21"/>
                <w:highlight w:val="none"/>
                <w14:textFill>
                  <w14:solidFill>
                    <w14:schemeClr w14:val="tx1"/>
                  </w14:solidFill>
                </w14:textFill>
              </w:rPr>
            </w:pPr>
            <w:r>
              <w:rPr>
                <w:rFonts w:hint="default" w:ascii="宋体" w:hAnsi="宋体" w:eastAsia="宋体" w:cs="宋体"/>
                <w:color w:val="000000" w:themeColor="text1"/>
                <w:sz w:val="21"/>
                <w:szCs w:val="21"/>
                <w:highlight w:val="none"/>
                <w14:textFill>
                  <w14:solidFill>
                    <w14:schemeClr w14:val="tx1"/>
                  </w14:solidFill>
                </w14:textFill>
              </w:rPr>
              <w:t>甲方：中建路桥集团第二工程有限公司</w:t>
            </w:r>
          </w:p>
          <w:p w14:paraId="48DC0739">
            <w:pPr>
              <w:kinsoku w:val="0"/>
              <w:spacing w:beforeLines="0" w:afterLines="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default" w:ascii="宋体" w:hAnsi="宋体" w:eastAsia="宋体" w:cs="宋体"/>
                <w:color w:val="000000" w:themeColor="text1"/>
                <w:sz w:val="21"/>
                <w:szCs w:val="21"/>
                <w:highlight w:val="none"/>
                <w14:textFill>
                  <w14:solidFill>
                    <w14:schemeClr w14:val="tx1"/>
                  </w14:solidFill>
                </w14:textFill>
              </w:rPr>
              <w:t>（合同专用章）</w:t>
            </w:r>
          </w:p>
        </w:tc>
        <w:tc>
          <w:tcPr>
            <w:tcW w:w="4794" w:type="dxa"/>
            <w:noWrap w:val="0"/>
            <w:vAlign w:val="center"/>
          </w:tcPr>
          <w:p w14:paraId="06A31620">
            <w:pPr>
              <w:kinsoku w:val="0"/>
              <w:spacing w:after="0"/>
              <w:rPr>
                <w:rFonts w:hint="eastAsia" w:ascii="宋体" w:hAnsi="宋体" w:eastAsia="宋体" w:cs="宋体"/>
                <w:color w:val="000000" w:themeColor="text1"/>
                <w:sz w:val="21"/>
                <w:szCs w:val="21"/>
                <w:highlight w:val="none"/>
                <w:u w:val="singl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w:t>
            </w:r>
          </w:p>
          <w:p w14:paraId="494BCCA0">
            <w:pPr>
              <w:kinsoku w:val="0"/>
              <w:spacing w:after="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（合同专用章或公章）</w:t>
            </w:r>
          </w:p>
        </w:tc>
      </w:tr>
      <w:tr w14:paraId="4D16FCE9">
        <w:tblPrEx>
          <w:tblCellMar>
            <w:top w:w="0" w:type="dxa"/>
            <w:left w:w="108" w:type="dxa"/>
            <w:bottom w:w="0" w:type="dxa"/>
            <w:right w:w="108" w:type="dxa"/>
          </w:tblCellMar>
        </w:tblPrEx>
        <w:trPr>
          <w:trHeight w:val="567" w:hRule="exact"/>
        </w:trPr>
        <w:tc>
          <w:tcPr>
            <w:tcW w:w="4844" w:type="dxa"/>
            <w:noWrap w:val="0"/>
            <w:vAlign w:val="center"/>
          </w:tcPr>
          <w:p w14:paraId="7DBD16D8">
            <w:pPr>
              <w:kinsoku w:val="0"/>
              <w:spacing w:beforeLines="0" w:afterLines="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default" w:ascii="宋体" w:hAnsi="宋体" w:eastAsia="宋体" w:cs="宋体"/>
                <w:color w:val="000000" w:themeColor="text1"/>
                <w:sz w:val="21"/>
                <w:szCs w:val="21"/>
                <w:highlight w:val="none"/>
                <w14:textFill>
                  <w14:solidFill>
                    <w14:schemeClr w14:val="tx1"/>
                  </w14:solidFill>
                </w14:textFill>
              </w:rPr>
              <w:t>法定代表人（签字）：</w:t>
            </w:r>
          </w:p>
        </w:tc>
        <w:tc>
          <w:tcPr>
            <w:tcW w:w="4794" w:type="dxa"/>
            <w:noWrap w:val="0"/>
            <w:vAlign w:val="center"/>
          </w:tcPr>
          <w:p w14:paraId="1C0767EB">
            <w:pPr>
              <w:kinsoku w:val="0"/>
              <w:spacing w:after="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法定代表人（签字）：</w:t>
            </w:r>
          </w:p>
        </w:tc>
      </w:tr>
      <w:tr w14:paraId="00CD8477">
        <w:tblPrEx>
          <w:tblCellMar>
            <w:top w:w="0" w:type="dxa"/>
            <w:left w:w="108" w:type="dxa"/>
            <w:bottom w:w="0" w:type="dxa"/>
            <w:right w:w="108" w:type="dxa"/>
          </w:tblCellMar>
        </w:tblPrEx>
        <w:trPr>
          <w:trHeight w:val="567" w:hRule="exact"/>
        </w:trPr>
        <w:tc>
          <w:tcPr>
            <w:tcW w:w="4844" w:type="dxa"/>
            <w:noWrap w:val="0"/>
            <w:vAlign w:val="center"/>
          </w:tcPr>
          <w:p w14:paraId="05A321A5">
            <w:pPr>
              <w:kinsoku w:val="0"/>
              <w:spacing w:beforeLines="0" w:afterLines="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default" w:ascii="宋体" w:hAnsi="宋体" w:eastAsia="宋体" w:cs="宋体"/>
                <w:color w:val="000000" w:themeColor="text1"/>
                <w:sz w:val="21"/>
                <w:szCs w:val="21"/>
                <w:highlight w:val="none"/>
                <w14:textFill>
                  <w14:solidFill>
                    <w14:schemeClr w14:val="tx1"/>
                  </w14:solidFill>
                </w14:textFill>
              </w:rPr>
              <w:t>或</w:t>
            </w:r>
          </w:p>
        </w:tc>
        <w:tc>
          <w:tcPr>
            <w:tcW w:w="4794" w:type="dxa"/>
            <w:noWrap w:val="0"/>
            <w:vAlign w:val="center"/>
          </w:tcPr>
          <w:p w14:paraId="35DDFA67">
            <w:pPr>
              <w:kinsoku w:val="0"/>
              <w:spacing w:after="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或</w:t>
            </w:r>
          </w:p>
        </w:tc>
      </w:tr>
      <w:tr w14:paraId="324B0526">
        <w:tblPrEx>
          <w:tblCellMar>
            <w:top w:w="0" w:type="dxa"/>
            <w:left w:w="108" w:type="dxa"/>
            <w:bottom w:w="0" w:type="dxa"/>
            <w:right w:w="108" w:type="dxa"/>
          </w:tblCellMar>
        </w:tblPrEx>
        <w:trPr>
          <w:trHeight w:val="567" w:hRule="exact"/>
        </w:trPr>
        <w:tc>
          <w:tcPr>
            <w:tcW w:w="4844" w:type="dxa"/>
            <w:noWrap w:val="0"/>
            <w:vAlign w:val="center"/>
          </w:tcPr>
          <w:p w14:paraId="18DD4E99">
            <w:pPr>
              <w:kinsoku w:val="0"/>
              <w:spacing w:beforeLines="0" w:afterLines="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default" w:ascii="宋体" w:hAnsi="宋体" w:eastAsia="宋体" w:cs="宋体"/>
                <w:color w:val="000000" w:themeColor="text1"/>
                <w:sz w:val="21"/>
                <w:szCs w:val="21"/>
                <w:highlight w:val="none"/>
                <w14:textFill>
                  <w14:solidFill>
                    <w14:schemeClr w14:val="tx1"/>
                  </w14:solidFill>
                </w14:textFill>
              </w:rPr>
              <w:t>委托代理人（签字）：</w:t>
            </w:r>
          </w:p>
        </w:tc>
        <w:tc>
          <w:tcPr>
            <w:tcW w:w="4794" w:type="dxa"/>
            <w:noWrap w:val="0"/>
            <w:vAlign w:val="center"/>
          </w:tcPr>
          <w:p w14:paraId="36698BDA">
            <w:pPr>
              <w:kinsoku w:val="0"/>
              <w:spacing w:after="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委托代理人（签字）：</w:t>
            </w:r>
          </w:p>
        </w:tc>
      </w:tr>
      <w:tr w14:paraId="33762FC2">
        <w:tblPrEx>
          <w:tblCellMar>
            <w:top w:w="0" w:type="dxa"/>
            <w:left w:w="108" w:type="dxa"/>
            <w:bottom w:w="0" w:type="dxa"/>
            <w:right w:w="108" w:type="dxa"/>
          </w:tblCellMar>
        </w:tblPrEx>
        <w:trPr>
          <w:trHeight w:val="567" w:hRule="exact"/>
        </w:trPr>
        <w:tc>
          <w:tcPr>
            <w:tcW w:w="4844" w:type="dxa"/>
            <w:noWrap w:val="0"/>
            <w:vAlign w:val="center"/>
          </w:tcPr>
          <w:p w14:paraId="53491BC0">
            <w:pPr>
              <w:kinsoku w:val="0"/>
              <w:spacing w:beforeLines="0" w:afterLines="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default" w:ascii="宋体" w:hAnsi="宋体" w:eastAsia="宋体" w:cs="宋体"/>
                <w:color w:val="000000" w:themeColor="text1"/>
                <w:sz w:val="21"/>
                <w:szCs w:val="21"/>
                <w:highlight w:val="none"/>
                <w14:textFill>
                  <w14:solidFill>
                    <w14:schemeClr w14:val="tx1"/>
                  </w14:solidFill>
                </w14:textFill>
              </w:rPr>
              <w:t>纳税人识别号：911301006690940535</w:t>
            </w:r>
          </w:p>
        </w:tc>
        <w:tc>
          <w:tcPr>
            <w:tcW w:w="4794" w:type="dxa"/>
            <w:noWrap w:val="0"/>
            <w:vAlign w:val="center"/>
          </w:tcPr>
          <w:p w14:paraId="7568224A">
            <w:pPr>
              <w:kinsoku w:val="0"/>
              <w:spacing w:after="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纳税人识别号：</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             </w:t>
            </w:r>
            <w:r>
              <w:rPr>
                <w:rFonts w:hint="eastAsia" w:ascii="宋体" w:hAnsi="宋体" w:eastAsia="宋体" w:cs="宋体"/>
                <w:color w:val="000000" w:themeColor="text1"/>
                <w:sz w:val="21"/>
                <w:szCs w:val="21"/>
                <w:highlight w:val="none"/>
                <w:lang w:eastAsia="zh-CN"/>
                <w14:textFill>
                  <w14:solidFill>
                    <w14:schemeClr w14:val="tx1"/>
                  </w14:solidFill>
                </w14:textFill>
              </w:rPr>
              <w:t xml:space="preserve"> </w:t>
            </w:r>
          </w:p>
        </w:tc>
      </w:tr>
      <w:tr w14:paraId="7CB1BD86">
        <w:tblPrEx>
          <w:tblCellMar>
            <w:top w:w="0" w:type="dxa"/>
            <w:left w:w="108" w:type="dxa"/>
            <w:bottom w:w="0" w:type="dxa"/>
            <w:right w:w="108" w:type="dxa"/>
          </w:tblCellMar>
        </w:tblPrEx>
        <w:trPr>
          <w:trHeight w:val="567" w:hRule="exact"/>
        </w:trPr>
        <w:tc>
          <w:tcPr>
            <w:tcW w:w="4844" w:type="dxa"/>
            <w:noWrap w:val="0"/>
            <w:vAlign w:val="center"/>
          </w:tcPr>
          <w:p w14:paraId="54FAF41D">
            <w:pPr>
              <w:kinsoku w:val="0"/>
              <w:spacing w:beforeLines="0" w:afterLines="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default" w:ascii="宋体" w:hAnsi="宋体" w:eastAsia="宋体" w:cs="宋体"/>
                <w:color w:val="000000" w:themeColor="text1"/>
                <w:sz w:val="21"/>
                <w:szCs w:val="21"/>
                <w:highlight w:val="none"/>
                <w14:textFill>
                  <w14:solidFill>
                    <w14:schemeClr w14:val="tx1"/>
                  </w14:solidFill>
                </w14:textFill>
              </w:rPr>
              <w:t>地址：广西省玉林市博白县龙潭产业园区交易集散市场办公楼二楼202室</w:t>
            </w:r>
          </w:p>
        </w:tc>
        <w:tc>
          <w:tcPr>
            <w:tcW w:w="4794" w:type="dxa"/>
            <w:noWrap w:val="0"/>
            <w:vAlign w:val="center"/>
          </w:tcPr>
          <w:p w14:paraId="499E1993">
            <w:pPr>
              <w:kinsoku w:val="0"/>
              <w:spacing w:after="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地址：</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             </w:t>
            </w:r>
          </w:p>
        </w:tc>
      </w:tr>
      <w:tr w14:paraId="65D312EE">
        <w:tblPrEx>
          <w:tblCellMar>
            <w:top w:w="0" w:type="dxa"/>
            <w:left w:w="108" w:type="dxa"/>
            <w:bottom w:w="0" w:type="dxa"/>
            <w:right w:w="108" w:type="dxa"/>
          </w:tblCellMar>
        </w:tblPrEx>
        <w:trPr>
          <w:trHeight w:val="567" w:hRule="exact"/>
        </w:trPr>
        <w:tc>
          <w:tcPr>
            <w:tcW w:w="4844" w:type="dxa"/>
            <w:noWrap w:val="0"/>
            <w:vAlign w:val="center"/>
          </w:tcPr>
          <w:p w14:paraId="37D4B9E4">
            <w:pPr>
              <w:kinsoku w:val="0"/>
              <w:spacing w:beforeLines="0" w:afterLines="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default" w:ascii="宋体" w:hAnsi="宋体" w:eastAsia="宋体" w:cs="宋体"/>
                <w:color w:val="000000" w:themeColor="text1"/>
                <w:sz w:val="21"/>
                <w:szCs w:val="21"/>
                <w:highlight w:val="none"/>
                <w14:textFill>
                  <w14:solidFill>
                    <w14:schemeClr w14:val="tx1"/>
                  </w14:solidFill>
                </w14:textFill>
              </w:rPr>
              <w:t>电话：0771-3120799</w:t>
            </w:r>
          </w:p>
        </w:tc>
        <w:tc>
          <w:tcPr>
            <w:tcW w:w="4794" w:type="dxa"/>
            <w:noWrap w:val="0"/>
            <w:vAlign w:val="center"/>
          </w:tcPr>
          <w:p w14:paraId="2A5EF53D">
            <w:pPr>
              <w:kinsoku w:val="0"/>
              <w:spacing w:after="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电话：</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             </w:t>
            </w:r>
          </w:p>
        </w:tc>
      </w:tr>
      <w:tr w14:paraId="2A1551CB">
        <w:tblPrEx>
          <w:tblCellMar>
            <w:top w:w="0" w:type="dxa"/>
            <w:left w:w="108" w:type="dxa"/>
            <w:bottom w:w="0" w:type="dxa"/>
            <w:right w:w="108" w:type="dxa"/>
          </w:tblCellMar>
        </w:tblPrEx>
        <w:trPr>
          <w:trHeight w:val="567" w:hRule="exact"/>
        </w:trPr>
        <w:tc>
          <w:tcPr>
            <w:tcW w:w="4844" w:type="dxa"/>
            <w:noWrap w:val="0"/>
            <w:vAlign w:val="center"/>
          </w:tcPr>
          <w:p w14:paraId="324AB639">
            <w:pPr>
              <w:kinsoku w:val="0"/>
              <w:spacing w:beforeLines="0" w:afterLines="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default" w:ascii="宋体" w:hAnsi="宋体" w:eastAsia="宋体" w:cs="宋体"/>
                <w:color w:val="000000" w:themeColor="text1"/>
                <w:sz w:val="21"/>
                <w:szCs w:val="21"/>
                <w:highlight w:val="none"/>
                <w14:textFill>
                  <w14:solidFill>
                    <w14:schemeClr w14:val="tx1"/>
                  </w14:solidFill>
                </w14:textFill>
              </w:rPr>
              <w:t>开户银行：广西北部湾银行南宁市琅东支行</w:t>
            </w:r>
          </w:p>
        </w:tc>
        <w:tc>
          <w:tcPr>
            <w:tcW w:w="4794" w:type="dxa"/>
            <w:noWrap w:val="0"/>
            <w:vAlign w:val="center"/>
          </w:tcPr>
          <w:p w14:paraId="133B4CBE">
            <w:pPr>
              <w:kinsoku w:val="0"/>
              <w:spacing w:after="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开户银行：</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             </w:t>
            </w:r>
          </w:p>
        </w:tc>
      </w:tr>
      <w:tr w14:paraId="5F6CC956">
        <w:tblPrEx>
          <w:tblCellMar>
            <w:top w:w="0" w:type="dxa"/>
            <w:left w:w="108" w:type="dxa"/>
            <w:bottom w:w="0" w:type="dxa"/>
            <w:right w:w="108" w:type="dxa"/>
          </w:tblCellMar>
        </w:tblPrEx>
        <w:trPr>
          <w:trHeight w:val="567" w:hRule="exact"/>
        </w:trPr>
        <w:tc>
          <w:tcPr>
            <w:tcW w:w="4844" w:type="dxa"/>
            <w:noWrap w:val="0"/>
            <w:vAlign w:val="center"/>
          </w:tcPr>
          <w:p w14:paraId="502FC818">
            <w:pPr>
              <w:kinsoku w:val="0"/>
              <w:spacing w:beforeLines="0" w:afterLines="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default" w:ascii="宋体" w:hAnsi="宋体" w:eastAsia="宋体" w:cs="宋体"/>
                <w:color w:val="000000" w:themeColor="text1"/>
                <w:sz w:val="21"/>
                <w:szCs w:val="21"/>
                <w:highlight w:val="none"/>
                <w14:textFill>
                  <w14:solidFill>
                    <w14:schemeClr w14:val="tx1"/>
                  </w14:solidFill>
                </w14:textFill>
              </w:rPr>
              <w:t>银行账号：800136608100016</w:t>
            </w:r>
          </w:p>
        </w:tc>
        <w:tc>
          <w:tcPr>
            <w:tcW w:w="4794" w:type="dxa"/>
            <w:noWrap w:val="0"/>
            <w:vAlign w:val="center"/>
          </w:tcPr>
          <w:p w14:paraId="200FA4E5">
            <w:pPr>
              <w:kinsoku w:val="0"/>
              <w:spacing w:after="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银行账号：</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             </w:t>
            </w:r>
          </w:p>
        </w:tc>
      </w:tr>
      <w:tr w14:paraId="573449A1">
        <w:tblPrEx>
          <w:tblCellMar>
            <w:top w:w="0" w:type="dxa"/>
            <w:left w:w="108" w:type="dxa"/>
            <w:bottom w:w="0" w:type="dxa"/>
            <w:right w:w="108" w:type="dxa"/>
          </w:tblCellMar>
        </w:tblPrEx>
        <w:trPr>
          <w:trHeight w:val="567" w:hRule="exact"/>
        </w:trPr>
        <w:tc>
          <w:tcPr>
            <w:tcW w:w="4844" w:type="dxa"/>
            <w:noWrap w:val="0"/>
            <w:vAlign w:val="center"/>
          </w:tcPr>
          <w:p w14:paraId="59189308">
            <w:pPr>
              <w:kinsoku w:val="0"/>
              <w:spacing w:beforeLines="0" w:afterLines="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default" w:ascii="宋体" w:hAnsi="宋体" w:eastAsia="宋体" w:cs="宋体"/>
                <w:color w:val="000000" w:themeColor="text1"/>
                <w:sz w:val="21"/>
                <w:szCs w:val="21"/>
                <w:highlight w:val="none"/>
                <w14:textFill>
                  <w14:solidFill>
                    <w14:schemeClr w14:val="tx1"/>
                  </w14:solidFill>
                </w14:textFill>
              </w:rPr>
              <w:t>联系人：</w:t>
            </w:r>
            <w:r>
              <w:rPr>
                <w:rFonts w:hint="default" w:ascii="宋体" w:hAnsi="宋体" w:eastAsia="宋体" w:cs="宋体"/>
                <w:color w:val="000000" w:themeColor="text1"/>
                <w:sz w:val="21"/>
                <w:szCs w:val="21"/>
                <w:highlight w:val="none"/>
                <w:u w:val="single"/>
                <w14:textFill>
                  <w14:solidFill>
                    <w14:schemeClr w14:val="tx1"/>
                  </w14:solidFill>
                </w14:textFill>
              </w:rPr>
              <w:t xml:space="preserve">    *****             </w:t>
            </w:r>
          </w:p>
        </w:tc>
        <w:tc>
          <w:tcPr>
            <w:tcW w:w="4794" w:type="dxa"/>
            <w:noWrap w:val="0"/>
            <w:vAlign w:val="center"/>
          </w:tcPr>
          <w:p w14:paraId="43EC1B56">
            <w:pPr>
              <w:kinsoku w:val="0"/>
              <w:spacing w:after="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开户银行行号：</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             </w:t>
            </w:r>
          </w:p>
        </w:tc>
      </w:tr>
      <w:tr w14:paraId="7DF6C38D">
        <w:tblPrEx>
          <w:tblCellMar>
            <w:top w:w="0" w:type="dxa"/>
            <w:left w:w="108" w:type="dxa"/>
            <w:bottom w:w="0" w:type="dxa"/>
            <w:right w:w="108" w:type="dxa"/>
          </w:tblCellMar>
        </w:tblPrEx>
        <w:trPr>
          <w:trHeight w:val="567" w:hRule="exact"/>
        </w:trPr>
        <w:tc>
          <w:tcPr>
            <w:tcW w:w="4844" w:type="dxa"/>
            <w:noWrap w:val="0"/>
            <w:vAlign w:val="center"/>
          </w:tcPr>
          <w:p w14:paraId="0F2760B2">
            <w:pPr>
              <w:kinsoku w:val="0"/>
              <w:spacing w:beforeLines="0" w:afterLines="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default" w:ascii="宋体" w:hAnsi="宋体" w:eastAsia="宋体" w:cs="宋体"/>
                <w:color w:val="000000" w:themeColor="text1"/>
                <w:sz w:val="21"/>
                <w:szCs w:val="21"/>
                <w:highlight w:val="none"/>
                <w14:textFill>
                  <w14:solidFill>
                    <w14:schemeClr w14:val="tx1"/>
                  </w14:solidFill>
                </w14:textFill>
              </w:rPr>
              <w:t>联系电话：</w:t>
            </w:r>
            <w:r>
              <w:rPr>
                <w:rFonts w:hint="default" w:ascii="宋体" w:hAnsi="宋体" w:eastAsia="宋体" w:cs="宋体"/>
                <w:color w:val="000000" w:themeColor="text1"/>
                <w:sz w:val="21"/>
                <w:szCs w:val="21"/>
                <w:highlight w:val="none"/>
                <w:u w:val="single"/>
                <w14:textFill>
                  <w14:solidFill>
                    <w14:schemeClr w14:val="tx1"/>
                  </w14:solidFill>
                </w14:textFill>
              </w:rPr>
              <w:t xml:space="preserve">    *****             </w:t>
            </w:r>
          </w:p>
        </w:tc>
        <w:tc>
          <w:tcPr>
            <w:tcW w:w="4794" w:type="dxa"/>
            <w:noWrap w:val="0"/>
            <w:vAlign w:val="center"/>
          </w:tcPr>
          <w:p w14:paraId="69BD09E9">
            <w:pPr>
              <w:kinsoku w:val="0"/>
              <w:spacing w:after="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联系人：</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             </w:t>
            </w:r>
          </w:p>
        </w:tc>
      </w:tr>
      <w:tr w14:paraId="1F3EC93A">
        <w:tblPrEx>
          <w:tblCellMar>
            <w:top w:w="0" w:type="dxa"/>
            <w:left w:w="108" w:type="dxa"/>
            <w:bottom w:w="0" w:type="dxa"/>
            <w:right w:w="108" w:type="dxa"/>
          </w:tblCellMar>
        </w:tblPrEx>
        <w:trPr>
          <w:trHeight w:val="567" w:hRule="exact"/>
        </w:trPr>
        <w:tc>
          <w:tcPr>
            <w:tcW w:w="4844" w:type="dxa"/>
            <w:noWrap w:val="0"/>
            <w:vAlign w:val="center"/>
          </w:tcPr>
          <w:p w14:paraId="10F3423A">
            <w:pPr>
              <w:kinsoku w:val="0"/>
              <w:spacing w:beforeLines="0" w:afterLines="0"/>
              <w:rPr>
                <w:rFonts w:hint="eastAsia" w:ascii="宋体" w:hAnsi="宋体" w:eastAsia="宋体" w:cs="宋体"/>
                <w:color w:val="000000" w:themeColor="text1"/>
                <w:sz w:val="21"/>
                <w:szCs w:val="21"/>
                <w:highlight w:val="none"/>
                <w:lang w:eastAsia="zh-CN"/>
                <w14:textFill>
                  <w14:solidFill>
                    <w14:schemeClr w14:val="tx1"/>
                  </w14:solidFill>
                </w14:textFill>
              </w:rPr>
            </w:pPr>
          </w:p>
        </w:tc>
        <w:tc>
          <w:tcPr>
            <w:tcW w:w="4794" w:type="dxa"/>
            <w:noWrap w:val="0"/>
            <w:vAlign w:val="center"/>
          </w:tcPr>
          <w:p w14:paraId="026E1218">
            <w:pPr>
              <w:kinsoku w:val="0"/>
              <w:spacing w:after="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联系电话：</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             </w:t>
            </w:r>
          </w:p>
        </w:tc>
      </w:tr>
    </w:tbl>
    <w:p w14:paraId="4A459FB6">
      <w:pPr>
        <w:kinsoku w:val="0"/>
        <w:spacing w:line="240" w:lineRule="auto"/>
        <w:ind w:left="158" w:leftChars="75"/>
        <w:rPr>
          <w:color w:val="000000" w:themeColor="text1"/>
          <w:highlight w:val="none"/>
          <w:lang w:eastAsia="zh-CN"/>
          <w14:textFill>
            <w14:solidFill>
              <w14:schemeClr w14:val="tx1"/>
            </w14:solidFill>
          </w14:textFill>
        </w:rPr>
      </w:pPr>
      <w:bookmarkStart w:id="721" w:name="_Toc9997"/>
      <w:bookmarkStart w:id="722" w:name="_Toc18153"/>
      <w:bookmarkStart w:id="723" w:name="_Toc14254"/>
      <w:bookmarkStart w:id="724" w:name="_Toc47"/>
      <w:bookmarkStart w:id="725" w:name="_Toc29921"/>
      <w:bookmarkStart w:id="726" w:name="_Toc21478"/>
      <w:bookmarkStart w:id="727" w:name="_Toc7477"/>
      <w:bookmarkStart w:id="728" w:name="_Toc6860"/>
      <w:bookmarkStart w:id="729" w:name="_Toc29121"/>
      <w:bookmarkStart w:id="730" w:name="_Toc101357414"/>
      <w:bookmarkStart w:id="731" w:name="_Toc22648"/>
      <w:bookmarkStart w:id="732" w:name="_Toc25679"/>
      <w:bookmarkStart w:id="733" w:name="_Toc20750"/>
      <w:bookmarkStart w:id="734" w:name="_Toc5545"/>
      <w:bookmarkStart w:id="735" w:name="_Toc30871"/>
      <w:bookmarkStart w:id="736" w:name="_Toc20736"/>
      <w:bookmarkStart w:id="737" w:name="_Toc101963481"/>
      <w:bookmarkStart w:id="738" w:name="_Toc30455"/>
      <w:bookmarkStart w:id="739" w:name="_Toc6057"/>
      <w:bookmarkStart w:id="740" w:name="_Toc10193"/>
    </w:p>
    <w:p w14:paraId="4DCE8F4A">
      <w:pPr>
        <w:kinsoku w:val="0"/>
        <w:spacing w:after="0" w:line="240" w:lineRule="auto"/>
        <w:rPr>
          <w:color w:val="000000" w:themeColor="text1"/>
          <w:highlight w:val="none"/>
          <w:lang w:eastAsia="zh-CN"/>
          <w14:textFill>
            <w14:solidFill>
              <w14:schemeClr w14:val="tx1"/>
            </w14:solidFill>
          </w14:textFill>
        </w:rPr>
        <w:sectPr>
          <w:footerReference r:id="rId13" w:type="default"/>
          <w:pgSz w:w="11906" w:h="16838"/>
          <w:pgMar w:top="1134" w:right="1134" w:bottom="1134" w:left="1134" w:header="851" w:footer="850" w:gutter="0"/>
          <w:pgNumType w:start="1"/>
          <w:cols w:space="720" w:num="1"/>
          <w:docGrid w:type="lines" w:linePitch="312" w:charSpace="0"/>
        </w:sectPr>
      </w:pPr>
    </w:p>
    <w:p w14:paraId="1E5C0930">
      <w:pPr>
        <w:kinsoku w:val="0"/>
        <w:ind w:left="158" w:leftChars="75"/>
        <w:jc w:val="center"/>
        <w:outlineLvl w:val="0"/>
        <w:rPr>
          <w:rFonts w:hint="eastAsia" w:ascii="宋体" w:hAnsi="宋体"/>
          <w:b/>
          <w:color w:val="000000" w:themeColor="text1"/>
          <w:sz w:val="32"/>
          <w:szCs w:val="32"/>
          <w:highlight w:val="none"/>
          <w:lang w:eastAsia="zh-CN"/>
          <w14:textFill>
            <w14:solidFill>
              <w14:schemeClr w14:val="tx1"/>
            </w14:solidFill>
          </w14:textFill>
        </w:rPr>
      </w:pPr>
      <w:bookmarkStart w:id="741" w:name="_Toc175764418"/>
      <w:r>
        <w:rPr>
          <w:rFonts w:hint="eastAsia" w:ascii="宋体" w:hAnsi="宋体"/>
          <w:b/>
          <w:color w:val="000000" w:themeColor="text1"/>
          <w:sz w:val="32"/>
          <w:szCs w:val="32"/>
          <w:highlight w:val="none"/>
          <w:lang w:eastAsia="zh-CN"/>
          <w14:textFill>
            <w14:solidFill>
              <w14:schemeClr w14:val="tx1"/>
            </w14:solidFill>
          </w14:textFill>
        </w:rPr>
        <w:t>第二部分 通用合同条款</w:t>
      </w:r>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p>
    <w:p w14:paraId="12EA4EF5">
      <w:pPr>
        <w:numPr>
          <w:ilvl w:val="0"/>
          <w:numId w:val="6"/>
        </w:numPr>
        <w:kinsoku w:val="0"/>
        <w:spacing w:after="0" w:line="360" w:lineRule="auto"/>
        <w:jc w:val="both"/>
        <w:outlineLvl w:val="1"/>
        <w:rPr>
          <w:rFonts w:hint="eastAsia" w:ascii="宋体" w:hAnsi="宋体" w:eastAsia="宋体" w:cs="宋体"/>
          <w:b/>
          <w:color w:val="000000" w:themeColor="text1"/>
          <w:sz w:val="21"/>
          <w:szCs w:val="21"/>
          <w:highlight w:val="none"/>
          <w14:textFill>
            <w14:solidFill>
              <w14:schemeClr w14:val="tx1"/>
            </w14:solidFill>
          </w14:textFill>
        </w:rPr>
      </w:pPr>
      <w:bookmarkStart w:id="742" w:name="_Toc303538973"/>
      <w:bookmarkEnd w:id="742"/>
      <w:bookmarkStart w:id="743" w:name="_Toc303538976"/>
      <w:bookmarkEnd w:id="743"/>
      <w:bookmarkStart w:id="744" w:name="_Toc303538975"/>
      <w:bookmarkEnd w:id="744"/>
      <w:bookmarkStart w:id="745" w:name="_Toc303538972"/>
      <w:bookmarkEnd w:id="745"/>
      <w:bookmarkStart w:id="746" w:name="_Toc303538974"/>
      <w:bookmarkEnd w:id="746"/>
      <w:bookmarkStart w:id="747" w:name="_Toc101963482"/>
      <w:bookmarkStart w:id="748" w:name="_Toc14272"/>
      <w:bookmarkStart w:id="749" w:name="_Toc26284"/>
      <w:bookmarkStart w:id="750" w:name="_Toc101357415"/>
      <w:bookmarkStart w:id="751" w:name="_Toc17580"/>
      <w:bookmarkStart w:id="752" w:name="_Toc175764419"/>
      <w:bookmarkStart w:id="753" w:name="_Toc13130"/>
      <w:bookmarkStart w:id="754" w:name="_Toc32658"/>
      <w:bookmarkStart w:id="755" w:name="_Toc11140"/>
      <w:bookmarkStart w:id="756" w:name="_Toc17620"/>
      <w:bookmarkStart w:id="757" w:name="_Toc29619"/>
      <w:bookmarkStart w:id="758" w:name="_Toc10833"/>
      <w:bookmarkStart w:id="759" w:name="_Toc2869"/>
      <w:bookmarkStart w:id="760" w:name="_Toc15310"/>
      <w:bookmarkStart w:id="761" w:name="_Toc23392"/>
      <w:bookmarkStart w:id="762" w:name="_Toc7886"/>
      <w:bookmarkStart w:id="763" w:name="_Toc3750"/>
      <w:r>
        <w:rPr>
          <w:rFonts w:hint="eastAsia" w:ascii="宋体" w:hAnsi="宋体" w:eastAsia="宋体" w:cs="宋体"/>
          <w:b/>
          <w:color w:val="000000" w:themeColor="text1"/>
          <w:sz w:val="21"/>
          <w:szCs w:val="21"/>
          <w:highlight w:val="none"/>
          <w:lang w:eastAsia="zh-CN"/>
          <w14:textFill>
            <w14:solidFill>
              <w14:schemeClr w14:val="tx1"/>
            </w14:solidFill>
          </w14:textFill>
        </w:rPr>
        <w:t>词语解释</w:t>
      </w:r>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p>
    <w:p w14:paraId="7589D080">
      <w:pPr>
        <w:kinsoku w:val="0"/>
        <w:spacing w:after="0" w:line="360" w:lineRule="auto"/>
        <w:ind w:left="158" w:leftChars="75"/>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合同协议书、通用合同条款、专用合同条款中的下列词语应具有本款所赋予的含义：</w:t>
      </w:r>
    </w:p>
    <w:p w14:paraId="6325EE98">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总承包合同：指建设单位和甲方双方共同签署的施工总承包合同。</w:t>
      </w:r>
    </w:p>
    <w:p w14:paraId="3C29156F">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本分包合同：指甲方和乙方双方共同签署本分包工程的施工合同。</w:t>
      </w:r>
    </w:p>
    <w:p w14:paraId="7882DCDA">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建设单位：是指在总承包合同中与甲方订立合同协议书的当事人及取得该当事人资格的合法继受人。</w:t>
      </w:r>
    </w:p>
    <w:p w14:paraId="529DEB51">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甲方：是指在总承包合同中与建设单位订立合同协议书的当事人及取得该当事人资格的合法继受人。</w:t>
      </w:r>
    </w:p>
    <w:p w14:paraId="733AAF05">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乙方：是指在本分包合同中与甲方订立合同协议书的当事人及取得该当事人资格的合法继受人。</w:t>
      </w:r>
    </w:p>
    <w:p w14:paraId="259449CB">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监理单位：指建设单位聘请的整体工程的监理单位。</w:t>
      </w:r>
    </w:p>
    <w:p w14:paraId="3C272A74">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甲方项目经理：指甲方在本分包合同中指定的负责施工管理、履行总承包合同及本分包合同的代表。</w:t>
      </w:r>
    </w:p>
    <w:p w14:paraId="3C4A2DE1">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乙方项目经理：指由乙方在本分包合同中指定的负责施工管理和履行合同的代表。</w:t>
      </w:r>
    </w:p>
    <w:p w14:paraId="4C9DE1A8">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整体工程：指甲方与建设单位签订的总承包合同中约定由甲方负责实施、竣工和修补质量缺陷的有关工程。</w:t>
      </w:r>
    </w:p>
    <w:p w14:paraId="406A6DC2">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本分包工程：指乙方按本分包合同约定负责实施、完工和修补质量缺陷的整体工程内的有关工程。</w:t>
      </w:r>
    </w:p>
    <w:p w14:paraId="4469F1B0">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图纸：指包含在本分包合同中的工程图纸，以及由甲方按本分包合同约定提供的任何补充和修改的图纸，包括配套的说明。</w:t>
      </w:r>
    </w:p>
    <w:p w14:paraId="3A5A8334">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日、天：除特别指明外，指日历天。合同中按天计算时间的，开始当天不计入，从次日开始计算。期限最后一天的截止时间为当天24:00。</w:t>
      </w:r>
    </w:p>
    <w:p w14:paraId="704FB575">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缺陷责任期：是指甲方预留工程质量保证金以保证乙方履行第20.1条约定的缺陷责任的期限。</w:t>
      </w:r>
    </w:p>
    <w:p w14:paraId="7313E35E">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质量保修期：是指乙方按照合同第20.2条约定和法律规定对工程质量承担保修责任的期限。</w:t>
      </w:r>
    </w:p>
    <w:p w14:paraId="1C9D03F4">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实名制管理：指利用实名制信息管理系统，采集建设工程项目人员身份信息、居住信息、劳动关系、工资发放、考勤信息、工作经历、良好行为及不良行为、执业证书、安全培训证书等基本信息，建立现场人员的信息档案，对建设工程项目人员进行组织化、信息化管理的制度。</w:t>
      </w:r>
    </w:p>
    <w:p w14:paraId="22ECED8B">
      <w:pPr>
        <w:numPr>
          <w:ilvl w:val="0"/>
          <w:numId w:val="6"/>
        </w:numPr>
        <w:kinsoku w:val="0"/>
        <w:spacing w:after="0" w:line="360" w:lineRule="auto"/>
        <w:jc w:val="both"/>
        <w:outlineLvl w:val="1"/>
        <w:rPr>
          <w:rFonts w:hint="eastAsia" w:ascii="宋体" w:hAnsi="宋体" w:eastAsia="宋体" w:cs="宋体"/>
          <w:b/>
          <w:color w:val="000000" w:themeColor="text1"/>
          <w:sz w:val="21"/>
          <w:szCs w:val="21"/>
          <w:highlight w:val="none"/>
          <w14:textFill>
            <w14:solidFill>
              <w14:schemeClr w14:val="tx1"/>
            </w14:solidFill>
          </w14:textFill>
        </w:rPr>
      </w:pPr>
      <w:bookmarkStart w:id="764" w:name="_Toc101357416"/>
      <w:bookmarkStart w:id="765" w:name="_Toc29050"/>
      <w:bookmarkStart w:id="766" w:name="_Toc23135"/>
      <w:bookmarkStart w:id="767" w:name="_Toc27924"/>
      <w:bookmarkStart w:id="768" w:name="_Toc1668"/>
      <w:bookmarkStart w:id="769" w:name="_Toc2269"/>
      <w:bookmarkStart w:id="770" w:name="_Toc25260"/>
      <w:bookmarkStart w:id="771" w:name="_Toc175764420"/>
      <w:bookmarkStart w:id="772" w:name="_Toc11909"/>
      <w:bookmarkStart w:id="773" w:name="_Toc14170"/>
      <w:bookmarkStart w:id="774" w:name="_Toc9151"/>
      <w:bookmarkStart w:id="775" w:name="_Toc4355"/>
      <w:bookmarkStart w:id="776" w:name="_Toc15530"/>
      <w:bookmarkStart w:id="777" w:name="_Toc13230"/>
      <w:bookmarkStart w:id="778" w:name="_Toc101963483"/>
      <w:bookmarkStart w:id="779" w:name="_Toc25557"/>
      <w:bookmarkStart w:id="780" w:name="_Toc31420"/>
      <w:r>
        <w:rPr>
          <w:rFonts w:hint="eastAsia" w:ascii="宋体" w:hAnsi="宋体" w:eastAsia="宋体" w:cs="宋体"/>
          <w:b/>
          <w:color w:val="000000" w:themeColor="text1"/>
          <w:sz w:val="21"/>
          <w:szCs w:val="21"/>
          <w:highlight w:val="none"/>
          <w14:textFill>
            <w14:solidFill>
              <w14:schemeClr w14:val="tx1"/>
            </w14:solidFill>
          </w14:textFill>
        </w:rPr>
        <w:t>适用法律法规</w:t>
      </w:r>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p>
    <w:p w14:paraId="640AAC69">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bookmarkStart w:id="781" w:name="A2"/>
      <w:bookmarkEnd w:id="781"/>
      <w:r>
        <w:rPr>
          <w:rFonts w:hint="eastAsia" w:ascii="宋体" w:hAnsi="宋体" w:eastAsia="宋体" w:cs="宋体"/>
          <w:color w:val="000000" w:themeColor="text1"/>
          <w:sz w:val="21"/>
          <w:szCs w:val="21"/>
          <w:highlight w:val="none"/>
          <w:lang w:eastAsia="zh-CN"/>
          <w14:textFill>
            <w14:solidFill>
              <w14:schemeClr w14:val="tx1"/>
            </w14:solidFill>
          </w14:textFill>
        </w:rPr>
        <w:t>适用于合同的法律包括中华人民共和国正式颁布实施的法律、行政法规、部门规章，以及工程所在地的地方法规、自治条例、单行条例和地方政府规章。</w:t>
      </w:r>
    </w:p>
    <w:p w14:paraId="61F161BC">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如在合同有效期内，颁布新的法律法规或修订了原有法律法规，则此后继的法律法规将自动适用于本合同。</w:t>
      </w:r>
    </w:p>
    <w:p w14:paraId="4E6C704F">
      <w:pPr>
        <w:numPr>
          <w:ilvl w:val="0"/>
          <w:numId w:val="6"/>
        </w:numPr>
        <w:kinsoku w:val="0"/>
        <w:spacing w:after="0" w:line="360" w:lineRule="auto"/>
        <w:jc w:val="both"/>
        <w:outlineLvl w:val="1"/>
        <w:rPr>
          <w:rFonts w:hint="eastAsia" w:ascii="宋体" w:hAnsi="宋体" w:eastAsia="宋体" w:cs="宋体"/>
          <w:b/>
          <w:color w:val="000000" w:themeColor="text1"/>
          <w:sz w:val="21"/>
          <w:szCs w:val="21"/>
          <w:highlight w:val="none"/>
          <w14:textFill>
            <w14:solidFill>
              <w14:schemeClr w14:val="tx1"/>
            </w14:solidFill>
          </w14:textFill>
        </w:rPr>
      </w:pPr>
      <w:bookmarkStart w:id="782" w:name="_Toc175764421"/>
      <w:bookmarkStart w:id="783" w:name="_Toc101963484"/>
      <w:bookmarkStart w:id="784" w:name="_Toc101357417"/>
      <w:bookmarkStart w:id="785" w:name="_Toc13199"/>
      <w:bookmarkStart w:id="786" w:name="_Toc9473"/>
      <w:bookmarkStart w:id="787" w:name="_Toc31847"/>
      <w:bookmarkStart w:id="788" w:name="_Toc9548"/>
      <w:bookmarkStart w:id="789" w:name="_Toc7548"/>
      <w:bookmarkStart w:id="790" w:name="_Toc24914"/>
      <w:bookmarkStart w:id="791" w:name="_Toc8612"/>
      <w:bookmarkStart w:id="792" w:name="_Toc19987"/>
      <w:bookmarkStart w:id="793" w:name="_Toc6632"/>
      <w:bookmarkStart w:id="794" w:name="_Toc1257"/>
      <w:bookmarkStart w:id="795" w:name="_Toc18612"/>
      <w:bookmarkStart w:id="796" w:name="_Toc22228"/>
      <w:bookmarkStart w:id="797" w:name="_Toc26613"/>
      <w:bookmarkStart w:id="798" w:name="_Toc15005"/>
      <w:r>
        <w:rPr>
          <w:rFonts w:hint="eastAsia" w:ascii="宋体" w:hAnsi="宋体" w:eastAsia="宋体" w:cs="宋体"/>
          <w:b/>
          <w:color w:val="000000" w:themeColor="text1"/>
          <w:sz w:val="21"/>
          <w:szCs w:val="21"/>
          <w:highlight w:val="none"/>
          <w14:textFill>
            <w14:solidFill>
              <w14:schemeClr w14:val="tx1"/>
            </w14:solidFill>
          </w14:textFill>
        </w:rPr>
        <w:t>标准和规范</w:t>
      </w:r>
      <w:bookmarkEnd w:id="782"/>
      <w:bookmarkEnd w:id="783"/>
      <w:bookmarkEnd w:id="784"/>
    </w:p>
    <w:p w14:paraId="31DC93A3">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本分包工程适用现行国家、行业和工程所在地市规范、标准和规程。所采用的标准与规范应满足施工图纸、设计单位的要求；满足国家、地方、行业颁布以及后续颁布的规范、标准、规程；满足国家、地方颁布实施的有关法律、法规、文件等。上述图纸、标准、规范、规程若有不一致或矛盾之处，按较为严格标准执行。</w:t>
      </w:r>
    </w:p>
    <w:p w14:paraId="37CFDD0C">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构成合同文件的任何内容与国家、行业和工程所在地市现行规范、规程和标准出现矛盾时，乙方应书面要求甲方予以澄清，除非甲方有特别指令，乙方应按其中要求最严格的标准执行。</w:t>
      </w:r>
    </w:p>
    <w:p w14:paraId="5E94BD23">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除合同另有约定外，材料、施工工艺和本分包工程应按技术标准和要求以及国家、行业和工程所在地市现行规范、标准和规程最新版本执行。</w:t>
      </w:r>
    </w:p>
    <w:p w14:paraId="43257886">
      <w:pPr>
        <w:numPr>
          <w:ilvl w:val="0"/>
          <w:numId w:val="6"/>
        </w:numPr>
        <w:kinsoku w:val="0"/>
        <w:spacing w:after="0" w:line="360" w:lineRule="auto"/>
        <w:jc w:val="both"/>
        <w:outlineLvl w:val="1"/>
        <w:rPr>
          <w:rFonts w:hint="eastAsia" w:ascii="宋体" w:hAnsi="宋体" w:eastAsia="宋体" w:cs="宋体"/>
          <w:b/>
          <w:color w:val="000000" w:themeColor="text1"/>
          <w:sz w:val="21"/>
          <w:szCs w:val="21"/>
          <w:highlight w:val="none"/>
          <w:lang w:eastAsia="zh-CN"/>
          <w14:textFill>
            <w14:solidFill>
              <w14:schemeClr w14:val="tx1"/>
            </w14:solidFill>
          </w14:textFill>
        </w:rPr>
      </w:pPr>
      <w:bookmarkStart w:id="799" w:name="_Toc101357418"/>
      <w:bookmarkStart w:id="800" w:name="_Toc175764422"/>
      <w:bookmarkStart w:id="801" w:name="_Toc101963485"/>
      <w:r>
        <w:rPr>
          <w:rFonts w:hint="eastAsia" w:ascii="宋体" w:hAnsi="宋体" w:eastAsia="宋体" w:cs="宋体"/>
          <w:b/>
          <w:color w:val="000000" w:themeColor="text1"/>
          <w:sz w:val="21"/>
          <w:szCs w:val="21"/>
          <w:highlight w:val="none"/>
          <w:lang w:eastAsia="zh-CN"/>
          <w14:textFill>
            <w14:solidFill>
              <w14:schemeClr w14:val="tx1"/>
            </w14:solidFill>
          </w14:textFill>
        </w:rPr>
        <w:t>合同文件组成及解释顺序</w:t>
      </w:r>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p>
    <w:p w14:paraId="53778950">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除专用合同条款另有约定外，组成本合同的文件及优先解释顺序如下：</w:t>
      </w:r>
    </w:p>
    <w:p w14:paraId="6F2BBCA2">
      <w:pPr>
        <w:pStyle w:val="87"/>
        <w:numPr>
          <w:ilvl w:val="0"/>
          <w:numId w:val="7"/>
        </w:numPr>
        <w:kinsoku w:val="0"/>
        <w:spacing w:after="0" w:line="360" w:lineRule="auto"/>
        <w:ind w:firstLineChars="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合同协议书；</w:t>
      </w:r>
    </w:p>
    <w:p w14:paraId="0CCADA79">
      <w:pPr>
        <w:pStyle w:val="87"/>
        <w:numPr>
          <w:ilvl w:val="0"/>
          <w:numId w:val="7"/>
        </w:numPr>
        <w:kinsoku w:val="0"/>
        <w:spacing w:after="0" w:line="360" w:lineRule="auto"/>
        <w:ind w:firstLineChars="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中标通知书（如有）；</w:t>
      </w:r>
    </w:p>
    <w:p w14:paraId="7055D4B3">
      <w:pPr>
        <w:pStyle w:val="87"/>
        <w:numPr>
          <w:ilvl w:val="0"/>
          <w:numId w:val="7"/>
        </w:numPr>
        <w:kinsoku w:val="0"/>
        <w:spacing w:after="0" w:line="360" w:lineRule="auto"/>
        <w:ind w:firstLineChars="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专用合同条款及承诺书等合同附件；</w:t>
      </w:r>
    </w:p>
    <w:p w14:paraId="39AE2412">
      <w:pPr>
        <w:pStyle w:val="87"/>
        <w:numPr>
          <w:ilvl w:val="0"/>
          <w:numId w:val="7"/>
        </w:numPr>
        <w:kinsoku w:val="0"/>
        <w:spacing w:after="0" w:line="360" w:lineRule="auto"/>
        <w:ind w:firstLineChars="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通用合同条款；</w:t>
      </w:r>
    </w:p>
    <w:p w14:paraId="4AFEA5AE">
      <w:pPr>
        <w:pStyle w:val="87"/>
        <w:numPr>
          <w:ilvl w:val="0"/>
          <w:numId w:val="7"/>
        </w:numPr>
        <w:kinsoku w:val="0"/>
        <w:spacing w:after="0" w:line="360" w:lineRule="auto"/>
        <w:ind w:firstLineChars="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标准、规范及有关技术标准和要求；</w:t>
      </w:r>
    </w:p>
    <w:p w14:paraId="63A851B8">
      <w:pPr>
        <w:pStyle w:val="87"/>
        <w:numPr>
          <w:ilvl w:val="0"/>
          <w:numId w:val="7"/>
        </w:numPr>
        <w:kinsoku w:val="0"/>
        <w:spacing w:after="0" w:line="360" w:lineRule="auto"/>
        <w:ind w:firstLineChars="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施工图纸、施工组织设计或施工方案；</w:t>
      </w:r>
    </w:p>
    <w:p w14:paraId="102E6854">
      <w:pPr>
        <w:pStyle w:val="87"/>
        <w:numPr>
          <w:ilvl w:val="0"/>
          <w:numId w:val="7"/>
        </w:numPr>
        <w:kinsoku w:val="0"/>
        <w:spacing w:after="0" w:line="360" w:lineRule="auto"/>
        <w:ind w:firstLineChars="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已标价的工程量清单；</w:t>
      </w:r>
    </w:p>
    <w:p w14:paraId="4F9947F4">
      <w:pPr>
        <w:pStyle w:val="87"/>
        <w:numPr>
          <w:ilvl w:val="0"/>
          <w:numId w:val="7"/>
        </w:numPr>
        <w:kinsoku w:val="0"/>
        <w:spacing w:after="0" w:line="360" w:lineRule="auto"/>
        <w:ind w:firstLineChars="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往来资料及函件；</w:t>
      </w:r>
    </w:p>
    <w:p w14:paraId="20AC31E7">
      <w:pPr>
        <w:pStyle w:val="87"/>
        <w:numPr>
          <w:ilvl w:val="0"/>
          <w:numId w:val="7"/>
        </w:numPr>
        <w:kinsoku w:val="0"/>
        <w:spacing w:after="0" w:line="360" w:lineRule="auto"/>
        <w:ind w:firstLineChars="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采购文件及补遗文件（如有）；</w:t>
      </w:r>
    </w:p>
    <w:p w14:paraId="352E49AA">
      <w:pPr>
        <w:pStyle w:val="87"/>
        <w:numPr>
          <w:ilvl w:val="0"/>
          <w:numId w:val="7"/>
        </w:numPr>
        <w:kinsoku w:val="0"/>
        <w:spacing w:after="0" w:line="360" w:lineRule="auto"/>
        <w:ind w:firstLineChars="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甲方现场管理制度及要求；</w:t>
      </w:r>
    </w:p>
    <w:p w14:paraId="1319B9F9">
      <w:pPr>
        <w:pStyle w:val="87"/>
        <w:numPr>
          <w:ilvl w:val="0"/>
          <w:numId w:val="7"/>
        </w:numPr>
        <w:kinsoku w:val="0"/>
        <w:spacing w:after="0" w:line="360" w:lineRule="auto"/>
        <w:ind w:firstLineChars="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投标文件及附件；</w:t>
      </w:r>
    </w:p>
    <w:p w14:paraId="698F53CF">
      <w:pPr>
        <w:pStyle w:val="87"/>
        <w:numPr>
          <w:ilvl w:val="0"/>
          <w:numId w:val="7"/>
        </w:numPr>
        <w:kinsoku w:val="0"/>
        <w:spacing w:after="0" w:line="360" w:lineRule="auto"/>
        <w:ind w:firstLineChars="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与本合同有关的其他文件。</w:t>
      </w:r>
    </w:p>
    <w:p w14:paraId="3ECCBC54">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在合同订立及履行过程中形成的与合同有关的文件均为合同文件的组成部分。</w:t>
      </w:r>
    </w:p>
    <w:p w14:paraId="0B2E0BFB">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上述各项合同文件中包括合同当事人就该项合同文件所做出的补充和修改，属于同一类型内容的文件应以最新签署的为准。</w:t>
      </w:r>
    </w:p>
    <w:p w14:paraId="42C803D7">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组成合同的各项文件应互相解释，互为说明。本合同约定解释合同文件的优先顺序同上述排列次序，在合同订立及履行过程中形成的与合同有关的文件根据其性质确定优先解释顺序。当合同文件与工程规范、技术要求不一致时，应以要求较高的标准执行。</w:t>
      </w:r>
    </w:p>
    <w:p w14:paraId="0D1D5E5C">
      <w:pPr>
        <w:numPr>
          <w:ilvl w:val="0"/>
          <w:numId w:val="6"/>
        </w:numPr>
        <w:kinsoku w:val="0"/>
        <w:spacing w:after="0" w:line="360" w:lineRule="auto"/>
        <w:jc w:val="both"/>
        <w:outlineLvl w:val="1"/>
        <w:rPr>
          <w:rFonts w:hint="eastAsia" w:ascii="宋体" w:hAnsi="宋体" w:eastAsia="宋体" w:cs="宋体"/>
          <w:b/>
          <w:color w:val="000000" w:themeColor="text1"/>
          <w:sz w:val="21"/>
          <w:szCs w:val="21"/>
          <w:highlight w:val="none"/>
          <w14:textFill>
            <w14:solidFill>
              <w14:schemeClr w14:val="tx1"/>
            </w14:solidFill>
          </w14:textFill>
        </w:rPr>
      </w:pPr>
      <w:bookmarkStart w:id="802" w:name="_Toc10197"/>
      <w:bookmarkStart w:id="803" w:name="_Toc23198"/>
      <w:bookmarkStart w:id="804" w:name="_Toc101963486"/>
      <w:bookmarkStart w:id="805" w:name="_Toc26319"/>
      <w:bookmarkStart w:id="806" w:name="_Toc24518"/>
      <w:bookmarkStart w:id="807" w:name="_Toc494"/>
      <w:bookmarkStart w:id="808" w:name="_Toc8737"/>
      <w:bookmarkStart w:id="809" w:name="_Toc32415"/>
      <w:bookmarkStart w:id="810" w:name="_Toc28671"/>
      <w:bookmarkStart w:id="811" w:name="_Toc10762"/>
      <w:bookmarkStart w:id="812" w:name="_Toc2101"/>
      <w:bookmarkStart w:id="813" w:name="_Toc101357419"/>
      <w:bookmarkStart w:id="814" w:name="_Toc12825"/>
      <w:bookmarkStart w:id="815" w:name="_Toc175764423"/>
      <w:bookmarkStart w:id="816" w:name="_Toc5199"/>
      <w:bookmarkStart w:id="817" w:name="_Toc3330"/>
      <w:bookmarkStart w:id="818" w:name="_Toc24763"/>
      <w:r>
        <w:rPr>
          <w:rFonts w:hint="eastAsia" w:ascii="宋体" w:hAnsi="宋体" w:eastAsia="宋体" w:cs="宋体"/>
          <w:b/>
          <w:color w:val="000000" w:themeColor="text1"/>
          <w:sz w:val="21"/>
          <w:szCs w:val="21"/>
          <w:highlight w:val="none"/>
          <w14:textFill>
            <w14:solidFill>
              <w14:schemeClr w14:val="tx1"/>
            </w14:solidFill>
          </w14:textFill>
        </w:rPr>
        <w:t>甲方工作</w:t>
      </w:r>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p>
    <w:p w14:paraId="69FCEC57">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负责将电源配送至一、二级电箱及线路装配。</w:t>
      </w:r>
    </w:p>
    <w:p w14:paraId="344AD391">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代表甲方行使本合同权利、履行本合同义务的机构是其成立的项目部，负责人为项目经理，代表甲方行使本合同的约定责任。对乙方不服从现场管理或有其他违约行为，项目经理可下达整改、处罚通知、追究违约责任。</w:t>
      </w:r>
      <w:r>
        <w:rPr>
          <w:rFonts w:hint="eastAsia" w:ascii="宋体" w:hAnsi="宋体" w:eastAsia="宋体" w:cs="宋体"/>
          <w:b/>
          <w:bCs/>
          <w:color w:val="000000" w:themeColor="text1"/>
          <w:sz w:val="21"/>
          <w:szCs w:val="21"/>
          <w:highlight w:val="none"/>
          <w:lang w:eastAsia="zh-CN"/>
          <w14:textFill>
            <w14:solidFill>
              <w14:schemeClr w14:val="tx1"/>
            </w14:solidFill>
          </w14:textFill>
        </w:rPr>
        <w:t>甲方可以变更或撤销关于项目经理的委派，对于变更或撤销后原项目经理发出的指令或签字等往来文件，不作为甲方对乙方的确认或承诺。</w:t>
      </w:r>
      <w:r>
        <w:rPr>
          <w:rFonts w:hint="eastAsia" w:ascii="宋体" w:hAnsi="宋体" w:eastAsia="宋体" w:cs="宋体"/>
          <w:b/>
          <w:color w:val="000000" w:themeColor="text1"/>
          <w:sz w:val="21"/>
          <w:szCs w:val="21"/>
          <w:highlight w:val="none"/>
          <w:lang w:eastAsia="zh-CN"/>
          <w14:textFill>
            <w14:solidFill>
              <w14:schemeClr w14:val="tx1"/>
            </w14:solidFill>
          </w14:textFill>
        </w:rPr>
        <w:t>涉及项目部及其管理人员无权办理的相关事项，任何形式的签字、盖章均无效，甲方不承担相应责任。项目部公章为公司授权在施工管理过程中使用的印章，该枚印章授权使用范围仅为项目往来函件、洽谈变更（同业主方）等履约过程中的文件，不包括签署任何合同及补充协议、任何经济性协议、任何经济性承诺、开具收款收据、办理结算等事项。</w:t>
      </w:r>
    </w:p>
    <w:p w14:paraId="73BA9EC8">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负责编制施工组织设计，统一制定各项管理目标，组织编制年、季、月施工计划、物资需用量计划表，实施对工程质量、工期、安全生产、文明施工、计量、试验等工作的控制、监督、检查和验收。</w:t>
      </w:r>
    </w:p>
    <w:p w14:paraId="1A36384D">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甲方应按专用合同条款的约定向乙方提供图纸，并根据本分包工程进度计划组织图纸会审和技术交底。甲方可以随时根据现场实际情况对施工图纸进行补充和变更、对工艺工序和施工方案以及进度计划进行调整、对乙方施工条件作出改变等，乙方应执行以上指示，并受其约束。</w:t>
      </w:r>
    </w:p>
    <w:p w14:paraId="77E7DA93">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负责整个施工现场的管理工作，负责定期组织召开生产例会，协调乙方与现场其它分包商、施工工序之间的关系。</w:t>
      </w:r>
    </w:p>
    <w:p w14:paraId="6A3619A7">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甲方认为乙方管理人员（包括乙方项目经理、现场负责人及其他管理人员）不能按照合同约定履行职责或义务的，可以要求乙方无条件进行撤换，并委派新的管理人员接替。</w:t>
      </w:r>
    </w:p>
    <w:p w14:paraId="43681936">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如果乙方在本工程质量、进度、安全、现场管理等方面满足不了建设单位、甲方的要求时，甲方可将分包合同范围内的工作承包给其它分包单位，其所需费用应由乙方承担，并从其应结款项扣除；如其应结款项不足以承担所需费用，则超出部分可由其履约担保金中扣回，如履约担保金仍不能满足所需费用超出部分，甲方保留其他追索权</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50047E04">
      <w:pPr>
        <w:numPr>
          <w:ilvl w:val="1"/>
          <w:numId w:val="6"/>
        </w:numPr>
        <w:kinsoku w:val="0"/>
        <w:spacing w:after="0" w:line="360" w:lineRule="auto"/>
        <w:jc w:val="both"/>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如果乙方不服从甲方现场管理人员指挥、不按操作规程作业、有明显拖延工期倾向且无有效的安全、质量、进度保证措施及整改措施时，甲方可单方面解除合同，并保留对乙方追索的权利，乙方不得因解除合同向甲方提出任何索赔。由此对甲方造成其他损失的，甲方保留追索权。</w:t>
      </w:r>
    </w:p>
    <w:p w14:paraId="23639A0C">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甲方负责整体工程安全文明施工和环境保护工作，对乙方的绿色施工管理工作进行指导和监督，督促乙方遵守关于大气污染和绿色施工的相关管理规定，对施工现场范围内各乙方的绿色施工进行统筹管理。</w:t>
      </w:r>
    </w:p>
    <w:p w14:paraId="00FCF059">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负责组织分部工程、本分包工程的交（竣）工验收工作。</w:t>
      </w:r>
    </w:p>
    <w:p w14:paraId="5F70AAEC">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负责统一安排工程档案资料的收集、整理及交工验收。</w:t>
      </w:r>
    </w:p>
    <w:p w14:paraId="7266491D">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负责健全农民工管理体系，甲方监督乙方依法与招用的农民工签订劳动合同并严格履行合同内容，建立职工花名册并办理劳动备案；全面实行农民工实名制管理制度，建立劳动计酬手册，记录施工现场作业农民工的身份信息、劳动考勤、工资结算等信息，实现信息化实名制管理；加强对乙方劳动用工和工资发放的监督管理，在工程项目部配备劳资专管员，建立施工人员进出场登记制度和考勤计量、工资支付等管理台账，实时掌握施工现场用工及其工资支付情况，不得以包代管。</w:t>
      </w:r>
    </w:p>
    <w:p w14:paraId="6C30DF72">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负责对农民工的进场安全教育，并积极组织相关考试，按照管理要求将教育情况、考试情况录入劳务实名制管理平台。</w:t>
      </w:r>
    </w:p>
    <w:p w14:paraId="1FC55095">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负责建立健全项目后勤管理相关制度，做好包括乙方办公区、工人生活区的物业化管理制度、流程及标准。甲方可进行过程中的检查、督办整改，并根据具体情况予以处罚。乙方未遵守相关制度规定或不满足属地政府、办事处等有关部门的要求，引发的不良后果及给甲方造成的损失由乙方承担。</w:t>
      </w:r>
    </w:p>
    <w:p w14:paraId="759E7CB5">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负责核实乙方现场实际投入本工程项目（工序）的主要管理人员、技术人员的配备是否与合同约定相符，并对主要管理人员、技术人员的出勤状况进行考核。</w:t>
      </w:r>
    </w:p>
    <w:p w14:paraId="6BCFC661">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负责做好材料消耗数量管理，对乙方使用的材料消耗进行对比分析，按合同规定对乙方进行扣款。</w:t>
      </w:r>
    </w:p>
    <w:p w14:paraId="1BB5A542">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负责核实乙方现场实际投入本工程项目（工序）的主要机械设备的规格、数量、进退场时间是否与合同约定相符。</w:t>
      </w:r>
    </w:p>
    <w:p w14:paraId="770EDFDC">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做好机械设备管理工作，对乙方进场的机械设备进行验收并登记造册，监督乙方对租赁机械设备费用的及时支付。</w:t>
      </w:r>
    </w:p>
    <w:p w14:paraId="6F1E03F8">
      <w:pPr>
        <w:numPr>
          <w:ilvl w:val="0"/>
          <w:numId w:val="6"/>
        </w:numPr>
        <w:kinsoku w:val="0"/>
        <w:spacing w:after="0" w:line="360" w:lineRule="auto"/>
        <w:jc w:val="both"/>
        <w:outlineLvl w:val="1"/>
        <w:rPr>
          <w:rFonts w:hint="eastAsia" w:ascii="宋体" w:hAnsi="宋体" w:eastAsia="宋体" w:cs="宋体"/>
          <w:b/>
          <w:color w:val="000000" w:themeColor="text1"/>
          <w:sz w:val="21"/>
          <w:szCs w:val="21"/>
          <w:highlight w:val="none"/>
          <w14:textFill>
            <w14:solidFill>
              <w14:schemeClr w14:val="tx1"/>
            </w14:solidFill>
          </w14:textFill>
        </w:rPr>
      </w:pPr>
      <w:bookmarkStart w:id="819" w:name="_Toc175764424"/>
      <w:bookmarkStart w:id="820" w:name="_Toc13995"/>
      <w:bookmarkStart w:id="821" w:name="_Toc4268"/>
      <w:bookmarkStart w:id="822" w:name="_Toc15691"/>
      <w:bookmarkStart w:id="823" w:name="_Toc7322"/>
      <w:bookmarkStart w:id="824" w:name="_Toc15331"/>
      <w:bookmarkStart w:id="825" w:name="_Toc24013"/>
      <w:bookmarkStart w:id="826" w:name="_Toc15315"/>
      <w:bookmarkStart w:id="827" w:name="_Toc26413"/>
      <w:bookmarkStart w:id="828" w:name="_Toc17055"/>
      <w:bookmarkStart w:id="829" w:name="_Toc101963487"/>
      <w:bookmarkStart w:id="830" w:name="_Toc28386"/>
      <w:bookmarkStart w:id="831" w:name="_Toc8122"/>
      <w:bookmarkStart w:id="832" w:name="_Toc101357420"/>
      <w:bookmarkStart w:id="833" w:name="_Toc18862"/>
      <w:bookmarkStart w:id="834" w:name="_Toc17585"/>
      <w:bookmarkStart w:id="835" w:name="_Toc22501"/>
      <w:r>
        <w:rPr>
          <w:rFonts w:hint="eastAsia" w:ascii="宋体" w:hAnsi="宋体" w:eastAsia="宋体" w:cs="宋体"/>
          <w:b/>
          <w:color w:val="000000" w:themeColor="text1"/>
          <w:sz w:val="21"/>
          <w:szCs w:val="21"/>
          <w:highlight w:val="none"/>
          <w14:textFill>
            <w14:solidFill>
              <w14:schemeClr w14:val="tx1"/>
            </w14:solidFill>
          </w14:textFill>
        </w:rPr>
        <w:t>乙方工作</w:t>
      </w:r>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p>
    <w:p w14:paraId="2EA8F389">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应为完成本分包工程而设置合理可行的现场组织机构，并委派具备相应岗位资格的管理人员，进场前应将管理人员的资料报甲方备案。除非获得甲方书面同意，乙方不得更换或撤回主要管理人员（现场负责人、技术负责人、安全负责人等）。在合同签订时，乙方应提供项目现场代表、技术负责人、质量负责人、安全负责人的劳动合同、养老保险及工资发放凭证，同时提供身份证复印件（双面复印）及岗位证书复印件，其中养老保险及工资发放凭证在合同履行期间每季度提供一次且确保真实、有效，直至合同履行完成，否则，甲方可以单方解除合同。</w:t>
      </w:r>
    </w:p>
    <w:p w14:paraId="35984B7A">
      <w:pPr>
        <w:numPr>
          <w:ilvl w:val="1"/>
          <w:numId w:val="6"/>
        </w:numPr>
        <w:kinsoku w:val="0"/>
        <w:spacing w:after="0" w:line="360" w:lineRule="auto"/>
        <w:jc w:val="both"/>
        <w:rPr>
          <w:rFonts w:hint="eastAsia" w:ascii="宋体" w:hAnsi="宋体" w:eastAsia="宋体" w:cs="宋体"/>
          <w:b/>
          <w:color w:val="000000" w:themeColor="text1"/>
          <w:sz w:val="21"/>
          <w:szCs w:val="21"/>
          <w:highlight w:val="none"/>
          <w:lang w:eastAsia="zh-CN"/>
          <w14:textFill>
            <w14:solidFill>
              <w14:schemeClr w14:val="tx1"/>
            </w14:solidFill>
          </w14:textFill>
        </w:rPr>
      </w:pPr>
      <w:r>
        <w:rPr>
          <w:rFonts w:hint="eastAsia" w:ascii="宋体" w:hAnsi="宋体" w:eastAsia="宋体" w:cs="宋体"/>
          <w:b/>
          <w:color w:val="000000" w:themeColor="text1"/>
          <w:sz w:val="21"/>
          <w:szCs w:val="21"/>
          <w:highlight w:val="none"/>
          <w:lang w:eastAsia="zh-CN"/>
          <w14:textFill>
            <w14:solidFill>
              <w14:schemeClr w14:val="tx1"/>
            </w14:solidFill>
          </w14:textFill>
        </w:rPr>
        <w:t>乙方使用专用合同条款中约定的电子邮箱或联系地址收发与本分包工程有关的电子文件和书面文件，电子文件与书面文件具有相同的法律效力，电子文件投递至甲方服务器系统时生效，书面文件寄出后的第三个工作日或收件人实际签收日（以先到的时间为准）视为送达，选择直接送达的，则递交时视为送达。乙方电子邮箱或联系地址发生变更的，应在变更发生后5日内以书面形式加盖与本分包合同一致的印章通知甲方，未书面通知甲方的，视为原电子邮箱和联系地址继续有效，由此造成的任何损失由乙方承担。</w:t>
      </w:r>
    </w:p>
    <w:p w14:paraId="2F8EA2DD">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在甲方的总体部署下，负责编制本分包工程的施工组织设计，包括各项保证工期、质量、安全的措施以及冬雨季施工措施，按照经甲方批准的本分包工程施工组织设计及甲方根据本合同发出的指令要求组织施工，未经甲方同意不得擅自更改施工方案及工艺。乙方施工组织应该符合项目整体施工组织计划的要求，涉及与其他分包工程交叉作业的工作，应采用甲方认可的合理工序进行搭接。</w:t>
      </w:r>
    </w:p>
    <w:p w14:paraId="1D4E79F6">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有义务审查并识别分包工程的设计图纸或工程建设标准、技术要求中存在的错误、遗漏、矛盾或其他缺陷，并及时通知甲方，根据甲方指令决定下一步施工安排。因乙方未能识别或识别后未及时通知导致返工或导致安全、质量等问题造成其他经济损失的，由乙方负责无偿整改恢复并承担其他经济损失，工期不予顺延。</w:t>
      </w:r>
    </w:p>
    <w:p w14:paraId="487A3094">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应在本合同签订后3天内向甲方项目经理部提交分包工程总体进度计划，并按甲方的具体要求提交年度、季度、月度、周工程进度计划。如乙方不能按甲方批准的进度计划施工时，应根据甲方的要求提交一份修订的进度计划，以保证分包工程如期竣工。</w:t>
      </w:r>
    </w:p>
    <w:p w14:paraId="73AFC4E5">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应编制与施工组织设计相适应的劳动力安排计划，劳动力安排计划应当包括分包作业人员数量、工种、进场时间、退场时间以及劳务费支付计划等，劳动力安排计划应当经甲方批准后实施。乙方应当组织具有相应资格证书和符合本合同分包作业要求的分包作业人员投入工作。未经甲方书面准许，乙方不得擅自调整和撤走进驻工地人员。私自调整进驻工地人员，所导致的经济损失由乙方负责。</w:t>
      </w:r>
    </w:p>
    <w:p w14:paraId="71C97EB6">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甲方提供的图纸和文件，未经甲方同意，乙方不得为本合同履约以外的目的，泄露给他人或公开发表与引用，乙方施工完毕需将纸质图纸完整交回甲方。未经甲方书面同意，乙方不得为了本合同履约以外的目的而复制、使用上述文件或将之转让、泄露给任何第三方。乙方应负责分包工程范围内图纸的保密工作，乙方的保密义务在分包合同终止后，应当继续履行。</w:t>
      </w:r>
    </w:p>
    <w:p w14:paraId="746B5326">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应对甲方的技术交底（含技术交底图纸）进行认真审核与校对，当发生下列各项情况之一时，乙方应立即以书面形式报告甲方工程部门进行确认，待甲方确认可后，方可进行施工。由于乙方未对所承担工程项目（工序）的技术交底（含技术交底图纸）进行认真的审核和校对，造成甲方损失的，由乙方承担全部责任并承担返工费用。</w:t>
      </w:r>
    </w:p>
    <w:p w14:paraId="0D3371D0">
      <w:pPr>
        <w:numPr>
          <w:ilvl w:val="2"/>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技术交底（含技术交底图纸）与工程实际不符，如施工位置、地质、设计高程及技术交底图纸、技术交底所标明的设计数据、施工要求与实际不符；</w:t>
      </w:r>
    </w:p>
    <w:p w14:paraId="0F86CBE4">
      <w:pPr>
        <w:numPr>
          <w:ilvl w:val="2"/>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技术交底（含技术交底图纸）表示不明确或有遗漏、错误、图纸与文字说明不符，工程数量有误等；</w:t>
      </w:r>
    </w:p>
    <w:p w14:paraId="6E52BE9A">
      <w:pPr>
        <w:numPr>
          <w:ilvl w:val="2"/>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技术交底（含技术交底图纸）中的常识性错误。</w:t>
      </w:r>
    </w:p>
    <w:p w14:paraId="2225933B">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乙方承担复制、重新绘制、翻译、购买标准图纸的责任和费用，乙方负责按甲方要求，收集、整理、编制本分包工程的中间交工资料、竣工资料及竣工图,并在甲方规定的时间内提交。</w:t>
      </w:r>
    </w:p>
    <w:p w14:paraId="5447C78A">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负责本工程除甲方以外的测量、放线、监测工作，负责对本工程的基准坐标点、高程点、沉降及位移观测点的保护工作，确保不被破坏，并且确保所施工工程结构定位、标高、几何尺寸等的准确性，因施工偏差而造成的其他分包工程的返工、返修，其费用由乙方承担，甲方可以在未得到乙方书面确认的前提下从乙方结算价款中直接扣除。并为自带的全站仪、经纬仪、水准仪、激光铅垂仪、尺等测量仪器向甲方提供检测合格的报告加盖乙方公章的复印件一份，并在检测有效期内使用，费用自理，同时乙方必须配备必要的测量人员。施工控制网点丢失或损坏的，乙方应及时修复并承担费用。</w:t>
      </w:r>
    </w:p>
    <w:p w14:paraId="2E5E25B2">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负责提供除本合同约定甲方提供资源和服务以外的所有实施本工程所必须的资源。负责随时接受建设单位、监理及甲方的监督检查和指导，并为其日常检查查验提供便利和安全条件。</w:t>
      </w:r>
    </w:p>
    <w:p w14:paraId="117D488C">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必须在进行中间验收前24小时以书面形式通知甲方进行验收，未经甲方同意不得进入下道工序施工，由于未报验导致的一切损失和责任由乙方承担。乙方按本合同规定完成合同内全部工作后，向甲方提出竣工验收要求，竣工验收按国家规定程序及甲方的要求办理。</w:t>
      </w:r>
    </w:p>
    <w:p w14:paraId="3268A34F">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乙方应严格执行样板（首件制）制度，样板（首件制）验收合格后方可进行大面积施工。</w:t>
      </w:r>
    </w:p>
    <w:p w14:paraId="7A477C7D">
      <w:pPr>
        <w:numPr>
          <w:ilvl w:val="1"/>
          <w:numId w:val="6"/>
        </w:numPr>
        <w:kinsoku w:val="0"/>
        <w:spacing w:after="0" w:line="360" w:lineRule="auto"/>
        <w:jc w:val="both"/>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负责现场数据资料的编写。必须指定专人配合甲方进行本工程所须的一切试验检测工作（含第三方见证试验），配合甲方进行和完成承包工程所需的所有甲方、建设单位、有关政府部门/单位要求的各种试验工作。</w:t>
      </w:r>
    </w:p>
    <w:p w14:paraId="66595505">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①如由甲方提供宿舍的，乙方负责甲方提供宿舍内设施的维护和维修，费用包含在综合单价内。水费、电费、水电表安装费用由乙方承担。工人退场后，应及时向甲方退宿舍；并确保宿舍内电器、空调、插座、电线线路、遥控、开关、床、吊顶等完好可用，宿舍卫生需打扫干净。若上述设备设施损坏，维修费用由乙方承担，在付款时直接自乙方的应得款项中扣除；宿舍卫生打扫不干净，按照每间宿舍100元扣款。并保证办公生活区满足消防要求。②乙方自身办公、住宿、饮食由乙方自行负责，包括但不限于房屋、办公及生活设施、卫生设施、水电费、第二场地租赁费、其它临时设施费、灭火器和生活垃圾清运费等。但必须服从甲方管理，达到甲方的安全文明施工要求。</w:t>
      </w:r>
    </w:p>
    <w:p w14:paraId="2AF8A40B">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施工过程中乙方应按甲方要求对施工现场临时设施、工作面、工人生活区、现场内外临时道路等进行清理，保证施工场地每日场容整洁，对模板（清理干净，长期不用的涂刷隔离剂）、周转料具等分类整理、码放，建筑垃圾和材料运至甲方指定堆放地点，并承担相关费用。若乙方未做到或无故拖延，甲方将委托他人代为清理，清理产生的费用由乙方承担，在付款时直接自乙方的应得款项中扣除。无条件配合甲方现场施工观摩、上级检查、质量验收工作，若因乙方劳动力不足，甲方另行委派其他队伍清理乙方场地，相关费用由乙方承担，从结算价款中扣除。</w:t>
      </w:r>
    </w:p>
    <w:p w14:paraId="68E6A1FE">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应合理组织现场施工生产，充分利用已有机械设备、脚手架、临时道路、水电设施、消防设施及其他生产及安全设施，确保在甲方要求的时间内完成分包工作。若因乙方自身原因，造成已有设备和设施拆除后仍有剩余工作内容未完的，乙方必须另行配备足够的设备和搭建设施，并承担相关费用，保证如期履约。</w:t>
      </w:r>
    </w:p>
    <w:p w14:paraId="00652A40">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在接收工作面时，应组织三方交接，做好交接记录。需要上一道工序的分包单位进行质量整改的，应及时提出，未及时提出的，视为移交的上一道工序合格，施工过程中乙方不得向甲方提出质量修复或因此增加费用。</w:t>
      </w:r>
    </w:p>
    <w:p w14:paraId="7D7E3CE7">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若分包施工涉及工程防渗漏问题，乙方必须采取防渗漏措施，并在施工方案中体现，经甲方审核后实施。若由于乙方分包施工过程管控不严而产生渗漏，由此产生的直接及间接损失均由乙方承担。</w:t>
      </w:r>
    </w:p>
    <w:p w14:paraId="6BE79ECF">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乙方应在分包工程完工后 7 日内将所有剩余物料清退出场，移交施工场地，并负责清理本工程项目的标志、污斑、指印、油污和脏污等，达到交工前的清理标准。若因乙方的延误，后续分包单位不能顺利进场施工，甲方将按照实际损失从乙方结算价款中进行追偿。</w:t>
      </w:r>
    </w:p>
    <w:p w14:paraId="0E1E86D7">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负责承包范围内工程的成品保护工作直至本工程移交验收，并不得损坏他方的材料、成品及半成品，违反上述工作要求的一切责任和费用均由乙方承担。本分包工程交叉作业区域的成品保护工作由乙方自行协商解决，自行协商无果的，由甲方裁定当事方负责交叉区域的成品保护，当事方应无条件执行。</w:t>
      </w:r>
    </w:p>
    <w:p w14:paraId="446C44DC">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甲方在最终施工时可能对图纸、技术方案、施工范围和内容，以及进度节点和施工顺序、其他施工条件进行调整，乙方应按甲方要求实施并如期交付，合同价款已考虑所有费用的差异。</w:t>
      </w:r>
    </w:p>
    <w:p w14:paraId="40B181C9">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负责本分包工程档案资料的编制、整理、组卷并按照专用合同条款中的约定移交甲方。</w:t>
      </w:r>
    </w:p>
    <w:p w14:paraId="17E23517">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乙方有义务保管、维护施工范围现场临水、临电、临时消防设施，负责二级以下至施工工作面的配电，同时必须达到甲方的安全文明施工要求，其费用包含在合同单价之内。</w:t>
      </w:r>
    </w:p>
    <w:p w14:paraId="5B9CBF01">
      <w:pPr>
        <w:numPr>
          <w:ilvl w:val="1"/>
          <w:numId w:val="6"/>
        </w:numPr>
        <w:kinsoku w:val="0"/>
        <w:spacing w:after="0" w:line="360" w:lineRule="auto"/>
        <w:jc w:val="both"/>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如果同一现场内有甲方分包的其它分包商，乙方应无条件为甲方的其它分包商提供合同中所约定的施工资源，其费用已包含在合同价款中，任何情况下均不得调整。</w:t>
      </w:r>
    </w:p>
    <w:p w14:paraId="4E454AD5">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乙方项目经理应按甲方要求准时参加由建设单位、监理单位、甲方（三方中任一方）主持的现场办公例会，并服从于会议决议以及甲方的协调管理。若乙方项目经理无法正常参加会议，需书面委托有相应决策权的代表参加。</w:t>
      </w:r>
    </w:p>
    <w:p w14:paraId="5BAF306A">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负责承包范围内施工场地周围建筑物、构筑物、地下管线、光缆、文物的保护工作，凡因乙方原因导致施工场地周围建筑物、构筑物和现场内外的各种管线、文物的破坏，乙方应承担相应责任及损失，延误的工期不予顺延。在施工中发现古墓、古建筑遗址等文物及其他有考古、地质研究等价值的物品时，乙方应保护好现场并于4小时内以书面形式通知甲方，并按文物管理要求采取妥善保护措施及协调有关事项，有关费用及工期影响按本合同规定执行。如发现后隐瞒不报，致使文物遭受破坏，责任者依法承担相应责任。</w:t>
      </w:r>
    </w:p>
    <w:p w14:paraId="7019F799">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应遵守当地各级管理机构关于扰民的规定，负责因自身施工不当或违反操作规程等原因引起的扰民和民扰事宜的处理。乙方应当清楚地预计到施工期间对外界可能产生的必需的不可能避免的干扰，并为此保证主动努力减少这些干扰对外界的影响，且应当积极主动与外界进行协调，将本施工对扰民的影响降到最低限，不能对甲方产生任何负面影响；凡因乙方原因造成的扰民和民扰，其责任和经济损失由乙方承担，乙方并确保甲方免于承担该等责任。必须严格遵守国家及当地省市的法律、法规，服从并执行甲方对现场质量、安全、文明施工、环境保护、施工场地交通、施工噪音、劳动保障等各项制度、规定，并按要求办理有关手续，遵守甲方关于现场管理的相关规定和要求。乙方承担任何因执行上述制度、规定不力或违反上述制度、规定造成的一切损失及责任，并保证甲方免于因乙方过失造成的损失及承担的责任。</w:t>
      </w:r>
    </w:p>
    <w:p w14:paraId="57D12C51">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本合同签订后乙方须向甲方提交企业营业执照、施工资质证书、施工安全生产许可证等加盖公章的复印件供甲方存档，如在合同期内各项证书发生变更、年审更新等情况，乙方应主动提供更新资料给甲方。乙方须遵守国家及当地省市关于承包工程所需资质和技术能力的有关规定，并已获得政府认定的在本地从事承包工作的资格，有关资料虽经甲方审查，亦不能减免乙方应负的责任。</w:t>
      </w:r>
    </w:p>
    <w:p w14:paraId="60436EAA">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乙方向甲方提供施工人员名单（外来人员需经当地项目建设行政主管部门外管处备案）及上岗证、操作人员100%持证上岗，特殊工种要100%持证上岗。</w:t>
      </w:r>
    </w:p>
    <w:p w14:paraId="2B203B87">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乙方未经甲方的书面批准不得做出任何关于本工程宣传报道、竖立标牌、广告及单方面发表技术成果、专利等有关CI及知识产权方面的事宜。</w:t>
      </w:r>
    </w:p>
    <w:p w14:paraId="1735905E">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在使用任何材料、甲方设备、工程设备或采用施工工艺时，因侵犯专利权或其他知识产权所引起的责任，由乙方承担，但由于遵照甲方提供的设计或技术标准和要求引起的除外（乙方应在投标阶段充分考虑施工过程存在的专利使用费用,并包含在报价中）。</w:t>
      </w:r>
    </w:p>
    <w:p w14:paraId="768B4087">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须承担甲方按照总承包合同需向建设单位承担的有关本工程的责任和义务，乙方应在上述责任和义务涉及的范围内保障和保证甲方免于遭受任何与本合同的履行有关的或因其引起的一切索赔、诉讼、违约金、损失赔偿或其他任何费用。</w:t>
      </w:r>
    </w:p>
    <w:p w14:paraId="10EB03ED">
      <w:pPr>
        <w:numPr>
          <w:ilvl w:val="1"/>
          <w:numId w:val="6"/>
        </w:numPr>
        <w:kinsoku w:val="0"/>
        <w:spacing w:after="0" w:line="360" w:lineRule="auto"/>
        <w:jc w:val="both"/>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应保障和保证甲方免于承担由乙方、乙方工人或其雇佣的任何其他人员的任何疏忽造成的损失，及其所属上述人员对于甲方提供的临时工程的任何误用造成的损失，保障和保证甲方免于遭受与上述事宜相关的一切损失、索赔或诉讼。</w:t>
      </w:r>
    </w:p>
    <w:p w14:paraId="4B6D853F">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必须与所招用的农民工依法签订书面劳动合同，确立劳动关系。劳动合同必须明确规定工资支付标准（不低于当地最低工资标准）、支付形式、支付日期和项目名称等条款，工人工资约定内容要便于计量和支付。劳动合同应不少于一式三份，乙方与施工人员各持一份，剩余一份在乙方进场前提交甲方进行备案。乙方必须每月足额按照应付实际施工人员工资向甲方上报施工人员考勤及其工资表，并对考勤及其工资表真实性负责。因乙方上报资料不齐、虚假等造成不良后果的，乙方除承担费用损失外，对甲方造成信誉、社会、履约等影响的，甲方可随时中止本合同，并保留对乙方的追索权。</w:t>
      </w:r>
    </w:p>
    <w:p w14:paraId="221D23EB">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乙方必须执行国家和地方关于农民工工资管理的规定，保证农民工工资按月足额发放，不得随意挪用；若乙方擅自挪用农民工工资而引起农民工群体上访等事件，均由乙方负责承担相关法律责任及经济赔偿责任。</w:t>
      </w:r>
    </w:p>
    <w:p w14:paraId="3EAAB94D">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乙方进场后立即办理相关手续，如：暂住证、健康证等证件，乙方施工人员应持证上岗；劳动力进场后立即组织其进行入场的“三级教育”和法制教育，使职工做到安全生产，不违章、违纪、违法。</w:t>
      </w:r>
    </w:p>
    <w:p w14:paraId="692E159B">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按照专用合同条款的要求配备劳资专管员，为每位进场人员在甲方备案，配合甲方进行农民工实名制的信息化管理；配合甲方完成当地政府相关的各种检查，并提供相应的手续和证件；每月向甲方报送一次加盖乙方公章的施工人员花名册。</w:t>
      </w:r>
    </w:p>
    <w:p w14:paraId="485D9887">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对所招用农民工的实名制管理负直接责任。乙方要做到八统一标准：身份证、暂住证、岗位证书、劳动合同书、人员备案证明、花名册、考勤表、工资表统一。签订合同7日内，乙方将实名制资料提交甲方劳务管理人员审核备案，无实名制资料人员严禁进入施工现场。施工过程中乙方应按甲方要求做好实名制资料管理并随时配合甲方检查。</w:t>
      </w:r>
    </w:p>
    <w:p w14:paraId="721BE50D">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对所招用农民工实名制管理的工资支付负直接责任。不得以工程款未到位等为由克扣或拖欠农民工工资，不得将合同应收工程款等经营风险转嫁给农民工。乙方应当按照工资支付周期编制书面工资支付台账，并至少保存3年。书面工资支付台账应当包括乙方名称，支付周期，支付日期，支付对象姓名、身份证号码、联系方式，工作时间，应发工资项目及数额，代扣、代缴、扣除项目和数额，实发工资数额，银行代发工资凭证或者农民工签字等内容。乙方在甲方支付每笔工程款后</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7</w:t>
      </w:r>
      <w:r>
        <w:rPr>
          <w:rFonts w:hint="eastAsia" w:ascii="宋体" w:hAnsi="宋体" w:eastAsia="宋体" w:cs="宋体"/>
          <w:color w:val="000000" w:themeColor="text1"/>
          <w:sz w:val="21"/>
          <w:szCs w:val="21"/>
          <w:highlight w:val="none"/>
          <w:lang w:eastAsia="zh-CN"/>
          <w14:textFill>
            <w14:solidFill>
              <w14:schemeClr w14:val="tx1"/>
            </w14:solidFill>
          </w14:textFill>
        </w:rPr>
        <w:t>天内，需将上述资料复印件加盖乙方公章后提交至甲方存档。乙方人员进退场费用、驻地只施工场地的通行费用由乙方承担，甲方不再另行支付费用。</w:t>
      </w:r>
    </w:p>
    <w:p w14:paraId="79910F21">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农民工考勤采用手机端云筑劳务APP、刷脸、闸机等多种方式，每日在全国建筑工人实名制管理平台对劳务人员进行考勤，甲方劳务管理员负责监督管理，乙方擅自使用未在全国建筑工人实名制管理平台进行考勤的人员，甲方不予认可，相应后果由乙方承担。</w:t>
      </w:r>
    </w:p>
    <w:p w14:paraId="2CC843CA">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应配备生活区管理员并派专人负责工人生活区保洁工作，费用由乙方承担，按照甲方各项制度要求，对所属员工进行交底培训，对违反制度的人员及现场及时教育改正，如经检查不符合现场管理规定，乙方应限期整改。</w:t>
      </w:r>
    </w:p>
    <w:p w14:paraId="4315D0BC">
      <w:pPr>
        <w:numPr>
          <w:ilvl w:val="1"/>
          <w:numId w:val="6"/>
        </w:numPr>
        <w:kinsoku w:val="0"/>
        <w:spacing w:after="0" w:line="360" w:lineRule="auto"/>
        <w:jc w:val="both"/>
        <w:rPr>
          <w:color w:val="000000" w:themeColor="text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要严格执行甲方与国家、地方政府常态化疫情防控要求，制定疫情常态化防控工作方案，建立疫情常态化防控工作体系，配备疫情防控人员，完善疫情防控管理制度。因疫情防控管理产生的相关费用包含在合同单价之内。</w:t>
      </w:r>
    </w:p>
    <w:p w14:paraId="758004EC">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乙方应严格遵守环保和文明施工的法律、法规和行业标准规定以及甲方的有关规定，积极开展环保、节能减排、水土保持等相关工作。</w:t>
      </w:r>
    </w:p>
    <w:p w14:paraId="3CCBE7C0">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应负责办理本合同备案事宜，并支付相应费用。如因乙方合同备案不及时导致乙方无法提供发票或提供的发票无法抵扣甲方已经缴纳的税金、施工手续无法正常办理等问题，造成甲方损失的，乙方应承担给甲方造成的损失。</w:t>
      </w:r>
    </w:p>
    <w:p w14:paraId="17B4DCB2">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实际施工过程中甲方可以根据实际施工情况增加或减少乙方的施工内容，乙方必须按照甲方的指令进行施工，确保现场施工进度，并且不得进行任何工期及费用的索赔。</w:t>
      </w:r>
    </w:p>
    <w:p w14:paraId="0F3C9754">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应当积极维护甲方名誉，不得以中建集团、中建xxx局及其下属公司、甲方及甲方关联公司、项目部等名义发布自媒体作品，接受媒体、建设单位、行政机关、司法机关等第三方的采访、调查、问询等，或通过其他形式发表言论。</w:t>
      </w:r>
    </w:p>
    <w:p w14:paraId="616BF164">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乙方不得书面、口头使用甲方企业及其项目部名称，对外进行经济活动。乙方在分包作业工地发生劳动、租赁、买卖等合同纠纷、债务、债权责任，一律由乙方履行和承担责任。</w:t>
      </w:r>
    </w:p>
    <w:p w14:paraId="6546020E">
      <w:pPr>
        <w:numPr>
          <w:ilvl w:val="0"/>
          <w:numId w:val="6"/>
        </w:numPr>
        <w:kinsoku w:val="0"/>
        <w:spacing w:after="0" w:line="360" w:lineRule="auto"/>
        <w:jc w:val="both"/>
        <w:outlineLvl w:val="1"/>
        <w:rPr>
          <w:rFonts w:hint="eastAsia" w:ascii="宋体" w:hAnsi="宋体" w:eastAsia="宋体" w:cs="宋体"/>
          <w:b/>
          <w:color w:val="000000" w:themeColor="text1"/>
          <w:sz w:val="21"/>
          <w:szCs w:val="21"/>
          <w:highlight w:val="none"/>
          <w14:textFill>
            <w14:solidFill>
              <w14:schemeClr w14:val="tx1"/>
            </w14:solidFill>
          </w14:textFill>
        </w:rPr>
      </w:pPr>
      <w:bookmarkStart w:id="836" w:name="_Toc7712"/>
      <w:bookmarkStart w:id="837" w:name="_Toc11195"/>
      <w:bookmarkStart w:id="838" w:name="_Toc19801"/>
      <w:bookmarkStart w:id="839" w:name="_Toc30226"/>
      <w:bookmarkStart w:id="840" w:name="_Toc175764425"/>
      <w:bookmarkStart w:id="841" w:name="_Toc31633"/>
      <w:bookmarkStart w:id="842" w:name="_Toc19137"/>
      <w:bookmarkStart w:id="843" w:name="_Toc8398"/>
      <w:bookmarkStart w:id="844" w:name="_Toc101357421"/>
      <w:bookmarkStart w:id="845" w:name="_Toc9009"/>
      <w:bookmarkStart w:id="846" w:name="_Toc13570"/>
      <w:bookmarkStart w:id="847" w:name="_Toc11492"/>
      <w:bookmarkStart w:id="848" w:name="_Toc4863"/>
      <w:bookmarkStart w:id="849" w:name="_Toc101963488"/>
      <w:bookmarkStart w:id="850" w:name="_Toc21935"/>
      <w:bookmarkStart w:id="851" w:name="_Toc10226"/>
      <w:bookmarkStart w:id="852" w:name="_Toc17634"/>
      <w:r>
        <w:rPr>
          <w:rFonts w:hint="eastAsia" w:ascii="宋体" w:hAnsi="宋体" w:eastAsia="宋体" w:cs="宋体"/>
          <w:b/>
          <w:color w:val="000000" w:themeColor="text1"/>
          <w:sz w:val="21"/>
          <w:szCs w:val="21"/>
          <w:highlight w:val="none"/>
          <w14:textFill>
            <w14:solidFill>
              <w14:schemeClr w14:val="tx1"/>
            </w14:solidFill>
          </w14:textFill>
        </w:rPr>
        <w:t>技术质量要求</w:t>
      </w:r>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p>
    <w:p w14:paraId="06B0E068">
      <w:pPr>
        <w:numPr>
          <w:ilvl w:val="1"/>
          <w:numId w:val="6"/>
        </w:numPr>
        <w:kinsoku w:val="0"/>
        <w:spacing w:after="0" w:line="360" w:lineRule="auto"/>
        <w:jc w:val="both"/>
        <w:rPr>
          <w:rFonts w:hint="eastAsia" w:ascii="宋体" w:hAnsi="宋体" w:eastAsia="宋体" w:cs="宋体"/>
          <w:color w:val="000000" w:themeColor="text1"/>
          <w:kern w:val="16"/>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必须配备满足甲方要求数量的质量检查人员（不少于两人），建立质量管理体系，坚持自检、互检、交接检制度，并为检验提供便利条件，随时接受甲方现场代表和委派人员以及各级质检部门的检查、检验，并按要求返工、修改，承担由自身原因导致的返工、修改费用。为达到上述标准或为达到上述质量标准乙方按照甲方要求施工，所采取的各种措施之费用已包含在合同价款中。</w:t>
      </w:r>
    </w:p>
    <w:p w14:paraId="2B84A7F5">
      <w:pPr>
        <w:numPr>
          <w:ilvl w:val="1"/>
          <w:numId w:val="6"/>
        </w:numPr>
        <w:kinsoku w:val="0"/>
        <w:spacing w:after="0" w:line="360" w:lineRule="auto"/>
        <w:jc w:val="both"/>
        <w:rPr>
          <w:rFonts w:hint="eastAsia" w:ascii="宋体" w:hAnsi="宋体" w:eastAsia="宋体" w:cs="宋体"/>
          <w:color w:val="000000" w:themeColor="text1"/>
          <w:kern w:val="16"/>
          <w:sz w:val="21"/>
          <w:szCs w:val="21"/>
          <w:highlight w:val="none"/>
          <w:lang w:eastAsia="zh-CN"/>
          <w14:textFill>
            <w14:solidFill>
              <w14:schemeClr w14:val="tx1"/>
            </w14:solidFill>
          </w14:textFill>
        </w:rPr>
      </w:pPr>
      <w:r>
        <w:rPr>
          <w:rFonts w:hint="eastAsia" w:ascii="宋体" w:hAnsi="宋体" w:eastAsia="宋体" w:cs="宋体"/>
          <w:color w:val="000000" w:themeColor="text1"/>
          <w:kern w:val="16"/>
          <w:sz w:val="21"/>
          <w:szCs w:val="21"/>
          <w:highlight w:val="none"/>
          <w:lang w:eastAsia="zh-CN"/>
          <w14:textFill>
            <w14:solidFill>
              <w14:schemeClr w14:val="tx1"/>
            </w14:solidFill>
          </w14:textFill>
        </w:rPr>
        <w:t>质量标准的评定参考国家、地方或行业的质量检验评定标准，以总包方对业主的最终承诺为准。因乙方原因致使本工程质量达不到本合同约定的质量标准和创优目标，乙方须承担违约责任，甲方将按专用合同条款中约定的比例从分包结算总价中扣除相应金额作为质量违约金，并由乙方承担建设单位因此对甲方的任何罚款或索赔。</w:t>
      </w:r>
    </w:p>
    <w:p w14:paraId="7671975A">
      <w:pPr>
        <w:numPr>
          <w:ilvl w:val="1"/>
          <w:numId w:val="6"/>
        </w:numPr>
        <w:kinsoku w:val="0"/>
        <w:spacing w:after="0" w:line="360" w:lineRule="auto"/>
        <w:jc w:val="both"/>
        <w:rPr>
          <w:rFonts w:hint="eastAsia" w:ascii="宋体" w:hAnsi="宋体" w:eastAsia="宋体" w:cs="宋体"/>
          <w:color w:val="000000" w:themeColor="text1"/>
          <w:kern w:val="16"/>
          <w:sz w:val="21"/>
          <w:szCs w:val="21"/>
          <w:highlight w:val="none"/>
          <w:lang w:eastAsia="zh-CN"/>
          <w14:textFill>
            <w14:solidFill>
              <w14:schemeClr w14:val="tx1"/>
            </w14:solidFill>
          </w14:textFill>
        </w:rPr>
      </w:pPr>
      <w:r>
        <w:rPr>
          <w:rFonts w:hint="eastAsia" w:ascii="宋体" w:hAnsi="宋体" w:eastAsia="宋体" w:cs="宋体"/>
          <w:color w:val="000000" w:themeColor="text1"/>
          <w:kern w:val="16"/>
          <w:sz w:val="21"/>
          <w:szCs w:val="21"/>
          <w:highlight w:val="none"/>
          <w:lang w:eastAsia="zh-CN"/>
          <w14:textFill>
            <w14:solidFill>
              <w14:schemeClr w14:val="tx1"/>
            </w14:solidFill>
          </w14:textFill>
        </w:rPr>
        <w:t>质量问题整改率：100%。由于乙方发生质量问题对甲方的利益或声誉造成损害时或乙方对质量问题整改不彻底或整改不及时，甲方按照专用条款23.7条约定扣除相应的违约金，工期不予顺延。</w:t>
      </w:r>
    </w:p>
    <w:p w14:paraId="76F38AB4">
      <w:pPr>
        <w:numPr>
          <w:ilvl w:val="1"/>
          <w:numId w:val="6"/>
        </w:numPr>
        <w:kinsoku w:val="0"/>
        <w:spacing w:after="0" w:line="360" w:lineRule="auto"/>
        <w:jc w:val="both"/>
        <w:rPr>
          <w:rFonts w:hint="eastAsia" w:ascii="宋体" w:hAnsi="宋体" w:eastAsia="宋体" w:cs="宋体"/>
          <w:color w:val="000000" w:themeColor="text1"/>
          <w:kern w:val="16"/>
          <w:sz w:val="21"/>
          <w:szCs w:val="21"/>
          <w:highlight w:val="none"/>
          <w:lang w:eastAsia="zh-CN"/>
          <w14:textFill>
            <w14:solidFill>
              <w14:schemeClr w14:val="tx1"/>
            </w14:solidFill>
          </w14:textFill>
        </w:rPr>
      </w:pPr>
      <w:r>
        <w:rPr>
          <w:rFonts w:hint="eastAsia" w:ascii="宋体" w:hAnsi="宋体" w:eastAsia="宋体" w:cs="宋体"/>
          <w:color w:val="000000" w:themeColor="text1"/>
          <w:kern w:val="16"/>
          <w:sz w:val="21"/>
          <w:szCs w:val="21"/>
          <w:highlight w:val="none"/>
          <w:lang w:eastAsia="zh-CN"/>
          <w14:textFill>
            <w14:solidFill>
              <w14:schemeClr w14:val="tx1"/>
            </w14:solidFill>
          </w14:textFill>
        </w:rPr>
        <w:t>甲方的过程质量监督检查和工程质量检验不应影响施工正常进行。如影响施工正常进行，且检查检验不合格时，影响正常施工造成的费用增加和（或）工期延误由乙方承担。</w:t>
      </w:r>
    </w:p>
    <w:p w14:paraId="212C23CD">
      <w:pPr>
        <w:numPr>
          <w:ilvl w:val="1"/>
          <w:numId w:val="6"/>
        </w:numPr>
        <w:kinsoku w:val="0"/>
        <w:spacing w:after="0" w:line="360" w:lineRule="auto"/>
        <w:jc w:val="both"/>
        <w:rPr>
          <w:rFonts w:hint="eastAsia" w:ascii="宋体" w:hAnsi="宋体" w:eastAsia="宋体" w:cs="宋体"/>
          <w:color w:val="000000" w:themeColor="text1"/>
          <w:kern w:val="16"/>
          <w:sz w:val="21"/>
          <w:szCs w:val="21"/>
          <w:highlight w:val="none"/>
          <w:lang w:eastAsia="zh-CN"/>
          <w14:textFill>
            <w14:solidFill>
              <w14:schemeClr w14:val="tx1"/>
            </w14:solidFill>
          </w14:textFill>
        </w:rPr>
      </w:pPr>
      <w:r>
        <w:rPr>
          <w:rFonts w:hint="eastAsia" w:ascii="宋体" w:hAnsi="宋体" w:eastAsia="宋体" w:cs="宋体"/>
          <w:color w:val="000000" w:themeColor="text1"/>
          <w:kern w:val="16"/>
          <w:sz w:val="21"/>
          <w:szCs w:val="21"/>
          <w:highlight w:val="none"/>
          <w:lang w:eastAsia="zh-CN"/>
          <w14:textFill>
            <w14:solidFill>
              <w14:schemeClr w14:val="tx1"/>
            </w14:solidFill>
          </w14:textFill>
        </w:rPr>
        <w:t>工程具备隐蔽条件时先由乙方进行自检，并在隐蔽验收前以书面形式通知甲方验收。通知包括隐蔽的内容、验收时间和地点。甲方组织</w:t>
      </w:r>
      <w:r>
        <w:rPr>
          <w:rFonts w:hint="eastAsia" w:ascii="宋体" w:hAnsi="宋体" w:eastAsia="宋体" w:cs="宋体"/>
          <w:color w:val="000000" w:themeColor="text1"/>
          <w:sz w:val="21"/>
          <w:szCs w:val="21"/>
          <w:highlight w:val="none"/>
          <w:lang w:eastAsia="zh-CN"/>
          <w14:textFill>
            <w14:solidFill>
              <w14:schemeClr w14:val="tx1"/>
            </w14:solidFill>
          </w14:textFill>
        </w:rPr>
        <w:t>建设单位</w:t>
      </w:r>
      <w:r>
        <w:rPr>
          <w:rFonts w:hint="eastAsia" w:ascii="宋体" w:hAnsi="宋体" w:eastAsia="宋体" w:cs="宋体"/>
          <w:color w:val="000000" w:themeColor="text1"/>
          <w:kern w:val="16"/>
          <w:sz w:val="21"/>
          <w:szCs w:val="21"/>
          <w:highlight w:val="none"/>
          <w:lang w:eastAsia="zh-CN"/>
          <w14:textFill>
            <w14:solidFill>
              <w14:schemeClr w14:val="tx1"/>
            </w14:solidFill>
          </w14:textFill>
        </w:rPr>
        <w:t>、监理单位进行验收。乙方准备验收记录，验收合格，甲方、监理单位在验收记录上签字后，乙方可进行隐蔽或继续施工。验收不合格，乙方在甲方限定的时间内修改后重新验收，因此造成的费用增加和（或）工期延误由乙方承担。</w:t>
      </w:r>
    </w:p>
    <w:p w14:paraId="751993A7">
      <w:pPr>
        <w:numPr>
          <w:ilvl w:val="1"/>
          <w:numId w:val="6"/>
        </w:numPr>
        <w:kinsoku w:val="0"/>
        <w:spacing w:after="0" w:line="360" w:lineRule="auto"/>
        <w:jc w:val="both"/>
        <w:rPr>
          <w:rFonts w:hint="eastAsia" w:ascii="宋体" w:hAnsi="宋体" w:eastAsia="宋体" w:cs="宋体"/>
          <w:color w:val="000000" w:themeColor="text1"/>
          <w:kern w:val="16"/>
          <w:sz w:val="21"/>
          <w:szCs w:val="21"/>
          <w:highlight w:val="none"/>
          <w:lang w:eastAsia="zh-CN"/>
          <w14:textFill>
            <w14:solidFill>
              <w14:schemeClr w14:val="tx1"/>
            </w14:solidFill>
          </w14:textFill>
        </w:rPr>
      </w:pPr>
      <w:r>
        <w:rPr>
          <w:rFonts w:hint="eastAsia" w:ascii="宋体" w:hAnsi="宋体" w:eastAsia="宋体" w:cs="宋体"/>
          <w:color w:val="000000" w:themeColor="text1"/>
          <w:kern w:val="16"/>
          <w:sz w:val="21"/>
          <w:szCs w:val="21"/>
          <w:highlight w:val="none"/>
          <w:lang w:eastAsia="zh-CN"/>
          <w14:textFill>
            <w14:solidFill>
              <w14:schemeClr w14:val="tx1"/>
            </w14:solidFill>
          </w14:textFill>
        </w:rPr>
        <w:t>无论甲方是否进行验收，当其要求对已经隐蔽的工程重新检验时，乙方应按要求进行剥离或开孔，并在检验后重新覆盖或修复。检验合格，甲方承担由此发生的全部费用，赔偿乙方损失，并相应顺延工期。检验不合格，乙方应按照甲方要求进行返工、修复，并承担发生的全部费用，工期不予顺延。</w:t>
      </w:r>
    </w:p>
    <w:p w14:paraId="5972B08E">
      <w:pPr>
        <w:numPr>
          <w:ilvl w:val="1"/>
          <w:numId w:val="6"/>
        </w:numPr>
        <w:kinsoku w:val="0"/>
        <w:spacing w:after="0" w:line="360" w:lineRule="auto"/>
        <w:jc w:val="both"/>
        <w:rPr>
          <w:rFonts w:hint="eastAsia" w:ascii="宋体" w:hAnsi="宋体" w:eastAsia="宋体" w:cs="宋体"/>
          <w:color w:val="000000" w:themeColor="text1"/>
          <w:kern w:val="16"/>
          <w:sz w:val="21"/>
          <w:szCs w:val="21"/>
          <w:highlight w:val="none"/>
          <w:lang w:eastAsia="zh-CN"/>
          <w14:textFill>
            <w14:solidFill>
              <w14:schemeClr w14:val="tx1"/>
            </w14:solidFill>
          </w14:textFill>
        </w:rPr>
      </w:pPr>
      <w:r>
        <w:rPr>
          <w:rFonts w:hint="eastAsia" w:ascii="宋体" w:hAnsi="宋体" w:eastAsia="宋体" w:cs="宋体"/>
          <w:color w:val="000000" w:themeColor="text1"/>
          <w:kern w:val="16"/>
          <w:sz w:val="21"/>
          <w:szCs w:val="21"/>
          <w:highlight w:val="none"/>
          <w:lang w:eastAsia="zh-CN"/>
          <w14:textFill>
            <w14:solidFill>
              <w14:schemeClr w14:val="tx1"/>
            </w14:solidFill>
          </w14:textFill>
        </w:rPr>
        <w:t>乙方应严格按相关工程资料管理的规定，及时、真实、准确地提供完整而规范的技术资料。乙方对资料的完整性、真实性负责。在资料不齐全时，甲方可以扣留部分工程款作为资料抵押金。如果政府、社会在建筑工程评比过程中对技术资料有特殊要求，乙方有义务竭力满足，不得以任何借口拒绝、推诿。</w:t>
      </w:r>
    </w:p>
    <w:p w14:paraId="674177B5">
      <w:pPr>
        <w:numPr>
          <w:ilvl w:val="0"/>
          <w:numId w:val="6"/>
        </w:numPr>
        <w:kinsoku w:val="0"/>
        <w:spacing w:after="0" w:line="360" w:lineRule="auto"/>
        <w:jc w:val="both"/>
        <w:outlineLvl w:val="1"/>
        <w:rPr>
          <w:rFonts w:hint="eastAsia" w:ascii="宋体" w:hAnsi="宋体" w:eastAsia="宋体" w:cs="宋体"/>
          <w:b/>
          <w:color w:val="000000" w:themeColor="text1"/>
          <w:sz w:val="21"/>
          <w:szCs w:val="21"/>
          <w:highlight w:val="none"/>
          <w14:textFill>
            <w14:solidFill>
              <w14:schemeClr w14:val="tx1"/>
            </w14:solidFill>
          </w14:textFill>
        </w:rPr>
      </w:pPr>
      <w:bookmarkStart w:id="853" w:name="_Toc20395"/>
      <w:bookmarkStart w:id="854" w:name="_Toc25258"/>
      <w:bookmarkStart w:id="855" w:name="_Toc25440"/>
      <w:bookmarkStart w:id="856" w:name="_Toc22723"/>
      <w:bookmarkStart w:id="857" w:name="_Toc6878"/>
      <w:bookmarkStart w:id="858" w:name="_Toc22854"/>
      <w:bookmarkStart w:id="859" w:name="_Toc101963489"/>
      <w:bookmarkStart w:id="860" w:name="_Toc14890"/>
      <w:bookmarkStart w:id="861" w:name="_Toc9236"/>
      <w:bookmarkStart w:id="862" w:name="_Toc101357422"/>
      <w:bookmarkStart w:id="863" w:name="_Toc29241"/>
      <w:bookmarkStart w:id="864" w:name="_Toc175764426"/>
      <w:bookmarkStart w:id="865" w:name="_Toc834"/>
      <w:bookmarkStart w:id="866" w:name="_Toc3419"/>
      <w:bookmarkStart w:id="867" w:name="_Toc28556"/>
      <w:bookmarkStart w:id="868" w:name="_Toc15900"/>
      <w:bookmarkStart w:id="869" w:name="_Toc21526"/>
      <w:r>
        <w:rPr>
          <w:rFonts w:hint="eastAsia" w:ascii="宋体" w:hAnsi="宋体" w:eastAsia="宋体" w:cs="宋体"/>
          <w:b/>
          <w:color w:val="000000" w:themeColor="text1"/>
          <w:sz w:val="21"/>
          <w:szCs w:val="21"/>
          <w:highlight w:val="none"/>
          <w14:textFill>
            <w14:solidFill>
              <w14:schemeClr w14:val="tx1"/>
            </w14:solidFill>
          </w14:textFill>
        </w:rPr>
        <w:t>材料设备管理</w:t>
      </w:r>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p>
    <w:p w14:paraId="528179E6">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甲方供应的材料和设备，乙方应于合同签订后10日内，根据施工图纸、施工进度计划、施工方案编制工程整体材料和设备需用计划。在施工过程中编制材料和设备进场计划，乙方当月根据甲方下达的次月生产计划上报次月甲供材料设备的需求计划，需求计划必须按照不同的工作部位、工作内容、施工工序分别列明详细的计划清单，清单中应列明材料设备规格、品种、数量、进场时间、地点等。在材料和设备进场前乙方需提前15日提供进场计划，且上述材料和设备的计划进场时间须充分考虑材料和设备的加工和准备周期。上述所有计划均须上报甲方审核批准后实施。对于任何乙方所提计划之错误、遗漏、延迟等原因造成的浪费、工期延误及甲方的相应损失，均由乙方承担。甲方对于上述计划的审核批准并不免除乙方的任何责任。</w:t>
      </w:r>
    </w:p>
    <w:p w14:paraId="062E8F1C">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上报需求计划前须按现场实际耗用量（不超过规定的损耗率）认真盘点核算，确保各种规格甲供材料的原材料、半成品库存率不超过一定比例（具体比例在专用条款中予以约定），否则甲方将处以每次2000元以上的罚款，因特殊原因引起的停窝工或甲方书面批准的特殊材料除外。</w:t>
      </w:r>
    </w:p>
    <w:p w14:paraId="2EE67237">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color w:val="000000" w:themeColor="text1"/>
          <w:sz w:val="21"/>
          <w:szCs w:val="21"/>
          <w:highlight w:val="none"/>
          <w:lang w:eastAsia="zh-CN"/>
          <w14:textFill>
            <w14:solidFill>
              <w14:schemeClr w14:val="tx1"/>
            </w14:solidFill>
          </w14:textFill>
        </w:rPr>
        <w:t>所有由甲方供应的材料设备，由甲方供应至施工现场，乙方必须及时配合甲方进行共同验收盘点，按照双方确认的数量进行接收，负责卸货、倒运，并由乙方合同签约人或授权人办理领用手续，材料设备一经领用，由乙方负责保管，直至工程完工。</w:t>
      </w:r>
      <w:r>
        <w:rPr>
          <w:rFonts w:hint="eastAsia" w:ascii="宋体" w:hAnsi="宋体" w:eastAsia="宋体" w:cs="宋体"/>
          <w:b/>
          <w:bCs/>
          <w:color w:val="000000" w:themeColor="text1"/>
          <w:sz w:val="21"/>
          <w:szCs w:val="21"/>
          <w:highlight w:val="none"/>
          <w:lang w:eastAsia="zh-CN"/>
          <w14:textFill>
            <w14:solidFill>
              <w14:schemeClr w14:val="tx1"/>
            </w14:solidFill>
          </w14:textFill>
        </w:rPr>
        <w:t>乙方未参加验收的，视为同意甲方的验收结果，以甲方与供应商双方确认的数量为准。如材料设备的品种、规格、型号、质量、数量不符合要求，乙方应在验收时提出，否则，视为乙方认可甲方提供的材料设备符合要求，如果乙方再行提出其他要求，由此增加的费用和（或）延误的期限均由乙方承担。</w:t>
      </w:r>
      <w:r>
        <w:rPr>
          <w:rFonts w:hint="eastAsia" w:ascii="宋体" w:hAnsi="宋体" w:eastAsia="宋体" w:cs="宋体"/>
          <w:b/>
          <w:color w:val="000000" w:themeColor="text1"/>
          <w:sz w:val="21"/>
          <w:szCs w:val="21"/>
          <w:highlight w:val="none"/>
          <w:lang w:eastAsia="zh-CN"/>
          <w14:textFill>
            <w14:solidFill>
              <w14:schemeClr w14:val="tx1"/>
            </w14:solidFill>
          </w14:textFill>
        </w:rPr>
        <w:t>由于乙方现场保管不善，造成丢失或损坏，由乙方负责赔偿，由此造成的工期延误不予顺延。所有甲方供应的材料设备，如因甲方原因导致材料退场，乙方应负责提供退场装车、到场卸车、退料等人工配合工作；如因乙方原因导致材料设备退场，材料设备退场所发生的所有费用由乙方承担</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0B8DF5FE">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对于甲方提供的材料，乙方因自行加工、委托加工等原因必须移出本合同劳动作业范围时，乙方需报甲方审批，甲方批准且双方共同盘点后实施。</w:t>
      </w:r>
    </w:p>
    <w:p w14:paraId="4857D0F3">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甲方供应的材料设备属甲方所有，只供本合同分包范围内工程专用，乙方不能挪作它用或擅自处理（包括边角余料）。施工节余材料，废旧材料、边角余料由乙方负责回收至指定地点，归甲方所有,若乙方不按照甲方要求送回至甲方指定地点，甲方将以采购价（到场价）上浮</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10</w:t>
      </w:r>
      <w:r>
        <w:rPr>
          <w:rFonts w:hint="eastAsia" w:ascii="宋体" w:hAnsi="宋体" w:eastAsia="宋体" w:cs="宋体"/>
          <w:color w:val="000000" w:themeColor="text1"/>
          <w:sz w:val="21"/>
          <w:szCs w:val="21"/>
          <w:highlight w:val="none"/>
          <w:lang w:eastAsia="zh-CN"/>
          <w14:textFill>
            <w14:solidFill>
              <w14:schemeClr w14:val="tx1"/>
            </w14:solidFill>
          </w14:textFill>
        </w:rPr>
        <w:t>%的价格调拨给乙方，或由乙方承担甲方自行收回所使用的机械、人工等费用。</w:t>
      </w:r>
    </w:p>
    <w:p w14:paraId="1F897CE3">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除《甲供材料、机械设备明细表》中已列明由甲方提供的材料和大中型机械外，其余辅材和小型机具均由乙方自行提供。包括但不限于辅材、低值易耗品、小型机械等，不包括主要建筑材料、周转材料和大中型施工机械设备等，费用包含在合同综合单价中。</w:t>
      </w:r>
    </w:p>
    <w:p w14:paraId="0253453C">
      <w:pPr>
        <w:numPr>
          <w:ilvl w:val="1"/>
          <w:numId w:val="6"/>
        </w:numPr>
        <w:kinsoku w:val="0"/>
        <w:spacing w:after="0" w:line="360" w:lineRule="auto"/>
        <w:jc w:val="both"/>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乙方应妥善保管和使用甲方提供给乙方使用的机械、设备、材料以及周转材料，并接受甲方对使用情况的监督检查。因乙方保管不善、未合理使用、违章操作等造成机械、设备、材料以及周转材料丢失或损毁的，乙方应予以赔偿，并承担因此造成其他损失。</w:t>
      </w:r>
    </w:p>
    <w:p w14:paraId="53524DB5">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乙方采购提供的材料、设备在使用前应按甲方要求进行检验或试验，不合格者不得使用，检验或试验费用由乙方承担。</w:t>
      </w:r>
    </w:p>
    <w:p w14:paraId="6DFA9800">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由乙方提供的机械设备，在进入施工场地后，应满足现场施工组织需求和安全文明管理，并按甲方要求进行管理，若机械设备无法满足现场施工组织要求时应无条件更换机械设备型号或增加机械设备数量，以满足施工要求。乙方提供机械设备的设备租赁费、折旧费、动力费用（燃油费、电费等）、维修费（包含配件）、进退场费、操作人员工资、食宿费等均由乙方自行承担，费用已包含在综合单价中，不再另行计取。</w:t>
      </w:r>
    </w:p>
    <w:p w14:paraId="5A116F06">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甲方保留将任何材料作为指定供应的权利，及将任何分项工程另行分包的权利。</w:t>
      </w:r>
    </w:p>
    <w:p w14:paraId="14B195A4">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由甲方提供设备应在安装调试完毕，确认运行良好后交付乙方使用，在进出场时，乙方必须参与验收。乙方操作人员应严格遵守设备有关安全管理规定、操作规程要求，服从甲方相关人员的指挥安排，如违章操作、使用，造成事故，乙方应承担全部的安全责任及事故造成的经济损失，损坏或丢失甲供设备须按设备配件或设备的原值进行赔偿。甲方提供的大型机械，如遇特殊情况提前拆除或维修、不同作业区因工期问题造成某作业区一定时间内无法使用甲方提供的大型机械、施工现场存在少量覆盖盲区情况，甲方应在合理期限内提前通知乙方，由乙方自行解决物料搬运问题，甲方不补偿相应费用。</w:t>
      </w:r>
    </w:p>
    <w:p w14:paraId="5A80FF36">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color w:val="000000" w:themeColor="text1"/>
          <w:sz w:val="21"/>
          <w:szCs w:val="21"/>
          <w:highlight w:val="none"/>
          <w:lang w:eastAsia="zh-CN"/>
          <w14:textFill>
            <w14:solidFill>
              <w14:schemeClr w14:val="tx1"/>
            </w14:solidFill>
          </w14:textFill>
        </w:rPr>
        <w:t>对于由甲方供应的材料（《甲供材料、机械设备明细表》），乙方负责在本合同中约定的消耗量之内控制使用。如合同未明确损耗率，则默认双方认可材料损耗率为零。</w:t>
      </w:r>
    </w:p>
    <w:p w14:paraId="6C464818">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对于由乙方负责提供的材料，不论何种原因造成超用、浪费、丢失的均由乙方自行承担。乙方不得以甲方的名义向甲方的材料、设备供方发出任何采购、订货指令和信息，且不得单方面签收其供货物品，否则其责任全部由乙方承担。</w:t>
      </w:r>
    </w:p>
    <w:p w14:paraId="354AC39F">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材料进场后的申报程序执行工程所在地地方标准，进场设备应符合工程所在地项目建设行政主管部门备案、安全规定，乙方租用设备要有主管部门要求的证件、手续。</w:t>
      </w:r>
    </w:p>
    <w:p w14:paraId="36A66295">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材料存放管理：乙方自行负责材料保管，防止人为破坏、偷盗以及不利自然条件的侵蚀。材料在使用前完好无损，符合国家工程规范标准和合同其他要求。如果乙方未采取适当的保管保护措施，甲方将指派他人完成，所发生的费用由乙方承担。进场材料堆放地点、标识等管理，必须经过甲方批准，服从甲方的统筹安排。</w:t>
      </w:r>
    </w:p>
    <w:p w14:paraId="7FA8F273">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如本工程需要爆破，乙方应严格按照爆破器材的运输、保管、使用的安全规定及甲方制定的管理办法，由乙方指定持有爆破证的人员根据每次爆破用量到甲方指定的炸药库领取和使用，未使用完的爆破器材必须及时退回炸药库存放，不允许私自存放，否则发生的危险及后果由乙方承担。</w:t>
      </w:r>
    </w:p>
    <w:p w14:paraId="33B776F9">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接受甲方及相关部门对机械设备、工具、材料的管理及使用情况的监督和检查；接受甲方及相关部门对乙方操作人员的有效证件、持证上岗情况的监督和检查；并按甲方要求做好与现场其他单位协调配合工作。</w:t>
      </w:r>
    </w:p>
    <w:p w14:paraId="6B5DA003">
      <w:pPr>
        <w:numPr>
          <w:ilvl w:val="0"/>
          <w:numId w:val="6"/>
        </w:numPr>
        <w:kinsoku w:val="0"/>
        <w:spacing w:after="0" w:line="360" w:lineRule="auto"/>
        <w:jc w:val="both"/>
        <w:outlineLvl w:val="1"/>
        <w:rPr>
          <w:rFonts w:hint="eastAsia" w:ascii="宋体" w:hAnsi="宋体" w:eastAsia="宋体" w:cs="宋体"/>
          <w:b/>
          <w:color w:val="000000" w:themeColor="text1"/>
          <w:sz w:val="21"/>
          <w:szCs w:val="21"/>
          <w:highlight w:val="none"/>
          <w:lang w:eastAsia="zh-CN"/>
          <w14:textFill>
            <w14:solidFill>
              <w14:schemeClr w14:val="tx1"/>
            </w14:solidFill>
          </w14:textFill>
        </w:rPr>
      </w:pPr>
      <w:bookmarkStart w:id="870" w:name="_Toc18280"/>
      <w:bookmarkStart w:id="871" w:name="_Toc18064"/>
      <w:bookmarkStart w:id="872" w:name="_Toc749"/>
      <w:bookmarkStart w:id="873" w:name="_Toc22411"/>
      <w:bookmarkStart w:id="874" w:name="_Toc13649"/>
      <w:bookmarkStart w:id="875" w:name="_Toc11354"/>
      <w:bookmarkStart w:id="876" w:name="_Toc15892"/>
      <w:bookmarkStart w:id="877" w:name="_Toc101357423"/>
      <w:bookmarkStart w:id="878" w:name="_Toc383"/>
      <w:bookmarkStart w:id="879" w:name="_Toc10324"/>
      <w:bookmarkStart w:id="880" w:name="_Toc175764427"/>
      <w:bookmarkStart w:id="881" w:name="_Toc16298"/>
      <w:bookmarkStart w:id="882" w:name="_Toc101963490"/>
      <w:bookmarkStart w:id="883" w:name="_Toc17371"/>
      <w:bookmarkStart w:id="884" w:name="_Toc22544"/>
      <w:bookmarkStart w:id="885" w:name="_Toc5351"/>
      <w:bookmarkStart w:id="886" w:name="_Toc31959"/>
      <w:r>
        <w:rPr>
          <w:rFonts w:hint="eastAsia" w:ascii="宋体" w:hAnsi="宋体" w:eastAsia="宋体" w:cs="宋体"/>
          <w:b/>
          <w:color w:val="000000" w:themeColor="text1"/>
          <w:sz w:val="21"/>
          <w:szCs w:val="21"/>
          <w:highlight w:val="none"/>
          <w:lang w:eastAsia="zh-CN"/>
          <w14:textFill>
            <w14:solidFill>
              <w14:schemeClr w14:val="tx1"/>
            </w14:solidFill>
          </w14:textFill>
        </w:rPr>
        <w:t>安</w:t>
      </w:r>
      <w:r>
        <w:rPr>
          <w:rFonts w:hint="eastAsia" w:ascii="宋体" w:hAnsi="宋体" w:eastAsia="宋体" w:cs="宋体"/>
          <w:b/>
          <w:color w:val="000000" w:themeColor="text1"/>
          <w:sz w:val="21"/>
          <w:szCs w:val="21"/>
          <w:highlight w:val="none"/>
          <w14:textFill>
            <w14:solidFill>
              <w14:schemeClr w14:val="tx1"/>
            </w14:solidFill>
          </w14:textFill>
        </w:rPr>
        <w:t>全</w:t>
      </w:r>
      <w:r>
        <w:rPr>
          <w:rFonts w:hint="eastAsia" w:ascii="宋体" w:hAnsi="宋体" w:eastAsia="宋体" w:cs="宋体"/>
          <w:b/>
          <w:color w:val="000000" w:themeColor="text1"/>
          <w:sz w:val="21"/>
          <w:szCs w:val="21"/>
          <w:highlight w:val="none"/>
          <w:lang w:eastAsia="zh-CN"/>
          <w14:textFill>
            <w14:solidFill>
              <w14:schemeClr w14:val="tx1"/>
            </w14:solidFill>
          </w14:textFill>
        </w:rPr>
        <w:t>文明施工</w:t>
      </w:r>
      <w:r>
        <w:rPr>
          <w:rFonts w:hint="eastAsia" w:ascii="宋体" w:hAnsi="宋体" w:eastAsia="宋体" w:cs="宋体"/>
          <w:b/>
          <w:color w:val="000000" w:themeColor="text1"/>
          <w:sz w:val="21"/>
          <w:szCs w:val="21"/>
          <w:highlight w:val="none"/>
          <w14:textFill>
            <w14:solidFill>
              <w14:schemeClr w14:val="tx1"/>
            </w14:solidFill>
          </w14:textFill>
        </w:rPr>
        <w:t>管理</w:t>
      </w:r>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p>
    <w:p w14:paraId="14F62F73">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本合同双方须共同遵守国家和地方有关安全管理、环境保护的法律、法规。乙方应严格按照《安全管理协议书》中安全和绿色施工标准组织施工。</w:t>
      </w:r>
    </w:p>
    <w:p w14:paraId="1D48060D">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本合同签约合同总价中已包含安全文明施工措施费，且明确单列，乙方应保证做到专款专用。</w:t>
      </w:r>
      <w:r>
        <w:rPr>
          <w:rFonts w:hint="eastAsia" w:ascii="宋体" w:hAnsi="宋体" w:eastAsia="宋体" w:cs="宋体"/>
          <w:b/>
          <w:bCs/>
          <w:color w:val="000000" w:themeColor="text1"/>
          <w:sz w:val="21"/>
          <w:szCs w:val="21"/>
          <w:highlight w:val="none"/>
          <w:lang w:eastAsia="zh-CN"/>
          <w14:textFill>
            <w14:solidFill>
              <w14:schemeClr w14:val="tx1"/>
            </w14:solidFill>
          </w14:textFill>
        </w:rPr>
        <w:t>计提标准及使用方法见《中建路桥集团有限公司安全生产管理办法》。</w:t>
      </w:r>
    </w:p>
    <w:p w14:paraId="3BD09B62">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每月甲方对乙方的安全措施投入情况进行验收，验收合格后按照约定的计提比例予以支付，如现场安全投入不能满足甲方要求，则安全措施费不予支付。</w:t>
      </w:r>
    </w:p>
    <w:p w14:paraId="0647FD57">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乙方必须缴纳安全风险抵押金5-10万元，具体金额按照专用合同条款约定执行，如施工过程中乙方更换安全人员，更换人员资历水平不得低于原投标人员，否则扣除安全风险抵押金。</w:t>
      </w:r>
    </w:p>
    <w:p w14:paraId="0E283ECF">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乙方应承担由于自身安全措施不力造成事故的责任和由此发生的费用，并承担政府主管部门因扬尘污染而给予责令停工等行政处罚所造成的误工、工期拖延造成的损失。</w:t>
      </w:r>
    </w:p>
    <w:p w14:paraId="04AB5FA0">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应按照甲方现场管理的要求对其施工现场进行管理，并严格遵守甲方安全生产管理体系和本项目各阶段安全生产、文明施工要求，编制专项安全施工方案并在合同签订后三日内取得甲方审批同意，建立自己的安全生产保证体系，并配备足额安全生产管理人员。</w:t>
      </w:r>
    </w:p>
    <w:p w14:paraId="085B1847">
      <w:pPr>
        <w:numPr>
          <w:ilvl w:val="2"/>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专业承包单位应当根据所承担的分部分项工程的工程量和施工危险程度按要求配置专职安全生产管理人员。</w:t>
      </w:r>
    </w:p>
    <w:p w14:paraId="235C3DE4">
      <w:pPr>
        <w:numPr>
          <w:ilvl w:val="2"/>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劳务分包单位施工人员在50人以下的，应当配备1名专职安全生产管理人员；50人-200人的，应当配备2名专职安全生产管理人员；200人及以上的，应当配备3名及以上专职安全生产管理人员，并根据所承担的分部分项工程施工危险实际情况增加，不得少于工程施工人员总人数的5‰。</w:t>
      </w:r>
    </w:p>
    <w:p w14:paraId="1ECE2284">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应按工程所在地政府及相关行政主管部门有关规定做好安全教育、安全防护（包括为所属人员配备个人防护用品）等工作，保证施工安全和人身安全。如在合同期内，乙方承包范围内发生的所有人员伤亡事故，其责任及费用均由乙方承担，并应积极采取有效措施防止损失扩大，同时按规定立即书面报告甲方。</w:t>
      </w:r>
    </w:p>
    <w:p w14:paraId="559A8EFC">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按文明施工有关规定及甲方要求进行现场布置管理，做到工完场清，料具工具堆放整齐。安全帽应按照甲方要求统一颜色、标识，便于规范管理。</w:t>
      </w:r>
    </w:p>
    <w:p w14:paraId="25741839">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乙方在施工过程中必须遵守工程所在地有关消防、安全文明施工、环境管理等规定，办理相关手续，承担由此发生的费用。凡因违反政府有关规定所导致的责任，均由乙方承担。</w:t>
      </w:r>
    </w:p>
    <w:p w14:paraId="1DBE65C9">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必须对其施工管理人员及作业人员施行严格的管理，在工程开工前将进场施工人员名单报送甲方，且所有施工人员已在项目建设行政主管部门办理备案登记，特殊工种必须持证上岗。乙方必须配备专职安全员，安全员必须持证上岗。</w:t>
      </w:r>
    </w:p>
    <w:p w14:paraId="3389F792">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甲方认为乙方工作中安全措施不力或安全设施不足，可要求乙方限期改正，若仍不能满足安全要求，甲方可自行安排相关工作，所发生的费用由乙方承担。</w:t>
      </w:r>
    </w:p>
    <w:p w14:paraId="791350A9">
      <w:pPr>
        <w:numPr>
          <w:ilvl w:val="1"/>
          <w:numId w:val="6"/>
        </w:numPr>
        <w:kinsoku w:val="0"/>
        <w:spacing w:after="0" w:line="360" w:lineRule="auto"/>
        <w:jc w:val="both"/>
        <w:rPr>
          <w:rFonts w:hint="eastAsia" w:ascii="宋体" w:hAnsi="宋体" w:eastAsia="宋体" w:cs="宋体"/>
          <w:b/>
          <w:color w:val="000000" w:themeColor="text1"/>
          <w:sz w:val="21"/>
          <w:szCs w:val="21"/>
          <w:highlight w:val="none"/>
          <w:lang w:eastAsia="zh-CN"/>
          <w14:textFill>
            <w14:solidFill>
              <w14:schemeClr w14:val="tx1"/>
            </w14:solidFill>
          </w14:textFill>
        </w:rPr>
      </w:pPr>
      <w:r>
        <w:rPr>
          <w:rFonts w:hint="eastAsia" w:ascii="宋体" w:hAnsi="宋体" w:eastAsia="宋体" w:cs="宋体"/>
          <w:b/>
          <w:color w:val="000000" w:themeColor="text1"/>
          <w:sz w:val="21"/>
          <w:szCs w:val="21"/>
          <w:highlight w:val="none"/>
          <w:lang w:eastAsia="zh-CN"/>
          <w14:textFill>
            <w14:solidFill>
              <w14:schemeClr w14:val="tx1"/>
            </w14:solidFill>
          </w14:textFill>
        </w:rPr>
        <w:t>乙方必须为施工现场自有人员配备必需的劳动防护用品。乙方配备的劳动防护用品使用性能或质量必须符合国家主管部门及行业规范、标准要求，另外劳动防护用品外观、样式、规格、型号须符合甲方安全管理要求。</w:t>
      </w:r>
    </w:p>
    <w:p w14:paraId="46D8C93A">
      <w:pPr>
        <w:numPr>
          <w:ilvl w:val="0"/>
          <w:numId w:val="6"/>
        </w:numPr>
        <w:kinsoku w:val="0"/>
        <w:spacing w:after="0" w:line="360" w:lineRule="auto"/>
        <w:jc w:val="both"/>
        <w:outlineLvl w:val="1"/>
        <w:rPr>
          <w:rFonts w:hint="eastAsia" w:ascii="宋体" w:hAnsi="宋体" w:eastAsia="宋体" w:cs="宋体"/>
          <w:b/>
          <w:color w:val="000000" w:themeColor="text1"/>
          <w:sz w:val="21"/>
          <w:szCs w:val="21"/>
          <w:highlight w:val="none"/>
          <w:lang w:eastAsia="zh-CN"/>
          <w14:textFill>
            <w14:solidFill>
              <w14:schemeClr w14:val="tx1"/>
            </w14:solidFill>
          </w14:textFill>
        </w:rPr>
      </w:pPr>
      <w:bookmarkStart w:id="887" w:name="_Toc101357424"/>
      <w:bookmarkStart w:id="888" w:name="_Toc175764428"/>
      <w:bookmarkStart w:id="889" w:name="_Toc101963491"/>
      <w:bookmarkStart w:id="890" w:name="_Toc31132"/>
      <w:bookmarkStart w:id="891" w:name="_Toc32373"/>
      <w:bookmarkStart w:id="892" w:name="_Toc6633"/>
      <w:bookmarkStart w:id="893" w:name="_Toc28305"/>
      <w:bookmarkStart w:id="894" w:name="_Toc9837"/>
      <w:bookmarkStart w:id="895" w:name="_Toc16982"/>
      <w:bookmarkStart w:id="896" w:name="_Toc6154"/>
      <w:bookmarkStart w:id="897" w:name="_Toc8805"/>
      <w:bookmarkStart w:id="898" w:name="_Toc12899"/>
      <w:bookmarkStart w:id="899" w:name="_Toc27395"/>
      <w:bookmarkStart w:id="900" w:name="_Toc3343"/>
      <w:bookmarkStart w:id="901" w:name="_Toc2374"/>
      <w:bookmarkStart w:id="902" w:name="_Toc27577"/>
      <w:bookmarkStart w:id="903" w:name="_Toc22368"/>
      <w:r>
        <w:rPr>
          <w:rFonts w:hint="eastAsia" w:ascii="宋体" w:hAnsi="宋体" w:eastAsia="宋体" w:cs="宋体"/>
          <w:b/>
          <w:color w:val="000000" w:themeColor="text1"/>
          <w:sz w:val="21"/>
          <w:szCs w:val="21"/>
          <w:highlight w:val="none"/>
          <w:lang w:eastAsia="zh-CN"/>
          <w14:textFill>
            <w14:solidFill>
              <w14:schemeClr w14:val="tx1"/>
            </w14:solidFill>
          </w14:textFill>
        </w:rPr>
        <w:t>绿色施工、环境保护与职业健康管理</w:t>
      </w:r>
      <w:bookmarkEnd w:id="887"/>
      <w:bookmarkEnd w:id="888"/>
      <w:bookmarkEnd w:id="889"/>
    </w:p>
    <w:p w14:paraId="576BB97F">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bookmarkStart w:id="904" w:name="_Toc101357426"/>
      <w:r>
        <w:rPr>
          <w:rFonts w:hint="eastAsia" w:ascii="宋体" w:hAnsi="宋体" w:eastAsia="宋体" w:cs="宋体"/>
          <w:color w:val="000000" w:themeColor="text1"/>
          <w:sz w:val="21"/>
          <w:szCs w:val="21"/>
          <w:highlight w:val="none"/>
          <w:lang w:eastAsia="zh-CN"/>
          <w14:textFill>
            <w14:solidFill>
              <w14:schemeClr w14:val="tx1"/>
            </w14:solidFill>
          </w14:textFill>
        </w:rPr>
        <w:t>本合同双方应共同遵守国家和地方有关的环境保护、“双碳”目标的法律、法规，努力营造绿色低碳施工环境及建筑。</w:t>
      </w:r>
      <w:bookmarkEnd w:id="904"/>
    </w:p>
    <w:p w14:paraId="07019E68">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bookmarkStart w:id="905" w:name="_Toc101357427"/>
      <w:r>
        <w:rPr>
          <w:rFonts w:hint="eastAsia" w:ascii="宋体" w:hAnsi="宋体" w:eastAsia="宋体" w:cs="宋体"/>
          <w:color w:val="000000" w:themeColor="text1"/>
          <w:sz w:val="21"/>
          <w:szCs w:val="21"/>
          <w:highlight w:val="none"/>
          <w:lang w:eastAsia="zh-CN"/>
          <w14:textFill>
            <w14:solidFill>
              <w14:schemeClr w14:val="tx1"/>
            </w14:solidFill>
          </w14:textFill>
        </w:rPr>
        <w:t>乙方在整个施工作业过程中满足甲方制定并经国家权威部门认证的ISO9001、ISO14001和OHSA18001的要求，保证施工生产符合相关标准的要求。</w:t>
      </w:r>
      <w:bookmarkEnd w:id="905"/>
      <w:r>
        <w:rPr>
          <w:rFonts w:hint="eastAsia" w:ascii="宋体" w:hAnsi="宋体" w:eastAsia="宋体" w:cs="宋体"/>
          <w:color w:val="000000" w:themeColor="text1"/>
          <w:sz w:val="21"/>
          <w:szCs w:val="21"/>
          <w:highlight w:val="none"/>
          <w:lang w:eastAsia="zh-CN"/>
          <w14:textFill>
            <w14:solidFill>
              <w14:schemeClr w14:val="tx1"/>
            </w14:solidFill>
          </w14:textFill>
        </w:rPr>
        <w:t>乙方应定期对自有管理人员及劳务工人进行绿色施工法规、技术知识培训等，并接受相关单位的监督管理。</w:t>
      </w:r>
    </w:p>
    <w:p w14:paraId="522876BA">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应建立绿色施工组织架构和绿色施工管理体系，并保证有效运行，真正做到“四节一环保”即：节水、节能、节地、节材和环境保护：乙方施工中不得对未完成审批手续的森林、农田、自然保护区、自然保护动物进行破坏。</w:t>
      </w:r>
    </w:p>
    <w:p w14:paraId="5EA64990">
      <w:p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（1）乙方应当确保其所提供的材料、工程设备、施工设备和其他材料都是绿色环保产品，列入国家强制认证产品名录的，还应当是通过国家强制认证的产品；</w:t>
      </w:r>
    </w:p>
    <w:p w14:paraId="0FAC006D">
      <w:p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（2）建筑余料应合理使用：施工现场建筑余料要合理利用，如混凝土用于制作路牙石，预制过梁等，钢筋制作马镫，定位筋等；</w:t>
      </w:r>
    </w:p>
    <w:p w14:paraId="11C283E7">
      <w:p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（3）板材、块材等下脚料和撒落混凝土及砂浆应科学利用：下脚料等分规格后合理进行利用；</w:t>
      </w:r>
    </w:p>
    <w:p w14:paraId="77D3CECF">
      <w:p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（4）混凝土养护和砂浆搅拌用水应合理，应有节水措施：混凝土养护宜采用覆膜养护或喷雾养护等节水措施；</w:t>
      </w:r>
    </w:p>
    <w:p w14:paraId="5EDF57CD">
      <w:p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（5）管网和用水器具不应有渗漏：对管网及用水器具要定期进行检查维修；</w:t>
      </w:r>
    </w:p>
    <w:p w14:paraId="7170BCF5">
      <w:p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（6）对施工现场的生产、生活、办公和主要耗能施工设备应设有节能的控制措施：主要耗能设备要有自动控制等相关控制措施，避免造成能源浪费；</w:t>
      </w:r>
    </w:p>
    <w:p w14:paraId="145DB58B">
      <w:p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（7）国家、行业、地方政府明令淘汰的施工设备、机具和产品不应使用：施工现场严禁使用国家命令淘汰的用能设备及生产工艺；</w:t>
      </w:r>
    </w:p>
    <w:p w14:paraId="3BCFD89E">
      <w:p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（8）应采用节能型设施：现场临电设备、小型机具、照明灯具等应采用带有国家能源效率标示的产品；</w:t>
      </w:r>
    </w:p>
    <w:p w14:paraId="369C7A9E">
      <w:p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（9）临时用电应设置合理，管理制度应齐全并应落实到位：施工现场临时用电要规范，制定相关管理制度，有专人负责；</w:t>
      </w:r>
    </w:p>
    <w:p w14:paraId="5224D987">
      <w:p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（10）应采用能源利用效率高的施工机械设备：现场施工应选用功率与负载相匹配的施工机械设备；</w:t>
      </w:r>
    </w:p>
    <w:p w14:paraId="480DE05C">
      <w:p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（11）施工机具资源应共享：合理进行施工平面布置，塔吊、加工厂等要充分考虑多区域共同利用；</w:t>
      </w:r>
    </w:p>
    <w:p w14:paraId="1A0BAE5E">
      <w:p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（12）应定期监控重点耗能设备的能源利用情况，并有记录：塔吊、施工电梯等重点耗能设备要单独安装电表；</w:t>
      </w:r>
    </w:p>
    <w:p w14:paraId="68D8DCB2">
      <w:p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（13）建筑材料的选用应缩短运输距离，减少能源消耗：500km以内的建筑材料用量占施工使用的建筑材料总重量的70%以上；</w:t>
      </w:r>
    </w:p>
    <w:p w14:paraId="4E6389B1">
      <w:p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（14）应采用能耗少的施工工艺：改进施工工艺，节能降耗。如采用逆作法等，降低扬尘及噪音、减少材料消耗、避免使用大型设备能源；</w:t>
      </w:r>
    </w:p>
    <w:p w14:paraId="7D5A9801">
      <w:p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（15）应合理安排施工工序和施工进度：在既定施工目标条件下，做到均衡施工、流水施工。特别要避免突击赶工期造成的无序施工、人力物力财力浪费等现象；</w:t>
      </w:r>
    </w:p>
    <w:p w14:paraId="0D9D566E">
      <w:p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（16）乙方应在其施工环保措施计划中明确防止误用的保证措施，违背此项约定的责任和后果全部由乙方承担。</w:t>
      </w:r>
    </w:p>
    <w:p w14:paraId="15232226">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bookmarkStart w:id="906" w:name="_Toc101357428"/>
      <w:r>
        <w:rPr>
          <w:rFonts w:hint="eastAsia" w:ascii="宋体" w:hAnsi="宋体" w:eastAsia="宋体" w:cs="宋体"/>
          <w:color w:val="000000" w:themeColor="text1"/>
          <w:sz w:val="21"/>
          <w:szCs w:val="21"/>
          <w:highlight w:val="none"/>
          <w:lang w:eastAsia="zh-CN"/>
          <w14:textFill>
            <w14:solidFill>
              <w14:schemeClr w14:val="tx1"/>
            </w14:solidFill>
          </w14:textFill>
        </w:rPr>
        <w:t>乙方在运输材料（包括废料）、机具过程中应执行工程所在地关于禁止车辆运输泄露、遗撒的规定。</w:t>
      </w:r>
    </w:p>
    <w:p w14:paraId="4F7F8116">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bookmarkStart w:id="907" w:name="_Toc101357430"/>
      <w:r>
        <w:rPr>
          <w:rFonts w:hint="eastAsia" w:ascii="宋体" w:hAnsi="宋体" w:eastAsia="宋体" w:cs="宋体"/>
          <w:color w:val="000000" w:themeColor="text1"/>
          <w:sz w:val="21"/>
          <w:szCs w:val="21"/>
          <w:highlight w:val="none"/>
          <w:lang w:eastAsia="zh-CN"/>
          <w14:textFill>
            <w14:solidFill>
              <w14:schemeClr w14:val="tx1"/>
            </w14:solidFill>
          </w14:textFill>
        </w:rPr>
        <w:t>乙方必须采取有效措施，防止运输机械噪声超标或机械漏油污染环境。</w:t>
      </w:r>
      <w:bookmarkEnd w:id="907"/>
      <w:r>
        <w:rPr>
          <w:rFonts w:hint="eastAsia" w:ascii="宋体" w:hAnsi="宋体" w:eastAsia="宋体" w:cs="宋体"/>
          <w:color w:val="000000" w:themeColor="text1"/>
          <w:sz w:val="21"/>
          <w:szCs w:val="21"/>
          <w:highlight w:val="none"/>
          <w:lang w:eastAsia="zh-CN"/>
          <w14:textFill>
            <w14:solidFill>
              <w14:schemeClr w14:val="tx1"/>
            </w14:solidFill>
          </w14:textFill>
        </w:rPr>
        <w:t>运输车辆要定期进行噪音检测。对于不符合要求的机械要及时采取必要的措施。车辆进入现场禁止鸣笛。</w:t>
      </w:r>
    </w:p>
    <w:p w14:paraId="786223FD">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乙方应承担因其原因引起的环境污染侵权损害赔偿责任，因上述环境污染引起纠纷而导致分包作业暂停的，由此增加的费用和（或）延误的工期由乙方承担。</w:t>
      </w:r>
    </w:p>
    <w:p w14:paraId="3401931B">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乙方进驻现场员工需接受10.2条约定的国家认证体系的教育培训并建立工人职业健康档案。</w:t>
      </w:r>
      <w:bookmarkEnd w:id="906"/>
      <w:r>
        <w:rPr>
          <w:rFonts w:hint="eastAsia" w:ascii="宋体" w:hAnsi="宋体" w:eastAsia="宋体" w:cs="宋体"/>
          <w:color w:val="000000" w:themeColor="text1"/>
          <w:sz w:val="21"/>
          <w:szCs w:val="21"/>
          <w:highlight w:val="none"/>
          <w:lang w:eastAsia="zh-CN"/>
          <w14:textFill>
            <w14:solidFill>
              <w14:schemeClr w14:val="tx1"/>
            </w14:solidFill>
          </w14:textFill>
        </w:rPr>
        <w:t>乙方应对聘用的所有人员核实身份及健康信息，不私招滥雇，不使用无健康信息的人员，不得在项目之间无组织无序调配使用务工人员。建立“一人一档”制度，准确掌握人员健康和流动情况。乙方应按法律规定安排分包作业人员的劳动和休息时间，保证其雇佣人员享有休息和休假的权利，做好人员防护、宣传教育工作，建立健全应急防控机制。</w:t>
      </w:r>
      <w:bookmarkStart w:id="908" w:name="_Toc101357429"/>
    </w:p>
    <w:p w14:paraId="32A16E1F">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不得在任何临时和永久性工程中使用任何政府明令禁止使用的对人体有害的任何材料（如放射性材料、石棉制品等）和方法，同时也不得在永久性工程中使用政府虽未明令禁止但会给居住或使用人带来不适感觉或味觉的任何材料和添加剂等。</w:t>
      </w:r>
    </w:p>
    <w:bookmarkEnd w:id="908"/>
    <w:p w14:paraId="440352B0">
      <w:pPr>
        <w:numPr>
          <w:ilvl w:val="0"/>
          <w:numId w:val="6"/>
        </w:numPr>
        <w:kinsoku w:val="0"/>
        <w:spacing w:after="0" w:line="360" w:lineRule="auto"/>
        <w:jc w:val="both"/>
        <w:outlineLvl w:val="1"/>
        <w:rPr>
          <w:rFonts w:hint="eastAsia" w:ascii="宋体" w:hAnsi="宋体" w:eastAsia="宋体" w:cs="宋体"/>
          <w:b/>
          <w:color w:val="000000" w:themeColor="text1"/>
          <w:sz w:val="21"/>
          <w:szCs w:val="21"/>
          <w:highlight w:val="none"/>
          <w14:textFill>
            <w14:solidFill>
              <w14:schemeClr w14:val="tx1"/>
            </w14:solidFill>
          </w14:textFill>
        </w:rPr>
      </w:pPr>
      <w:bookmarkStart w:id="909" w:name="_Toc175764429"/>
      <w:bookmarkStart w:id="910" w:name="_Toc101357431"/>
      <w:bookmarkStart w:id="911" w:name="_Toc101963492"/>
      <w:r>
        <w:rPr>
          <w:rFonts w:hint="eastAsia" w:ascii="宋体" w:hAnsi="宋体" w:eastAsia="宋体" w:cs="宋体"/>
          <w:b/>
          <w:color w:val="000000" w:themeColor="text1"/>
          <w:sz w:val="21"/>
          <w:szCs w:val="21"/>
          <w:highlight w:val="none"/>
          <w14:textFill>
            <w14:solidFill>
              <w14:schemeClr w14:val="tx1"/>
            </w14:solidFill>
          </w14:textFill>
        </w:rPr>
        <w:t>工期</w:t>
      </w:r>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9"/>
      <w:bookmarkEnd w:id="910"/>
      <w:bookmarkEnd w:id="911"/>
    </w:p>
    <w:p w14:paraId="7C5D08F7">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 xml:space="preserve">  合同工期已经考虑下列因素，乙方承诺不因此类原因提出任何有关的工期和费用索赔：</w:t>
      </w:r>
    </w:p>
    <w:p w14:paraId="39CF3CA7">
      <w:pPr>
        <w:pStyle w:val="87"/>
        <w:numPr>
          <w:ilvl w:val="0"/>
          <w:numId w:val="8"/>
        </w:numPr>
        <w:tabs>
          <w:tab w:val="left" w:pos="0"/>
        </w:tabs>
        <w:kinsoku w:val="0"/>
        <w:spacing w:after="0" w:line="360" w:lineRule="auto"/>
        <w:ind w:firstLineChars="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国家及地方政府规定的节假日或公休日；</w:t>
      </w:r>
    </w:p>
    <w:p w14:paraId="10240C54">
      <w:pPr>
        <w:pStyle w:val="87"/>
        <w:numPr>
          <w:ilvl w:val="0"/>
          <w:numId w:val="8"/>
        </w:numPr>
        <w:tabs>
          <w:tab w:val="left" w:pos="0"/>
        </w:tabs>
        <w:kinsoku w:val="0"/>
        <w:spacing w:after="0" w:line="360" w:lineRule="auto"/>
        <w:ind w:firstLineChars="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高考、中考期间政府对施工的限制；</w:t>
      </w:r>
    </w:p>
    <w:p w14:paraId="6B8A1BEA">
      <w:pPr>
        <w:pStyle w:val="87"/>
        <w:numPr>
          <w:ilvl w:val="0"/>
          <w:numId w:val="8"/>
        </w:numPr>
        <w:tabs>
          <w:tab w:val="left" w:pos="0"/>
        </w:tabs>
        <w:kinsoku w:val="0"/>
        <w:spacing w:after="0" w:line="360" w:lineRule="auto"/>
        <w:ind w:firstLineChars="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两会及其他政府会议；</w:t>
      </w:r>
    </w:p>
    <w:p w14:paraId="69CD530B">
      <w:pPr>
        <w:pStyle w:val="87"/>
        <w:numPr>
          <w:ilvl w:val="0"/>
          <w:numId w:val="8"/>
        </w:numPr>
        <w:tabs>
          <w:tab w:val="left" w:pos="0"/>
        </w:tabs>
        <w:kinsoku w:val="0"/>
        <w:spacing w:after="0" w:line="360" w:lineRule="auto"/>
        <w:ind w:firstLineChars="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与其他施工工序间不可避免的交叉作业影响，配合施工的等待时间等对工期产生的影响；</w:t>
      </w:r>
    </w:p>
    <w:p w14:paraId="39C7AB16">
      <w:pPr>
        <w:pStyle w:val="87"/>
        <w:numPr>
          <w:ilvl w:val="0"/>
          <w:numId w:val="8"/>
        </w:numPr>
        <w:tabs>
          <w:tab w:val="left" w:pos="0"/>
        </w:tabs>
        <w:kinsoku w:val="0"/>
        <w:spacing w:after="0" w:line="360" w:lineRule="auto"/>
        <w:ind w:firstLineChars="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不利的气候条件（不可抗力除外）；</w:t>
      </w:r>
    </w:p>
    <w:p w14:paraId="06925F90">
      <w:pPr>
        <w:pStyle w:val="87"/>
        <w:numPr>
          <w:ilvl w:val="0"/>
          <w:numId w:val="8"/>
        </w:numPr>
        <w:tabs>
          <w:tab w:val="left" w:pos="0"/>
        </w:tabs>
        <w:kinsoku w:val="0"/>
        <w:spacing w:after="0" w:line="360" w:lineRule="auto"/>
        <w:ind w:firstLineChars="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施工噪音及夜间施工时间段造成的影响、空气污染预警、环保政策要求、扰民与民扰、城管管制、农忙；</w:t>
      </w:r>
    </w:p>
    <w:p w14:paraId="5D913F33">
      <w:pPr>
        <w:pStyle w:val="87"/>
        <w:numPr>
          <w:ilvl w:val="0"/>
          <w:numId w:val="8"/>
        </w:numPr>
        <w:tabs>
          <w:tab w:val="left" w:pos="0"/>
        </w:tabs>
        <w:kinsoku w:val="0"/>
        <w:spacing w:after="0" w:line="360" w:lineRule="auto"/>
        <w:ind w:firstLineChars="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甲方及甲方上级单位、建设单位或政府职能部门的各类检查、奖项评比、各种层级的观摩；</w:t>
      </w:r>
    </w:p>
    <w:p w14:paraId="69B807CC">
      <w:pPr>
        <w:pStyle w:val="87"/>
        <w:numPr>
          <w:ilvl w:val="0"/>
          <w:numId w:val="8"/>
        </w:numPr>
        <w:tabs>
          <w:tab w:val="left" w:pos="0"/>
        </w:tabs>
        <w:kinsoku w:val="0"/>
        <w:spacing w:after="0" w:line="360" w:lineRule="auto"/>
        <w:ind w:firstLineChars="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已充分研判和考虑地质风险；</w:t>
      </w:r>
    </w:p>
    <w:p w14:paraId="07CF1287">
      <w:pPr>
        <w:pStyle w:val="87"/>
        <w:numPr>
          <w:ilvl w:val="0"/>
          <w:numId w:val="8"/>
        </w:numPr>
        <w:tabs>
          <w:tab w:val="left" w:pos="0"/>
        </w:tabs>
        <w:kinsoku w:val="0"/>
        <w:spacing w:after="0" w:line="360" w:lineRule="auto"/>
        <w:ind w:firstLineChars="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其它不利的条件（不可抗力除外）。</w:t>
      </w:r>
    </w:p>
    <w:p w14:paraId="73444AD8">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经甲方审批的《工程进度计划》作为考核分包工期的依据，乙方须无条件完全正确地执行。</w:t>
      </w:r>
    </w:p>
    <w:p w14:paraId="1644A44D">
      <w:pPr>
        <w:numPr>
          <w:ilvl w:val="1"/>
          <w:numId w:val="6"/>
        </w:numPr>
        <w:kinsoku w:val="0"/>
        <w:spacing w:after="0" w:line="360" w:lineRule="auto"/>
        <w:jc w:val="both"/>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本合同工期为乙方已充分考虑了合同文件的有关内容，并根据乙方自身条件完全能满足并达到甲方要求的工期，甲方的工期包括但不限于施工准备、材料/设备加工定货、工程施工、工程验收、完工交付等全部工作时间，除本合同规定外，不作调整。</w:t>
      </w:r>
    </w:p>
    <w:p w14:paraId="58D4DE03">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发生下列情况之一时,经甲方确认,工期可以顺延:</w:t>
      </w:r>
    </w:p>
    <w:p w14:paraId="7D4A1A58">
      <w:pPr>
        <w:numPr>
          <w:ilvl w:val="2"/>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因不可抗力或甲方原因导致乙方不能正常施工，并按照签证签署经甲方项目经理、项目技术负责人、项目生产负责人、项目商务经理书面共同确认。</w:t>
      </w:r>
    </w:p>
    <w:p w14:paraId="112A2DFA">
      <w:pPr>
        <w:numPr>
          <w:ilvl w:val="2"/>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建设单位书面认可的工期延误。</w:t>
      </w:r>
    </w:p>
    <w:p w14:paraId="06B77399">
      <w:pPr>
        <w:tabs>
          <w:tab w:val="left" w:pos="0"/>
        </w:tabs>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乙方须在以上情况发生后7天内，提出工期顺延要求的报告，并附上详细的证据资料，甲方在接到报告后</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7</w:t>
      </w:r>
      <w:r>
        <w:rPr>
          <w:rFonts w:hint="eastAsia" w:ascii="宋体" w:hAnsi="宋体" w:eastAsia="宋体" w:cs="宋体"/>
          <w:color w:val="000000" w:themeColor="text1"/>
          <w:sz w:val="21"/>
          <w:szCs w:val="21"/>
          <w:highlight w:val="none"/>
          <w:lang w:eastAsia="zh-CN"/>
          <w14:textFill>
            <w14:solidFill>
              <w14:schemeClr w14:val="tx1"/>
            </w14:solidFill>
          </w14:textFill>
        </w:rPr>
        <w:t>天内予以签认、提出拒签理由或要求乙方补充资料。若乙方未在</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5</w:t>
      </w:r>
      <w:r>
        <w:rPr>
          <w:rFonts w:hint="eastAsia" w:ascii="宋体" w:hAnsi="宋体" w:eastAsia="宋体" w:cs="宋体"/>
          <w:color w:val="000000" w:themeColor="text1"/>
          <w:sz w:val="21"/>
          <w:szCs w:val="21"/>
          <w:highlight w:val="none"/>
          <w:lang w:eastAsia="zh-CN"/>
          <w14:textFill>
            <w14:solidFill>
              <w14:schemeClr w14:val="tx1"/>
            </w14:solidFill>
          </w14:textFill>
        </w:rPr>
        <w:t>日内补充要求的资料，则视为乙方放弃索赔工期的权利。经甲方审核确认后，按甲方批准时间顺延阶段工期或总工期，但乙方不得因此提出任何索赔或费用的调整，如乙方逾期未向甲方提出报告，工期不予顺延。</w:t>
      </w:r>
    </w:p>
    <w:p w14:paraId="019121EA">
      <w:pPr>
        <w:numPr>
          <w:ilvl w:val="1"/>
          <w:numId w:val="6"/>
        </w:numPr>
        <w:kinsoku w:val="0"/>
        <w:spacing w:after="0" w:line="360" w:lineRule="auto"/>
        <w:jc w:val="both"/>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乙方充分理解甲方在征拆或图纸不到位的情况下有可能出现所分包项目不能连续施工的情况，乙方承诺将按甲方要求顺延工期并不对此做任何费用增加及补偿的要求。</w:t>
      </w:r>
    </w:p>
    <w:p w14:paraId="024C346C">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甲方根据合同约定工期及施工组织设计编制节点工期，乙方必须严格按照甲方制定的节点工期要求组织施工。</w:t>
      </w:r>
    </w:p>
    <w:p w14:paraId="155C0FFF">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由于政策变化、扬尘治理、不可抗力以及建设单位或甲乙双方原因等导致工程停建或缓建，使合同不能连续履行，乙方应妥善做好已完工程和已进场材料、设备的保护和移交工作，按甲方要求将自带机械和人员撤出施工现场；如需继续施工到安全部位的，乙方应按甲方指令将工程施工到安全部位。甲方应为乙方撤出现场提供必要的条件，及时做好已完工程的结算，并按合同约定支付已完工程款。</w:t>
      </w:r>
    </w:p>
    <w:p w14:paraId="33F1EEAE">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当工程具备复工条件时，甲方向乙方发出复工通知后，乙方应按照复工通知的要求复工，乙方应当无条件复工，超过15天乙方仍未复工的，甲方可解除合同并要求乙方承担违约责任。</w:t>
      </w:r>
    </w:p>
    <w:p w14:paraId="58021814">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如在乙方没有全面履行完此分包合同义务之前，甲方与建设单位合同解除，甲方应当及时通知乙方，乙方接到通知后应尽快与甲方协商，解除或调整分包合同的内容，及时做好已完工程的结算。</w:t>
      </w:r>
      <w:r>
        <w:rPr>
          <w:rFonts w:hint="eastAsia" w:ascii="宋体" w:hAnsi="宋体" w:eastAsia="宋体" w:cs="宋体"/>
          <w:b/>
          <w:bCs/>
          <w:color w:val="000000" w:themeColor="text1"/>
          <w:sz w:val="21"/>
          <w:szCs w:val="21"/>
          <w:highlight w:val="none"/>
          <w:lang w:eastAsia="zh-CN"/>
          <w14:textFill>
            <w14:solidFill>
              <w14:schemeClr w14:val="tx1"/>
            </w14:solidFill>
          </w14:textFill>
        </w:rPr>
        <w:t>无法施工的剩余分包内容工程，乙方放弃主张可得利益等权利。</w:t>
      </w:r>
    </w:p>
    <w:p w14:paraId="3C069CF3">
      <w:pPr>
        <w:numPr>
          <w:ilvl w:val="0"/>
          <w:numId w:val="6"/>
        </w:numPr>
        <w:kinsoku w:val="0"/>
        <w:spacing w:after="0" w:line="360" w:lineRule="auto"/>
        <w:jc w:val="both"/>
        <w:outlineLvl w:val="1"/>
        <w:rPr>
          <w:rFonts w:hint="eastAsia" w:ascii="宋体" w:hAnsi="宋体" w:eastAsia="宋体" w:cs="宋体"/>
          <w:b/>
          <w:color w:val="000000" w:themeColor="text1"/>
          <w:sz w:val="21"/>
          <w:szCs w:val="21"/>
          <w:highlight w:val="none"/>
          <w14:textFill>
            <w14:solidFill>
              <w14:schemeClr w14:val="tx1"/>
            </w14:solidFill>
          </w14:textFill>
        </w:rPr>
      </w:pPr>
      <w:bookmarkStart w:id="912" w:name="_Toc175764430"/>
      <w:bookmarkStart w:id="913" w:name="_Toc101963493"/>
      <w:bookmarkStart w:id="914" w:name="_Toc101357432"/>
      <w:bookmarkStart w:id="915" w:name="_Toc4842"/>
      <w:bookmarkStart w:id="916" w:name="_Toc32027"/>
      <w:bookmarkStart w:id="917" w:name="_Toc26349"/>
      <w:bookmarkStart w:id="918" w:name="_Toc14657"/>
      <w:bookmarkStart w:id="919" w:name="_Toc23833"/>
      <w:bookmarkStart w:id="920" w:name="_Toc12536"/>
      <w:bookmarkStart w:id="921" w:name="_Toc6962"/>
      <w:bookmarkStart w:id="922" w:name="_Toc10639"/>
      <w:bookmarkStart w:id="923" w:name="_Toc1769"/>
      <w:bookmarkStart w:id="924" w:name="_Toc30786"/>
      <w:bookmarkStart w:id="925" w:name="_Toc12433"/>
      <w:bookmarkStart w:id="926" w:name="_Toc19965"/>
      <w:bookmarkStart w:id="927" w:name="_Toc17806"/>
      <w:bookmarkStart w:id="928" w:name="_Toc30939"/>
      <w:r>
        <w:rPr>
          <w:rFonts w:hint="eastAsia" w:ascii="宋体" w:hAnsi="宋体" w:eastAsia="宋体" w:cs="宋体"/>
          <w:b/>
          <w:color w:val="000000" w:themeColor="text1"/>
          <w:sz w:val="21"/>
          <w:szCs w:val="21"/>
          <w:highlight w:val="none"/>
          <w:lang w:eastAsia="zh-CN"/>
          <w14:textFill>
            <w14:solidFill>
              <w14:schemeClr w14:val="tx1"/>
            </w14:solidFill>
          </w14:textFill>
        </w:rPr>
        <w:t>试验和检验</w:t>
      </w:r>
      <w:bookmarkEnd w:id="912"/>
      <w:bookmarkEnd w:id="913"/>
      <w:bookmarkEnd w:id="914"/>
    </w:p>
    <w:p w14:paraId="17070759">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bookmarkStart w:id="929" w:name="_Toc101357433"/>
      <w:r>
        <w:rPr>
          <w:rFonts w:hint="eastAsia" w:ascii="宋体" w:hAnsi="宋体" w:eastAsia="宋体" w:cs="宋体"/>
          <w:color w:val="000000" w:themeColor="text1"/>
          <w:sz w:val="21"/>
          <w:szCs w:val="21"/>
          <w:highlight w:val="none"/>
          <w:lang w:eastAsia="zh-CN"/>
          <w14:textFill>
            <w14:solidFill>
              <w14:schemeClr w14:val="tx1"/>
            </w14:solidFill>
          </w14:textFill>
        </w:rPr>
        <w:t>乙方应按合同约定进行材料、工程设备和工程的试验和检验，并为甲方对上述材料、工程设备和工程的质量检查提供必要的试验资料和原始记录。按合同约定应由甲方与乙方共同进行试验和检验的，由乙方负责提供必要的试验条件、试验资料和原始记录。</w:t>
      </w:r>
      <w:bookmarkEnd w:id="929"/>
    </w:p>
    <w:p w14:paraId="2BC717AE">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bookmarkStart w:id="930" w:name="_Toc101357434"/>
      <w:r>
        <w:rPr>
          <w:rFonts w:hint="eastAsia" w:ascii="宋体" w:hAnsi="宋体" w:eastAsia="宋体" w:cs="宋体"/>
          <w:color w:val="000000" w:themeColor="text1"/>
          <w:sz w:val="21"/>
          <w:szCs w:val="21"/>
          <w:highlight w:val="none"/>
          <w:lang w:eastAsia="zh-CN"/>
          <w14:textFill>
            <w14:solidFill>
              <w14:schemeClr w14:val="tx1"/>
            </w14:solidFill>
          </w14:textFill>
        </w:rPr>
        <w:t>甲方未按合同约定派员参加试验和检验的，除甲方另有指示外，乙方可自行试验和检验，并应及时将试验和检验结果报送甲方，甲方应签字确认。</w:t>
      </w:r>
      <w:bookmarkEnd w:id="930"/>
    </w:p>
    <w:p w14:paraId="4C7DD9F3">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bookmarkStart w:id="931" w:name="_Toc101357435"/>
      <w:r>
        <w:rPr>
          <w:rFonts w:hint="eastAsia" w:ascii="宋体" w:hAnsi="宋体" w:eastAsia="宋体" w:cs="宋体"/>
          <w:color w:val="000000" w:themeColor="text1"/>
          <w:sz w:val="21"/>
          <w:szCs w:val="21"/>
          <w:highlight w:val="none"/>
          <w:lang w:eastAsia="zh-CN"/>
          <w14:textFill>
            <w14:solidFill>
              <w14:schemeClr w14:val="tx1"/>
            </w14:solidFill>
          </w14:textFill>
        </w:rPr>
        <w:t>甲方对乙方的试验和检验结果有疑问的，或为查清乙方试验和检验成果的可靠性而要求乙方重新试验和检验的。重新试验和检验的结果证明该项材料、工程设备或工程的质量不符合合同约定或质量技术要求的，由此增加的费用和（或）工期延误由乙方承担；重新试验和检验结果符合合同约定的，由甲方承担由此增加的费用和（或）工期延误。</w:t>
      </w:r>
      <w:bookmarkEnd w:id="931"/>
    </w:p>
    <w:p w14:paraId="13CE9A81">
      <w:pPr>
        <w:numPr>
          <w:ilvl w:val="0"/>
          <w:numId w:val="6"/>
        </w:numPr>
        <w:kinsoku w:val="0"/>
        <w:spacing w:after="0" w:line="360" w:lineRule="auto"/>
        <w:jc w:val="both"/>
        <w:outlineLvl w:val="1"/>
        <w:rPr>
          <w:rFonts w:hint="eastAsia" w:ascii="宋体" w:hAnsi="宋体" w:eastAsia="宋体" w:cs="宋体"/>
          <w:b/>
          <w:color w:val="000000" w:themeColor="text1"/>
          <w:sz w:val="21"/>
          <w:szCs w:val="21"/>
          <w:highlight w:val="none"/>
          <w14:textFill>
            <w14:solidFill>
              <w14:schemeClr w14:val="tx1"/>
            </w14:solidFill>
          </w14:textFill>
        </w:rPr>
      </w:pPr>
      <w:bookmarkStart w:id="932" w:name="_Toc101963494"/>
      <w:bookmarkStart w:id="933" w:name="_Toc175764431"/>
      <w:bookmarkStart w:id="934" w:name="_Toc101357436"/>
      <w:r>
        <w:rPr>
          <w:rFonts w:hint="eastAsia" w:ascii="宋体" w:hAnsi="宋体" w:eastAsia="宋体" w:cs="宋体"/>
          <w:b/>
          <w:color w:val="000000" w:themeColor="text1"/>
          <w:sz w:val="21"/>
          <w:szCs w:val="21"/>
          <w:highlight w:val="none"/>
          <w14:textFill>
            <w14:solidFill>
              <w14:schemeClr w14:val="tx1"/>
            </w14:solidFill>
          </w14:textFill>
        </w:rPr>
        <w:t>合同价款与计量方式</w:t>
      </w:r>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32"/>
      <w:bookmarkEnd w:id="933"/>
      <w:bookmarkEnd w:id="934"/>
    </w:p>
    <w:p w14:paraId="4E0DDB0B">
      <w:pPr>
        <w:numPr>
          <w:ilvl w:val="1"/>
          <w:numId w:val="6"/>
        </w:numPr>
        <w:kinsoku w:val="0"/>
        <w:spacing w:after="0" w:line="360" w:lineRule="auto"/>
        <w:jc w:val="both"/>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合同价款：以合同协议书中约定为准，本合同生效后，除专用合同条款另有约定外不作调整。乙方在其承包范围内，为履行本合同约定的义务和职责，满足国家相关法律法规、设计要求和建设单位（</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包括项目管理咨询公司、第三方实测实量机构</w:t>
      </w:r>
      <w:r>
        <w:rPr>
          <w:rFonts w:hint="eastAsia" w:ascii="宋体" w:hAnsi="宋体" w:eastAsia="宋体" w:cs="宋体"/>
          <w:color w:val="000000" w:themeColor="text1"/>
          <w:sz w:val="21"/>
          <w:szCs w:val="21"/>
          <w:highlight w:val="none"/>
          <w:lang w:eastAsia="zh-CN"/>
          <w14:textFill>
            <w14:solidFill>
              <w14:schemeClr w14:val="tx1"/>
            </w14:solidFill>
          </w14:textFill>
        </w:rPr>
        <w:t>）、监理单位、甲方的合理要求，并承担自身经营风险所可能发生的一切相关费用均已包含在合同价格之内。</w:t>
      </w:r>
    </w:p>
    <w:p w14:paraId="5077F655">
      <w:pPr>
        <w:numPr>
          <w:ilvl w:val="1"/>
          <w:numId w:val="6"/>
        </w:numPr>
        <w:kinsoku w:val="0"/>
        <w:spacing w:after="0" w:line="360" w:lineRule="auto"/>
        <w:jc w:val="both"/>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下列三种确定合同价格的方式，在专用合同条款中约定采用其中一种：</w:t>
      </w:r>
    </w:p>
    <w:p w14:paraId="12003F9D">
      <w:pPr>
        <w:numPr>
          <w:ilvl w:val="2"/>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单价合同：是指双方当事人约定以工程量清单及其综合单价进行合同价格计算、调整和确认的建设工程施工合同，在约定的风险范围内合同单价不作调整。综合单价包括但不限于人工费、材料相关费用（包括但不限于损耗、辅材辅料、材料转运、材料保管和堆放、材料上下车费、场地内水平及垂直运输、场内搬迁费、特殊地段材料运费补差等）、机械相关费用（包括但不限于设备进退场及场外运输费用、二次进场费、辅助机械费、小型机具费、专用工具费、机械设备安拆费、机械设备闲置费、机械设备燃动费、租赁费、维修费、场内运费等）、设计图纸中标示的特殊材料工艺的专利使用费、管理费、规费、利润、除增值税外的其他全部税费（包括但不限于城市建设维护税、教育费附加及地方教育费附加、个人所得税、合同印花税、企业所得税、车船使用税以及国家和地方规定的所有税费）、各类风险费（包括但不限于物价上涨、合同明示或暗示的风险责任和义务、施工过程中因要符合政府部门的新规定或新规范等而须改善或替换之材料设备的费用等）、相关措施费（包括但不限于质量、安全、工期、测量放线、CI费、绿色安全文明施工费、环境保护相关费用、水土保持相关费用、深化设计费、专家论证费、特殊条件施工增加费、保险费、赶工费、窝工费、加班费、成品保护费、养护费、保修费、缺陷修理费、养路费、检验试验费、竣工清理费、竣工资料费、水电燃油费、扰民调停费、各项评比检查观摩等所需的配合费用、工人及管理人员住宿通勤费、工程验收、垃圾清运、现场二次及多次搭拆施工用架子及吊篮、后期服务费用等）、施工降效费、超高费、外经证办理费用、进入工程所在地备案费用、涉及</w:t>
      </w:r>
      <w:r>
        <w:rPr>
          <w:rFonts w:hint="eastAsia" w:ascii="宋体" w:hAnsi="宋体" w:cs="宋体"/>
          <w:color w:val="000000" w:themeColor="text1"/>
          <w:sz w:val="21"/>
          <w:szCs w:val="21"/>
          <w:highlight w:val="none"/>
          <w:lang w:eastAsia="zh-CN"/>
          <w14:textFill>
            <w14:solidFill>
              <w14:schemeClr w14:val="tx1"/>
            </w14:solidFill>
          </w14:textFill>
        </w:rPr>
        <w:t>相关部门各种手续办理及费用、与周边居民的协调工作、</w:t>
      </w:r>
      <w:r>
        <w:rPr>
          <w:rFonts w:hint="eastAsia" w:ascii="宋体" w:hAnsi="宋体" w:eastAsia="宋体" w:cs="宋体"/>
          <w:color w:val="000000" w:themeColor="text1"/>
          <w:sz w:val="21"/>
          <w:szCs w:val="21"/>
          <w:highlight w:val="none"/>
          <w:lang w:eastAsia="zh-CN"/>
          <w14:textFill>
            <w14:solidFill>
              <w14:schemeClr w14:val="tx1"/>
            </w14:solidFill>
          </w14:textFill>
        </w:rPr>
        <w:t>配合乙方或甲方另行分包的项目所需的配合服务费及配合照管费、疫情常态化防控发生的各种防疫费用、为完成本合同承包范围由甲方安排的其它工作等。合同价格包括的风险范围：</w:t>
      </w:r>
    </w:p>
    <w:p w14:paraId="5BD39670">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（1）措施费包干，除特别约定外不作调整；</w:t>
      </w:r>
    </w:p>
    <w:p w14:paraId="09F47326">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（2）经过乙方标价的工程量清单（或乙方投标报价）各分项工程、各子目中的计算、价格错误及组价的漏项；</w:t>
      </w:r>
    </w:p>
    <w:p w14:paraId="0F293DFF">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（3）乙方施工范围或施工工程量增加15%范围以内的情况或乙方施工范围或施工工程量减少的情况导致价格的变化；</w:t>
      </w:r>
    </w:p>
    <w:p w14:paraId="0DEC0334">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（4）材料价格及人工价格上涨或下落；</w:t>
      </w:r>
    </w:p>
    <w:p w14:paraId="69613967">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（5）国家法律、法规、政策的变化；</w:t>
      </w:r>
    </w:p>
    <w:p w14:paraId="2253978B">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（6）工程造价管理部门公布的各种价格调整；</w:t>
      </w:r>
    </w:p>
    <w:p w14:paraId="1F2AB6C7">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（7）大面积与局部、小面积之间，普通部位与特殊部位之间的各种施工差异；</w:t>
      </w:r>
    </w:p>
    <w:p w14:paraId="676938C7">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（8）任何情况下，乙方在投标前已勘察现场及熟悉施工图纸等，实际施工时不能以对现场或图纸不熟，或者以清单未描述或内容描述不全面等为由要求调整合同单价。</w:t>
      </w:r>
    </w:p>
    <w:p w14:paraId="6AD28735">
      <w:pPr>
        <w:numPr>
          <w:ilvl w:val="2"/>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总价合同：是指双方当事人约定以图纸、已标价工程量清单或预算书及有关条件进行合同价格计算、调整和确认的建设工程施工合同，在约定的风险范围内合同价格不再调整。</w:t>
      </w:r>
      <w:r>
        <w:rPr>
          <w:rFonts w:hint="eastAsia" w:ascii="宋体" w:hAnsi="宋体" w:eastAsia="宋体" w:cs="宋体"/>
          <w:color w:val="000000" w:themeColor="text1"/>
          <w:sz w:val="21"/>
          <w:szCs w:val="21"/>
          <w:highlight w:val="none"/>
          <w:lang w:eastAsia="zh-CN"/>
          <w14:textFill>
            <w14:solidFill>
              <w14:schemeClr w14:val="tx1"/>
            </w14:solidFill>
          </w14:textFill>
        </w:rPr>
        <w:t>合同总价包括但不限于人工费、材料相关费用（包括但不限于损耗、辅材辅料、材料转运、材料保管和堆放、材料上下车费、场地内水平及垂直运输、场内搬迁费、特殊地段材料运费补差等）、机械相关费用（包括但不限于设备进退场及场外运输费用、二次进场费、辅助机械费、小型机具费、专用工具费、机械设备安拆费、机械设备闲置费、机械设备燃动费、租赁费、维修费、场内运费等）、设计图纸中标示的特殊材料工艺的专利使用费、管理费、规费、利润、除增值税外的其他全部税费（包括但不限于城市建设维护税、教育费附加及地方教育费附加、个人所得税、合同印花税、企业所得税、车船使用税以及国家和地方规定的所有税费）、各类风险费（包括但不限于物价上涨、合同明示或暗示的风险责任和义务、施工过程中因要符合政府部门的新规定或新规范等而须改善或替换之材料设备的费用等）、相关措施费（包括但不限于质量、安全、工期、测量放线、CI费、绿色安全文明施工费、环境保护相关费用、水土保持相关费用、深化设计费、专家论证费、特殊条件施工增加费、保险费、赶工费、窝工费、加班费、成品保护费、养护费、保修费、缺陷修理费、养路费、检验试验费、竣工清理费、竣工资料费、水电燃油费、扰民调停费、各项评比检查观摩等所需的配合费用、工人及管理人员住宿通勤费、工程验收、垃圾清运、现场二次及多次搭拆施工用架子及吊篮、后期服务费用等）、施工降效费、超高费、外经证办理费用、进入工程所在地备案费用、涉及</w:t>
      </w:r>
      <w:r>
        <w:rPr>
          <w:rFonts w:hint="eastAsia" w:ascii="宋体" w:hAnsi="宋体" w:cs="宋体"/>
          <w:color w:val="000000" w:themeColor="text1"/>
          <w:sz w:val="21"/>
          <w:szCs w:val="21"/>
          <w:highlight w:val="none"/>
          <w:lang w:eastAsia="zh-CN"/>
          <w14:textFill>
            <w14:solidFill>
              <w14:schemeClr w14:val="tx1"/>
            </w14:solidFill>
          </w14:textFill>
        </w:rPr>
        <w:t>相关部门各种手续办理及费用、与周边居民的协调工作、</w:t>
      </w:r>
      <w:r>
        <w:rPr>
          <w:rFonts w:hint="eastAsia" w:ascii="宋体" w:hAnsi="宋体" w:eastAsia="宋体" w:cs="宋体"/>
          <w:color w:val="000000" w:themeColor="text1"/>
          <w:sz w:val="21"/>
          <w:szCs w:val="21"/>
          <w:highlight w:val="none"/>
          <w:lang w:eastAsia="zh-CN"/>
          <w14:textFill>
            <w14:solidFill>
              <w14:schemeClr w14:val="tx1"/>
            </w14:solidFill>
          </w14:textFill>
        </w:rPr>
        <w:t>配合乙方或甲方另行分包的项目所需的配合服务费及配合照管费、疫情常态化防控发生的各种防疫费用、为完成本合同承包范围由甲方安排的其它工作等。合同价格包括的风险范围：</w:t>
      </w:r>
    </w:p>
    <w:p w14:paraId="0BFF6180">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（1）措施费包干，除特别约定外不作调整；</w:t>
      </w:r>
    </w:p>
    <w:p w14:paraId="72856499">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（2）施工图纸、图集和相关规范所必须的全部施工内容；</w:t>
      </w:r>
    </w:p>
    <w:p w14:paraId="275F3F96">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（3）当施工范围或施工图纸发生变化导致工程量增加15%以内或工程量减少的情况导致价格的变化；</w:t>
      </w:r>
    </w:p>
    <w:p w14:paraId="67DAE940">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（4）合同清单中的计算、价格错误及组价的漏项；</w:t>
      </w:r>
    </w:p>
    <w:p w14:paraId="27F9939A">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（5）材料价格及人工价格上涨或下落；</w:t>
      </w:r>
    </w:p>
    <w:p w14:paraId="1664CA12">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（6）国家法律、法规、政策的变化；</w:t>
      </w:r>
    </w:p>
    <w:p w14:paraId="7A84C80D">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（7）工程造价管理部门公布的各种价格调整；</w:t>
      </w:r>
    </w:p>
    <w:p w14:paraId="0276C14E">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（8）大面积与局部、小面积之间，普通部位与特殊部位之间的各种施工差异；</w:t>
      </w:r>
    </w:p>
    <w:p w14:paraId="6F187482">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（9）任何情况下，乙方在投标前已勘察现场及熟悉施工图纸等，实际施工时不能以对现场或图纸不熟，或者以清单未描述或内容描述不全面等为由要求调整合同总价。</w:t>
      </w:r>
    </w:p>
    <w:p w14:paraId="110E55DD">
      <w:pPr>
        <w:numPr>
          <w:ilvl w:val="2"/>
          <w:numId w:val="6"/>
        </w:numPr>
        <w:kinsoku w:val="0"/>
        <w:spacing w:after="0" w:line="360" w:lineRule="auto"/>
        <w:jc w:val="both"/>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其他价格形式：是指除第 13.2.1、13.2.2 项以外的其他合同价格形式，具体约定见专用合同条款。</w:t>
      </w:r>
    </w:p>
    <w:p w14:paraId="2F389A01">
      <w:pPr>
        <w:numPr>
          <w:ilvl w:val="1"/>
          <w:numId w:val="6"/>
        </w:numPr>
        <w:kinsoku w:val="0"/>
        <w:spacing w:after="0" w:line="360" w:lineRule="auto"/>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采购文件和分包合同文件明示要求的项目若在《工程量清单计价表》内没有显示，或任何组成《工程量清单计价表》以外的而根据设计和规范必不可少项目，其价款均视为已经包含在《工程量清单计价表》所列项目单价/价款内。</w:t>
      </w:r>
    </w:p>
    <w:p w14:paraId="2C1778FA">
      <w:pPr>
        <w:numPr>
          <w:ilvl w:val="1"/>
          <w:numId w:val="6"/>
        </w:numPr>
        <w:kinsoku w:val="0"/>
        <w:spacing w:after="0" w:line="360" w:lineRule="auto"/>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合同单价中存在一定的不平衡，由此导致的风险由乙方承担，乙方不得以低于成本、出现亏损等任何原因要求调高价款。</w:t>
      </w:r>
    </w:p>
    <w:p w14:paraId="268BB1A0">
      <w:pPr>
        <w:numPr>
          <w:ilvl w:val="1"/>
          <w:numId w:val="6"/>
        </w:numPr>
        <w:kinsoku w:val="0"/>
        <w:spacing w:after="0" w:line="360" w:lineRule="auto"/>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合同价款综合考虑了以下各类因素，乙方不得有选择性施工作业；乙方不得以施工难度等因素为由调整合同价款，甲方不接受乙方就以下情况的费用索赔或额外补偿的要求。</w:t>
      </w:r>
    </w:p>
    <w:p w14:paraId="0704B533">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bCs/>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（1）实际</w:t>
      </w:r>
      <w:r>
        <w:rPr>
          <w:rFonts w:hint="eastAsia" w:ascii="宋体" w:hAnsi="宋体" w:eastAsia="宋体" w:cs="宋体"/>
          <w:bCs/>
          <w:color w:val="000000" w:themeColor="text1"/>
          <w:kern w:val="10"/>
          <w:sz w:val="21"/>
          <w:szCs w:val="21"/>
          <w:highlight w:val="none"/>
          <w:lang w:eastAsia="zh-CN"/>
          <w14:textFill>
            <w14:solidFill>
              <w14:schemeClr w14:val="tx1"/>
            </w14:solidFill>
          </w14:textFill>
        </w:rPr>
        <w:t>工程量较合同清单工程量增加</w:t>
      </w:r>
      <w:r>
        <w:rPr>
          <w:rFonts w:hint="eastAsia" w:ascii="宋体" w:hAnsi="宋体" w:eastAsia="宋体" w:cs="宋体"/>
          <w:color w:val="000000" w:themeColor="text1"/>
          <w:sz w:val="21"/>
          <w:szCs w:val="21"/>
          <w:highlight w:val="none"/>
          <w:lang w:eastAsia="zh-CN"/>
          <w14:textFill>
            <w14:solidFill>
              <w14:schemeClr w14:val="tx1"/>
            </w14:solidFill>
          </w14:textFill>
        </w:rPr>
        <w:t>15%范围以内或减少的情况，单价不予调整；若</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实际</w:t>
      </w:r>
      <w:r>
        <w:rPr>
          <w:rFonts w:hint="eastAsia" w:ascii="宋体" w:hAnsi="宋体" w:eastAsia="宋体" w:cs="宋体"/>
          <w:bCs/>
          <w:color w:val="000000" w:themeColor="text1"/>
          <w:kern w:val="10"/>
          <w:sz w:val="21"/>
          <w:szCs w:val="21"/>
          <w:highlight w:val="none"/>
          <w:lang w:eastAsia="zh-CN"/>
          <w14:textFill>
            <w14:solidFill>
              <w14:schemeClr w14:val="tx1"/>
            </w14:solidFill>
          </w14:textFill>
        </w:rPr>
        <w:t>工程量较合同清单工程量</w:t>
      </w:r>
      <w:r>
        <w:rPr>
          <w:rFonts w:hint="eastAsia" w:ascii="宋体" w:hAnsi="宋体" w:eastAsia="宋体" w:cs="宋体"/>
          <w:color w:val="000000" w:themeColor="text1"/>
          <w:sz w:val="21"/>
          <w:szCs w:val="21"/>
          <w:highlight w:val="none"/>
          <w:lang w:eastAsia="zh-CN"/>
          <w14:textFill>
            <w14:solidFill>
              <w14:schemeClr w14:val="tx1"/>
            </w14:solidFill>
          </w14:textFill>
        </w:rPr>
        <w:t>增加超过15%时，双方应就该清单项单价调减，并及时签订补充协议</w:t>
      </w:r>
      <w:r>
        <w:rPr>
          <w:rFonts w:hint="eastAsia" w:ascii="宋体" w:hAnsi="宋体" w:eastAsia="宋体" w:cs="宋体"/>
          <w:bCs/>
          <w:color w:val="000000" w:themeColor="text1"/>
          <w:kern w:val="10"/>
          <w:sz w:val="21"/>
          <w:szCs w:val="21"/>
          <w:highlight w:val="none"/>
          <w:lang w:eastAsia="zh-CN"/>
          <w14:textFill>
            <w14:solidFill>
              <w14:schemeClr w14:val="tx1"/>
            </w14:solidFill>
          </w14:textFill>
        </w:rPr>
        <w:t>；</w:t>
      </w:r>
    </w:p>
    <w:p w14:paraId="5748011D">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bCs/>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（2）全部</w:t>
      </w:r>
      <w:r>
        <w:rPr>
          <w:rFonts w:hint="eastAsia" w:ascii="宋体" w:hAnsi="宋体" w:eastAsia="宋体" w:cs="宋体"/>
          <w:bCs/>
          <w:color w:val="000000" w:themeColor="text1"/>
          <w:kern w:val="10"/>
          <w:sz w:val="21"/>
          <w:szCs w:val="21"/>
          <w:highlight w:val="none"/>
          <w:lang w:eastAsia="zh-CN"/>
          <w14:textFill>
            <w14:solidFill>
              <w14:schemeClr w14:val="tx1"/>
            </w14:solidFill>
          </w14:textFill>
        </w:rPr>
        <w:t>非标层高、局部超高及高层施工难度等因素；</w:t>
      </w:r>
    </w:p>
    <w:p w14:paraId="5C16AE43">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（3）全部或局部尺寸、形状、工艺等部分特殊性设计或异形构件等施工造成的工效降低；</w:t>
      </w:r>
    </w:p>
    <w:p w14:paraId="787ED80B">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（3）机械覆盖范围外引起降效和人工倒运；</w:t>
      </w:r>
    </w:p>
    <w:p w14:paraId="7FB4877B">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bookmarkStart w:id="935" w:name="_Hlk34494197"/>
      <w:r>
        <w:rPr>
          <w:rFonts w:hint="eastAsia" w:ascii="宋体" w:hAnsi="宋体" w:eastAsia="宋体" w:cs="宋体"/>
          <w:color w:val="000000" w:themeColor="text1"/>
          <w:kern w:val="10"/>
          <w:sz w:val="21"/>
          <w:szCs w:val="21"/>
          <w:highlight w:val="none"/>
          <w:lang w:eastAsia="zh-CN"/>
          <w14:textFill>
            <w14:solidFill>
              <w14:schemeClr w14:val="tx1"/>
            </w14:solidFill>
          </w14:textFill>
        </w:rPr>
        <w:t>（4）</w:t>
      </w:r>
      <w:bookmarkEnd w:id="935"/>
      <w:r>
        <w:rPr>
          <w:rFonts w:hint="eastAsia" w:ascii="宋体" w:hAnsi="宋体" w:eastAsia="宋体" w:cs="宋体"/>
          <w:color w:val="000000" w:themeColor="text1"/>
          <w:kern w:val="10"/>
          <w:sz w:val="21"/>
          <w:szCs w:val="21"/>
          <w:highlight w:val="none"/>
          <w:lang w:eastAsia="zh-CN"/>
          <w14:textFill>
            <w14:solidFill>
              <w14:schemeClr w14:val="tx1"/>
            </w14:solidFill>
          </w14:textFill>
        </w:rPr>
        <w:t>建设单位图纸原因、节假日、政府强制停工复工、各类</w:t>
      </w:r>
      <w:r>
        <w:rPr>
          <w:rFonts w:hint="eastAsia" w:ascii="宋体" w:hAnsi="宋体" w:eastAsia="宋体" w:cs="宋体"/>
          <w:color w:val="000000" w:themeColor="text1"/>
          <w:sz w:val="21"/>
          <w:szCs w:val="21"/>
          <w:highlight w:val="none"/>
          <w:lang w:eastAsia="zh-CN"/>
          <w14:textFill>
            <w14:solidFill>
              <w14:schemeClr w14:val="tx1"/>
            </w14:solidFill>
          </w14:textFill>
        </w:rPr>
        <w:t>检查观摩等</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所引起各项工作费用（如二次进出场、留守人员等）；</w:t>
      </w:r>
    </w:p>
    <w:p w14:paraId="385E9C23">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（5）停水停电、待料、机械修理等停工费用；</w:t>
      </w:r>
    </w:p>
    <w:p w14:paraId="046049EF">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（6）甲方根据工程的进展及施工的需要调整了施工方案和工序而产生费用；</w:t>
      </w:r>
    </w:p>
    <w:p w14:paraId="77D2882E">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（7）未经甲方允许，乙方在施工中擅自改变材料做法进行施工作业；</w:t>
      </w:r>
    </w:p>
    <w:p w14:paraId="0D623867">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（8）乙方承包范围内任何零星用工、窝工、误工、赶工等费用；</w:t>
      </w:r>
    </w:p>
    <w:p w14:paraId="57C68733">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（9）因市场变化导致人工、材料、机械价格变化或政府及行业主管部门红头文件的颁发而起的乙方的实际支出的增减；</w:t>
      </w:r>
    </w:p>
    <w:p w14:paraId="55FD8504">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（10）因天气、地形、地质、环保要求等条件变化对工程影响（如因雨雪、大气污染、扬尘管控）及采取的临时措施；</w:t>
      </w:r>
    </w:p>
    <w:p w14:paraId="1966FF8D">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（11）乙方对采购文件、图纸情况、施工现场情况、生活区情况的理解偏差；</w:t>
      </w:r>
    </w:p>
    <w:p w14:paraId="0C3C4779">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（12）按规范、方案、图纸要求必须完成的</w:t>
      </w:r>
      <w:bookmarkStart w:id="936" w:name="_Hlk34051356"/>
      <w:r>
        <w:rPr>
          <w:rFonts w:hint="eastAsia" w:ascii="宋体" w:hAnsi="宋体" w:eastAsia="宋体" w:cs="宋体"/>
          <w:color w:val="000000" w:themeColor="text1"/>
          <w:kern w:val="10"/>
          <w:sz w:val="21"/>
          <w:szCs w:val="21"/>
          <w:highlight w:val="none"/>
          <w:lang w:eastAsia="zh-CN"/>
          <w14:textFill>
            <w14:solidFill>
              <w14:schemeClr w14:val="tx1"/>
            </w14:solidFill>
          </w14:textFill>
        </w:rPr>
        <w:t>（包括图纸没有显示的）工作；</w:t>
      </w:r>
    </w:p>
    <w:bookmarkEnd w:id="936"/>
    <w:p w14:paraId="32B966B4">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（13）同前期工程衔接、处理完善前期遗留问题、接受现场基层条件所需的费用；</w:t>
      </w:r>
    </w:p>
    <w:p w14:paraId="425A4C45">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bookmarkStart w:id="937" w:name="_Hlk33982872"/>
      <w:r>
        <w:rPr>
          <w:rFonts w:hint="eastAsia" w:ascii="宋体" w:hAnsi="宋体" w:eastAsia="宋体" w:cs="宋体"/>
          <w:color w:val="000000" w:themeColor="text1"/>
          <w:kern w:val="10"/>
          <w:sz w:val="21"/>
          <w:szCs w:val="21"/>
          <w:highlight w:val="none"/>
          <w:lang w:eastAsia="zh-CN"/>
          <w14:textFill>
            <w14:solidFill>
              <w14:schemeClr w14:val="tx1"/>
            </w14:solidFill>
          </w14:textFill>
        </w:rPr>
        <w:t>（14）与其他分包单位的照管、配合及带来的工作量的全部费用；</w:t>
      </w:r>
    </w:p>
    <w:bookmarkEnd w:id="937"/>
    <w:p w14:paraId="17446F11">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（15）甲方基于项目需求所推行或要求使用的新技术、新工艺、新材料的费用；</w:t>
      </w:r>
    </w:p>
    <w:p w14:paraId="09EC67B8">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（16）本合同没有提到的但乙方为完成本工程工作所必然发生的工作所产生的费用；</w:t>
      </w:r>
    </w:p>
    <w:p w14:paraId="1954EB2F">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（17）非乙方原因停工30日以内造成的窝工；</w:t>
      </w:r>
    </w:p>
    <w:p w14:paraId="6B570C70">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（18）因达到合同约定的创优标准所发生的费用；</w:t>
      </w:r>
    </w:p>
    <w:p w14:paraId="3F3CC078">
      <w:pPr>
        <w:tabs>
          <w:tab w:val="left" w:pos="6090"/>
        </w:tabs>
        <w:kinsoku w:val="0"/>
        <w:adjustRightInd w:val="0"/>
        <w:spacing w:after="0" w:line="360" w:lineRule="auto"/>
        <w:ind w:right="149" w:rightChars="71" w:firstLine="420" w:firstLineChars="200"/>
        <w:contextualSpacing/>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（19）其他在本合同中明确的因素。</w:t>
      </w:r>
    </w:p>
    <w:p w14:paraId="6C50E6D2">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乙方承诺为满足本合同约定的工期、质量、安全生产要求，会随时按甲方指令无条件追加现场资源投入，以达到甲方的要求为止；为达到上述要求，乙方采取各种措施的费用已包含于合同价款中，不再增加任何费用。</w:t>
      </w:r>
    </w:p>
    <w:p w14:paraId="269E1F7C">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在合同执行期间，如遇国家增值税率调整，在不含税价格不变的情况下，按政策调整之日对本合同项下未完成部分执行最新规定。</w:t>
      </w:r>
    </w:p>
    <w:p w14:paraId="05E2921A">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本合同中约定的任何一项工作内容未履行或未完全履行，均应从合同价款中扣除相应费用。</w:t>
      </w:r>
    </w:p>
    <w:p w14:paraId="1177FBD8">
      <w:pPr>
        <w:numPr>
          <w:ilvl w:val="1"/>
          <w:numId w:val="6"/>
        </w:numPr>
        <w:kinsoku w:val="0"/>
        <w:spacing w:after="0" w:line="360" w:lineRule="auto"/>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计量方式</w:t>
      </w:r>
    </w:p>
    <w:p w14:paraId="56BBF66A">
      <w:pPr>
        <w:numPr>
          <w:ilvl w:val="2"/>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本工程工程量计量原则按照经甲方确认的施工图纸及合同专用条款中约定的规定执行，以经甲方最终确认的实际施工部位为准，按照施工图纸计算的工程量及现场实际完成的合格工程量的较小值计算。</w:t>
      </w:r>
    </w:p>
    <w:p w14:paraId="684400AF">
      <w:pPr>
        <w:numPr>
          <w:ilvl w:val="2"/>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本工程分部分项工程量清单中所列数量为暂定数量（固定总价合同除外），不作为乙方结算依据，乙方不得以清单中工程数量及项目发生变更要求调整清单单价，乙方结算按照上述计量原则进行计算。</w:t>
      </w:r>
    </w:p>
    <w:p w14:paraId="43C3320D">
      <w:pPr>
        <w:numPr>
          <w:ilvl w:val="2"/>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本合同范围内工作内容不得发生任何零工、零星机械台班及技术措施费。甲方可以拒绝支付任何此类费用。</w:t>
      </w:r>
    </w:p>
    <w:p w14:paraId="0F5EF1CD">
      <w:pPr>
        <w:numPr>
          <w:ilvl w:val="2"/>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任何情况下（甲方原因除外）造成的返工、返修、超技术交底或设计图纸施工的工程数量不予计价。</w:t>
      </w:r>
    </w:p>
    <w:p w14:paraId="59930E93">
      <w:pPr>
        <w:numPr>
          <w:ilvl w:val="2"/>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开工前期，如在网电未接通的情况下需进行施工时,具体事宜在专用条款中约定，专用条款中没有约定的视为此项费用由乙方承担，已包含在分包单价中。</w:t>
      </w:r>
    </w:p>
    <w:p w14:paraId="4B9DAC30">
      <w:pPr>
        <w:numPr>
          <w:ilvl w:val="0"/>
          <w:numId w:val="6"/>
        </w:numPr>
        <w:kinsoku w:val="0"/>
        <w:spacing w:after="0" w:line="360" w:lineRule="auto"/>
        <w:jc w:val="both"/>
        <w:outlineLvl w:val="1"/>
        <w:rPr>
          <w:rFonts w:hint="eastAsia" w:ascii="宋体" w:hAnsi="宋体" w:eastAsia="宋体" w:cs="宋体"/>
          <w:b/>
          <w:color w:val="000000" w:themeColor="text1"/>
          <w:sz w:val="21"/>
          <w:szCs w:val="21"/>
          <w:highlight w:val="none"/>
          <w14:textFill>
            <w14:solidFill>
              <w14:schemeClr w14:val="tx1"/>
            </w14:solidFill>
          </w14:textFill>
        </w:rPr>
      </w:pPr>
      <w:bookmarkStart w:id="938" w:name="_Toc12172"/>
      <w:bookmarkStart w:id="939" w:name="_Toc24618"/>
      <w:bookmarkStart w:id="940" w:name="_Toc29071"/>
      <w:bookmarkStart w:id="941" w:name="_Toc32406"/>
      <w:bookmarkStart w:id="942" w:name="_Toc19551"/>
      <w:bookmarkStart w:id="943" w:name="_Toc17450"/>
      <w:bookmarkStart w:id="944" w:name="_Toc101357437"/>
      <w:bookmarkStart w:id="945" w:name="_Toc20662"/>
      <w:bookmarkStart w:id="946" w:name="_Toc27252"/>
      <w:bookmarkStart w:id="947" w:name="_Toc175764432"/>
      <w:bookmarkStart w:id="948" w:name="_Toc10689"/>
      <w:bookmarkStart w:id="949" w:name="_Toc9587"/>
      <w:bookmarkStart w:id="950" w:name="_Toc101963495"/>
      <w:bookmarkStart w:id="951" w:name="_Toc10179"/>
      <w:bookmarkStart w:id="952" w:name="_Toc25862"/>
      <w:bookmarkStart w:id="953" w:name="_Toc26611"/>
      <w:bookmarkStart w:id="954" w:name="_Toc7970"/>
      <w:r>
        <w:rPr>
          <w:rFonts w:hint="eastAsia" w:ascii="宋体" w:hAnsi="宋体" w:eastAsia="宋体" w:cs="宋体"/>
          <w:b/>
          <w:color w:val="000000" w:themeColor="text1"/>
          <w:sz w:val="21"/>
          <w:szCs w:val="21"/>
          <w:highlight w:val="none"/>
          <w14:textFill>
            <w14:solidFill>
              <w14:schemeClr w14:val="tx1"/>
            </w14:solidFill>
          </w14:textFill>
        </w:rPr>
        <w:t>变更</w:t>
      </w:r>
      <w:r>
        <w:rPr>
          <w:rFonts w:hint="eastAsia" w:ascii="宋体" w:hAnsi="宋体" w:eastAsia="宋体" w:cs="宋体"/>
          <w:b/>
          <w:color w:val="000000" w:themeColor="text1"/>
          <w:sz w:val="21"/>
          <w:szCs w:val="21"/>
          <w:highlight w:val="none"/>
          <w:lang w:eastAsia="zh-CN"/>
          <w14:textFill>
            <w14:solidFill>
              <w14:schemeClr w14:val="tx1"/>
            </w14:solidFill>
          </w14:textFill>
        </w:rPr>
        <w:t>签证</w:t>
      </w:r>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p>
    <w:p w14:paraId="1753748F">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如果甲方认为有必要对本分包工程或其中的任何部分的形式、质量、数量做出任何变更或调整，乙方应遵照执行，该指示包括来自建设单位、设计单位、监理单位的设计变更、洽商、指示等。</w:t>
      </w:r>
      <w:r>
        <w:rPr>
          <w:rFonts w:hint="eastAsia" w:ascii="宋体" w:hAnsi="宋体" w:eastAsia="宋体" w:cs="宋体"/>
          <w:bCs/>
          <w:color w:val="000000" w:themeColor="text1"/>
          <w:sz w:val="21"/>
          <w:szCs w:val="21"/>
          <w:highlight w:val="none"/>
          <w:lang w:eastAsia="zh-CN"/>
          <w14:textFill>
            <w14:solidFill>
              <w14:schemeClr w14:val="tx1"/>
            </w14:solidFill>
          </w14:textFill>
        </w:rPr>
        <w:t>乙方因没有遵守此条款，引起的任何返工，其损失或工期延误都应由乙方承担。</w:t>
      </w:r>
    </w:p>
    <w:p w14:paraId="35751DB9">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上述变更指令发出后，双方应继续履行本合同。因变更而导致合同价款的增减及造成的工期影响，按本合同17.4.2条规定执行。</w:t>
      </w:r>
    </w:p>
    <w:p w14:paraId="6186BB6F">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如果上述变更是因为乙方违约或自身原因造成甲方不得不发出变更指令，则任何此类变更后增加的费用均由乙方承担。</w:t>
      </w:r>
    </w:p>
    <w:p w14:paraId="07BBC8AC">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按照甲方发出的设计变更通知及有关要求，进行施工，未经甲方事先书面同意，乙方不得擅自对原工程设计进行变更或调整分包作业范围。由乙方擅自变更或未按照甲方设计变更通知进行施工造成的费用增加和由此导致甲方的直接损失，由乙方承担，延误的工期不予顺延。</w:t>
      </w:r>
    </w:p>
    <w:p w14:paraId="3DCF5196">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在施工中提出的合理化建议及涉及到对设计图纸或施工组织设计的更改及对材料、设备的换用，应向甲方提交合理化建议说明，说明建议的内容、理由以及实施该建议对合同价格和工期的影响，且须经甲方同意，未经甲方同意擅自更改或换用时，乙方承担由此发生的费用，并赔偿由此给甲方造成的一切损失，延误的工期不予顺延。</w:t>
      </w:r>
    </w:p>
    <w:p w14:paraId="62B838CC">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发生14.5条中的情况时，乙方应在7日内，将调整的原因、金额以书面形式（附有详细估算）提交甲方，甲方在收到乙方报告后上报建设单位，经建设单位审批后，甲方签署意见并调整本合同价款，本变更合同价款由双方协商确定但不得超过建设单位审批变更价款。</w:t>
      </w:r>
    </w:p>
    <w:p w14:paraId="04250305">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现场变更签证管理规定：</w:t>
      </w:r>
    </w:p>
    <w:p w14:paraId="2C9BDE5C">
      <w:pPr>
        <w:numPr>
          <w:ilvl w:val="2"/>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变更、工程量确定原则</w:t>
      </w:r>
    </w:p>
    <w:p w14:paraId="6C91E2BE">
      <w:pPr>
        <w:tabs>
          <w:tab w:val="left" w:pos="0"/>
        </w:tabs>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（1）工程变更、签证单应按甲方要求填写，字迹清楚工整。</w:t>
      </w:r>
    </w:p>
    <w:p w14:paraId="5632CF7D">
      <w:pPr>
        <w:tabs>
          <w:tab w:val="left" w:pos="0"/>
        </w:tabs>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（2）</w:t>
      </w:r>
      <w:r>
        <w:rPr>
          <w:rFonts w:hint="eastAsia" w:ascii="宋体" w:hAnsi="宋体" w:eastAsia="宋体" w:cs="宋体"/>
          <w:b/>
          <w:bCs/>
          <w:color w:val="000000" w:themeColor="text1"/>
          <w:sz w:val="21"/>
          <w:szCs w:val="21"/>
          <w:highlight w:val="none"/>
          <w:lang w:eastAsia="zh-CN"/>
          <w14:textFill>
            <w14:solidFill>
              <w14:schemeClr w14:val="tx1"/>
            </w14:solidFill>
          </w14:textFill>
        </w:rPr>
        <w:t>须由甲方项目部现场签证发起人员、商务人员及乙方三方进行现场验收核实，并经甲方项目经理、商务经理、项目技术负责人、项目生产负责人等共同签字且日期齐全。</w:t>
      </w:r>
      <w:r>
        <w:rPr>
          <w:rFonts w:hint="eastAsia" w:ascii="宋体" w:hAnsi="宋体" w:eastAsia="宋体" w:cs="宋体"/>
          <w:color w:val="000000" w:themeColor="text1"/>
          <w:sz w:val="21"/>
          <w:szCs w:val="21"/>
          <w:highlight w:val="none"/>
          <w:lang w:eastAsia="zh-CN"/>
          <w14:textFill>
            <w14:solidFill>
              <w14:schemeClr w14:val="tx1"/>
            </w14:solidFill>
          </w14:textFill>
        </w:rPr>
        <w:t>对变更、签证事由和内容的描述须详尽，必要时应附上图示及工程量计算式。变更事由注明发生时间、地点和工作部位（层次、轴线编号、构件名称、桩号等）。</w:t>
      </w:r>
    </w:p>
    <w:p w14:paraId="5F4093AC">
      <w:pPr>
        <w:numPr>
          <w:ilvl w:val="2"/>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变更、签证单价确定原则</w:t>
      </w:r>
    </w:p>
    <w:p w14:paraId="4609CBF5">
      <w:pPr>
        <w:kinsoku w:val="0"/>
        <w:autoSpaceDE w:val="0"/>
        <w:autoSpaceDN w:val="0"/>
        <w:adjustRightInd w:val="0"/>
        <w:spacing w:after="0" w:line="480" w:lineRule="exact"/>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（1）如果取消某项工作，则该项工作的总额价不予支付；</w:t>
      </w:r>
    </w:p>
    <w:p w14:paraId="66A9D5A1">
      <w:pPr>
        <w:kinsoku w:val="0"/>
        <w:autoSpaceDE w:val="0"/>
        <w:autoSpaceDN w:val="0"/>
        <w:adjustRightInd w:val="0"/>
        <w:spacing w:after="0" w:line="480" w:lineRule="exact"/>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（2）已标价工程量清单中有相同清单项的，按照已标价工程量清单单价认定；</w:t>
      </w:r>
    </w:p>
    <w:p w14:paraId="72431A9D">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（3）已标价工程量清单中无相同清单项，但有类似清单项的，于合同清单外工程的价格，可以参照已标价工程量清单中类似清单项单价认定；</w:t>
      </w:r>
    </w:p>
    <w:p w14:paraId="310B02B5">
      <w:pPr>
        <w:kinsoku w:val="0"/>
        <w:adjustRightInd w:val="0"/>
        <w:snapToGrid w:val="0"/>
        <w:spacing w:after="0" w:line="360" w:lineRule="auto"/>
        <w:ind w:firstLine="420" w:firstLineChars="200"/>
        <w:contextualSpacing/>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4）已标价工程量清单中无相同清单项或类似清单项的，由乙方提出适当的价格，并经甲方审核后出具双方签字盖章的价格确认单方可执行。变更、签证单上签署的未经甲方相关部门和人员审核的价格，不作为最终结算依据。</w:t>
      </w:r>
    </w:p>
    <w:p w14:paraId="4C26E42A">
      <w:pPr>
        <w:kinsoku w:val="0"/>
        <w:autoSpaceDE w:val="0"/>
        <w:autoSpaceDN w:val="0"/>
        <w:adjustRightInd w:val="0"/>
        <w:spacing w:after="0" w:line="480" w:lineRule="exact"/>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（5）如果本工程的变更指示是因乙方过错、乙方违反合同或乙方责任造成的，则这种违约引起的任何额外费用应由乙方承担。</w:t>
      </w:r>
    </w:p>
    <w:p w14:paraId="16D003A0">
      <w:pPr>
        <w:numPr>
          <w:ilvl w:val="2"/>
          <w:numId w:val="6"/>
        </w:numPr>
        <w:kinsoku w:val="0"/>
        <w:spacing w:after="0" w:line="360" w:lineRule="auto"/>
        <w:jc w:val="both"/>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无效变更、签证单：</w:t>
      </w:r>
    </w:p>
    <w:p w14:paraId="75A550AE">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Cs/>
          <w:color w:val="000000" w:themeColor="text1"/>
          <w:sz w:val="21"/>
          <w:szCs w:val="21"/>
          <w:highlight w:val="none"/>
          <w:lang w:eastAsia="zh-CN"/>
          <w14:textFill>
            <w14:solidFill>
              <w14:schemeClr w14:val="tx1"/>
            </w14:solidFill>
          </w14:textFill>
        </w:rPr>
        <w:t>（1）</w:t>
      </w:r>
      <w:r>
        <w:rPr>
          <w:rFonts w:hint="eastAsia" w:ascii="宋体" w:hAnsi="宋体" w:eastAsia="宋体" w:cs="宋体"/>
          <w:color w:val="000000" w:themeColor="text1"/>
          <w:sz w:val="21"/>
          <w:szCs w:val="21"/>
          <w:highlight w:val="none"/>
          <w:lang w:eastAsia="zh-CN"/>
          <w14:textFill>
            <w14:solidFill>
              <w14:schemeClr w14:val="tx1"/>
            </w14:solidFill>
          </w14:textFill>
        </w:rPr>
        <w:t>甲方项目经理、项目商务经理、项目技术负责人、项目生产负责人及经办人员签名不全或没有注明变更日期的变更、签证单；</w:t>
      </w:r>
    </w:p>
    <w:p w14:paraId="1E994655">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（2）超过变更时效或竣工后突击补签的变更、签证单；</w:t>
      </w:r>
    </w:p>
    <w:p w14:paraId="2413D5DD">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（3）非原件的变更、签证资料；</w:t>
      </w:r>
    </w:p>
    <w:p w14:paraId="3D54BDFC">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（4）内容不实、对事由的描述太简单以致无法核定工程量的变更、签证单；</w:t>
      </w:r>
    </w:p>
    <w:p w14:paraId="3DC6B568">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（5）变更、签证内容包括在本合同单价范围内或者本合同工作范围内。</w:t>
      </w:r>
    </w:p>
    <w:p w14:paraId="1AC94E43">
      <w:pPr>
        <w:numPr>
          <w:ilvl w:val="2"/>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已发生的有关签证必须在当天办理现场验收核实，涉及的合同外增加费用的，乙方必须在变更、签证发生7天内将变更、签证费用上报甲方，如果乙方未在规定的时间内上报，则视为本洽商、变更、签证不涉及合同外费用调整。</w:t>
      </w:r>
    </w:p>
    <w:p w14:paraId="6C57E89C">
      <w:pPr>
        <w:numPr>
          <w:ilvl w:val="0"/>
          <w:numId w:val="6"/>
        </w:numPr>
        <w:kinsoku w:val="0"/>
        <w:spacing w:after="0" w:line="360" w:lineRule="auto"/>
        <w:jc w:val="both"/>
        <w:outlineLvl w:val="1"/>
        <w:rPr>
          <w:rFonts w:hint="eastAsia" w:ascii="宋体" w:hAnsi="宋体" w:eastAsia="宋体" w:cs="宋体"/>
          <w:b/>
          <w:color w:val="000000" w:themeColor="text1"/>
          <w:sz w:val="21"/>
          <w:szCs w:val="21"/>
          <w:highlight w:val="none"/>
          <w14:textFill>
            <w14:solidFill>
              <w14:schemeClr w14:val="tx1"/>
            </w14:solidFill>
          </w14:textFill>
        </w:rPr>
      </w:pPr>
      <w:bookmarkStart w:id="955" w:name="_Toc4788"/>
      <w:bookmarkStart w:id="956" w:name="_Toc30828"/>
      <w:bookmarkStart w:id="957" w:name="_Toc21135"/>
      <w:bookmarkStart w:id="958" w:name="_Toc101963496"/>
      <w:bookmarkStart w:id="959" w:name="_Toc4391"/>
      <w:bookmarkStart w:id="960" w:name="_Toc20055"/>
      <w:bookmarkStart w:id="961" w:name="_Toc5904"/>
      <w:bookmarkStart w:id="962" w:name="_Toc24261"/>
      <w:bookmarkStart w:id="963" w:name="_Toc31015"/>
      <w:bookmarkStart w:id="964" w:name="_Toc175764433"/>
      <w:bookmarkStart w:id="965" w:name="_Toc14250"/>
      <w:bookmarkStart w:id="966" w:name="_Toc4065"/>
      <w:bookmarkStart w:id="967" w:name="_Toc23028"/>
      <w:bookmarkStart w:id="968" w:name="_Toc1051"/>
      <w:bookmarkStart w:id="969" w:name="_Toc21943"/>
      <w:bookmarkStart w:id="970" w:name="_Toc101357440"/>
      <w:bookmarkStart w:id="971" w:name="_Toc26886"/>
      <w:bookmarkStart w:id="972" w:name="_Toc20120"/>
      <w:bookmarkStart w:id="973" w:name="_Toc28252"/>
      <w:bookmarkStart w:id="974" w:name="_Toc101357438"/>
      <w:bookmarkStart w:id="975" w:name="_Toc28726"/>
      <w:bookmarkStart w:id="976" w:name="_Toc11138"/>
      <w:bookmarkStart w:id="977" w:name="_Toc6616"/>
      <w:bookmarkStart w:id="978" w:name="_Toc11238"/>
      <w:bookmarkStart w:id="979" w:name="_Toc23683"/>
      <w:bookmarkStart w:id="980" w:name="_Toc32733"/>
      <w:bookmarkStart w:id="981" w:name="_Toc30193"/>
      <w:bookmarkStart w:id="982" w:name="_Toc22125"/>
      <w:bookmarkStart w:id="983" w:name="_Toc27177"/>
      <w:bookmarkStart w:id="984" w:name="_Toc9294"/>
      <w:bookmarkStart w:id="985" w:name="_Toc23790"/>
      <w:bookmarkStart w:id="986" w:name="_Toc29236"/>
      <w:r>
        <w:rPr>
          <w:rFonts w:hint="eastAsia" w:ascii="宋体" w:hAnsi="宋体" w:eastAsia="宋体" w:cs="宋体"/>
          <w:b/>
          <w:color w:val="000000" w:themeColor="text1"/>
          <w:sz w:val="21"/>
          <w:szCs w:val="21"/>
          <w:highlight w:val="none"/>
          <w14:textFill>
            <w14:solidFill>
              <w14:schemeClr w14:val="tx1"/>
            </w14:solidFill>
          </w14:textFill>
        </w:rPr>
        <w:t>工程款支付</w:t>
      </w:r>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p>
    <w:p w14:paraId="66325588">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甲方应按合同约定向乙方支付工程预付款。工程预付款的支付时间、预付额度、工程预付款的抵扣起始时间和方式见专用合同条款。</w:t>
      </w:r>
    </w:p>
    <w:p w14:paraId="130C520C">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甲方应按专用合同条款约定的工程进度款付款周期、程序、支付比例或金额支付工程进度款。</w:t>
      </w:r>
    </w:p>
    <w:p w14:paraId="4F49DDB6">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委托甲方代发农民工工资，并认可甲方的按月代发行为，每次付款前,应当提供收款承诺书或收据。不得据此拒绝提供或不足额提供增值税专用发票给甲方。甲方根据合同专用合同条款的约定代发乙方农民工工资。乙方不得以任何理由扣押或者变相扣押用于支付农民工工资的银行账户所绑定的农民工本人社会保障卡或者银行卡。乙方需按照国家法律法规政策，为农民工缴纳个人所得税，并按照甲方要求，定期提交纳税证明，确保如实履行代扣代缴的纳税义务。</w:t>
      </w:r>
    </w:p>
    <w:p w14:paraId="1B0953AD">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甲方按合同约定向乙方支付的进度款已足够支付全额工人工资，乙方在收到甲方进度款后应优先用于支付工人工资。</w:t>
      </w:r>
    </w:p>
    <w:p w14:paraId="6C77C54F">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应按甲方财务要求提供符合本合同协议书中约定税率的合规增值税专用发票（包含税务机关代开），并按实际提供服务及货物情况，准确填写发票项目，甲方收到乙方的合格发票后支付工程款。因乙方发票填写有误，造成甲方增值税抵扣税额损失的，由乙方全额进行赔偿。</w:t>
      </w:r>
    </w:p>
    <w:p w14:paraId="439B43BC">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开具增值税专用发票的，乙方应按甲方通知的时间完成指定工作，并经双方现场人员验收确认后，由甲方通知乙方开票时间，乙方在甲方要求的时间内，向甲方开具已验收工作内容全额增值税专用发票。由于乙方不及时提供发票或者提供的发票不符合税务机关要求，导致甲方不能报验抵扣进项税金，或者当时虽正常通过审核，后被税务机关以“比对不符”或“失控发票”等事由追缴税款，从而给甲方造成的经济损失，由乙方负责赔偿。乙方不提供发票或发票不符合税务部门要求的，甲方</w:t>
      </w:r>
      <w:r>
        <w:rPr>
          <w:rStyle w:val="38"/>
          <w:rFonts w:hint="eastAsia" w:ascii="宋体" w:hAnsi="宋体" w:eastAsia="宋体" w:cs="宋体"/>
          <w:color w:val="000000" w:themeColor="text1"/>
          <w:highlight w:val="none"/>
          <w:lang w:eastAsia="zh-CN"/>
          <w14:textFill>
            <w14:solidFill>
              <w14:schemeClr w14:val="tx1"/>
            </w14:solidFill>
          </w14:textFill>
        </w:rPr>
        <w:t>可以</w:t>
      </w:r>
      <w:r>
        <w:rPr>
          <w:rFonts w:hint="eastAsia" w:ascii="宋体" w:hAnsi="宋体" w:eastAsia="宋体" w:cs="宋体"/>
          <w:color w:val="000000" w:themeColor="text1"/>
          <w:sz w:val="21"/>
          <w:szCs w:val="21"/>
          <w:highlight w:val="none"/>
          <w:lang w:eastAsia="zh-CN"/>
          <w14:textFill>
            <w14:solidFill>
              <w14:schemeClr w14:val="tx1"/>
            </w14:solidFill>
          </w14:textFill>
        </w:rPr>
        <w:t>从应付款项中直接扣除发票事项的损失，然后再支付剩余的款项给乙方。</w:t>
      </w:r>
    </w:p>
    <w:p w14:paraId="7D7291DE">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若因合同工作内容及价款等增值税专用发票记载项目发生变化的，如果甲方取得增值税专用发票尚未认证抵扣，则乙方应作废原发票，重新开具增值税专用发票，作废发票前需告知甲方，并收回原发票；如果原增值税专用发票已经认证抵扣，则乙方就合同增加的金额补开增值税专用发票；如有调减或者其他需要，与甲方联系开具红字信息表办理开具红冲发票。</w:t>
      </w:r>
    </w:p>
    <w:p w14:paraId="7FE195E3">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开具的发票必须保证“五流一致”，即合同流、资金流（银行的收付款凭证）、发票流（发票的开票人和收票人）、物流（或劳务流）和信息流相互统一，即合同主体、收款方、开票方和货物销售方或劳务提供方必须是同一个法律主体，而且合同主体、付款方、货物采购方或劳务接收方必须是同一个法律主体，如果因乙方原因导致五流不一致，造成甲方不能对税款进行抵扣的，乙方必须承担由此给甲方带来的经济损失。</w:t>
      </w:r>
    </w:p>
    <w:p w14:paraId="33EABCA9">
      <w:pPr>
        <w:numPr>
          <w:ilvl w:val="1"/>
          <w:numId w:val="6"/>
        </w:numPr>
        <w:kinsoku w:val="0"/>
        <w:spacing w:after="0" w:line="360" w:lineRule="auto"/>
        <w:jc w:val="both"/>
        <w:rPr>
          <w:rFonts w:hint="eastAsia" w:ascii="宋体" w:hAnsi="宋体" w:eastAsia="宋体" w:cs="宋体"/>
          <w:b/>
          <w:color w:val="000000" w:themeColor="text1"/>
          <w:sz w:val="21"/>
          <w:szCs w:val="21"/>
          <w:highlight w:val="none"/>
          <w:lang w:eastAsia="zh-CN"/>
          <w14:textFill>
            <w14:solidFill>
              <w14:schemeClr w14:val="tx1"/>
            </w14:solidFill>
          </w14:textFill>
        </w:rPr>
      </w:pPr>
      <w:r>
        <w:rPr>
          <w:rFonts w:hint="eastAsia" w:ascii="宋体" w:hAnsi="宋体" w:eastAsia="宋体" w:cs="宋体"/>
          <w:b/>
          <w:color w:val="000000" w:themeColor="text1"/>
          <w:sz w:val="21"/>
          <w:szCs w:val="21"/>
          <w:highlight w:val="none"/>
          <w:lang w:eastAsia="zh-CN"/>
          <w14:textFill>
            <w14:solidFill>
              <w14:schemeClr w14:val="tx1"/>
            </w14:solidFill>
          </w14:textFill>
        </w:rPr>
        <w:t>乙方在分包报价中已考虑本项目的资金风险，具备一定的资金实力。如双方因工程款支付发生争议，对于争议解决前甲方存在迟付情形的已付款项，乙方放弃索要逾期利息、违约金或资金占用费的权利。非甲方原因延迟支付结算款的，甲方不承担逾期利息，如因其他原因需甲方承担逾期利息时，约定利率为不超过合同订立时1年期贷款市场报价利率。乙方不以缓付、迟付工程款为由减慢施工进度或停止施工，</w:t>
      </w:r>
      <w:r>
        <w:rPr>
          <w:rFonts w:hint="eastAsia" w:ascii="宋体" w:hAnsi="宋体" w:eastAsia="宋体" w:cs="宋体"/>
          <w:b/>
          <w:bCs/>
          <w:color w:val="000000" w:themeColor="text1"/>
          <w:sz w:val="21"/>
          <w:szCs w:val="21"/>
          <w:highlight w:val="none"/>
          <w:lang w:eastAsia="zh-CN"/>
          <w14:textFill>
            <w14:solidFill>
              <w14:schemeClr w14:val="tx1"/>
            </w14:solidFill>
          </w14:textFill>
        </w:rPr>
        <w:t>乙方需自筹资金保证本工程按期完成</w:t>
      </w:r>
      <w:r>
        <w:rPr>
          <w:rFonts w:hint="eastAsia" w:ascii="宋体" w:hAnsi="宋体" w:eastAsia="宋体" w:cs="宋体"/>
          <w:b/>
          <w:color w:val="000000" w:themeColor="text1"/>
          <w:sz w:val="21"/>
          <w:szCs w:val="21"/>
          <w:highlight w:val="none"/>
          <w:lang w:eastAsia="zh-CN"/>
          <w14:textFill>
            <w14:solidFill>
              <w14:schemeClr w14:val="tx1"/>
            </w14:solidFill>
          </w14:textFill>
        </w:rPr>
        <w:t>；不以缓付、迟付工程款为由拒绝办理过程结算、竣工结算。</w:t>
      </w:r>
    </w:p>
    <w:p w14:paraId="6DC390E2">
      <w:pPr>
        <w:numPr>
          <w:ilvl w:val="0"/>
          <w:numId w:val="6"/>
        </w:numPr>
        <w:kinsoku w:val="0"/>
        <w:spacing w:after="0" w:line="360" w:lineRule="auto"/>
        <w:jc w:val="both"/>
        <w:outlineLvl w:val="1"/>
        <w:rPr>
          <w:rFonts w:hint="eastAsia" w:ascii="宋体" w:hAnsi="宋体" w:eastAsia="宋体" w:cs="宋体"/>
          <w:b/>
          <w:color w:val="000000" w:themeColor="text1"/>
          <w:sz w:val="21"/>
          <w:szCs w:val="21"/>
          <w:highlight w:val="none"/>
          <w14:textFill>
            <w14:solidFill>
              <w14:schemeClr w14:val="tx1"/>
            </w14:solidFill>
          </w14:textFill>
        </w:rPr>
      </w:pPr>
      <w:bookmarkStart w:id="987" w:name="_Toc101963497"/>
      <w:bookmarkStart w:id="988" w:name="_Toc175764434"/>
      <w:r>
        <w:rPr>
          <w:rFonts w:hint="eastAsia" w:ascii="宋体" w:hAnsi="宋体" w:eastAsia="宋体" w:cs="宋体"/>
          <w:b/>
          <w:color w:val="000000" w:themeColor="text1"/>
          <w:sz w:val="21"/>
          <w:szCs w:val="21"/>
          <w:highlight w:val="none"/>
          <w:lang w:eastAsia="zh-CN"/>
          <w14:textFill>
            <w14:solidFill>
              <w14:schemeClr w14:val="tx1"/>
            </w14:solidFill>
          </w14:textFill>
        </w:rPr>
        <w:t>过程结算</w:t>
      </w:r>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p>
    <w:p w14:paraId="59538398">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乙方应按合同约定的时间和内容向甲方提交计量周期的已完成的工程量报告。乙方提交已完成的工程量报告的时间、内容和计量周期见专用合同条款。</w:t>
      </w:r>
    </w:p>
    <w:p w14:paraId="309670FF">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乙方必须满足“月结月清”要求，每次过程结算内容必须包含图纸施工内容、及经相关人员签字确认的合同外签证变更索赔等所有乙方发生内容，超期补报视为无效。</w:t>
      </w:r>
    </w:p>
    <w:p w14:paraId="3F6A62AD">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甲方对工程量有异议的，可以要求乙方进行共同复核或抽样复测。乙方应协助甲方进行复核或抽样复测，并按甲方要求提供补充计量资料。乙方未按甲方要求参加复核或抽样复测的，甲方复核或修正的工程量视为乙方实际完成的工程量。</w:t>
      </w:r>
    </w:p>
    <w:p w14:paraId="0A0B829E">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甲方根据审核通过的工程量报告，编制过程结算资料，甲方和乙方应在过程结算资料编制完毕后2日内对过程结算资料予以书面确认，乙方需加盖公章。乙方应在书面确认后2日内开具已确认过程结算金额的全额增值税专用发票。</w:t>
      </w:r>
    </w:p>
    <w:p w14:paraId="522363FC">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过程结算审核必须经过甲方项目部、公司等各层级相关部门审核并签字后方可生效，仅甲方项目部项目经理签字的结算书不作为过程结算确认依据。</w:t>
      </w:r>
    </w:p>
    <w:p w14:paraId="39BE4F9D">
      <w:pPr>
        <w:numPr>
          <w:ilvl w:val="0"/>
          <w:numId w:val="6"/>
        </w:numPr>
        <w:kinsoku w:val="0"/>
        <w:spacing w:after="0" w:line="360" w:lineRule="auto"/>
        <w:jc w:val="both"/>
        <w:outlineLvl w:val="1"/>
        <w:rPr>
          <w:rFonts w:hint="eastAsia" w:ascii="宋体" w:hAnsi="宋体" w:eastAsia="宋体" w:cs="宋体"/>
          <w:b/>
          <w:color w:val="000000" w:themeColor="text1"/>
          <w:sz w:val="21"/>
          <w:szCs w:val="21"/>
          <w:highlight w:val="none"/>
          <w14:textFill>
            <w14:solidFill>
              <w14:schemeClr w14:val="tx1"/>
            </w14:solidFill>
          </w14:textFill>
        </w:rPr>
      </w:pPr>
      <w:bookmarkStart w:id="989" w:name="_Toc14052"/>
      <w:bookmarkStart w:id="990" w:name="_Toc26755"/>
      <w:bookmarkStart w:id="991" w:name="_Toc4798"/>
      <w:bookmarkStart w:id="992" w:name="_Toc8694"/>
      <w:bookmarkStart w:id="993" w:name="_Toc21709"/>
      <w:bookmarkStart w:id="994" w:name="_Toc101963498"/>
      <w:bookmarkStart w:id="995" w:name="_Toc24796"/>
      <w:bookmarkStart w:id="996" w:name="_Toc101357439"/>
      <w:bookmarkStart w:id="997" w:name="_Toc9353"/>
      <w:bookmarkStart w:id="998" w:name="_Toc9893"/>
      <w:bookmarkStart w:id="999" w:name="_Toc175764435"/>
      <w:bookmarkStart w:id="1000" w:name="_Toc6494"/>
      <w:bookmarkStart w:id="1001" w:name="_Toc20927"/>
      <w:bookmarkStart w:id="1002" w:name="_Toc26856"/>
      <w:bookmarkStart w:id="1003" w:name="_Toc27329"/>
      <w:bookmarkStart w:id="1004" w:name="_Toc28888"/>
      <w:bookmarkStart w:id="1005" w:name="_Toc27851"/>
      <w:r>
        <w:rPr>
          <w:rFonts w:hint="eastAsia" w:ascii="宋体" w:hAnsi="宋体" w:eastAsia="宋体" w:cs="宋体"/>
          <w:b/>
          <w:color w:val="000000" w:themeColor="text1"/>
          <w:sz w:val="21"/>
          <w:szCs w:val="21"/>
          <w:highlight w:val="none"/>
          <w:lang w:eastAsia="zh-CN"/>
          <w14:textFill>
            <w14:solidFill>
              <w14:schemeClr w14:val="tx1"/>
            </w14:solidFill>
          </w14:textFill>
        </w:rPr>
        <w:t>最终</w:t>
      </w:r>
      <w:r>
        <w:rPr>
          <w:rFonts w:hint="eastAsia" w:ascii="宋体" w:hAnsi="宋体" w:eastAsia="宋体" w:cs="宋体"/>
          <w:b/>
          <w:color w:val="000000" w:themeColor="text1"/>
          <w:sz w:val="21"/>
          <w:szCs w:val="21"/>
          <w:highlight w:val="none"/>
          <w14:textFill>
            <w14:solidFill>
              <w14:schemeClr w14:val="tx1"/>
            </w14:solidFill>
          </w14:textFill>
        </w:rPr>
        <w:t>结算</w:t>
      </w:r>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p>
    <w:p w14:paraId="08194E6B">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本分包工程完工验收合格后30天内，乙方向甲方提交经乙方签字盖章并装订成册的结算报告及完整的结算资料，包含内容见专用合同条款。结算资料一经提交，乙方不得更改或补充。超过本分包工程完工验收合格后60天或经甲方催促后14天，乙方仍未向甲方提交完整结算资料或明确答复的，甲方可以根据已有资料进行审查，确定双方的结算金额，并单方面出具书面结算资料，以快递或电子邮件形式发送乙方，若在三日内未收到乙方回复，则视同乙方已认可该结算，并将该结算作为双方最终结算。该结算金额对乙方具有约束力，乙方无权再提出疑义，由此带来的全部责任和后果由乙方自负。</w:t>
      </w:r>
    </w:p>
    <w:p w14:paraId="7E72602B">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甲方对结算报告有异议的，可以要求乙方进行共同复核或抽样复测。乙方应协助甲方进行复核或抽样复测，并按甲方要求提供补充结算资料。乙方未按甲方要求参加复核或抽样复测的，甲方复核或修正的结算金额视为乙方实际完成的结算金额。</w:t>
      </w:r>
    </w:p>
    <w:p w14:paraId="06D95206">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本分包工程结算必须经过甲方项目部、子企业、集团总部等相关部门审核，甲方根据通过审核的结算资料编制完工结算书，甲方和乙方应在完工结算书编制完毕后30日内予以书面确认，结算书经双方签字盖章后方可生效，仅甲方项目部相关人员签字的结算书不作为最终双方确认依据。</w:t>
      </w:r>
    </w:p>
    <w:p w14:paraId="535E3AD0">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最终结算价款根据合同价格形式，按照专用条款约定执行。</w:t>
      </w:r>
    </w:p>
    <w:p w14:paraId="706B1F81">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本分包工程可根据施工形象进度办理分阶段最终结算，办理原则和要求与上述最终结算条款约定一致。</w:t>
      </w:r>
    </w:p>
    <w:p w14:paraId="33A08E89">
      <w:pPr>
        <w:numPr>
          <w:ilvl w:val="0"/>
          <w:numId w:val="6"/>
        </w:numPr>
        <w:kinsoku w:val="0"/>
        <w:spacing w:after="0" w:line="360" w:lineRule="auto"/>
        <w:jc w:val="both"/>
        <w:outlineLvl w:val="1"/>
        <w:rPr>
          <w:rFonts w:hint="eastAsia" w:ascii="宋体" w:hAnsi="宋体" w:eastAsia="宋体" w:cs="宋体"/>
          <w:b/>
          <w:color w:val="000000" w:themeColor="text1"/>
          <w:sz w:val="21"/>
          <w:szCs w:val="21"/>
          <w:highlight w:val="none"/>
          <w14:textFill>
            <w14:solidFill>
              <w14:schemeClr w14:val="tx1"/>
            </w14:solidFill>
          </w14:textFill>
        </w:rPr>
      </w:pPr>
      <w:bookmarkStart w:id="1006" w:name="_Toc175764436"/>
      <w:bookmarkStart w:id="1007" w:name="_Toc101963499"/>
      <w:bookmarkStart w:id="1008" w:name="_Toc101357441"/>
      <w:bookmarkStart w:id="1009" w:name="_Toc4750"/>
      <w:bookmarkStart w:id="1010" w:name="_Toc19831"/>
      <w:bookmarkStart w:id="1011" w:name="_Toc16415"/>
      <w:bookmarkStart w:id="1012" w:name="_Toc21233"/>
      <w:bookmarkStart w:id="1013" w:name="_Toc40"/>
      <w:bookmarkStart w:id="1014" w:name="_Toc3706"/>
      <w:bookmarkStart w:id="1015" w:name="_Toc12374"/>
      <w:bookmarkStart w:id="1016" w:name="_Toc25864"/>
      <w:bookmarkStart w:id="1017" w:name="_Toc2774"/>
      <w:bookmarkStart w:id="1018" w:name="_Toc19855"/>
      <w:bookmarkStart w:id="1019" w:name="_Toc29076"/>
      <w:bookmarkStart w:id="1020" w:name="_Toc1823"/>
      <w:bookmarkStart w:id="1021" w:name="_Toc22036"/>
      <w:bookmarkStart w:id="1022" w:name="_Toc12386"/>
      <w:r>
        <w:rPr>
          <w:rFonts w:hint="eastAsia" w:ascii="宋体" w:hAnsi="宋体" w:eastAsia="宋体" w:cs="宋体"/>
          <w:b/>
          <w:color w:val="000000" w:themeColor="text1"/>
          <w:sz w:val="21"/>
          <w:szCs w:val="21"/>
          <w:highlight w:val="none"/>
          <w:lang w:eastAsia="zh-CN"/>
          <w14:textFill>
            <w14:solidFill>
              <w14:schemeClr w14:val="tx1"/>
            </w14:solidFill>
          </w14:textFill>
        </w:rPr>
        <w:t>完工验收</w:t>
      </w:r>
      <w:bookmarkEnd w:id="1006"/>
      <w:bookmarkEnd w:id="1007"/>
      <w:bookmarkEnd w:id="1008"/>
    </w:p>
    <w:p w14:paraId="2DDAF8A7">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甲方有作业规范要求的，乙方的分包作业还应当满足甲方的作业规范要求。甲方可以随时对乙方实施的分包作业进行监督检查。</w:t>
      </w:r>
    </w:p>
    <w:p w14:paraId="40F638B4">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本分包工程具备以下完工验收条件后，乙方方可向甲方提交完工验收申请报告：</w:t>
      </w:r>
    </w:p>
    <w:p w14:paraId="24AC1652">
      <w:pPr>
        <w:numPr>
          <w:ilvl w:val="2"/>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工程完工后，乙方应在完工验收10日前，向甲方提交完工验收报告和竣工资料。乙方提供资料数据并配合甲方做好竣工验收各项资料，资料费用由乙方承担。相关资料包括：分包资质报验表及其附件；乙方现场代表授权文书及现场人员通讯录（均需加盖公章）；材料进场报验表及其所附的材料试验、复试报告；隐蔽工程和中间验收记录的原始技术资料；提供办理工程竣工图的数据与资料；其他为完成竣工验收所需要的一切附件资料。</w:t>
      </w:r>
    </w:p>
    <w:p w14:paraId="6C968CF1">
      <w:pPr>
        <w:numPr>
          <w:ilvl w:val="2"/>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乙方在工程完工后应通知甲方、监理办理完工验收，在甲方、监理在完工验收单上签字，明确表示本工程符合合同约定的质量标准后，方被认为工程完工。甲方、监理在完工验收单上签字时间为本工程完工时间。</w:t>
      </w:r>
    </w:p>
    <w:p w14:paraId="2F350572">
      <w:pPr>
        <w:numPr>
          <w:ilvl w:val="2"/>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应协助甲方办理整体工程竣工验收，及时完成验收提出的整改内容；并提交产品合格证、竣工报告及符合工程所在地地方标准的资料。如因缺项、漏项或资料不合格等情况，影响分包工程结算、工程款或质量保证金支付，相应责任由乙方承担。</w:t>
      </w:r>
    </w:p>
    <w:p w14:paraId="15A5B53C">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bookmarkStart w:id="1023" w:name="_Toc101357443"/>
      <w:r>
        <w:rPr>
          <w:rFonts w:hint="eastAsia" w:ascii="宋体" w:hAnsi="宋体" w:eastAsia="宋体" w:cs="宋体"/>
          <w:color w:val="000000" w:themeColor="text1"/>
          <w:sz w:val="21"/>
          <w:szCs w:val="21"/>
          <w:highlight w:val="none"/>
          <w:lang w:eastAsia="zh-CN"/>
          <w14:textFill>
            <w14:solidFill>
              <w14:schemeClr w14:val="tx1"/>
            </w14:solidFill>
          </w14:textFill>
        </w:rPr>
        <w:t>甲方审查后，认为尚不具备验收条件的，应通知乙方在完工验收前尚需完成的工作内容，乙方应在完成甲方通知的全部工作内容后，再次提交完工验收申请报告。甲方审查后，认为已具备验收条件的，应在专用合同条款约定的时间内进行验收。验收合格的，则视为工程完工验收通过。验收不合格的，甲方应通知乙方进行整改，整改完成后重新办理验收，由此增加的费用和（或）工期延误由乙方承担。</w:t>
      </w:r>
      <w:bookmarkEnd w:id="1023"/>
      <w:bookmarkStart w:id="1024" w:name="_Toc101357444"/>
    </w:p>
    <w:p w14:paraId="4BABF6F4">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经验收合格的工程，实际完工日期为乙方按第 18.2 款提交完工验收申请报告或按该款重新提交完工验收申请报告的日期（以两者中时间在后者为准）。</w:t>
      </w:r>
      <w:bookmarkEnd w:id="1024"/>
    </w:p>
    <w:p w14:paraId="3BB4E6A4">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bookmarkStart w:id="1025" w:name="_Toc101357445"/>
      <w:r>
        <w:rPr>
          <w:rFonts w:hint="eastAsia" w:ascii="宋体" w:hAnsi="宋体" w:eastAsia="宋体" w:cs="宋体"/>
          <w:color w:val="000000" w:themeColor="text1"/>
          <w:sz w:val="21"/>
          <w:szCs w:val="21"/>
          <w:highlight w:val="none"/>
          <w:lang w:eastAsia="zh-CN"/>
          <w14:textFill>
            <w14:solidFill>
              <w14:schemeClr w14:val="tx1"/>
            </w14:solidFill>
          </w14:textFill>
        </w:rPr>
        <w:t>检查检验合格后，又发现因乙方原因引起的质量问题，仍由乙方承担返修责任及费用，赔偿甲方因此造成的损失。甲方并不为其检查检验的行为承担任何责任。造成工期延误的，按照合同协议书约定承担违约金并赔偿甲方损失。</w:t>
      </w:r>
    </w:p>
    <w:p w14:paraId="43EA613D">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分包作业经验收合格后，乙方应当按照甲方指示及时将该分包作业交付甲方，不得以双方存在争议为由拒绝将该分包作业交付甲方。</w:t>
      </w:r>
    </w:p>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5"/>
    <w:p w14:paraId="60045AA1">
      <w:pPr>
        <w:numPr>
          <w:ilvl w:val="0"/>
          <w:numId w:val="6"/>
        </w:numPr>
        <w:kinsoku w:val="0"/>
        <w:spacing w:after="0" w:line="360" w:lineRule="auto"/>
        <w:jc w:val="both"/>
        <w:outlineLvl w:val="1"/>
        <w:rPr>
          <w:rFonts w:hint="eastAsia" w:ascii="宋体" w:hAnsi="宋体" w:eastAsia="宋体" w:cs="宋体"/>
          <w:b/>
          <w:color w:val="000000" w:themeColor="text1"/>
          <w:sz w:val="21"/>
          <w:szCs w:val="21"/>
          <w:highlight w:val="none"/>
          <w14:textFill>
            <w14:solidFill>
              <w14:schemeClr w14:val="tx1"/>
            </w14:solidFill>
          </w14:textFill>
        </w:rPr>
      </w:pPr>
      <w:bookmarkStart w:id="1026" w:name="_Toc101366205"/>
      <w:bookmarkEnd w:id="1026"/>
      <w:bookmarkStart w:id="1027" w:name="_Toc15786"/>
      <w:bookmarkStart w:id="1028" w:name="_Toc20068"/>
      <w:bookmarkStart w:id="1029" w:name="_Toc28979"/>
      <w:bookmarkStart w:id="1030" w:name="_Toc101357447"/>
      <w:bookmarkStart w:id="1031" w:name="_Toc29742"/>
      <w:bookmarkStart w:id="1032" w:name="_Toc28445"/>
      <w:bookmarkStart w:id="1033" w:name="_Toc16080"/>
      <w:bookmarkStart w:id="1034" w:name="_Toc15912"/>
      <w:bookmarkStart w:id="1035" w:name="_Toc101963501"/>
      <w:bookmarkStart w:id="1036" w:name="_Toc16570"/>
      <w:bookmarkStart w:id="1037" w:name="_Toc17265"/>
      <w:bookmarkStart w:id="1038" w:name="_Toc24385"/>
      <w:bookmarkStart w:id="1039" w:name="_Toc5861"/>
      <w:bookmarkStart w:id="1040" w:name="_Toc3049"/>
      <w:bookmarkStart w:id="1041" w:name="_Toc24000"/>
      <w:bookmarkStart w:id="1042" w:name="_Toc230"/>
      <w:bookmarkStart w:id="1043" w:name="_Toc175764437"/>
      <w:r>
        <w:rPr>
          <w:rFonts w:hint="eastAsia" w:ascii="宋体" w:hAnsi="宋体" w:eastAsia="宋体" w:cs="宋体"/>
          <w:b/>
          <w:color w:val="000000" w:themeColor="text1"/>
          <w:sz w:val="21"/>
          <w:szCs w:val="21"/>
          <w:highlight w:val="none"/>
          <w14:textFill>
            <w14:solidFill>
              <w14:schemeClr w14:val="tx1"/>
            </w14:solidFill>
          </w14:textFill>
        </w:rPr>
        <w:t>履约</w:t>
      </w:r>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r>
        <w:rPr>
          <w:rFonts w:hint="eastAsia" w:ascii="宋体" w:hAnsi="宋体" w:eastAsia="宋体" w:cs="宋体"/>
          <w:b/>
          <w:color w:val="000000" w:themeColor="text1"/>
          <w:sz w:val="21"/>
          <w:szCs w:val="21"/>
          <w:highlight w:val="none"/>
          <w:lang w:eastAsia="zh-CN"/>
          <w14:textFill>
            <w14:solidFill>
              <w14:schemeClr w14:val="tx1"/>
            </w14:solidFill>
          </w14:textFill>
        </w:rPr>
        <w:t>保证</w:t>
      </w:r>
      <w:bookmarkEnd w:id="1043"/>
    </w:p>
    <w:p w14:paraId="13E09387">
      <w:pPr>
        <w:numPr>
          <w:ilvl w:val="1"/>
          <w:numId w:val="6"/>
        </w:numPr>
        <w:kinsoku w:val="0"/>
        <w:spacing w:after="0" w:line="360" w:lineRule="auto"/>
        <w:jc w:val="both"/>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乙方应在合同签订的同时，按专用合同条款约定向甲方提交履约保函（或提供同等金额的履约保证金）。该保函应为独立、不可撤销、见索即付的银行保函，且采取甲方和乙方双方同意的格式，开具保函的机构须经甲方同意，为执行本款所发生的费用应由乙方承担。未提交履约保函或保证金的，进度款不予支付。</w:t>
      </w:r>
    </w:p>
    <w:p w14:paraId="1D2332AF">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在本分包工程交（竣）工验收合格之前，乙方应保证履约担保持续有效。若分包工程尚未完工验收或办理完成最终结算，则乙方应在履约担保期满前28天内延长履约担保的有效期，直至分包工程完工验收合格并办理完成最终结算。履约保函（或履约保证金）的有效期至本分包工程完工验收合格并办理完成最终结算为止，在有效期满30日内扣除乙方违约金及应扣款项后将履约保函（或履约保证金）无息退还给乙方。</w:t>
      </w:r>
    </w:p>
    <w:p w14:paraId="53157225">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当乙方未按约定履行合同而发生违约行为时，乙方应承担的违约金及因违约对甲方所造成的损失金额，甲方可无条件从履约担保中扣除违约金及相关损失并通知乙方，乙方有义务在接到上述通知后7天内将履约担保恢复到原金额。当乙方需承担的违约金及造成甲方的损失金额超出履约担保金额时，甲方可就超出数额向乙方追偿。</w:t>
      </w:r>
    </w:p>
    <w:p w14:paraId="41E21FBF">
      <w:pPr>
        <w:numPr>
          <w:ilvl w:val="0"/>
          <w:numId w:val="6"/>
        </w:numPr>
        <w:kinsoku w:val="0"/>
        <w:spacing w:after="0" w:line="360" w:lineRule="auto"/>
        <w:jc w:val="both"/>
        <w:outlineLvl w:val="1"/>
        <w:rPr>
          <w:rFonts w:hint="eastAsia" w:ascii="宋体" w:hAnsi="宋体" w:eastAsia="宋体" w:cs="宋体"/>
          <w:b/>
          <w:color w:val="000000" w:themeColor="text1"/>
          <w:kern w:val="10"/>
          <w:sz w:val="21"/>
          <w:szCs w:val="21"/>
          <w:highlight w:val="none"/>
          <w14:textFill>
            <w14:solidFill>
              <w14:schemeClr w14:val="tx1"/>
            </w14:solidFill>
          </w14:textFill>
        </w:rPr>
      </w:pPr>
      <w:bookmarkStart w:id="1044" w:name="_Toc19980"/>
      <w:bookmarkStart w:id="1045" w:name="_Toc5026"/>
      <w:bookmarkStart w:id="1046" w:name="_Toc13752"/>
      <w:bookmarkStart w:id="1047" w:name="_Toc175764438"/>
      <w:bookmarkStart w:id="1048" w:name="_Toc29227"/>
      <w:bookmarkStart w:id="1049" w:name="_Toc101963502"/>
      <w:bookmarkStart w:id="1050" w:name="_Toc24258"/>
      <w:bookmarkStart w:id="1051" w:name="_Toc28929"/>
      <w:bookmarkStart w:id="1052" w:name="_Toc29175"/>
      <w:bookmarkStart w:id="1053" w:name="_Toc32222"/>
      <w:bookmarkStart w:id="1054" w:name="_Toc23026"/>
      <w:bookmarkStart w:id="1055" w:name="_Toc13622"/>
      <w:bookmarkStart w:id="1056" w:name="_Toc15725"/>
      <w:bookmarkStart w:id="1057" w:name="_Toc11409"/>
      <w:bookmarkStart w:id="1058" w:name="_Toc19247"/>
      <w:bookmarkStart w:id="1059" w:name="_Toc3211"/>
      <w:bookmarkStart w:id="1060" w:name="_Toc101357448"/>
      <w:r>
        <w:rPr>
          <w:rFonts w:hint="eastAsia" w:ascii="宋体" w:hAnsi="宋体" w:eastAsia="宋体" w:cs="宋体"/>
          <w:b/>
          <w:color w:val="000000" w:themeColor="text1"/>
          <w:sz w:val="21"/>
          <w:szCs w:val="21"/>
          <w:highlight w:val="none"/>
          <w:lang w:eastAsia="zh-CN"/>
          <w14:textFill>
            <w14:solidFill>
              <w14:schemeClr w14:val="tx1"/>
            </w14:solidFill>
          </w14:textFill>
        </w:rPr>
        <w:t>缺陷责任与</w:t>
      </w:r>
      <w:r>
        <w:rPr>
          <w:rFonts w:hint="eastAsia" w:ascii="宋体" w:hAnsi="宋体" w:eastAsia="宋体" w:cs="宋体"/>
          <w:b/>
          <w:color w:val="000000" w:themeColor="text1"/>
          <w:sz w:val="21"/>
          <w:szCs w:val="21"/>
          <w:highlight w:val="none"/>
          <w14:textFill>
            <w14:solidFill>
              <w14:schemeClr w14:val="tx1"/>
            </w14:solidFill>
          </w14:textFill>
        </w:rPr>
        <w:t>保修</w:t>
      </w:r>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p>
    <w:p w14:paraId="45689E95">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乙方应在缺陷责任期内对已交付使用的工程承担缺陷责任。缺陷责任期的起始时间和缺陷责任期的期限见专用合同条款。</w:t>
      </w:r>
    </w:p>
    <w:p w14:paraId="454D7ACF">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乙方应在质量保修期内对已交付使用的工程承担保修责任。质量保修期的起始时间和质量保修期的期限见专用合同条款。</w:t>
      </w:r>
    </w:p>
    <w:p w14:paraId="1F12650B">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乙方在质量保修期内，按照有关法律、法规、规章的管理规定和双方约定，承担本分包工程质量保修责任。保修金在保修期满后30天内无息支付。</w:t>
      </w:r>
      <w:r>
        <w:rPr>
          <w:rFonts w:hint="eastAsia" w:ascii="宋体" w:hAnsi="宋体" w:eastAsia="宋体" w:cs="宋体"/>
          <w:color w:val="000000" w:themeColor="text1"/>
          <w:sz w:val="21"/>
          <w:szCs w:val="21"/>
          <w:highlight w:val="none"/>
          <w:lang w:eastAsia="zh-CN"/>
          <w14:textFill>
            <w14:solidFill>
              <w14:schemeClr w14:val="tx1"/>
            </w14:solidFill>
          </w14:textFill>
        </w:rPr>
        <w:t>乙方负责承包范围的保修工作，保修期及保修内容均按照甲方与总承包合同的相应规定执行，保修期满后，并不免除乙方的施工质量责任。</w:t>
      </w:r>
    </w:p>
    <w:p w14:paraId="675F8E54">
      <w:pPr>
        <w:numPr>
          <w:ilvl w:val="1"/>
          <w:numId w:val="6"/>
        </w:numPr>
        <w:kinsoku w:val="0"/>
        <w:spacing w:after="0" w:line="360" w:lineRule="auto"/>
        <w:jc w:val="both"/>
        <w:rPr>
          <w:rFonts w:hint="eastAsia" w:ascii="宋体" w:hAnsi="宋体" w:eastAsia="宋体" w:cs="宋体"/>
          <w:color w:val="000000" w:themeColor="text1"/>
          <w:kern w:val="10"/>
          <w:sz w:val="21"/>
          <w:szCs w:val="21"/>
          <w:highlight w:val="none"/>
          <w14:textFill>
            <w14:solidFill>
              <w14:schemeClr w14:val="tx1"/>
            </w14:solidFill>
          </w14:textFill>
        </w:rPr>
      </w:pPr>
      <w:r>
        <w:rPr>
          <w:rFonts w:hint="eastAsia" w:ascii="宋体" w:hAnsi="宋体" w:eastAsia="宋体" w:cs="宋体"/>
          <w:color w:val="000000" w:themeColor="text1"/>
          <w:kern w:val="10"/>
          <w:sz w:val="21"/>
          <w:szCs w:val="21"/>
          <w:highlight w:val="none"/>
          <w14:textFill>
            <w14:solidFill>
              <w14:schemeClr w14:val="tx1"/>
            </w14:solidFill>
          </w14:textFill>
        </w:rPr>
        <w:t>质量保修责任</w:t>
      </w:r>
    </w:p>
    <w:p w14:paraId="3F978433">
      <w:pPr>
        <w:numPr>
          <w:ilvl w:val="2"/>
          <w:numId w:val="6"/>
        </w:numPr>
        <w:kinsoku w:val="0"/>
        <w:spacing w:after="0" w:line="360" w:lineRule="auto"/>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属于保修范围、内容的项目，乙方应当在接到保修通知之日起24小时内派人保修。乙方不在约定期限内派人保修的，甲方可以委托第三方完成维修工作，发生的所有费用由乙方承担，因乙方拒绝维修导致额外的损失，甲方可向乙方追偿，同时乙方仍需承担由第三方代为施工的工程范围的质量及后期维修责任。</w:t>
      </w:r>
    </w:p>
    <w:p w14:paraId="2AEF280F">
      <w:pPr>
        <w:numPr>
          <w:ilvl w:val="2"/>
          <w:numId w:val="6"/>
        </w:numPr>
        <w:kinsoku w:val="0"/>
        <w:spacing w:after="0" w:line="360" w:lineRule="auto"/>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发生紧急抢修事故时，乙方在接到事故通知后，应当立即到达事故现场抢修。</w:t>
      </w:r>
    </w:p>
    <w:p w14:paraId="5FEBF0DD">
      <w:pPr>
        <w:numPr>
          <w:ilvl w:val="2"/>
          <w:numId w:val="6"/>
        </w:numPr>
        <w:kinsoku w:val="0"/>
        <w:spacing w:after="0" w:line="360" w:lineRule="auto"/>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乙方的操作工艺、材料质量、施工质量存在的缺陷以及为修补该缺陷而需进行的剔凿和恢复以及其它相关工作，若乙方自身技术水平与资质不能胜任类似工作时，甲方可以指定其他施工队伍完成相关作业，全部费用由乙方承担。</w:t>
      </w:r>
    </w:p>
    <w:p w14:paraId="0BCFF801">
      <w:pPr>
        <w:numPr>
          <w:ilvl w:val="2"/>
          <w:numId w:val="6"/>
        </w:numPr>
        <w:kinsoku w:val="0"/>
        <w:spacing w:after="0" w:line="360" w:lineRule="auto"/>
        <w:jc w:val="both"/>
        <w:rPr>
          <w:rFonts w:hint="eastAsia" w:ascii="宋体" w:hAnsi="宋体" w:eastAsia="宋体" w:cs="宋体"/>
          <w:color w:val="000000" w:themeColor="text1"/>
          <w:kern w:val="10"/>
          <w:sz w:val="21"/>
          <w:szCs w:val="21"/>
          <w:highlight w:val="none"/>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对于涉及结构安全的质量问题，应当按照行业规定，立即向当地建设行政主管部门报告，采取安全防范措施；由原设计单位或者具有相应资质等级的设计单位提出保修方案，乙方实施保修作业。</w:t>
      </w:r>
      <w:r>
        <w:rPr>
          <w:rFonts w:hint="eastAsia" w:ascii="宋体" w:hAnsi="宋体" w:eastAsia="宋体" w:cs="宋体"/>
          <w:color w:val="000000" w:themeColor="text1"/>
          <w:kern w:val="10"/>
          <w:sz w:val="21"/>
          <w:szCs w:val="21"/>
          <w:highlight w:val="none"/>
          <w14:textFill>
            <w14:solidFill>
              <w14:schemeClr w14:val="tx1"/>
            </w14:solidFill>
          </w14:textFill>
        </w:rPr>
        <w:t>相关费用由乙方承担。</w:t>
      </w:r>
    </w:p>
    <w:p w14:paraId="078BFF4A">
      <w:pPr>
        <w:numPr>
          <w:ilvl w:val="2"/>
          <w:numId w:val="6"/>
        </w:numPr>
        <w:kinsoku w:val="0"/>
        <w:spacing w:after="0" w:line="360" w:lineRule="auto"/>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质量问题保修完成后，由建设单位、使用方会同甲方组织验收，各方验收合格后当次保修即告结束。</w:t>
      </w:r>
    </w:p>
    <w:p w14:paraId="2AAC1436">
      <w:pPr>
        <w:numPr>
          <w:ilvl w:val="1"/>
          <w:numId w:val="6"/>
        </w:numPr>
        <w:kinsoku w:val="0"/>
        <w:spacing w:after="0" w:line="360" w:lineRule="auto"/>
        <w:jc w:val="both"/>
        <w:rPr>
          <w:rFonts w:hint="eastAsia" w:ascii="宋体" w:hAnsi="宋体" w:eastAsia="宋体" w:cs="宋体"/>
          <w:color w:val="000000" w:themeColor="text1"/>
          <w:kern w:val="10"/>
          <w:sz w:val="21"/>
          <w:szCs w:val="21"/>
          <w:highlight w:val="none"/>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 xml:space="preserve"> </w:t>
      </w:r>
      <w:r>
        <w:rPr>
          <w:rFonts w:hint="eastAsia" w:ascii="宋体" w:hAnsi="宋体" w:eastAsia="宋体" w:cs="宋体"/>
          <w:color w:val="000000" w:themeColor="text1"/>
          <w:kern w:val="10"/>
          <w:sz w:val="21"/>
          <w:szCs w:val="21"/>
          <w:highlight w:val="none"/>
          <w14:textFill>
            <w14:solidFill>
              <w14:schemeClr w14:val="tx1"/>
            </w14:solidFill>
          </w14:textFill>
        </w:rPr>
        <w:t>保修费用与赔偿责任</w:t>
      </w:r>
    </w:p>
    <w:p w14:paraId="5349642B">
      <w:pPr>
        <w:numPr>
          <w:ilvl w:val="2"/>
          <w:numId w:val="6"/>
        </w:numPr>
        <w:kinsoku w:val="0"/>
        <w:spacing w:after="0" w:line="360" w:lineRule="auto"/>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保修费用由造成质量缺陷的责任方承担。</w:t>
      </w:r>
    </w:p>
    <w:p w14:paraId="5B5D289B">
      <w:pPr>
        <w:numPr>
          <w:ilvl w:val="2"/>
          <w:numId w:val="6"/>
        </w:numPr>
        <w:kinsoku w:val="0"/>
        <w:spacing w:after="0" w:line="360" w:lineRule="auto"/>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如乙方施工质量缺陷、工艺缺陷、材料老化等缺陷与瑕疵给使用方、建设单位造成人员物资财产等直接损失以及其它间接损失均由乙方负责赔偿。</w:t>
      </w:r>
    </w:p>
    <w:p w14:paraId="55FB6E12">
      <w:pPr>
        <w:numPr>
          <w:ilvl w:val="2"/>
          <w:numId w:val="6"/>
        </w:numPr>
        <w:kinsoku w:val="0"/>
        <w:spacing w:after="0" w:line="360" w:lineRule="auto"/>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为返修以及受它影响的相关联工作所需费用由乙方承担。</w:t>
      </w:r>
    </w:p>
    <w:p w14:paraId="723D5498">
      <w:pPr>
        <w:numPr>
          <w:ilvl w:val="2"/>
          <w:numId w:val="6"/>
        </w:numPr>
        <w:kinsoku w:val="0"/>
        <w:spacing w:after="0" w:line="360" w:lineRule="auto"/>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因</w:t>
      </w:r>
      <w:r>
        <w:rPr>
          <w:rFonts w:hint="eastAsia" w:ascii="宋体" w:hAnsi="宋体" w:eastAsia="宋体" w:cs="宋体"/>
          <w:color w:val="000000" w:themeColor="text1"/>
          <w:sz w:val="21"/>
          <w:szCs w:val="21"/>
          <w:highlight w:val="none"/>
          <w:lang w:eastAsia="zh-CN"/>
          <w14:textFill>
            <w14:solidFill>
              <w14:schemeClr w14:val="tx1"/>
            </w14:solidFill>
          </w14:textFill>
        </w:rPr>
        <w:t>建设单位</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、使用方使用或保养不当造成质量问题，乙方应尽义务进行维修，维修费用则由甲方牵头，乙方配合，向责任方索要，但甲方没有追索此项债务的义务。</w:t>
      </w:r>
    </w:p>
    <w:p w14:paraId="14567698">
      <w:pPr>
        <w:numPr>
          <w:ilvl w:val="2"/>
          <w:numId w:val="6"/>
        </w:numPr>
        <w:kinsoku w:val="0"/>
        <w:spacing w:after="0" w:line="360" w:lineRule="auto"/>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若合同双方对本分包工程质量发生争议，则共同约请当地省市项目建设行政主管部门下属质量监督总站或其它权威机构进行鉴定。如果鉴定结论乙方质量不合格，则鉴定费用由乙方承担。</w:t>
      </w:r>
    </w:p>
    <w:p w14:paraId="66C71A32">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保修金的返还：</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缺陷责任期</w:t>
      </w:r>
      <w:r>
        <w:rPr>
          <w:rFonts w:hint="eastAsia" w:ascii="宋体" w:hAnsi="宋体" w:eastAsia="宋体" w:cs="宋体"/>
          <w:color w:val="000000" w:themeColor="text1"/>
          <w:sz w:val="21"/>
          <w:szCs w:val="21"/>
          <w:highlight w:val="none"/>
          <w:lang w:eastAsia="zh-CN"/>
          <w14:textFill>
            <w14:solidFill>
              <w14:schemeClr w14:val="tx1"/>
            </w14:solidFill>
          </w14:textFill>
        </w:rPr>
        <w:t>满后</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在合同约定工作全部完成并验收合格后办理最终结算，结算手续完成后，以及按合同规定扣除应扣的款项后，甲方将余款一次性（无息）返还给乙方。</w:t>
      </w:r>
    </w:p>
    <w:p w14:paraId="20480D4D">
      <w:pPr>
        <w:numPr>
          <w:ilvl w:val="2"/>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保修金需扣除以下费用：</w:t>
      </w:r>
    </w:p>
    <w:p w14:paraId="2A5B79B2">
      <w:pPr>
        <w:pStyle w:val="87"/>
        <w:numPr>
          <w:ilvl w:val="0"/>
          <w:numId w:val="9"/>
        </w:numPr>
        <w:tabs>
          <w:tab w:val="left" w:pos="0"/>
        </w:tabs>
        <w:kinsoku w:val="0"/>
        <w:spacing w:after="0" w:line="360" w:lineRule="auto"/>
        <w:ind w:firstLineChars="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甲方委托他人完成保修维修工作的费用；</w:t>
      </w:r>
    </w:p>
    <w:p w14:paraId="42295599">
      <w:pPr>
        <w:pStyle w:val="87"/>
        <w:numPr>
          <w:ilvl w:val="0"/>
          <w:numId w:val="9"/>
        </w:numPr>
        <w:tabs>
          <w:tab w:val="left" w:pos="0"/>
        </w:tabs>
        <w:kinsoku w:val="0"/>
        <w:spacing w:after="0" w:line="360" w:lineRule="auto"/>
        <w:ind w:firstLineChars="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因乙方过失、责任而赔偿建设单位、使用方的相关损失；</w:t>
      </w:r>
    </w:p>
    <w:p w14:paraId="65C0D822">
      <w:pPr>
        <w:pStyle w:val="87"/>
        <w:numPr>
          <w:ilvl w:val="0"/>
          <w:numId w:val="9"/>
        </w:numPr>
        <w:tabs>
          <w:tab w:val="left" w:pos="0"/>
        </w:tabs>
        <w:kinsoku w:val="0"/>
        <w:spacing w:after="0" w:line="360" w:lineRule="auto"/>
        <w:ind w:firstLineChars="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为返修以及其它与之相关联工作所需花费的费用（甲方代为支付时）；</w:t>
      </w:r>
    </w:p>
    <w:p w14:paraId="51A785B2">
      <w:pPr>
        <w:pStyle w:val="87"/>
        <w:numPr>
          <w:ilvl w:val="0"/>
          <w:numId w:val="9"/>
        </w:numPr>
        <w:tabs>
          <w:tab w:val="left" w:pos="0"/>
        </w:tabs>
        <w:kinsoku w:val="0"/>
        <w:spacing w:after="0" w:line="360" w:lineRule="auto"/>
        <w:ind w:firstLineChars="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其它与保修维修有关的费用。</w:t>
      </w:r>
    </w:p>
    <w:p w14:paraId="653B3953">
      <w:pPr>
        <w:numPr>
          <w:ilvl w:val="2"/>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保修金不计取任何利息。</w:t>
      </w:r>
    </w:p>
    <w:p w14:paraId="59831085">
      <w:pPr>
        <w:numPr>
          <w:ilvl w:val="0"/>
          <w:numId w:val="6"/>
        </w:numPr>
        <w:kinsoku w:val="0"/>
        <w:spacing w:after="0" w:line="360" w:lineRule="auto"/>
        <w:jc w:val="both"/>
        <w:outlineLvl w:val="1"/>
        <w:rPr>
          <w:rFonts w:hint="eastAsia" w:ascii="宋体" w:hAnsi="宋体" w:eastAsia="宋体" w:cs="宋体"/>
          <w:b/>
          <w:color w:val="000000" w:themeColor="text1"/>
          <w:kern w:val="10"/>
          <w:sz w:val="21"/>
          <w:szCs w:val="21"/>
          <w:highlight w:val="none"/>
          <w14:textFill>
            <w14:solidFill>
              <w14:schemeClr w14:val="tx1"/>
            </w14:solidFill>
          </w14:textFill>
        </w:rPr>
      </w:pPr>
      <w:bookmarkStart w:id="1061" w:name="_Toc4112"/>
      <w:bookmarkStart w:id="1062" w:name="_Toc28472"/>
      <w:bookmarkStart w:id="1063" w:name="_Toc3537"/>
      <w:bookmarkStart w:id="1064" w:name="_Toc28821"/>
      <w:bookmarkStart w:id="1065" w:name="_Toc7709"/>
      <w:bookmarkStart w:id="1066" w:name="_Toc175764439"/>
      <w:bookmarkStart w:id="1067" w:name="_Toc15716"/>
      <w:bookmarkStart w:id="1068" w:name="_Toc101357449"/>
      <w:bookmarkStart w:id="1069" w:name="_Toc24745"/>
      <w:bookmarkStart w:id="1070" w:name="_Toc1655"/>
      <w:bookmarkStart w:id="1071" w:name="_Toc9963"/>
      <w:bookmarkStart w:id="1072" w:name="_Toc28167"/>
      <w:bookmarkStart w:id="1073" w:name="_Toc2139"/>
      <w:bookmarkStart w:id="1074" w:name="_Toc21842"/>
      <w:bookmarkStart w:id="1075" w:name="_Toc9403"/>
      <w:bookmarkStart w:id="1076" w:name="_Toc101963503"/>
      <w:bookmarkStart w:id="1077" w:name="_Toc22219"/>
      <w:r>
        <w:rPr>
          <w:rFonts w:hint="eastAsia" w:ascii="宋体" w:hAnsi="宋体" w:eastAsia="宋体" w:cs="宋体"/>
          <w:b/>
          <w:color w:val="000000" w:themeColor="text1"/>
          <w:sz w:val="21"/>
          <w:szCs w:val="21"/>
          <w:highlight w:val="none"/>
          <w14:textFill>
            <w14:solidFill>
              <w14:schemeClr w14:val="tx1"/>
            </w14:solidFill>
          </w14:textFill>
        </w:rPr>
        <w:t>保险</w:t>
      </w:r>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p>
    <w:p w14:paraId="7403CDAB">
      <w:pPr>
        <w:numPr>
          <w:ilvl w:val="1"/>
          <w:numId w:val="6"/>
        </w:numPr>
        <w:kinsoku w:val="0"/>
        <w:spacing w:after="0" w:line="360" w:lineRule="auto"/>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甲方投保内容：施工人员意外伤害险。</w:t>
      </w:r>
    </w:p>
    <w:p w14:paraId="2945E288">
      <w:pPr>
        <w:numPr>
          <w:ilvl w:val="1"/>
          <w:numId w:val="6"/>
        </w:numPr>
        <w:kinsoku w:val="0"/>
        <w:spacing w:after="0" w:line="360" w:lineRule="auto"/>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乙方投保内容：乙方应自行办理并履行与本合同有关的各类保险，包括人身、财产、设备、工程、农民工工伤保险第三方责任等（不限于此），并在出险时自行向保险公司索赔，以保障乙方自身与工程的利益。否则，一切损失和后果由乙方自负。</w:t>
      </w:r>
    </w:p>
    <w:p w14:paraId="3C90A3AF">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为施工场地内自有人员生命财产和施工机械设备及用于本工程的材料和待安装设备办理保险，并支付保险费用。乙方应保持保单的有效性，并按照甲方的要求，在本分包合同履约期间，妥善保存此保单及保险费付款收据，并在甲方要求的情况下立即向甲方出示投保单和保险单。如果乙方未按约定办理上述保险且在甲方提醒后仍未办理，甲方可代为办理保险，并从应支付乙方工程款中扣除相应金额。</w:t>
      </w:r>
    </w:p>
    <w:p w14:paraId="6AECB9C1">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关于乙方雇佣的任何员工或其他人员的任何意外事故或伤害所引起的一切损失或法律补偿费，甲方均不负责任。乙方应使甲方免遭此类损失或补偿费，免遭此方面或与此相关的任何索赔、诉讼和费用。</w:t>
      </w:r>
    </w:p>
    <w:p w14:paraId="7975B9D5">
      <w:pPr>
        <w:numPr>
          <w:ilvl w:val="1"/>
          <w:numId w:val="6"/>
        </w:numPr>
        <w:kinsoku w:val="0"/>
        <w:spacing w:after="0" w:line="360" w:lineRule="auto"/>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保险事故发生时，乙方有责任尽力采取必要的措施，控制事态扩散，防止或者减少损失。</w:t>
      </w:r>
    </w:p>
    <w:p w14:paraId="56237D86">
      <w:pPr>
        <w:numPr>
          <w:ilvl w:val="0"/>
          <w:numId w:val="6"/>
        </w:numPr>
        <w:kinsoku w:val="0"/>
        <w:spacing w:after="0" w:line="360" w:lineRule="auto"/>
        <w:jc w:val="both"/>
        <w:outlineLvl w:val="1"/>
        <w:rPr>
          <w:rFonts w:hint="eastAsia" w:ascii="宋体" w:hAnsi="宋体" w:eastAsia="宋体" w:cs="宋体"/>
          <w:b/>
          <w:color w:val="000000" w:themeColor="text1"/>
          <w:sz w:val="21"/>
          <w:szCs w:val="21"/>
          <w:highlight w:val="none"/>
          <w14:textFill>
            <w14:solidFill>
              <w14:schemeClr w14:val="tx1"/>
            </w14:solidFill>
          </w14:textFill>
        </w:rPr>
      </w:pPr>
      <w:bookmarkStart w:id="1078" w:name="_Toc4173"/>
      <w:bookmarkStart w:id="1079" w:name="_Toc27970"/>
      <w:bookmarkStart w:id="1080" w:name="_Toc24439"/>
      <w:bookmarkStart w:id="1081" w:name="_Toc30407"/>
      <w:bookmarkStart w:id="1082" w:name="_Toc22749"/>
      <w:bookmarkStart w:id="1083" w:name="_Toc24208"/>
      <w:bookmarkStart w:id="1084" w:name="_Toc101357450"/>
      <w:bookmarkStart w:id="1085" w:name="_Toc12027"/>
      <w:bookmarkStart w:id="1086" w:name="_Toc3767"/>
      <w:bookmarkStart w:id="1087" w:name="_Toc7811"/>
      <w:bookmarkStart w:id="1088" w:name="_Toc16393"/>
      <w:bookmarkStart w:id="1089" w:name="_Toc175764440"/>
      <w:bookmarkStart w:id="1090" w:name="_Toc17940"/>
      <w:bookmarkStart w:id="1091" w:name="_Toc20112"/>
      <w:bookmarkStart w:id="1092" w:name="_Toc11014"/>
      <w:bookmarkStart w:id="1093" w:name="_Toc1429"/>
      <w:bookmarkStart w:id="1094" w:name="_Toc101963504"/>
      <w:r>
        <w:rPr>
          <w:rFonts w:hint="eastAsia" w:ascii="宋体" w:hAnsi="宋体" w:eastAsia="宋体" w:cs="宋体"/>
          <w:b/>
          <w:color w:val="000000" w:themeColor="text1"/>
          <w:sz w:val="21"/>
          <w:szCs w:val="21"/>
          <w:highlight w:val="none"/>
          <w14:textFill>
            <w14:solidFill>
              <w14:schemeClr w14:val="tx1"/>
            </w14:solidFill>
          </w14:textFill>
        </w:rPr>
        <w:t>不可抗力</w:t>
      </w:r>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p>
    <w:p w14:paraId="378011B8">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本合同所定不可抗力是指合同当事人在签订合同时不可预见，在合同履行过程中不可避免且不能克服的自然灾害和社会性突发事件，包括但不限于地震、海啸、瘟疫、骚乱、戒严、暴动、战争等。</w:t>
      </w:r>
    </w:p>
    <w:p w14:paraId="6828C40D">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不可抗力事件发生后，乙方应立即通知甲方，并在力所能及的条件下迅速采取措施，尽力减少损失，甲方应协助乙方采取措施。若因乙方未能尽力挽救，导致损失扩大的，由乙方承担全部责任。</w:t>
      </w:r>
    </w:p>
    <w:p w14:paraId="71215569">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甲方认为乙方应当暂停工作的，乙方应暂停工作。不可抗力事件发生后24小时内乙方向甲方通报受害情况和损失情况，及预计清理和修复的费用，逾期提出的甲方不予认可。不可抗力事件持续发生，乙方应每隔7日向甲方报告一次受害情况。不可抗力事件结束后7日内，乙方向甲方提交清理和修复费用的正式报告及有关资料。</w:t>
      </w:r>
    </w:p>
    <w:p w14:paraId="18B4742A">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因不可抗力事件导致发生的下列费用由乙方承担：</w:t>
      </w:r>
    </w:p>
    <w:p w14:paraId="650B543B">
      <w:pPr>
        <w:numPr>
          <w:ilvl w:val="2"/>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乙方人员伤亡。</w:t>
      </w:r>
    </w:p>
    <w:p w14:paraId="2875EBC0">
      <w:pPr>
        <w:numPr>
          <w:ilvl w:val="2"/>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乙方机械设备和材料的损坏、停工等造成的损失；</w:t>
      </w:r>
    </w:p>
    <w:p w14:paraId="5D4EF1F4">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工程自身的损害、因工程损害导致第三人伤亡、工程清理维修费由乙方配合甲方与建设单位协商处理。</w:t>
      </w:r>
    </w:p>
    <w:p w14:paraId="20F42E08">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在得到建设单位/监理对整体/分包工程的工期顺延许可后，分包工程延误的工期相应顺延。</w:t>
      </w:r>
    </w:p>
    <w:p w14:paraId="0A46D3C2">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因本合同一方迟延履行合同后发生不可抗力的，不能免除迟延责任方的相应责任。</w:t>
      </w:r>
    </w:p>
    <w:p w14:paraId="47ECA577">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因单次不可抗力导致合同无法履行连续超过</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90</w:t>
      </w:r>
      <w:r>
        <w:rPr>
          <w:rFonts w:hint="eastAsia" w:ascii="宋体" w:hAnsi="宋体" w:eastAsia="宋体" w:cs="宋体"/>
          <w:color w:val="000000" w:themeColor="text1"/>
          <w:sz w:val="21"/>
          <w:szCs w:val="21"/>
          <w:highlight w:val="none"/>
          <w:lang w:eastAsia="zh-CN"/>
          <w14:textFill>
            <w14:solidFill>
              <w14:schemeClr w14:val="tx1"/>
            </w14:solidFill>
          </w14:textFill>
        </w:rPr>
        <w:t>天或累计超过</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120</w:t>
      </w:r>
      <w:r>
        <w:rPr>
          <w:rFonts w:hint="eastAsia" w:ascii="宋体" w:hAnsi="宋体" w:eastAsia="宋体" w:cs="宋体"/>
          <w:color w:val="000000" w:themeColor="text1"/>
          <w:sz w:val="21"/>
          <w:szCs w:val="21"/>
          <w:highlight w:val="none"/>
          <w:lang w:eastAsia="zh-CN"/>
          <w14:textFill>
            <w14:solidFill>
              <w14:schemeClr w14:val="tx1"/>
            </w14:solidFill>
          </w14:textFill>
        </w:rPr>
        <w:t>天的，甲乙双方均有权解除合同。合同解除后，双方应就已完工程的计量、验收、估价以及结算与付款等善后事宜达成补充协议。</w:t>
      </w:r>
    </w:p>
    <w:p w14:paraId="4B9B2684">
      <w:pPr>
        <w:numPr>
          <w:ilvl w:val="0"/>
          <w:numId w:val="6"/>
        </w:numPr>
        <w:kinsoku w:val="0"/>
        <w:spacing w:after="0" w:line="360" w:lineRule="auto"/>
        <w:jc w:val="both"/>
        <w:outlineLvl w:val="1"/>
        <w:rPr>
          <w:rFonts w:hint="eastAsia" w:ascii="宋体" w:hAnsi="宋体" w:eastAsia="宋体" w:cs="宋体"/>
          <w:b/>
          <w:color w:val="000000" w:themeColor="text1"/>
          <w:sz w:val="21"/>
          <w:szCs w:val="21"/>
          <w:highlight w:val="none"/>
          <w14:textFill>
            <w14:solidFill>
              <w14:schemeClr w14:val="tx1"/>
            </w14:solidFill>
          </w14:textFill>
        </w:rPr>
      </w:pPr>
      <w:bookmarkStart w:id="1095" w:name="_Toc16400"/>
      <w:bookmarkStart w:id="1096" w:name="_Toc21421"/>
      <w:bookmarkStart w:id="1097" w:name="_Toc12030"/>
      <w:bookmarkStart w:id="1098" w:name="_Toc24388"/>
      <w:bookmarkStart w:id="1099" w:name="_Toc24540"/>
      <w:bookmarkStart w:id="1100" w:name="_Toc17882"/>
      <w:bookmarkStart w:id="1101" w:name="_Toc636"/>
      <w:bookmarkStart w:id="1102" w:name="_Toc21657"/>
      <w:bookmarkStart w:id="1103" w:name="_Toc2523"/>
      <w:bookmarkStart w:id="1104" w:name="_Toc29858"/>
      <w:bookmarkStart w:id="1105" w:name="_Toc3544"/>
      <w:bookmarkStart w:id="1106" w:name="_Toc32288"/>
      <w:bookmarkStart w:id="1107" w:name="_Toc101357451"/>
      <w:bookmarkStart w:id="1108" w:name="_Toc11143"/>
      <w:bookmarkStart w:id="1109" w:name="_Toc175764441"/>
      <w:bookmarkStart w:id="1110" w:name="_Toc101963505"/>
      <w:bookmarkStart w:id="1111" w:name="_Toc19938"/>
      <w:r>
        <w:rPr>
          <w:rFonts w:hint="eastAsia" w:ascii="宋体" w:hAnsi="宋体" w:eastAsia="宋体" w:cs="宋体"/>
          <w:b/>
          <w:color w:val="000000" w:themeColor="text1"/>
          <w:sz w:val="21"/>
          <w:szCs w:val="21"/>
          <w:highlight w:val="none"/>
          <w14:textFill>
            <w14:solidFill>
              <w14:schemeClr w14:val="tx1"/>
            </w14:solidFill>
          </w14:textFill>
        </w:rPr>
        <w:t>违约</w:t>
      </w:r>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p>
    <w:p w14:paraId="5F0F60D8">
      <w:pPr>
        <w:numPr>
          <w:ilvl w:val="1"/>
          <w:numId w:val="6"/>
        </w:numPr>
        <w:kinsoku w:val="0"/>
        <w:spacing w:after="0" w:line="360" w:lineRule="auto"/>
        <w:jc w:val="both"/>
        <w:rPr>
          <w:rFonts w:hint="eastAsia" w:ascii="宋体" w:hAnsi="宋体" w:eastAsia="宋体" w:cs="宋体"/>
          <w:bCs/>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合同双方任何一方不能全面履行本合同条款，均属违约；违约所造成的损失、后果、责任，概由违约方承担。</w:t>
      </w:r>
    </w:p>
    <w:p w14:paraId="2BBE9E87">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除非甲乙双方协商终止本合同，违约方承担前述违约责任、损失后仍需严格履行本合同。</w:t>
      </w:r>
    </w:p>
    <w:p w14:paraId="5663D1E6">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乙方对本合同承包范围内的分包作业向甲方负责，全部施工任务必须组织自有力量完成，严禁转包、挂靠和再分包</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否则一经发现</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，乙方无条件退场，并承担由此带来的退场费用及赔偿甲方相应损失，缴纳的履约保证金不予返还，并将乙方列入甲方不合格协力队伍名录，不得参与甲方组织的任何形式的采购项目。</w:t>
      </w:r>
      <w:r>
        <w:rPr>
          <w:rFonts w:hint="eastAsia" w:ascii="宋体" w:hAnsi="宋体" w:eastAsia="宋体" w:cs="宋体"/>
          <w:color w:val="000000" w:themeColor="text1"/>
          <w:sz w:val="21"/>
          <w:szCs w:val="21"/>
          <w:highlight w:val="none"/>
          <w:lang w:eastAsia="zh-CN"/>
          <w14:textFill>
            <w14:solidFill>
              <w14:schemeClr w14:val="tx1"/>
            </w14:solidFill>
          </w14:textFill>
        </w:rPr>
        <w:t>乙方违反本合同可能产生的后果：如乙方有违反分包合同的行为，乙方应保障甲方免于承担因此违约造成的工期延误、经济损失及甲方将向建设单位负责的任何赔偿费，在此情况下，甲方可从本应支付乙方的任何价款中扣除此笔经济损失及赔偿费，并且不排除采用其它补救方法的可能。</w:t>
      </w:r>
    </w:p>
    <w:p w14:paraId="5CB60B0D">
      <w:pPr>
        <w:numPr>
          <w:ilvl w:val="1"/>
          <w:numId w:val="6"/>
        </w:numPr>
        <w:kinsoku w:val="0"/>
        <w:spacing w:after="0" w:line="360" w:lineRule="auto"/>
        <w:jc w:val="both"/>
        <w:rPr>
          <w:rFonts w:hint="eastAsia" w:ascii="宋体" w:hAnsi="宋体" w:eastAsia="宋体" w:cs="宋体"/>
          <w:b/>
          <w:bCs/>
          <w:color w:val="000000" w:themeColor="text1"/>
          <w:kern w:val="10"/>
          <w:sz w:val="21"/>
          <w:szCs w:val="21"/>
          <w:highlight w:val="none"/>
          <w:lang w:eastAsia="zh-CN"/>
          <w14:textFill>
            <w14:solidFill>
              <w14:schemeClr w14:val="tx1"/>
            </w14:solidFill>
          </w14:textFill>
        </w:rPr>
      </w:pPr>
      <w:r>
        <w:rPr>
          <w:rFonts w:hint="eastAsia" w:ascii="宋体" w:hAnsi="宋体" w:eastAsia="宋体" w:cs="宋体"/>
          <w:b/>
          <w:bCs/>
          <w:color w:val="000000" w:themeColor="text1"/>
          <w:kern w:val="10"/>
          <w:sz w:val="21"/>
          <w:szCs w:val="21"/>
          <w:highlight w:val="none"/>
          <w:lang w:eastAsia="zh-CN"/>
          <w14:textFill>
            <w14:solidFill>
              <w14:schemeClr w14:val="tx1"/>
            </w14:solidFill>
          </w14:textFill>
        </w:rPr>
        <w:t xml:space="preserve"> 如乙方出现以下违约行为，甲方可发出书面指令要求其立即纠正并承担违约所造成的损失：</w:t>
      </w:r>
    </w:p>
    <w:p w14:paraId="1601A94A">
      <w:pPr>
        <w:kinsoku w:val="0"/>
        <w:spacing w:after="0" w:line="360" w:lineRule="auto"/>
        <w:jc w:val="both"/>
        <w:rPr>
          <w:rFonts w:hint="eastAsia" w:ascii="宋体" w:hAnsi="宋体" w:eastAsia="宋体" w:cs="宋体"/>
          <w:b/>
          <w:bCs/>
          <w:color w:val="000000" w:themeColor="text1"/>
          <w:kern w:val="10"/>
          <w:sz w:val="21"/>
          <w:szCs w:val="21"/>
          <w:highlight w:val="none"/>
          <w:lang w:eastAsia="zh-CN"/>
          <w14:textFill>
            <w14:solidFill>
              <w14:schemeClr w14:val="tx1"/>
            </w14:solidFill>
          </w14:textFill>
        </w:rPr>
      </w:pPr>
      <w:r>
        <w:rPr>
          <w:rFonts w:hint="eastAsia" w:ascii="宋体" w:hAnsi="宋体" w:eastAsia="宋体" w:cs="宋体"/>
          <w:b/>
          <w:bCs/>
          <w:color w:val="000000" w:themeColor="text1"/>
          <w:kern w:val="10"/>
          <w:sz w:val="21"/>
          <w:szCs w:val="21"/>
          <w:highlight w:val="none"/>
          <w:lang w:eastAsia="zh-CN"/>
          <w14:textFill>
            <w14:solidFill>
              <w14:schemeClr w14:val="tx1"/>
            </w14:solidFill>
          </w14:textFill>
        </w:rPr>
        <w:t>（1）在竣工之前，没有合理原因，完全搁置工程停止施工；</w:t>
      </w:r>
    </w:p>
    <w:p w14:paraId="1245D3DA">
      <w:pPr>
        <w:kinsoku w:val="0"/>
        <w:spacing w:after="0" w:line="360" w:lineRule="auto"/>
        <w:jc w:val="both"/>
        <w:rPr>
          <w:rFonts w:hint="eastAsia" w:ascii="宋体" w:hAnsi="宋体" w:eastAsia="宋体" w:cs="宋体"/>
          <w:b/>
          <w:bCs/>
          <w:color w:val="000000" w:themeColor="text1"/>
          <w:kern w:val="10"/>
          <w:sz w:val="21"/>
          <w:szCs w:val="21"/>
          <w:highlight w:val="none"/>
          <w:lang w:eastAsia="zh-CN"/>
          <w14:textFill>
            <w14:solidFill>
              <w14:schemeClr w14:val="tx1"/>
            </w14:solidFill>
          </w14:textFill>
        </w:rPr>
      </w:pPr>
      <w:r>
        <w:rPr>
          <w:rFonts w:hint="eastAsia" w:ascii="宋体" w:hAnsi="宋体" w:eastAsia="宋体" w:cs="宋体"/>
          <w:b/>
          <w:bCs/>
          <w:color w:val="000000" w:themeColor="text1"/>
          <w:kern w:val="10"/>
          <w:sz w:val="21"/>
          <w:szCs w:val="21"/>
          <w:highlight w:val="none"/>
          <w:lang w:eastAsia="zh-CN"/>
          <w14:textFill>
            <w14:solidFill>
              <w14:schemeClr w14:val="tx1"/>
            </w14:solidFill>
          </w14:textFill>
        </w:rPr>
        <w:t>（2）拒绝执行甲方要求其修补缺陷或更换不适用的材料和（或）物品等的书面通知；</w:t>
      </w:r>
    </w:p>
    <w:p w14:paraId="4FB0DAB2">
      <w:pPr>
        <w:kinsoku w:val="0"/>
        <w:spacing w:after="0" w:line="360" w:lineRule="auto"/>
        <w:jc w:val="both"/>
        <w:rPr>
          <w:rFonts w:hint="eastAsia" w:ascii="宋体" w:hAnsi="宋体" w:eastAsia="宋体" w:cs="宋体"/>
          <w:b/>
          <w:bCs/>
          <w:color w:val="000000" w:themeColor="text1"/>
          <w:kern w:val="10"/>
          <w:sz w:val="21"/>
          <w:szCs w:val="21"/>
          <w:highlight w:val="none"/>
          <w:lang w:eastAsia="zh-CN"/>
          <w14:textFill>
            <w14:solidFill>
              <w14:schemeClr w14:val="tx1"/>
            </w14:solidFill>
          </w14:textFill>
        </w:rPr>
      </w:pPr>
      <w:r>
        <w:rPr>
          <w:rFonts w:hint="eastAsia" w:ascii="宋体" w:hAnsi="宋体" w:eastAsia="宋体" w:cs="宋体"/>
          <w:b/>
          <w:bCs/>
          <w:color w:val="000000" w:themeColor="text1"/>
          <w:kern w:val="10"/>
          <w:sz w:val="21"/>
          <w:szCs w:val="21"/>
          <w:highlight w:val="none"/>
          <w:lang w:eastAsia="zh-CN"/>
          <w14:textFill>
            <w14:solidFill>
              <w14:schemeClr w14:val="tx1"/>
            </w14:solidFill>
          </w14:textFill>
        </w:rPr>
        <w:t>（3）未经甲方许可，乙方擅自将其承包的分包工程转包或再分包；</w:t>
      </w:r>
    </w:p>
    <w:p w14:paraId="199CA24C">
      <w:pPr>
        <w:kinsoku w:val="0"/>
        <w:spacing w:after="0" w:line="360" w:lineRule="auto"/>
        <w:jc w:val="both"/>
        <w:rPr>
          <w:rFonts w:hint="eastAsia" w:ascii="宋体" w:hAnsi="宋体" w:eastAsia="宋体" w:cs="宋体"/>
          <w:b/>
          <w:bCs/>
          <w:color w:val="000000" w:themeColor="text1"/>
          <w:kern w:val="10"/>
          <w:sz w:val="21"/>
          <w:szCs w:val="21"/>
          <w:highlight w:val="none"/>
          <w:lang w:eastAsia="zh-CN"/>
          <w14:textFill>
            <w14:solidFill>
              <w14:schemeClr w14:val="tx1"/>
            </w14:solidFill>
          </w14:textFill>
        </w:rPr>
      </w:pPr>
      <w:r>
        <w:rPr>
          <w:rFonts w:hint="eastAsia" w:ascii="宋体" w:hAnsi="宋体" w:eastAsia="宋体" w:cs="宋体"/>
          <w:b/>
          <w:bCs/>
          <w:color w:val="000000" w:themeColor="text1"/>
          <w:kern w:val="10"/>
          <w:sz w:val="21"/>
          <w:szCs w:val="21"/>
          <w:highlight w:val="none"/>
          <w:lang w:eastAsia="zh-CN"/>
          <w14:textFill>
            <w14:solidFill>
              <w14:schemeClr w14:val="tx1"/>
            </w14:solidFill>
          </w14:textFill>
        </w:rPr>
        <w:t>（4）因乙方原因拖延工期，未能在约定的工期内或分段工期内完成分包工程或其中任何区段的工作；</w:t>
      </w:r>
    </w:p>
    <w:p w14:paraId="266D7536">
      <w:pPr>
        <w:kinsoku w:val="0"/>
        <w:spacing w:after="0" w:line="360" w:lineRule="auto"/>
        <w:jc w:val="both"/>
        <w:rPr>
          <w:rFonts w:hint="eastAsia" w:ascii="宋体" w:hAnsi="宋体" w:eastAsia="宋体" w:cs="宋体"/>
          <w:b/>
          <w:bCs/>
          <w:color w:val="000000" w:themeColor="text1"/>
          <w:kern w:val="10"/>
          <w:sz w:val="21"/>
          <w:szCs w:val="21"/>
          <w:highlight w:val="none"/>
          <w:lang w:eastAsia="zh-CN"/>
          <w14:textFill>
            <w14:solidFill>
              <w14:schemeClr w14:val="tx1"/>
            </w14:solidFill>
          </w14:textFill>
        </w:rPr>
      </w:pPr>
      <w:r>
        <w:rPr>
          <w:rFonts w:hint="eastAsia" w:ascii="宋体" w:hAnsi="宋体" w:eastAsia="宋体" w:cs="宋体"/>
          <w:b/>
          <w:bCs/>
          <w:color w:val="000000" w:themeColor="text1"/>
          <w:kern w:val="10"/>
          <w:sz w:val="21"/>
          <w:szCs w:val="21"/>
          <w:highlight w:val="none"/>
          <w:lang w:eastAsia="zh-CN"/>
          <w14:textFill>
            <w14:solidFill>
              <w14:schemeClr w14:val="tx1"/>
            </w14:solidFill>
          </w14:textFill>
        </w:rPr>
        <w:t>（5）因乙方原因工程质量达不到本分包合同约定的质量标准和质量目标；</w:t>
      </w:r>
    </w:p>
    <w:p w14:paraId="5CF15FA6">
      <w:pPr>
        <w:kinsoku w:val="0"/>
        <w:spacing w:after="0" w:line="360" w:lineRule="auto"/>
        <w:jc w:val="both"/>
        <w:rPr>
          <w:rFonts w:hint="eastAsia" w:ascii="宋体" w:hAnsi="宋体" w:eastAsia="宋体" w:cs="宋体"/>
          <w:b/>
          <w:bCs/>
          <w:color w:val="000000" w:themeColor="text1"/>
          <w:kern w:val="10"/>
          <w:sz w:val="21"/>
          <w:szCs w:val="21"/>
          <w:highlight w:val="none"/>
          <w:lang w:eastAsia="zh-CN"/>
          <w14:textFill>
            <w14:solidFill>
              <w14:schemeClr w14:val="tx1"/>
            </w14:solidFill>
          </w14:textFill>
        </w:rPr>
      </w:pPr>
      <w:r>
        <w:rPr>
          <w:rFonts w:hint="eastAsia" w:ascii="宋体" w:hAnsi="宋体" w:eastAsia="宋体" w:cs="宋体"/>
          <w:b/>
          <w:bCs/>
          <w:color w:val="000000" w:themeColor="text1"/>
          <w:kern w:val="10"/>
          <w:sz w:val="21"/>
          <w:szCs w:val="21"/>
          <w:highlight w:val="none"/>
          <w:lang w:eastAsia="zh-CN"/>
          <w14:textFill>
            <w14:solidFill>
              <w14:schemeClr w14:val="tx1"/>
            </w14:solidFill>
          </w14:textFill>
        </w:rPr>
        <w:t>（6）合同中约定的其他违约行为。</w:t>
      </w:r>
    </w:p>
    <w:p w14:paraId="296EEE88">
      <w:pPr>
        <w:numPr>
          <w:ilvl w:val="1"/>
          <w:numId w:val="6"/>
        </w:numPr>
        <w:kinsoku w:val="0"/>
        <w:spacing w:after="0" w:line="360" w:lineRule="auto"/>
        <w:jc w:val="both"/>
        <w:rPr>
          <w:rFonts w:hint="eastAsia" w:ascii="宋体" w:hAnsi="宋体" w:eastAsia="宋体" w:cs="宋体"/>
          <w:b/>
          <w:bCs/>
          <w:color w:val="000000" w:themeColor="text1"/>
          <w:kern w:val="10"/>
          <w:sz w:val="21"/>
          <w:szCs w:val="21"/>
          <w:highlight w:val="none"/>
          <w:lang w:eastAsia="zh-CN"/>
          <w14:textFill>
            <w14:solidFill>
              <w14:schemeClr w14:val="tx1"/>
            </w14:solidFill>
          </w14:textFill>
        </w:rPr>
      </w:pPr>
      <w:r>
        <w:rPr>
          <w:rFonts w:hint="eastAsia" w:ascii="宋体" w:hAnsi="宋体" w:eastAsia="宋体" w:cs="宋体"/>
          <w:b/>
          <w:bCs/>
          <w:color w:val="000000" w:themeColor="text1"/>
          <w:kern w:val="10"/>
          <w:sz w:val="21"/>
          <w:szCs w:val="21"/>
          <w:highlight w:val="none"/>
          <w:lang w:eastAsia="zh-CN"/>
          <w14:textFill>
            <w14:solidFill>
              <w14:schemeClr w14:val="tx1"/>
            </w14:solidFill>
          </w14:textFill>
        </w:rPr>
        <w:t>甲方可将乙方违约金从乙方缴纳的全部履约保证金或履约保函中直接扣除，也可从任何一笔应支付乙方的工程款中直接扣除，甲方应付乙方的工程款不足以覆盖上述款项的，可以向乙方追偿。乙方对此知悉并同意，且甲方可解除合同，解除合同造成的全部损失由乙方承担。</w:t>
      </w:r>
    </w:p>
    <w:p w14:paraId="7B932B5F">
      <w:pPr>
        <w:numPr>
          <w:ilvl w:val="1"/>
          <w:numId w:val="6"/>
        </w:numPr>
        <w:kinsoku w:val="0"/>
        <w:spacing w:after="0" w:line="360" w:lineRule="auto"/>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若因乙方违约引发纠纷或诉讼，导致甲方参与诉讼或承担连带责任的，甲方可按发生费用或产生损失的两倍向乙方要求赔偿，包括但不限于诉讼费、代理费、差旅费等。</w:t>
      </w:r>
    </w:p>
    <w:p w14:paraId="75FE7FD8">
      <w:pPr>
        <w:numPr>
          <w:ilvl w:val="0"/>
          <w:numId w:val="6"/>
        </w:numPr>
        <w:kinsoku w:val="0"/>
        <w:spacing w:after="0" w:line="360" w:lineRule="auto"/>
        <w:jc w:val="both"/>
        <w:outlineLvl w:val="1"/>
        <w:rPr>
          <w:rFonts w:hint="eastAsia" w:ascii="宋体" w:hAnsi="宋体" w:eastAsia="宋体" w:cs="宋体"/>
          <w:b/>
          <w:color w:val="000000" w:themeColor="text1"/>
          <w:sz w:val="21"/>
          <w:szCs w:val="21"/>
          <w:highlight w:val="none"/>
          <w14:textFill>
            <w14:solidFill>
              <w14:schemeClr w14:val="tx1"/>
            </w14:solidFill>
          </w14:textFill>
        </w:rPr>
      </w:pPr>
      <w:bookmarkStart w:id="1112" w:name="_Toc101357452"/>
      <w:bookmarkStart w:id="1113" w:name="_Toc1784"/>
      <w:bookmarkStart w:id="1114" w:name="_Toc14437"/>
      <w:bookmarkStart w:id="1115" w:name="_Toc101963506"/>
      <w:bookmarkStart w:id="1116" w:name="_Toc15409"/>
      <w:bookmarkStart w:id="1117" w:name="_Toc29483"/>
      <w:bookmarkStart w:id="1118" w:name="_Toc24440"/>
      <w:bookmarkStart w:id="1119" w:name="_Toc7104"/>
      <w:bookmarkStart w:id="1120" w:name="_Toc14525"/>
      <w:bookmarkStart w:id="1121" w:name="_Toc27878"/>
      <w:bookmarkStart w:id="1122" w:name="_Toc27114"/>
      <w:bookmarkStart w:id="1123" w:name="_Toc10915"/>
      <w:bookmarkStart w:id="1124" w:name="_Toc22303"/>
      <w:bookmarkStart w:id="1125" w:name="_Toc175764442"/>
      <w:bookmarkStart w:id="1126" w:name="_Toc1773"/>
      <w:bookmarkStart w:id="1127" w:name="_Toc5929"/>
      <w:bookmarkStart w:id="1128" w:name="_Toc10565"/>
      <w:r>
        <w:rPr>
          <w:rFonts w:hint="eastAsia" w:ascii="宋体" w:hAnsi="宋体" w:eastAsia="宋体" w:cs="宋体"/>
          <w:b/>
          <w:color w:val="000000" w:themeColor="text1"/>
          <w:sz w:val="21"/>
          <w:szCs w:val="21"/>
          <w:highlight w:val="none"/>
          <w14:textFill>
            <w14:solidFill>
              <w14:schemeClr w14:val="tx1"/>
            </w14:solidFill>
          </w14:textFill>
        </w:rPr>
        <w:t>争议解决</w:t>
      </w:r>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p>
    <w:p w14:paraId="78EB2B86">
      <w:pPr>
        <w:kinsoku w:val="0"/>
        <w:spacing w:after="0" w:line="360" w:lineRule="auto"/>
        <w:ind w:left="158" w:leftChars="75" w:firstLine="420" w:firstLineChars="200"/>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双方发生争议时，可以通过协商解决。不愿通过协商或者协商不成，按专用合同条款约定的方式解决。</w:t>
      </w:r>
    </w:p>
    <w:p w14:paraId="48AB5157">
      <w:pPr>
        <w:numPr>
          <w:ilvl w:val="0"/>
          <w:numId w:val="6"/>
        </w:numPr>
        <w:kinsoku w:val="0"/>
        <w:spacing w:after="0" w:line="360" w:lineRule="auto"/>
        <w:jc w:val="both"/>
        <w:outlineLvl w:val="1"/>
        <w:rPr>
          <w:rFonts w:hint="eastAsia" w:ascii="宋体" w:hAnsi="宋体" w:eastAsia="宋体" w:cs="宋体"/>
          <w:b/>
          <w:color w:val="000000" w:themeColor="text1"/>
          <w:sz w:val="21"/>
          <w:szCs w:val="21"/>
          <w:highlight w:val="none"/>
          <w14:textFill>
            <w14:solidFill>
              <w14:schemeClr w14:val="tx1"/>
            </w14:solidFill>
          </w14:textFill>
        </w:rPr>
      </w:pPr>
      <w:bookmarkStart w:id="1129" w:name="_Toc10150"/>
      <w:bookmarkStart w:id="1130" w:name="_Toc7711"/>
      <w:bookmarkStart w:id="1131" w:name="_Toc16949"/>
      <w:bookmarkStart w:id="1132" w:name="_Toc101963507"/>
      <w:bookmarkStart w:id="1133" w:name="_Toc10296"/>
      <w:bookmarkStart w:id="1134" w:name="_Toc6947"/>
      <w:bookmarkStart w:id="1135" w:name="_Toc2614"/>
      <w:bookmarkStart w:id="1136" w:name="_Toc101357453"/>
      <w:bookmarkStart w:id="1137" w:name="_Toc19144"/>
      <w:bookmarkStart w:id="1138" w:name="_Toc7256"/>
      <w:bookmarkStart w:id="1139" w:name="_Toc18320"/>
      <w:bookmarkStart w:id="1140" w:name="_Toc21888"/>
      <w:bookmarkStart w:id="1141" w:name="_Toc5260"/>
      <w:bookmarkStart w:id="1142" w:name="_Toc3107"/>
      <w:bookmarkStart w:id="1143" w:name="_Toc15940"/>
      <w:bookmarkStart w:id="1144" w:name="_Toc175764443"/>
      <w:bookmarkStart w:id="1145" w:name="_Toc10531"/>
      <w:r>
        <w:rPr>
          <w:rFonts w:hint="eastAsia" w:ascii="宋体" w:hAnsi="宋体" w:eastAsia="宋体" w:cs="宋体"/>
          <w:b/>
          <w:color w:val="000000" w:themeColor="text1"/>
          <w:sz w:val="21"/>
          <w:szCs w:val="21"/>
          <w:highlight w:val="none"/>
          <w14:textFill>
            <w14:solidFill>
              <w14:schemeClr w14:val="tx1"/>
            </w14:solidFill>
          </w14:textFill>
        </w:rPr>
        <w:t>合同终止</w:t>
      </w:r>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p>
    <w:p w14:paraId="41393582">
      <w:pPr>
        <w:numPr>
          <w:ilvl w:val="1"/>
          <w:numId w:val="6"/>
        </w:numPr>
        <w:kinsoku w:val="0"/>
        <w:spacing w:after="0" w:line="360" w:lineRule="auto"/>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bookmarkStart w:id="1146" w:name="_Toc22366613"/>
      <w:r>
        <w:rPr>
          <w:rFonts w:hint="eastAsia" w:ascii="宋体" w:hAnsi="宋体" w:eastAsia="宋体" w:cs="宋体"/>
          <w:color w:val="000000" w:themeColor="text1"/>
          <w:kern w:val="10"/>
          <w:sz w:val="21"/>
          <w:szCs w:val="21"/>
          <w:highlight w:val="none"/>
          <w:lang w:eastAsia="zh-CN"/>
          <w14:textFill>
            <w14:solidFill>
              <w14:schemeClr w14:val="tx1"/>
            </w14:solidFill>
          </w14:textFill>
        </w:rPr>
        <w:t>在乙方交付齐全有效的技术资料，履行完保修职责，保修期结束，本合同即告终止</w:t>
      </w:r>
      <w:bookmarkEnd w:id="1146"/>
      <w:bookmarkStart w:id="1147" w:name="_Toc22366614"/>
      <w:r>
        <w:rPr>
          <w:rFonts w:hint="eastAsia" w:ascii="宋体" w:hAnsi="宋体" w:eastAsia="宋体" w:cs="宋体"/>
          <w:color w:val="000000" w:themeColor="text1"/>
          <w:kern w:val="10"/>
          <w:sz w:val="21"/>
          <w:szCs w:val="21"/>
          <w:highlight w:val="none"/>
          <w:lang w:eastAsia="zh-CN"/>
          <w14:textFill>
            <w14:solidFill>
              <w14:schemeClr w14:val="tx1"/>
            </w14:solidFill>
          </w14:textFill>
        </w:rPr>
        <w:t>。</w:t>
      </w:r>
    </w:p>
    <w:p w14:paraId="1FF276D9">
      <w:pPr>
        <w:numPr>
          <w:ilvl w:val="1"/>
          <w:numId w:val="6"/>
        </w:numPr>
        <w:kinsoku w:val="0"/>
        <w:spacing w:after="0" w:line="360" w:lineRule="auto"/>
        <w:jc w:val="both"/>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如乙方发生了本合同约定的违约行为，在接到甲方发出的书面指令后，违约行为仍未停止或再次发生的，甲方可选择行使如下权利：</w:t>
      </w:r>
    </w:p>
    <w:p w14:paraId="51DEFAC6">
      <w:pPr>
        <w:kinsoku w:val="0"/>
        <w:spacing w:after="0" w:line="360" w:lineRule="auto"/>
        <w:jc w:val="both"/>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（1）以书面形式通知乙方解除本分包合同；</w:t>
      </w:r>
    </w:p>
    <w:p w14:paraId="758C5662">
      <w:pPr>
        <w:kinsoku w:val="0"/>
        <w:spacing w:after="0" w:line="360" w:lineRule="auto"/>
        <w:jc w:val="both"/>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（2）将分包工程中的部分内容交由其他单位完成，相关费用由甲方从分包工程价款中扣除，由此给甲方造成的额外成本由乙方承担。</w:t>
      </w:r>
    </w:p>
    <w:p w14:paraId="2BCE9E4C">
      <w:pPr>
        <w:numPr>
          <w:ilvl w:val="1"/>
          <w:numId w:val="6"/>
        </w:numPr>
        <w:kinsoku w:val="0"/>
        <w:spacing w:after="0" w:line="360" w:lineRule="auto"/>
        <w:jc w:val="both"/>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如果乙方发生破产、解散、关闭等已不能实际履行分包合同义务的情形，甲方可在通知乙方后，解除本分包合同。</w:t>
      </w:r>
    </w:p>
    <w:p w14:paraId="3359ED91">
      <w:pPr>
        <w:numPr>
          <w:ilvl w:val="1"/>
          <w:numId w:val="6"/>
        </w:numPr>
        <w:kinsoku w:val="0"/>
        <w:spacing w:after="0" w:line="360" w:lineRule="auto"/>
        <w:jc w:val="both"/>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因不可抗力发生导致全部分包合同的履行成为不可能时，甲方、乙方均有权解除合同。</w:t>
      </w:r>
    </w:p>
    <w:p w14:paraId="74ECB7F3">
      <w:pPr>
        <w:numPr>
          <w:ilvl w:val="1"/>
          <w:numId w:val="6"/>
        </w:numPr>
        <w:kinsoku w:val="0"/>
        <w:spacing w:after="0" w:line="360" w:lineRule="auto"/>
        <w:jc w:val="both"/>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不论基于何种原因而导致甲方与建设单位之间的合同解除时，甲乙双方间的合同都同时无条件予以解除</w:t>
      </w:r>
      <w:bookmarkEnd w:id="1147"/>
      <w:r>
        <w:rPr>
          <w:rFonts w:hint="eastAsia" w:ascii="宋体" w:hAnsi="宋体" w:eastAsia="宋体" w:cs="宋体"/>
          <w:b/>
          <w:bCs/>
          <w:color w:val="000000" w:themeColor="text1"/>
          <w:sz w:val="21"/>
          <w:szCs w:val="21"/>
          <w:highlight w:val="none"/>
          <w:lang w:eastAsia="zh-CN"/>
          <w14:textFill>
            <w14:solidFill>
              <w14:schemeClr w14:val="tx1"/>
            </w14:solidFill>
          </w14:textFill>
        </w:rPr>
        <w:t>。如因建设单位的原因致使本合同无法履行，或因建设单位原因造成工程停建或缓建的，此情况下，甲方享有合同单方解除权。甲方向乙方发出的解除通知到达乙方时，合同解除。合同未开始履行的，双方互不承担责任，已经履行的，按实结算。</w:t>
      </w:r>
    </w:p>
    <w:p w14:paraId="497A66E0">
      <w:pPr>
        <w:numPr>
          <w:ilvl w:val="1"/>
          <w:numId w:val="6"/>
        </w:num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协商解除：甲方和乙方协商一致，可以解除分包合同。合同解除后，乙方应妥善做好已完劳务作业和剩余材料、设备的保护和移交工作，按甲方要求撤出劳务作业场地。有过错的一方应当赔偿因合同解除给对方造成的损失。合同解除后，不影响双方在合同中约定的结算和清理条款的效力。</w:t>
      </w:r>
    </w:p>
    <w:p w14:paraId="5D37341C">
      <w:pPr>
        <w:pStyle w:val="11"/>
        <w:kinsoku w:val="0"/>
        <w:rPr>
          <w:color w:val="000000" w:themeColor="text1"/>
          <w:highlight w:val="none"/>
          <w14:textFill>
            <w14:solidFill>
              <w14:schemeClr w14:val="tx1"/>
            </w14:solidFill>
          </w14:textFill>
        </w:rPr>
      </w:pPr>
    </w:p>
    <w:p w14:paraId="7623F64E">
      <w:pPr>
        <w:kinsoku w:val="0"/>
        <w:spacing w:after="0" w:line="360" w:lineRule="auto"/>
        <w:jc w:val="both"/>
        <w:rPr>
          <w:rFonts w:hint="eastAsia" w:ascii="宋体" w:hAnsi="宋体" w:eastAsia="宋体" w:cs="宋体"/>
          <w:color w:val="000000" w:themeColor="text1"/>
          <w:sz w:val="21"/>
          <w:szCs w:val="21"/>
          <w:highlight w:val="none"/>
          <w:lang w:eastAsia="zh-CN"/>
          <w14:textFill>
            <w14:solidFill>
              <w14:schemeClr w14:val="tx1"/>
            </w14:solidFill>
          </w14:textFill>
        </w:rPr>
        <w:sectPr>
          <w:pgSz w:w="11906" w:h="16838"/>
          <w:pgMar w:top="1134" w:right="1134" w:bottom="1134" w:left="1134" w:header="851" w:footer="567" w:gutter="0"/>
          <w:cols w:space="720" w:num="1"/>
          <w:docGrid w:type="lines" w:linePitch="312" w:charSpace="0"/>
        </w:sectPr>
      </w:pPr>
    </w:p>
    <w:p w14:paraId="2D8B6D77">
      <w:pPr>
        <w:kinsoku w:val="0"/>
        <w:spacing w:line="360" w:lineRule="auto"/>
        <w:ind w:left="158" w:leftChars="75"/>
        <w:jc w:val="center"/>
        <w:outlineLvl w:val="0"/>
        <w:rPr>
          <w:rFonts w:hint="eastAsia" w:ascii="宋体" w:hAnsi="宋体"/>
          <w:b/>
          <w:color w:val="000000" w:themeColor="text1"/>
          <w:sz w:val="32"/>
          <w:szCs w:val="32"/>
          <w:highlight w:val="none"/>
          <w:lang w:eastAsia="zh-CN"/>
          <w14:textFill>
            <w14:solidFill>
              <w14:schemeClr w14:val="tx1"/>
            </w14:solidFill>
          </w14:textFill>
        </w:rPr>
      </w:pPr>
      <w:bookmarkStart w:id="1148" w:name="_Toc15486"/>
      <w:bookmarkStart w:id="1149" w:name="_Toc20138"/>
      <w:bookmarkStart w:id="1150" w:name="_Toc11775"/>
      <w:bookmarkStart w:id="1151" w:name="_Toc17545"/>
      <w:bookmarkStart w:id="1152" w:name="_Toc101963508"/>
      <w:bookmarkStart w:id="1153" w:name="_Toc18104"/>
      <w:bookmarkStart w:id="1154" w:name="_Toc25841"/>
      <w:bookmarkStart w:id="1155" w:name="_Toc5528"/>
      <w:bookmarkStart w:id="1156" w:name="_Toc32179"/>
      <w:bookmarkStart w:id="1157" w:name="_Toc5434"/>
      <w:bookmarkStart w:id="1158" w:name="_Toc13270"/>
      <w:bookmarkStart w:id="1159" w:name="_Toc175764444"/>
      <w:bookmarkStart w:id="1160" w:name="_Toc19925"/>
      <w:bookmarkStart w:id="1161" w:name="_Toc27110"/>
      <w:bookmarkStart w:id="1162" w:name="_Toc17855"/>
      <w:bookmarkStart w:id="1163" w:name="_Toc3113"/>
      <w:bookmarkStart w:id="1164" w:name="_Toc5490"/>
      <w:bookmarkStart w:id="1165" w:name="_Toc29769"/>
      <w:bookmarkStart w:id="1166" w:name="_Toc4053"/>
      <w:bookmarkStart w:id="1167" w:name="_Toc13080"/>
      <w:bookmarkStart w:id="1168" w:name="_Toc101357454"/>
      <w:r>
        <w:rPr>
          <w:rFonts w:hint="eastAsia" w:ascii="宋体" w:hAnsi="宋体"/>
          <w:b/>
          <w:color w:val="000000" w:themeColor="text1"/>
          <w:sz w:val="32"/>
          <w:szCs w:val="32"/>
          <w:highlight w:val="none"/>
          <w:lang w:eastAsia="zh-CN"/>
          <w14:textFill>
            <w14:solidFill>
              <w14:schemeClr w14:val="tx1"/>
            </w14:solidFill>
          </w14:textFill>
        </w:rPr>
        <w:t>第三部分 专用合同条款</w:t>
      </w:r>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p>
    <w:p w14:paraId="13E06B6D">
      <w:pPr>
        <w:widowControl w:val="0"/>
        <w:numPr>
          <w:ilvl w:val="0"/>
          <w:numId w:val="10"/>
        </w:numPr>
        <w:kinsoku w:val="0"/>
        <w:spacing w:after="0" w:line="360" w:lineRule="auto"/>
        <w:ind w:left="158" w:leftChars="75"/>
        <w:jc w:val="both"/>
        <w:outlineLvl w:val="1"/>
        <w:rPr>
          <w:rFonts w:hint="eastAsia" w:ascii="宋体" w:hAnsi="宋体" w:eastAsia="宋体" w:cs="宋体"/>
          <w:b/>
          <w:color w:val="000000" w:themeColor="text1"/>
          <w:sz w:val="21"/>
          <w:szCs w:val="21"/>
          <w:highlight w:val="none"/>
          <w:lang w:eastAsia="zh-CN"/>
          <w14:textFill>
            <w14:solidFill>
              <w14:schemeClr w14:val="tx1"/>
            </w14:solidFill>
          </w14:textFill>
        </w:rPr>
      </w:pPr>
      <w:bookmarkStart w:id="1169" w:name="A3"/>
      <w:bookmarkEnd w:id="1169"/>
      <w:bookmarkStart w:id="1170" w:name="_Toc10805"/>
      <w:bookmarkStart w:id="1171" w:name="_Toc101357455"/>
      <w:bookmarkStart w:id="1172" w:name="_Toc14288"/>
      <w:bookmarkStart w:id="1173" w:name="_Toc16663"/>
      <w:bookmarkStart w:id="1174" w:name="_Toc7247"/>
      <w:bookmarkStart w:id="1175" w:name="_Toc24232"/>
      <w:bookmarkStart w:id="1176" w:name="_Toc14356"/>
      <w:bookmarkStart w:id="1177" w:name="_Toc4138"/>
      <w:bookmarkStart w:id="1178" w:name="_Toc20370"/>
      <w:bookmarkStart w:id="1179" w:name="_Toc22656"/>
      <w:bookmarkStart w:id="1180" w:name="_Toc5201"/>
      <w:bookmarkStart w:id="1181" w:name="_Toc16664"/>
      <w:bookmarkStart w:id="1182" w:name="_Toc24755"/>
      <w:bookmarkStart w:id="1183" w:name="_Toc101963509"/>
      <w:bookmarkStart w:id="1184" w:name="_Toc31761"/>
      <w:bookmarkStart w:id="1185" w:name="_Toc175764445"/>
      <w:bookmarkStart w:id="1186" w:name="_Toc12407"/>
      <w:bookmarkStart w:id="1187" w:name="_Toc6416"/>
      <w:bookmarkStart w:id="1188" w:name="_Toc31398"/>
      <w:bookmarkStart w:id="1189" w:name="_Toc1640"/>
      <w:bookmarkStart w:id="1190" w:name="_Toc16194"/>
      <w:r>
        <w:rPr>
          <w:rFonts w:hint="eastAsia" w:ascii="宋体" w:hAnsi="宋体" w:eastAsia="宋体" w:cs="宋体"/>
          <w:b/>
          <w:color w:val="000000" w:themeColor="text1"/>
          <w:sz w:val="21"/>
          <w:szCs w:val="21"/>
          <w:highlight w:val="none"/>
          <w:lang w:eastAsia="zh-CN"/>
          <w14:textFill>
            <w14:solidFill>
              <w14:schemeClr w14:val="tx1"/>
            </w14:solidFill>
          </w14:textFill>
        </w:rPr>
        <w:t>词语解释</w:t>
      </w:r>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p>
    <w:p w14:paraId="5887FF57">
      <w:pPr>
        <w:kinsoku w:val="0"/>
        <w:spacing w:after="0" w:line="360" w:lineRule="auto"/>
        <w:ind w:firstLine="420" w:firstLineChars="200"/>
        <w:jc w:val="both"/>
        <w:rPr>
          <w:rFonts w:hint="eastAsia" w:ascii="宋体" w:hAnsi="宋体" w:eastAsia="宋体" w:cs="宋体"/>
          <w:b/>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见通用合同条款。</w:t>
      </w:r>
    </w:p>
    <w:p w14:paraId="690F7258">
      <w:pPr>
        <w:widowControl w:val="0"/>
        <w:numPr>
          <w:ilvl w:val="0"/>
          <w:numId w:val="10"/>
        </w:numPr>
        <w:kinsoku w:val="0"/>
        <w:spacing w:after="0" w:line="360" w:lineRule="auto"/>
        <w:ind w:left="158" w:leftChars="75"/>
        <w:jc w:val="both"/>
        <w:outlineLvl w:val="1"/>
        <w:rPr>
          <w:rFonts w:hint="eastAsia" w:ascii="宋体" w:hAnsi="宋体" w:eastAsia="宋体" w:cs="宋体"/>
          <w:b/>
          <w:color w:val="000000" w:themeColor="text1"/>
          <w:sz w:val="21"/>
          <w:szCs w:val="21"/>
          <w:highlight w:val="none"/>
          <w:lang w:eastAsia="zh-CN"/>
          <w14:textFill>
            <w14:solidFill>
              <w14:schemeClr w14:val="tx1"/>
            </w14:solidFill>
          </w14:textFill>
        </w:rPr>
      </w:pPr>
      <w:bookmarkStart w:id="1191" w:name="_Toc22681"/>
      <w:bookmarkStart w:id="1192" w:name="_Toc4045"/>
      <w:bookmarkStart w:id="1193" w:name="_Toc30330"/>
      <w:bookmarkStart w:id="1194" w:name="_Toc13233"/>
      <w:bookmarkStart w:id="1195" w:name="_Toc29334"/>
      <w:bookmarkStart w:id="1196" w:name="_Toc24088"/>
      <w:bookmarkStart w:id="1197" w:name="_Toc30074"/>
      <w:bookmarkStart w:id="1198" w:name="_Toc18210"/>
      <w:bookmarkStart w:id="1199" w:name="_Toc27250"/>
      <w:bookmarkStart w:id="1200" w:name="_Toc101357456"/>
      <w:bookmarkStart w:id="1201" w:name="_Toc21218"/>
      <w:bookmarkStart w:id="1202" w:name="_Toc7851"/>
      <w:bookmarkStart w:id="1203" w:name="_Toc5390"/>
      <w:bookmarkStart w:id="1204" w:name="_Toc22270"/>
      <w:bookmarkStart w:id="1205" w:name="_Toc14912"/>
      <w:bookmarkStart w:id="1206" w:name="_Toc18963"/>
      <w:bookmarkStart w:id="1207" w:name="_Toc101963510"/>
      <w:bookmarkStart w:id="1208" w:name="_Toc30537"/>
      <w:bookmarkStart w:id="1209" w:name="_Toc28016"/>
      <w:bookmarkStart w:id="1210" w:name="_Toc175764446"/>
      <w:bookmarkStart w:id="1211" w:name="_Toc21059"/>
      <w:r>
        <w:rPr>
          <w:rFonts w:hint="eastAsia" w:ascii="宋体" w:hAnsi="宋体" w:eastAsia="宋体" w:cs="宋体"/>
          <w:b/>
          <w:color w:val="000000" w:themeColor="text1"/>
          <w:sz w:val="21"/>
          <w:szCs w:val="21"/>
          <w:highlight w:val="none"/>
          <w:lang w:eastAsia="zh-CN"/>
          <w14:textFill>
            <w14:solidFill>
              <w14:schemeClr w14:val="tx1"/>
            </w14:solidFill>
          </w14:textFill>
        </w:rPr>
        <w:t>适用法律法规</w:t>
      </w:r>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p>
    <w:p w14:paraId="2C987673">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见通用合同条款。</w:t>
      </w:r>
    </w:p>
    <w:p w14:paraId="1C37B9A8">
      <w:pPr>
        <w:widowControl w:val="0"/>
        <w:numPr>
          <w:ilvl w:val="0"/>
          <w:numId w:val="10"/>
        </w:numPr>
        <w:kinsoku w:val="0"/>
        <w:spacing w:after="0" w:line="360" w:lineRule="auto"/>
        <w:ind w:left="158" w:leftChars="75"/>
        <w:jc w:val="both"/>
        <w:outlineLvl w:val="1"/>
        <w:rPr>
          <w:rFonts w:hint="eastAsia" w:ascii="宋体" w:hAnsi="宋体" w:eastAsia="宋体" w:cs="宋体"/>
          <w:b/>
          <w:color w:val="000000" w:themeColor="text1"/>
          <w:sz w:val="21"/>
          <w:szCs w:val="21"/>
          <w:highlight w:val="none"/>
          <w:lang w:eastAsia="zh-CN"/>
          <w14:textFill>
            <w14:solidFill>
              <w14:schemeClr w14:val="tx1"/>
            </w14:solidFill>
          </w14:textFill>
        </w:rPr>
      </w:pPr>
      <w:bookmarkStart w:id="1212" w:name="_Toc101357457"/>
      <w:bookmarkStart w:id="1213" w:name="_Toc101963511"/>
      <w:bookmarkStart w:id="1214" w:name="_Toc175764447"/>
      <w:bookmarkStart w:id="1215" w:name="_Toc22040"/>
      <w:bookmarkStart w:id="1216" w:name="_Toc28737"/>
      <w:bookmarkStart w:id="1217" w:name="_Toc24425"/>
      <w:bookmarkStart w:id="1218" w:name="_Toc30676"/>
      <w:bookmarkStart w:id="1219" w:name="_Toc13013"/>
      <w:bookmarkStart w:id="1220" w:name="_Toc7367"/>
      <w:bookmarkStart w:id="1221" w:name="_Toc18335"/>
      <w:bookmarkStart w:id="1222" w:name="_Toc28440"/>
      <w:bookmarkStart w:id="1223" w:name="_Toc30885"/>
      <w:bookmarkStart w:id="1224" w:name="_Toc20084"/>
      <w:bookmarkStart w:id="1225" w:name="_Toc4409"/>
      <w:bookmarkStart w:id="1226" w:name="_Toc2946"/>
      <w:bookmarkStart w:id="1227" w:name="_Toc25376"/>
      <w:bookmarkStart w:id="1228" w:name="_Toc4654"/>
      <w:bookmarkStart w:id="1229" w:name="_Toc19069"/>
      <w:bookmarkStart w:id="1230" w:name="_Toc32731"/>
      <w:bookmarkStart w:id="1231" w:name="_Toc8353"/>
      <w:bookmarkStart w:id="1232" w:name="_Toc16344"/>
      <w:r>
        <w:rPr>
          <w:rFonts w:hint="eastAsia" w:ascii="宋体" w:hAnsi="宋体" w:eastAsia="宋体" w:cs="宋体"/>
          <w:b/>
          <w:color w:val="000000" w:themeColor="text1"/>
          <w:sz w:val="21"/>
          <w:szCs w:val="21"/>
          <w:highlight w:val="none"/>
          <w:lang w:eastAsia="zh-CN"/>
          <w14:textFill>
            <w14:solidFill>
              <w14:schemeClr w14:val="tx1"/>
            </w14:solidFill>
          </w14:textFill>
        </w:rPr>
        <w:t>标准和规范</w:t>
      </w:r>
      <w:bookmarkEnd w:id="1212"/>
      <w:bookmarkEnd w:id="1213"/>
      <w:bookmarkEnd w:id="1214"/>
    </w:p>
    <w:p w14:paraId="09408D21">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见通用合同条款。</w:t>
      </w:r>
    </w:p>
    <w:p w14:paraId="0D7FB483">
      <w:pPr>
        <w:widowControl w:val="0"/>
        <w:numPr>
          <w:ilvl w:val="0"/>
          <w:numId w:val="10"/>
        </w:numPr>
        <w:kinsoku w:val="0"/>
        <w:spacing w:after="0" w:line="360" w:lineRule="auto"/>
        <w:ind w:left="158" w:leftChars="75"/>
        <w:jc w:val="both"/>
        <w:outlineLvl w:val="1"/>
        <w:rPr>
          <w:rFonts w:hint="eastAsia" w:ascii="宋体" w:hAnsi="宋体" w:eastAsia="宋体" w:cs="宋体"/>
          <w:b/>
          <w:color w:val="000000" w:themeColor="text1"/>
          <w:sz w:val="21"/>
          <w:szCs w:val="21"/>
          <w:highlight w:val="none"/>
          <w:lang w:eastAsia="zh-CN"/>
          <w14:textFill>
            <w14:solidFill>
              <w14:schemeClr w14:val="tx1"/>
            </w14:solidFill>
          </w14:textFill>
        </w:rPr>
      </w:pPr>
      <w:bookmarkStart w:id="1233" w:name="_Toc101357458"/>
      <w:bookmarkStart w:id="1234" w:name="_Toc101963512"/>
      <w:bookmarkStart w:id="1235" w:name="_Toc175764448"/>
      <w:r>
        <w:rPr>
          <w:rFonts w:hint="eastAsia" w:ascii="宋体" w:hAnsi="宋体" w:eastAsia="宋体" w:cs="宋体"/>
          <w:b/>
          <w:color w:val="000000" w:themeColor="text1"/>
          <w:sz w:val="21"/>
          <w:szCs w:val="21"/>
          <w:highlight w:val="none"/>
          <w:lang w:eastAsia="zh-CN"/>
          <w14:textFill>
            <w14:solidFill>
              <w14:schemeClr w14:val="tx1"/>
            </w14:solidFill>
          </w14:textFill>
        </w:rPr>
        <w:t>合同文件组成及解释顺序</w:t>
      </w:r>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p>
    <w:p w14:paraId="1D89E0A4">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见通用合同条款。</w:t>
      </w:r>
    </w:p>
    <w:p w14:paraId="6F4BC398">
      <w:pPr>
        <w:widowControl w:val="0"/>
        <w:numPr>
          <w:ilvl w:val="0"/>
          <w:numId w:val="10"/>
        </w:numPr>
        <w:kinsoku w:val="0"/>
        <w:spacing w:after="0" w:line="360" w:lineRule="auto"/>
        <w:ind w:left="158" w:leftChars="75"/>
        <w:jc w:val="both"/>
        <w:outlineLvl w:val="1"/>
        <w:rPr>
          <w:rFonts w:hint="eastAsia" w:ascii="宋体" w:hAnsi="宋体" w:eastAsia="宋体" w:cs="宋体"/>
          <w:b/>
          <w:color w:val="000000" w:themeColor="text1"/>
          <w:sz w:val="21"/>
          <w:szCs w:val="21"/>
          <w:highlight w:val="none"/>
          <w:lang w:eastAsia="zh-CN"/>
          <w14:textFill>
            <w14:solidFill>
              <w14:schemeClr w14:val="tx1"/>
            </w14:solidFill>
          </w14:textFill>
        </w:rPr>
      </w:pPr>
      <w:bookmarkStart w:id="1236" w:name="_Toc29551"/>
      <w:bookmarkStart w:id="1237" w:name="_Toc27367"/>
      <w:bookmarkStart w:id="1238" w:name="_Toc26951"/>
      <w:bookmarkStart w:id="1239" w:name="_Toc19399"/>
      <w:bookmarkStart w:id="1240" w:name="_Toc101963513"/>
      <w:bookmarkStart w:id="1241" w:name="_Toc30159"/>
      <w:bookmarkStart w:id="1242" w:name="_Toc12286"/>
      <w:bookmarkStart w:id="1243" w:name="_Toc12596"/>
      <w:bookmarkStart w:id="1244" w:name="_Toc14134"/>
      <w:bookmarkStart w:id="1245" w:name="_Toc13464"/>
      <w:bookmarkStart w:id="1246" w:name="_Toc2127"/>
      <w:bookmarkStart w:id="1247" w:name="_Toc675"/>
      <w:bookmarkStart w:id="1248" w:name="_Toc12550"/>
      <w:bookmarkStart w:id="1249" w:name="_Toc6303"/>
      <w:bookmarkStart w:id="1250" w:name="_Toc175764449"/>
      <w:bookmarkStart w:id="1251" w:name="_Toc9407"/>
      <w:bookmarkStart w:id="1252" w:name="_Toc4639"/>
      <w:bookmarkStart w:id="1253" w:name="_Toc29034"/>
      <w:bookmarkStart w:id="1254" w:name="_Toc6089"/>
      <w:bookmarkStart w:id="1255" w:name="_Toc4207"/>
      <w:bookmarkStart w:id="1256" w:name="_Toc101357459"/>
      <w:r>
        <w:rPr>
          <w:rFonts w:hint="eastAsia" w:ascii="宋体" w:hAnsi="宋体" w:eastAsia="宋体" w:cs="宋体"/>
          <w:b/>
          <w:color w:val="000000" w:themeColor="text1"/>
          <w:sz w:val="21"/>
          <w:szCs w:val="21"/>
          <w:highlight w:val="none"/>
          <w:lang w:eastAsia="zh-CN"/>
          <w14:textFill>
            <w14:solidFill>
              <w14:schemeClr w14:val="tx1"/>
            </w14:solidFill>
          </w14:textFill>
        </w:rPr>
        <w:t>甲方工作</w:t>
      </w:r>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p>
    <w:p w14:paraId="45AA4CB5">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5.1负责将电源配送至</w:t>
      </w:r>
      <w:r>
        <w:rPr>
          <w:rFonts w:hint="eastAsia" w:ascii="宋体" w:hAnsi="宋体" w:eastAsia="宋体" w:cs="宋体"/>
          <w:color w:val="000000" w:themeColor="text1"/>
          <w:sz w:val="21"/>
          <w:szCs w:val="21"/>
          <w:highlight w:val="none"/>
          <w:lang w:eastAsia="zh-CN"/>
          <w14:textFill>
            <w14:solidFill>
              <w14:schemeClr w14:val="tx1"/>
            </w14:solidFill>
          </w14:textFill>
        </w:rPr>
        <w:t>【一】级</w:t>
      </w:r>
      <w:r>
        <w:rPr>
          <w:rFonts w:hint="eastAsia" w:ascii="宋体" w:hAnsi="宋体" w:eastAsia="宋体" w:cs="宋体"/>
          <w:color w:val="000000" w:themeColor="text1"/>
          <w:sz w:val="21"/>
          <w:szCs w:val="21"/>
          <w:highlight w:val="none"/>
          <w:lang w:eastAsia="zh-CN"/>
          <w14:textFill>
            <w14:solidFill>
              <w14:schemeClr w14:val="tx1"/>
            </w14:solidFill>
          </w14:textFill>
        </w:rPr>
        <w:t>电箱。</w:t>
      </w:r>
    </w:p>
    <w:p w14:paraId="1BFAA5CC">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5.4甲方向乙方提供图纸的期限、数量：本分包合同签订后</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kern w:val="10"/>
          <w:sz w:val="21"/>
          <w:szCs w:val="21"/>
          <w:highlight w:val="none"/>
          <w:u w:val="single"/>
          <w:lang w:val="en-US" w:eastAsia="zh-CN"/>
          <w14:textFill>
            <w14:solidFill>
              <w14:schemeClr w14:val="tx1"/>
            </w14:solidFill>
          </w14:textFill>
        </w:rPr>
        <w:t>30</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天内，甲方向乙方提供</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kern w:val="10"/>
          <w:sz w:val="21"/>
          <w:szCs w:val="21"/>
          <w:highlight w:val="none"/>
          <w:u w:val="single"/>
          <w:lang w:val="en-US" w:eastAsia="zh-CN"/>
          <w14:textFill>
            <w14:solidFill>
              <w14:schemeClr w14:val="tx1"/>
            </w14:solidFill>
          </w14:textFill>
        </w:rPr>
        <w:t>1</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套图纸或电子图纸，乙方要求增加的图纸，由甲方提供，费用由乙方承担；乙方不得从设计单位索取或直接接收图纸。甲方根据现场实际情况对施工图纸进行变更、对工艺工序和施工方案以及进度计划进行调整、对乙方施工条件作出改变等。</w:t>
      </w:r>
    </w:p>
    <w:p w14:paraId="1624D536">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5.19甲方应履行的其他义务：</w:t>
      </w:r>
    </w:p>
    <w:p w14:paraId="6DD77A7B">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（1）提供现场临时办公室</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kern w:val="10"/>
          <w:sz w:val="21"/>
          <w:szCs w:val="21"/>
          <w:highlight w:val="none"/>
          <w:u w:val="single"/>
          <w:lang w:val="en-US" w:eastAsia="zh-CN"/>
          <w14:textFill>
            <w14:solidFill>
              <w14:schemeClr w14:val="tx1"/>
            </w14:solidFill>
          </w14:textFill>
        </w:rPr>
        <w:t>/</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间，办公设备及办公家具由乙方自备；向乙方提供现场人员宿舍</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kern w:val="10"/>
          <w:sz w:val="21"/>
          <w:szCs w:val="21"/>
          <w:highlight w:val="none"/>
          <w:u w:val="single"/>
          <w:lang w:val="en-US" w:eastAsia="zh-CN"/>
          <w14:textFill>
            <w14:solidFill>
              <w14:schemeClr w14:val="tx1"/>
            </w14:solidFill>
          </w14:textFill>
        </w:rPr>
        <w:t>/</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间，床铺、取暖及空调通风等其他住宿用品由乙方自备。乙方按照每月</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kern w:val="10"/>
          <w:sz w:val="21"/>
          <w:szCs w:val="21"/>
          <w:highlight w:val="none"/>
          <w:u w:val="single"/>
          <w:lang w:val="en-US" w:eastAsia="zh-CN"/>
          <w14:textFill>
            <w14:solidFill>
              <w14:schemeClr w14:val="tx1"/>
            </w14:solidFill>
          </w14:textFill>
        </w:rPr>
        <w:t>/</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元/间向甲方缴纳临时用房租赁费用（不含水电费）。</w:t>
      </w:r>
    </w:p>
    <w:p w14:paraId="613F0EA2">
      <w:pPr>
        <w:kinsoku w:val="0"/>
        <w:spacing w:after="0" w:line="360" w:lineRule="auto"/>
        <w:ind w:firstLine="420" w:firstLineChars="200"/>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（2）水电费：施工和生活用水电费均由乙方承担。其中，施工用水电费按照</w:t>
      </w:r>
      <w:r>
        <w:rPr>
          <w:rFonts w:hint="eastAsia" w:ascii="宋体" w:hAnsi="宋体" w:eastAsia="宋体" w:cs="宋体"/>
          <w:color w:val="000000" w:themeColor="text1"/>
          <w:kern w:val="10"/>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单独挂表独立计量，其中水费</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kern w:val="10"/>
          <w:sz w:val="21"/>
          <w:szCs w:val="21"/>
          <w:highlight w:val="none"/>
          <w:u w:val="single"/>
          <w:lang w:val="en-US" w:eastAsia="zh-CN"/>
          <w14:textFill>
            <w14:solidFill>
              <w14:schemeClr w14:val="tx1"/>
            </w14:solidFill>
          </w14:textFill>
        </w:rPr>
        <w:t>9</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元/吨，电费</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kern w:val="10"/>
          <w:sz w:val="21"/>
          <w:szCs w:val="21"/>
          <w:highlight w:val="none"/>
          <w:u w:val="single"/>
          <w:lang w:val="en-US" w:eastAsia="zh-CN"/>
          <w14:textFill>
            <w14:solidFill>
              <w14:schemeClr w14:val="tx1"/>
            </w14:solidFill>
          </w14:textFill>
        </w:rPr>
        <w:t>3</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元/度。</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生活用水电费按</w:t>
      </w:r>
      <w:r>
        <w:rPr>
          <w:rFonts w:hint="eastAsia" w:ascii="宋体" w:hAnsi="宋体" w:eastAsia="宋体" w:cs="宋体"/>
          <w:color w:val="000000" w:themeColor="text1"/>
          <w:sz w:val="21"/>
          <w:szCs w:val="21"/>
          <w:highlight w:val="none"/>
          <w:lang w:eastAsia="zh-CN"/>
          <w14:textFill>
            <w14:solidFill>
              <w14:schemeClr w14:val="tx1"/>
            </w14:solidFill>
          </w14:textFill>
        </w:rPr>
        <w:t>单独挂表独立计量，其中水费</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kern w:val="10"/>
          <w:sz w:val="21"/>
          <w:szCs w:val="21"/>
          <w:highlight w:val="none"/>
          <w:u w:val="single"/>
          <w:lang w:val="en-US" w:eastAsia="zh-CN"/>
          <w14:textFill>
            <w14:solidFill>
              <w14:schemeClr w14:val="tx1"/>
            </w14:solidFill>
          </w14:textFill>
        </w:rPr>
        <w:t>5</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元/吨，电费</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kern w:val="10"/>
          <w:sz w:val="21"/>
          <w:szCs w:val="21"/>
          <w:highlight w:val="none"/>
          <w:u w:val="single"/>
          <w:lang w:val="en-US" w:eastAsia="zh-CN"/>
          <w14:textFill>
            <w14:solidFill>
              <w14:schemeClr w14:val="tx1"/>
            </w14:solidFill>
          </w14:textFill>
        </w:rPr>
        <w:t>1.5</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元/度）</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。乙方用水用电必须严格按甲方规定使用，杜绝浪费，否则经甲方查证将双倍扣除。若工人宿舍为外租房，水电设施由乙方自行解决，乙方按时交纳水电费并承担因房屋租赁引起的一切责任。</w:t>
      </w:r>
    </w:p>
    <w:p w14:paraId="3676958D">
      <w:pPr>
        <w:kinsoku w:val="0"/>
        <w:spacing w:after="0" w:line="360" w:lineRule="auto"/>
        <w:ind w:firstLine="420" w:firstLineChars="200"/>
        <w:jc w:val="both"/>
        <w:rPr>
          <w:rFonts w:hint="eastAsia" w:ascii="宋体" w:hAnsi="宋体" w:eastAsia="宋体" w:cs="宋体"/>
          <w:color w:val="000000" w:themeColor="text1"/>
          <w:kern w:val="10"/>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10"/>
          <w:sz w:val="21"/>
          <w:szCs w:val="21"/>
          <w:highlight w:val="none"/>
          <w:lang w:val="en-US" w:eastAsia="zh-CN"/>
          <w14:textFill>
            <w14:solidFill>
              <w14:schemeClr w14:val="tx1"/>
            </w14:solidFill>
          </w14:textFill>
        </w:rPr>
        <w:t>5.20总包方负责提供电源配送，电接至工地现场一级箱，在此之后所有实施本工程所需的临电设施（如电缆、电线、配电箱、开关、镝灯）均由分包方负责提供，电费按实际发生数量由分包方承担费用，结算时扣除，该费用分包方应在清单报价中充分考虑。</w:t>
      </w:r>
    </w:p>
    <w:p w14:paraId="549A1522">
      <w:pPr>
        <w:kinsoku w:val="0"/>
        <w:spacing w:after="0" w:line="360" w:lineRule="auto"/>
        <w:ind w:firstLine="420" w:firstLineChars="200"/>
        <w:jc w:val="both"/>
        <w:rPr>
          <w:rFonts w:hint="eastAsia" w:ascii="宋体" w:hAnsi="宋体" w:eastAsia="宋体" w:cs="宋体"/>
          <w:color w:val="000000" w:themeColor="text1"/>
          <w:kern w:val="10"/>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10"/>
          <w:sz w:val="21"/>
          <w:szCs w:val="21"/>
          <w:highlight w:val="none"/>
          <w:lang w:val="en-US" w:eastAsia="zh-CN"/>
          <w14:textFill>
            <w14:solidFill>
              <w14:schemeClr w14:val="tx1"/>
            </w14:solidFill>
          </w14:textFill>
        </w:rPr>
        <w:t>5.21总包方负责审核分包方实际完成的工程量，并按合同规定向分包方支付工程进度款。对分包方工程款的使用负有监督权。总包方有对已经审核过的计量、结算及支付帐单中的任何错误进行修改的权利。</w:t>
      </w:r>
    </w:p>
    <w:p w14:paraId="0B55F62B">
      <w:pPr>
        <w:kinsoku w:val="0"/>
        <w:spacing w:after="0" w:line="360" w:lineRule="auto"/>
        <w:ind w:firstLine="420" w:firstLineChars="200"/>
        <w:jc w:val="both"/>
        <w:rPr>
          <w:rFonts w:hint="eastAsia"/>
          <w:color w:val="000000" w:themeColor="text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val="en-US" w:eastAsia="zh-CN"/>
          <w14:textFill>
            <w14:solidFill>
              <w14:schemeClr w14:val="tx1"/>
            </w14:solidFill>
          </w14:textFill>
        </w:rPr>
        <w:t>5.22</w:t>
      </w:r>
      <w:r>
        <w:rPr>
          <w:rFonts w:hint="default" w:ascii="宋体" w:hAnsi="宋体" w:eastAsia="宋体" w:cs="宋体"/>
          <w:color w:val="000000" w:themeColor="text1"/>
          <w:kern w:val="10"/>
          <w:sz w:val="21"/>
          <w:szCs w:val="21"/>
          <w:highlight w:val="none"/>
          <w:lang w:val="en-US" w:eastAsia="zh-CN"/>
          <w14:textFill>
            <w14:solidFill>
              <w14:schemeClr w14:val="tx1"/>
            </w14:solidFill>
          </w14:textFill>
        </w:rPr>
        <w:t>总包方对分包方执行考勤制度和请销假制度，分包方项目负责人、现场负责人和技术负责人每月在施工现场时间不少于22天，一天不在现场按1000元/日处罚；工地每周协调会必须参加，若发现一次未参加，支付违约金5000元，发现两次未参加支付违约金20000元，且当期进度款不予支付。若发生以上扣款分包方履约保证金不足，则在月度结算款中扣除。</w:t>
      </w:r>
    </w:p>
    <w:p w14:paraId="3D47D7F2">
      <w:pPr>
        <w:widowControl w:val="0"/>
        <w:numPr>
          <w:ilvl w:val="0"/>
          <w:numId w:val="10"/>
        </w:numPr>
        <w:kinsoku w:val="0"/>
        <w:spacing w:after="0" w:line="360" w:lineRule="auto"/>
        <w:ind w:left="158" w:leftChars="75"/>
        <w:jc w:val="both"/>
        <w:outlineLvl w:val="1"/>
        <w:rPr>
          <w:rFonts w:hint="eastAsia" w:ascii="宋体" w:hAnsi="宋体" w:eastAsia="宋体" w:cs="宋体"/>
          <w:b/>
          <w:color w:val="000000" w:themeColor="text1"/>
          <w:sz w:val="21"/>
          <w:szCs w:val="21"/>
          <w:highlight w:val="none"/>
          <w14:textFill>
            <w14:solidFill>
              <w14:schemeClr w14:val="tx1"/>
            </w14:solidFill>
          </w14:textFill>
        </w:rPr>
      </w:pPr>
      <w:bookmarkStart w:id="1257" w:name="_Toc101366226"/>
      <w:bookmarkEnd w:id="1257"/>
      <w:bookmarkStart w:id="1258" w:name="_Toc101366224"/>
      <w:bookmarkEnd w:id="1258"/>
      <w:bookmarkStart w:id="1259" w:name="_Toc101366221"/>
      <w:bookmarkEnd w:id="1259"/>
      <w:bookmarkStart w:id="1260" w:name="_Toc101366219"/>
      <w:bookmarkEnd w:id="1260"/>
      <w:bookmarkStart w:id="1261" w:name="_Toc101366220"/>
      <w:bookmarkEnd w:id="1261"/>
      <w:bookmarkStart w:id="1262" w:name="_Toc101366222"/>
      <w:bookmarkEnd w:id="1262"/>
      <w:bookmarkStart w:id="1263" w:name="_Toc101366223"/>
      <w:bookmarkEnd w:id="1263"/>
      <w:bookmarkStart w:id="1264" w:name="_Toc101366225"/>
      <w:bookmarkEnd w:id="1264"/>
      <w:bookmarkStart w:id="1265" w:name="_Toc11907"/>
      <w:bookmarkStart w:id="1266" w:name="_Toc4573"/>
      <w:bookmarkStart w:id="1267" w:name="_Toc9845"/>
      <w:bookmarkStart w:id="1268" w:name="_Toc11612"/>
      <w:bookmarkStart w:id="1269" w:name="_Toc20567"/>
      <w:bookmarkStart w:id="1270" w:name="_Toc12823"/>
      <w:bookmarkStart w:id="1271" w:name="_Toc101963514"/>
      <w:bookmarkStart w:id="1272" w:name="_Toc497"/>
      <w:bookmarkStart w:id="1273" w:name="_Toc19642"/>
      <w:bookmarkStart w:id="1274" w:name="_Toc31864"/>
      <w:bookmarkStart w:id="1275" w:name="_Toc22484"/>
      <w:bookmarkStart w:id="1276" w:name="_Toc101357460"/>
      <w:bookmarkStart w:id="1277" w:name="_Toc175764450"/>
      <w:bookmarkStart w:id="1278" w:name="_Toc21663"/>
      <w:bookmarkStart w:id="1279" w:name="_Toc3920"/>
      <w:bookmarkStart w:id="1280" w:name="_Toc118"/>
      <w:bookmarkStart w:id="1281" w:name="_Toc16841"/>
      <w:bookmarkStart w:id="1282" w:name="_Toc27703"/>
      <w:bookmarkStart w:id="1283" w:name="_Toc11989"/>
      <w:bookmarkStart w:id="1284" w:name="_Toc30945"/>
      <w:bookmarkStart w:id="1285" w:name="_Toc15681"/>
      <w:r>
        <w:rPr>
          <w:rFonts w:hint="eastAsia" w:ascii="宋体" w:hAnsi="宋体" w:eastAsia="宋体" w:cs="宋体"/>
          <w:b/>
          <w:color w:val="000000" w:themeColor="text1"/>
          <w:sz w:val="21"/>
          <w:szCs w:val="21"/>
          <w:highlight w:val="none"/>
          <w:lang w:eastAsia="zh-CN"/>
          <w14:textFill>
            <w14:solidFill>
              <w14:schemeClr w14:val="tx1"/>
            </w14:solidFill>
          </w14:textFill>
        </w:rPr>
        <w:t>乙方工作</w:t>
      </w:r>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p>
    <w:p w14:paraId="121609C1">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6.1</w:t>
      </w:r>
      <w:r>
        <w:rPr>
          <w:rFonts w:hint="eastAsia" w:ascii="宋体" w:hAnsi="宋体"/>
          <w:color w:val="000000" w:themeColor="text1"/>
          <w:sz w:val="21"/>
          <w:szCs w:val="21"/>
          <w:highlight w:val="none"/>
          <w:lang w:eastAsia="zh-CN"/>
          <w14:textFill>
            <w14:solidFill>
              <w14:schemeClr w14:val="tx1"/>
            </w14:solidFill>
          </w14:textFill>
        </w:rPr>
        <w:t>为提高乙方诚信能力，建立黑名单制度，乙方明确本项目负责人：</w:t>
      </w:r>
      <w:r>
        <w:rPr>
          <w:rFonts w:hint="eastAsia" w:ascii="宋体" w:hAnsi="宋体"/>
          <w:color w:val="000000" w:themeColor="text1"/>
          <w:sz w:val="21"/>
          <w:szCs w:val="21"/>
          <w:highlight w:val="none"/>
          <w:u w:val="single"/>
          <w:lang w:eastAsia="zh-CN"/>
          <w14:textFill>
            <w14:solidFill>
              <w14:schemeClr w14:val="tx1"/>
            </w14:solidFill>
          </w14:textFill>
        </w:rPr>
        <w:t>（人名），身份证号：XXX XXX XXX XXX，施工队长：（人名），身份证号：XXX XXX XXX XXX，施工班组长：（人名），身份证号：XXX XXX XXX XXX。若施工期间乙方存在施工不力、严重违约、恶意讨薪等问题，乙方连同上述人员不得再参与甲方组织的分包采购工作。</w:t>
      </w:r>
      <w:r>
        <w:rPr>
          <w:rFonts w:hint="eastAsia" w:ascii="宋体" w:hAnsi="宋体" w:eastAsia="宋体" w:cs="宋体"/>
          <w:color w:val="000000" w:themeColor="text1"/>
          <w:sz w:val="21"/>
          <w:szCs w:val="21"/>
          <w:highlight w:val="none"/>
          <w:lang w:eastAsia="zh-CN"/>
          <w14:textFill>
            <w14:solidFill>
              <w14:schemeClr w14:val="tx1"/>
            </w14:solidFill>
          </w14:textFill>
        </w:rPr>
        <w:t>乙方没有得到甲方书面同意更换项目经理或其他主要管理人员的，每发生一次更换项目经理乙方承担人民币</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100000</w:t>
      </w:r>
      <w:r>
        <w:rPr>
          <w:rFonts w:hint="eastAsia" w:ascii="宋体" w:hAnsi="宋体" w:eastAsia="宋体" w:cs="宋体"/>
          <w:color w:val="000000" w:themeColor="text1"/>
          <w:sz w:val="21"/>
          <w:szCs w:val="21"/>
          <w:highlight w:val="none"/>
          <w:lang w:eastAsia="zh-CN"/>
          <w14:textFill>
            <w14:solidFill>
              <w14:schemeClr w14:val="tx1"/>
            </w14:solidFill>
          </w14:textFill>
        </w:rPr>
        <w:t>元整的违约金，每发生一次更换项目其他主要管理人员承担人民币</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20000</w:t>
      </w:r>
      <w:r>
        <w:rPr>
          <w:rFonts w:hint="eastAsia" w:ascii="宋体" w:hAnsi="宋体" w:eastAsia="宋体" w:cs="宋体"/>
          <w:color w:val="000000" w:themeColor="text1"/>
          <w:sz w:val="21"/>
          <w:szCs w:val="21"/>
          <w:highlight w:val="none"/>
          <w:lang w:eastAsia="zh-CN"/>
          <w14:textFill>
            <w14:solidFill>
              <w14:schemeClr w14:val="tx1"/>
            </w14:solidFill>
          </w14:textFill>
        </w:rPr>
        <w:t>元整的违约金，并按照甲方要求限期纠正；甲方要求乙方更换项目经理或其他主要管理人员的，乙方应在</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7 </w:t>
      </w:r>
      <w:r>
        <w:rPr>
          <w:rFonts w:hint="eastAsia" w:ascii="宋体" w:hAnsi="宋体" w:eastAsia="宋体" w:cs="宋体"/>
          <w:color w:val="000000" w:themeColor="text1"/>
          <w:sz w:val="21"/>
          <w:szCs w:val="21"/>
          <w:highlight w:val="none"/>
          <w:lang w:eastAsia="zh-CN"/>
          <w14:textFill>
            <w14:solidFill>
              <w14:schemeClr w14:val="tx1"/>
            </w14:solidFill>
          </w14:textFill>
        </w:rPr>
        <w:t>日内按照甲方要求予以撤换，当乙方无正当理由拒绝更换时，乙方应承担人民币</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100000</w:t>
      </w:r>
      <w:r>
        <w:rPr>
          <w:rFonts w:hint="eastAsia" w:ascii="宋体" w:hAnsi="宋体" w:eastAsia="宋体" w:cs="宋体"/>
          <w:color w:val="000000" w:themeColor="text1"/>
          <w:sz w:val="21"/>
          <w:szCs w:val="21"/>
          <w:highlight w:val="none"/>
          <w:lang w:eastAsia="zh-CN"/>
          <w14:textFill>
            <w14:solidFill>
              <w14:schemeClr w14:val="tx1"/>
            </w14:solidFill>
          </w14:textFill>
        </w:rPr>
        <w:t>元整的违约金。当乙方项目经理临时离开现场时应指定合适的替代人员，离开现场</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3 </w:t>
      </w:r>
      <w:r>
        <w:rPr>
          <w:rFonts w:hint="eastAsia" w:ascii="宋体" w:hAnsi="宋体" w:eastAsia="宋体" w:cs="宋体"/>
          <w:color w:val="000000" w:themeColor="text1"/>
          <w:sz w:val="21"/>
          <w:szCs w:val="21"/>
          <w:highlight w:val="none"/>
          <w:lang w:eastAsia="zh-CN"/>
          <w14:textFill>
            <w14:solidFill>
              <w14:schemeClr w14:val="tx1"/>
            </w14:solidFill>
          </w14:textFill>
        </w:rPr>
        <w:t>天及以上时，应书面通知甲方并获得甲方同意，否则每次乙方应承担人民币</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50000</w:t>
      </w:r>
      <w:r>
        <w:rPr>
          <w:rFonts w:hint="eastAsia" w:ascii="宋体" w:hAnsi="宋体" w:eastAsia="宋体" w:cs="宋体"/>
          <w:color w:val="000000" w:themeColor="text1"/>
          <w:sz w:val="21"/>
          <w:szCs w:val="21"/>
          <w:highlight w:val="none"/>
          <w:lang w:eastAsia="zh-CN"/>
          <w14:textFill>
            <w14:solidFill>
              <w14:schemeClr w14:val="tx1"/>
            </w14:solidFill>
          </w14:textFill>
        </w:rPr>
        <w:t>元整的违约金；此类违约超过两次，甲方可要求更换项目经理。</w:t>
      </w:r>
    </w:p>
    <w:p w14:paraId="4926C2CF">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6.2乙方使用电子邮箱处理与甲方的电子函件往来：</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281360988@qq.com</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5CB3E8CF">
      <w:pPr>
        <w:kinsoku w:val="0"/>
        <w:spacing w:after="0" w:line="360" w:lineRule="auto"/>
        <w:ind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6.15本合同适用</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【②】</w:t>
      </w:r>
      <w:r>
        <w:rPr>
          <w:rFonts w:hint="eastAsia" w:ascii="宋体" w:hAnsi="宋体" w:eastAsia="宋体" w:cs="宋体"/>
          <w:color w:val="000000" w:themeColor="text1"/>
          <w:sz w:val="21"/>
          <w:szCs w:val="21"/>
          <w:highlight w:val="none"/>
          <w:lang w:eastAsia="zh-CN"/>
          <w14:textFill>
            <w14:solidFill>
              <w14:schemeClr w14:val="tx1"/>
            </w14:solidFill>
          </w14:textFill>
        </w:rPr>
        <w:t>条约定。</w:t>
      </w:r>
    </w:p>
    <w:p w14:paraId="20DA2648">
      <w:pPr>
        <w:kinsoku w:val="0"/>
        <w:spacing w:after="0" w:line="360" w:lineRule="auto"/>
        <w:ind w:firstLine="420" w:firstLineChars="200"/>
        <w:jc w:val="both"/>
        <w:rPr>
          <w:rFonts w:hint="eastAsia" w:ascii="宋体" w:hAnsi="宋体" w:eastAsia="宋体" w:cs="宋体"/>
          <w:color w:val="000000" w:themeColor="text1"/>
          <w:sz w:val="21"/>
          <w:szCs w:val="21"/>
          <w:highlight w:val="none"/>
          <w:u w:val="singl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6.23本分包工程需要乙方提供的资料和档案形式、提供的份数、期限、标准以及其它相关要求：</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符合甲方相关资料要求</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w:t>
      </w:r>
    </w:p>
    <w:p w14:paraId="7CC277CC">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关于竣工文件的其他约定：</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符合甲方相关资料要求</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2A84D700">
      <w:pPr>
        <w:pStyle w:val="11"/>
        <w:ind w:firstLine="420"/>
        <w:rPr>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6.36本条款</w:t>
      </w:r>
      <w:r>
        <w:rPr>
          <w:rFonts w:hint="eastAsia" w:ascii="宋体" w:hAnsi="宋体" w:eastAsia="宋体" w:cs="宋体"/>
          <w:color w:val="000000" w:themeColor="text1"/>
          <w:sz w:val="21"/>
          <w:szCs w:val="21"/>
          <w:highlight w:val="none"/>
          <w:u w:val="single"/>
          <w14:textFill>
            <w14:solidFill>
              <w14:schemeClr w14:val="tx1"/>
            </w14:solidFill>
          </w14:textFill>
        </w:rPr>
        <w:t>【</w:t>
      </w:r>
      <w:r>
        <w:rPr>
          <w:rFonts w:hint="eastAsia" w:ascii="宋体" w:hAnsi="宋体" w:eastAsia="宋体" w:cs="宋体"/>
          <w:color w:val="000000" w:themeColor="text1"/>
          <w:sz w:val="21"/>
          <w:szCs w:val="21"/>
          <w:highlight w:val="none"/>
          <w:u w:val="single"/>
          <w14:textFill>
            <w14:solidFill>
              <w14:schemeClr w14:val="tx1"/>
            </w14:solidFill>
          </w14:textFill>
        </w:rPr>
        <w:t>不适用】</w:t>
      </w:r>
      <w:r>
        <w:rPr>
          <w:rFonts w:hint="eastAsia" w:ascii="宋体" w:hAnsi="宋体" w:eastAsia="宋体" w:cs="宋体"/>
          <w:color w:val="000000" w:themeColor="text1"/>
          <w:sz w:val="21"/>
          <w:szCs w:val="21"/>
          <w:highlight w:val="none"/>
          <w14:textFill>
            <w14:solidFill>
              <w14:schemeClr w14:val="tx1"/>
            </w14:solidFill>
          </w14:textFill>
        </w:rPr>
        <w:t>。</w:t>
      </w:r>
    </w:p>
    <w:p w14:paraId="56B91097">
      <w:pPr>
        <w:kinsoku w:val="0"/>
        <w:spacing w:after="0" w:line="360" w:lineRule="auto"/>
        <w:ind w:firstLine="420" w:firstLineChars="200"/>
        <w:rPr>
          <w:rFonts w:hint="eastAsia" w:ascii="宋体" w:hAnsi="宋体" w:eastAsia="宋体" w:cs="宋体"/>
          <w:color w:val="000000" w:themeColor="text1"/>
          <w:sz w:val="21"/>
          <w:szCs w:val="21"/>
          <w:highlight w:val="none"/>
          <w:u w:val="singl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6.38 乙方配置</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 </w:t>
      </w:r>
      <w:r>
        <w:rPr>
          <w:rFonts w:hint="eastAsia" w:ascii="宋体" w:hAnsi="宋体" w:eastAsia="宋体" w:cs="宋体"/>
          <w:color w:val="000000" w:themeColor="text1"/>
          <w:sz w:val="21"/>
          <w:szCs w:val="21"/>
          <w:highlight w:val="none"/>
          <w:lang w:eastAsia="zh-CN"/>
          <w14:textFill>
            <w14:solidFill>
              <w14:schemeClr w14:val="tx1"/>
            </w14:solidFill>
          </w14:textFill>
        </w:rPr>
        <w:t>名劳资专员。</w:t>
      </w:r>
    </w:p>
    <w:p w14:paraId="233CE9DD">
      <w:pPr>
        <w:kinsoku w:val="0"/>
        <w:spacing w:after="0" w:line="360" w:lineRule="auto"/>
        <w:ind w:firstLine="420" w:firstLineChars="200"/>
        <w:jc w:val="both"/>
        <w:rPr>
          <w:rFonts w:hint="eastAsia" w:ascii="宋体" w:hAnsi="宋体" w:eastAsia="宋体" w:cs="宋体"/>
          <w:color w:val="000000" w:themeColor="text1"/>
          <w:sz w:val="21"/>
          <w:szCs w:val="21"/>
          <w:highlight w:val="none"/>
          <w:u w:val="singl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（1）姓名：</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   </w:t>
      </w:r>
      <w:r>
        <w:rPr>
          <w:rFonts w:hint="eastAsia" w:ascii="宋体" w:hAnsi="宋体" w:eastAsia="宋体" w:cs="宋体"/>
          <w:color w:val="000000" w:themeColor="text1"/>
          <w:sz w:val="21"/>
          <w:szCs w:val="21"/>
          <w:highlight w:val="none"/>
          <w:lang w:eastAsia="zh-CN"/>
          <w14:textFill>
            <w14:solidFill>
              <w14:schemeClr w14:val="tx1"/>
            </w14:solidFill>
          </w14:textFill>
        </w:rPr>
        <w:t>，身份证号：</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   </w:t>
      </w:r>
      <w:r>
        <w:rPr>
          <w:rFonts w:hint="eastAsia" w:ascii="宋体" w:hAnsi="宋体" w:eastAsia="宋体" w:cs="宋体"/>
          <w:color w:val="000000" w:themeColor="text1"/>
          <w:sz w:val="21"/>
          <w:szCs w:val="21"/>
          <w:highlight w:val="none"/>
          <w:lang w:eastAsia="zh-CN"/>
          <w14:textFill>
            <w14:solidFill>
              <w14:schemeClr w14:val="tx1"/>
            </w14:solidFill>
          </w14:textFill>
        </w:rPr>
        <w:t>，联系电话：</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   </w:t>
      </w:r>
      <w:r>
        <w:rPr>
          <w:rFonts w:hint="eastAsia" w:ascii="宋体" w:hAnsi="宋体" w:eastAsia="宋体" w:cs="宋体"/>
          <w:color w:val="000000" w:themeColor="text1"/>
          <w:sz w:val="21"/>
          <w:szCs w:val="21"/>
          <w:highlight w:val="none"/>
          <w:lang w:eastAsia="zh-CN"/>
          <w14:textFill>
            <w14:solidFill>
              <w14:schemeClr w14:val="tx1"/>
            </w14:solidFill>
          </w14:textFill>
        </w:rPr>
        <w:t>，联系地址：</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154129F2">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（2）姓名：</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   </w:t>
      </w:r>
      <w:r>
        <w:rPr>
          <w:rFonts w:hint="eastAsia" w:ascii="宋体" w:hAnsi="宋体" w:eastAsia="宋体" w:cs="宋体"/>
          <w:color w:val="000000" w:themeColor="text1"/>
          <w:sz w:val="21"/>
          <w:szCs w:val="21"/>
          <w:highlight w:val="none"/>
          <w:lang w:eastAsia="zh-CN"/>
          <w14:textFill>
            <w14:solidFill>
              <w14:schemeClr w14:val="tx1"/>
            </w14:solidFill>
          </w14:textFill>
        </w:rPr>
        <w:t>，身份证号：</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   </w:t>
      </w:r>
      <w:r>
        <w:rPr>
          <w:rFonts w:hint="eastAsia" w:ascii="宋体" w:hAnsi="宋体" w:eastAsia="宋体" w:cs="宋体"/>
          <w:color w:val="000000" w:themeColor="text1"/>
          <w:sz w:val="21"/>
          <w:szCs w:val="21"/>
          <w:highlight w:val="none"/>
          <w:lang w:eastAsia="zh-CN"/>
          <w14:textFill>
            <w14:solidFill>
              <w14:schemeClr w14:val="tx1"/>
            </w14:solidFill>
          </w14:textFill>
        </w:rPr>
        <w:t>，联系电话：</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   </w:t>
      </w:r>
      <w:r>
        <w:rPr>
          <w:rFonts w:hint="eastAsia" w:ascii="宋体" w:hAnsi="宋体" w:eastAsia="宋体" w:cs="宋体"/>
          <w:color w:val="000000" w:themeColor="text1"/>
          <w:sz w:val="21"/>
          <w:szCs w:val="21"/>
          <w:highlight w:val="none"/>
          <w:lang w:eastAsia="zh-CN"/>
          <w14:textFill>
            <w14:solidFill>
              <w14:schemeClr w14:val="tx1"/>
            </w14:solidFill>
          </w14:textFill>
        </w:rPr>
        <w:t>，联系地址：</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6928C750">
      <w:pPr>
        <w:kinsoku w:val="0"/>
        <w:spacing w:after="0" w:line="360" w:lineRule="auto"/>
        <w:ind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6.39若发现乙方未与劳务作业人员签订劳动用工合同或者签订劳动合同不真实，乙方承担</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3    </w:t>
      </w:r>
      <w:r>
        <w:rPr>
          <w:rFonts w:hint="eastAsia" w:ascii="宋体" w:hAnsi="宋体" w:eastAsia="宋体" w:cs="宋体"/>
          <w:color w:val="000000" w:themeColor="text1"/>
          <w:sz w:val="21"/>
          <w:szCs w:val="21"/>
          <w:highlight w:val="none"/>
          <w:lang w:eastAsia="zh-CN"/>
          <w14:textFill>
            <w14:solidFill>
              <w14:schemeClr w14:val="tx1"/>
            </w14:solidFill>
          </w14:textFill>
        </w:rPr>
        <w:t>万元/人次违约金并赔偿给因此给甲方造成的一切损失（包括但不限于诉讼费、律师费、行政处罚等），乙方同意甲方在工程进度款中扣除，甲方有权单方解除合同，乙方需按照签约合同价</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1    </w:t>
      </w:r>
      <w:r>
        <w:rPr>
          <w:rFonts w:hint="eastAsia" w:ascii="宋体" w:hAnsi="宋体" w:eastAsia="宋体" w:cs="宋体"/>
          <w:color w:val="000000" w:themeColor="text1"/>
          <w:sz w:val="21"/>
          <w:szCs w:val="21"/>
          <w:highlight w:val="none"/>
          <w:lang w:eastAsia="zh-CN"/>
          <w14:textFill>
            <w14:solidFill>
              <w14:schemeClr w14:val="tx1"/>
            </w14:solidFill>
          </w14:textFill>
        </w:rPr>
        <w:t>%支付违约金。</w:t>
      </w:r>
    </w:p>
    <w:p w14:paraId="26FA4BE7">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6.49乙方应履行的其他义务：</w:t>
      </w:r>
    </w:p>
    <w:p w14:paraId="2B9F8E54">
      <w:pPr>
        <w:kinsoku w:val="0"/>
        <w:spacing w:after="0" w:line="360" w:lineRule="auto"/>
        <w:ind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lang w:eastAsia="zh-CN"/>
          <w14:textFill>
            <w14:solidFill>
              <w14:schemeClr w14:val="tx1"/>
            </w14:solidFill>
          </w14:textFill>
        </w:rPr>
        <w:t>）乙方须精心组织施工，并配合甲方与周边社会关系的处理与协调，积极创造施工条件；</w:t>
      </w:r>
    </w:p>
    <w:p w14:paraId="4A68675C">
      <w:pPr>
        <w:kinsoku w:val="0"/>
        <w:spacing w:after="0" w:line="360" w:lineRule="auto"/>
        <w:ind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lang w:eastAsia="zh-CN"/>
          <w14:textFill>
            <w14:solidFill>
              <w14:schemeClr w14:val="tx1"/>
            </w14:solidFill>
          </w14:textFill>
        </w:rPr>
        <w:t>）乙方负责现场内钢筋加工场地</w:t>
      </w:r>
      <w:r>
        <w:rPr>
          <w:rFonts w:hint="eastAsia" w:ascii="宋体" w:hAnsi="宋体" w:eastAsia="宋体" w:cs="宋体"/>
          <w:color w:val="000000" w:themeColor="text1"/>
          <w:sz w:val="21"/>
          <w:szCs w:val="21"/>
          <w:highlight w:val="none"/>
          <w:lang w:val="en-US" w:eastAsia="zh-CN"/>
          <w14:textFill>
            <w14:solidFill>
              <w14:schemeClr w14:val="tx1"/>
            </w14:solidFill>
          </w14:textFill>
        </w:rPr>
        <w:t>维护和</w:t>
      </w:r>
      <w:r>
        <w:rPr>
          <w:rFonts w:hint="eastAsia" w:ascii="宋体" w:hAnsi="宋体" w:eastAsia="宋体" w:cs="宋体"/>
          <w:color w:val="000000" w:themeColor="text1"/>
          <w:sz w:val="21"/>
          <w:szCs w:val="21"/>
          <w:highlight w:val="none"/>
          <w:lang w:eastAsia="zh-CN"/>
          <w14:textFill>
            <w14:solidFill>
              <w14:schemeClr w14:val="tx1"/>
            </w14:solidFill>
          </w14:textFill>
        </w:rPr>
        <w:t>清理，并符合文明施工要</w:t>
      </w:r>
      <w:r>
        <w:rPr>
          <w:rFonts w:hint="eastAsia" w:ascii="宋体" w:hAnsi="宋体" w:eastAsia="宋体" w:cs="宋体"/>
          <w:color w:val="000000" w:themeColor="text1"/>
          <w:sz w:val="21"/>
          <w:szCs w:val="21"/>
          <w:highlight w:val="none"/>
          <w:lang w:val="en-US" w:eastAsia="zh-CN"/>
          <w14:textFill>
            <w14:solidFill>
              <w14:schemeClr w14:val="tx1"/>
            </w14:solidFill>
          </w14:textFill>
        </w:rPr>
        <w:t>求</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0195A69C">
      <w:pPr>
        <w:kinsoku w:val="0"/>
        <w:spacing w:after="0" w:line="360" w:lineRule="auto"/>
        <w:ind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lang w:eastAsia="zh-CN"/>
          <w14:textFill>
            <w14:solidFill>
              <w14:schemeClr w14:val="tx1"/>
            </w14:solidFill>
          </w14:textFill>
        </w:rPr>
        <w:t>）乙方负责现场自身施工操作面及自设仓储区、生活区的消防保卫工作；</w:t>
      </w:r>
    </w:p>
    <w:p w14:paraId="3A9F0690">
      <w:pPr>
        <w:kinsoku w:val="0"/>
        <w:spacing w:after="0" w:line="360" w:lineRule="auto"/>
        <w:ind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lang w:eastAsia="zh-CN"/>
          <w14:textFill>
            <w14:solidFill>
              <w14:schemeClr w14:val="tx1"/>
            </w14:solidFill>
          </w14:textFill>
        </w:rPr>
        <w:t>）乙方负责进行一切本工程所须的试验检测工作，进行和完成承包范围内所有甲方、有关政府部门/单位要求的各种试验，包括钢筋实验的取样、制作、运送等；</w:t>
      </w:r>
    </w:p>
    <w:p w14:paraId="49B8D771">
      <w:pPr>
        <w:kinsoku w:val="0"/>
        <w:spacing w:after="0" w:line="360" w:lineRule="auto"/>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lang w:eastAsia="zh-CN"/>
          <w14:textFill>
            <w14:solidFill>
              <w14:schemeClr w14:val="tx1"/>
            </w14:solidFill>
          </w14:textFill>
        </w:rPr>
        <w:t>）乙方必须配备满足要求</w:t>
      </w:r>
      <w:r>
        <w:rPr>
          <w:rFonts w:hint="eastAsia" w:ascii="宋体" w:hAnsi="宋体" w:eastAsia="宋体" w:cs="宋体"/>
          <w:color w:val="000000" w:themeColor="text1"/>
          <w:sz w:val="21"/>
          <w:szCs w:val="21"/>
          <w:highlight w:val="none"/>
          <w:lang w:val="en-US" w:eastAsia="zh-CN"/>
          <w14:textFill>
            <w14:solidFill>
              <w14:schemeClr w14:val="tx1"/>
            </w14:solidFill>
          </w14:textFill>
        </w:rPr>
        <w:t>施工机械设备，且相关费用已包含至综合单价中。</w:t>
      </w:r>
    </w:p>
    <w:p w14:paraId="44370775">
      <w:pPr>
        <w:kinsoku w:val="0"/>
        <w:spacing w:after="0" w:line="360" w:lineRule="auto"/>
        <w:ind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lang w:eastAsia="zh-CN"/>
          <w14:textFill>
            <w14:solidFill>
              <w14:schemeClr w14:val="tx1"/>
            </w14:solidFill>
          </w14:textFill>
        </w:rPr>
        <w:t>乙方必须配备满足要求的备用发电机，避免因</w:t>
      </w:r>
      <w:r>
        <w:rPr>
          <w:rFonts w:hint="eastAsia" w:ascii="宋体" w:hAnsi="宋体" w:eastAsia="宋体" w:cs="宋体"/>
          <w:color w:val="000000" w:themeColor="text1"/>
          <w:sz w:val="21"/>
          <w:szCs w:val="21"/>
          <w:highlight w:val="none"/>
          <w:lang w:val="en-US" w:eastAsia="zh-CN"/>
          <w14:textFill>
            <w14:solidFill>
              <w14:schemeClr w14:val="tx1"/>
            </w14:solidFill>
          </w14:textFill>
        </w:rPr>
        <w:t>停电影响施工生产</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71DED804">
      <w:pPr>
        <w:kinsoku w:val="0"/>
        <w:spacing w:after="0" w:line="360" w:lineRule="auto"/>
        <w:ind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7</w:t>
      </w:r>
      <w:r>
        <w:rPr>
          <w:rFonts w:hint="eastAsia" w:ascii="宋体" w:hAnsi="宋体" w:eastAsia="宋体" w:cs="宋体"/>
          <w:color w:val="000000" w:themeColor="text1"/>
          <w:sz w:val="21"/>
          <w:szCs w:val="21"/>
          <w:highlight w:val="none"/>
          <w:lang w:eastAsia="zh-CN"/>
          <w14:textFill>
            <w14:solidFill>
              <w14:schemeClr w14:val="tx1"/>
            </w14:solidFill>
          </w14:textFill>
        </w:rPr>
        <w:t>）乙方应无条件配合本施工区域内的甲方迎检工作，满足现场文明施工要求。如不配合，甲方将自行安排人员进行迎检工作，费用将从乙方工程款中双倍扣除。</w:t>
      </w:r>
    </w:p>
    <w:p w14:paraId="30010013">
      <w:pPr>
        <w:kinsoku w:val="0"/>
        <w:spacing w:after="0" w:line="360" w:lineRule="auto"/>
        <w:ind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8</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乙方需</w:t>
      </w:r>
      <w:r>
        <w:rPr>
          <w:rFonts w:hint="eastAsia" w:ascii="宋体" w:hAnsi="宋体" w:eastAsia="宋体" w:cs="宋体"/>
          <w:color w:val="000000" w:themeColor="text1"/>
          <w:sz w:val="21"/>
          <w:szCs w:val="21"/>
          <w:highlight w:val="none"/>
          <w:lang w:eastAsia="zh-CN"/>
          <w14:textFill>
            <w14:solidFill>
              <w14:schemeClr w14:val="tx1"/>
            </w14:solidFill>
          </w14:textFill>
        </w:rPr>
        <w:t>负责清理为完成本合同内容的一切运输车辆机身、轮胎的污渍，保证车辆外观清洁；</w:t>
      </w:r>
    </w:p>
    <w:p w14:paraId="658AA36F">
      <w:pPr>
        <w:kinsoku w:val="0"/>
        <w:spacing w:after="0" w:line="360" w:lineRule="auto"/>
        <w:ind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9</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乙方需</w:t>
      </w:r>
      <w:r>
        <w:rPr>
          <w:rFonts w:hint="eastAsia" w:ascii="宋体" w:hAnsi="宋体" w:eastAsia="宋体" w:cs="宋体"/>
          <w:color w:val="000000" w:themeColor="text1"/>
          <w:sz w:val="21"/>
          <w:szCs w:val="21"/>
          <w:highlight w:val="none"/>
          <w:lang w:eastAsia="zh-CN"/>
          <w14:textFill>
            <w14:solidFill>
              <w14:schemeClr w14:val="tx1"/>
            </w14:solidFill>
          </w14:textFill>
        </w:rPr>
        <w:t>配合钢筋、</w:t>
      </w:r>
      <w:r>
        <w:rPr>
          <w:rFonts w:hint="eastAsia" w:ascii="宋体" w:hAnsi="宋体" w:eastAsia="宋体" w:cs="宋体"/>
          <w:color w:val="000000" w:themeColor="text1"/>
          <w:sz w:val="21"/>
          <w:szCs w:val="21"/>
          <w:highlight w:val="none"/>
          <w:lang w:val="en-US" w:eastAsia="zh-CN"/>
          <w14:textFill>
            <w14:solidFill>
              <w14:schemeClr w14:val="tx1"/>
            </w14:solidFill>
          </w14:textFill>
        </w:rPr>
        <w:t>声测管、套筒</w:t>
      </w:r>
      <w:r>
        <w:rPr>
          <w:rFonts w:hint="eastAsia" w:ascii="宋体" w:hAnsi="宋体" w:eastAsia="宋体" w:cs="宋体"/>
          <w:color w:val="000000" w:themeColor="text1"/>
          <w:sz w:val="21"/>
          <w:szCs w:val="21"/>
          <w:highlight w:val="none"/>
          <w:lang w:eastAsia="zh-CN"/>
          <w14:textFill>
            <w14:solidFill>
              <w14:schemeClr w14:val="tx1"/>
            </w14:solidFill>
          </w14:textFill>
        </w:rPr>
        <w:t>等甲供材料装卸工作；</w:t>
      </w:r>
    </w:p>
    <w:p w14:paraId="4F8FC7C1">
      <w:pPr>
        <w:kinsoku w:val="0"/>
        <w:spacing w:after="0" w:line="360" w:lineRule="auto"/>
        <w:ind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color w:val="000000" w:themeColor="text1"/>
          <w:sz w:val="21"/>
          <w:szCs w:val="21"/>
          <w:highlight w:val="none"/>
          <w:lang w:eastAsia="zh-CN"/>
          <w14:textFill>
            <w14:solidFill>
              <w14:schemeClr w14:val="tx1"/>
            </w14:solidFill>
          </w14:textFill>
        </w:rPr>
        <w:t>）乙方</w:t>
      </w:r>
      <w:r>
        <w:rPr>
          <w:rFonts w:hint="eastAsia" w:ascii="宋体" w:hAnsi="宋体" w:eastAsia="宋体" w:cs="宋体"/>
          <w:color w:val="000000" w:themeColor="text1"/>
          <w:sz w:val="21"/>
          <w:szCs w:val="21"/>
          <w:highlight w:val="none"/>
          <w:lang w:val="en-US" w:eastAsia="zh-CN"/>
          <w14:textFill>
            <w14:solidFill>
              <w14:schemeClr w14:val="tx1"/>
            </w14:solidFill>
          </w14:textFill>
        </w:rPr>
        <w:t>所报价格</w:t>
      </w:r>
      <w:r>
        <w:rPr>
          <w:rFonts w:hint="eastAsia" w:ascii="宋体" w:hAnsi="宋体" w:eastAsia="宋体" w:cs="宋体"/>
          <w:color w:val="000000" w:themeColor="text1"/>
          <w:sz w:val="21"/>
          <w:szCs w:val="21"/>
          <w:highlight w:val="none"/>
          <w:lang w:eastAsia="zh-CN"/>
          <w14:textFill>
            <w14:solidFill>
              <w14:schemeClr w14:val="tx1"/>
            </w14:solidFill>
          </w14:textFill>
        </w:rPr>
        <w:t>包括但不限于人员机械进出场、钢筋加工、成品保护、钢筋</w:t>
      </w:r>
      <w:r>
        <w:rPr>
          <w:rFonts w:hint="eastAsia" w:ascii="宋体" w:hAnsi="宋体" w:eastAsia="宋体" w:cs="宋体"/>
          <w:color w:val="000000" w:themeColor="text1"/>
          <w:sz w:val="21"/>
          <w:szCs w:val="21"/>
          <w:highlight w:val="none"/>
          <w:lang w:val="en-US" w:eastAsia="zh-CN"/>
          <w14:textFill>
            <w14:solidFill>
              <w14:schemeClr w14:val="tx1"/>
            </w14:solidFill>
          </w14:textFill>
        </w:rPr>
        <w:t>半成品运输</w:t>
      </w:r>
      <w:r>
        <w:rPr>
          <w:rFonts w:hint="eastAsia" w:ascii="宋体" w:hAnsi="宋体" w:eastAsia="宋体" w:cs="宋体"/>
          <w:color w:val="000000" w:themeColor="text1"/>
          <w:sz w:val="21"/>
          <w:szCs w:val="21"/>
          <w:highlight w:val="none"/>
          <w:lang w:eastAsia="zh-CN"/>
          <w14:textFill>
            <w14:solidFill>
              <w14:schemeClr w14:val="tx1"/>
            </w14:solidFill>
          </w14:textFill>
        </w:rPr>
        <w:t>等为完成合同约定的内容所包含的全部工作；</w:t>
      </w:r>
    </w:p>
    <w:p w14:paraId="297154A9">
      <w:pPr>
        <w:kinsoku w:val="0"/>
        <w:spacing w:after="0" w:line="360" w:lineRule="auto"/>
        <w:ind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11</w:t>
      </w:r>
      <w:r>
        <w:rPr>
          <w:rFonts w:hint="eastAsia" w:ascii="宋体" w:hAnsi="宋体" w:eastAsia="宋体" w:cs="宋体"/>
          <w:color w:val="000000" w:themeColor="text1"/>
          <w:sz w:val="21"/>
          <w:szCs w:val="21"/>
          <w:highlight w:val="none"/>
          <w:lang w:eastAsia="zh-CN"/>
          <w14:textFill>
            <w14:solidFill>
              <w14:schemeClr w14:val="tx1"/>
            </w14:solidFill>
          </w14:textFill>
        </w:rPr>
        <w:t>）乙方在施工时均应指定专人负责当班指挥、协调，并负责与</w:t>
      </w:r>
      <w:r>
        <w:rPr>
          <w:rFonts w:hint="eastAsia" w:ascii="宋体" w:hAnsi="宋体" w:eastAsia="宋体" w:cs="宋体"/>
          <w:color w:val="000000" w:themeColor="text1"/>
          <w:sz w:val="21"/>
          <w:szCs w:val="21"/>
          <w:highlight w:val="none"/>
          <w:lang w:val="en-US" w:eastAsia="zh-CN"/>
          <w14:textFill>
            <w14:solidFill>
              <w14:schemeClr w14:val="tx1"/>
            </w14:solidFill>
          </w14:textFill>
        </w:rPr>
        <w:t>甲</w:t>
      </w:r>
      <w:r>
        <w:rPr>
          <w:rFonts w:hint="eastAsia" w:ascii="宋体" w:hAnsi="宋体" w:eastAsia="宋体" w:cs="宋体"/>
          <w:color w:val="000000" w:themeColor="text1"/>
          <w:sz w:val="21"/>
          <w:szCs w:val="21"/>
          <w:highlight w:val="none"/>
          <w:lang w:eastAsia="zh-CN"/>
          <w14:textFill>
            <w14:solidFill>
              <w14:schemeClr w14:val="tx1"/>
            </w14:solidFill>
          </w14:textFill>
        </w:rPr>
        <w:t>方保持联络，确保</w:t>
      </w:r>
      <w:r>
        <w:rPr>
          <w:rFonts w:hint="eastAsia" w:ascii="宋体" w:hAnsi="宋体" w:eastAsia="宋体" w:cs="宋体"/>
          <w:color w:val="000000" w:themeColor="text1"/>
          <w:sz w:val="21"/>
          <w:szCs w:val="21"/>
          <w:highlight w:val="none"/>
          <w:lang w:val="en-US" w:eastAsia="zh-CN"/>
          <w14:textFill>
            <w14:solidFill>
              <w14:schemeClr w14:val="tx1"/>
            </w14:solidFill>
          </w14:textFill>
        </w:rPr>
        <w:t>甲</w:t>
      </w:r>
      <w:r>
        <w:rPr>
          <w:rFonts w:hint="eastAsia" w:ascii="宋体" w:hAnsi="宋体" w:eastAsia="宋体" w:cs="宋体"/>
          <w:color w:val="000000" w:themeColor="text1"/>
          <w:sz w:val="21"/>
          <w:szCs w:val="21"/>
          <w:highlight w:val="none"/>
          <w:lang w:eastAsia="zh-CN"/>
          <w14:textFill>
            <w14:solidFill>
              <w14:schemeClr w14:val="tx1"/>
            </w14:solidFill>
          </w14:textFill>
        </w:rPr>
        <w:t>方的生产指令、意见得到迅速有效执行。同时，乙方指定的当班现场指挥人员应在每班次前到</w:t>
      </w:r>
      <w:r>
        <w:rPr>
          <w:rFonts w:hint="eastAsia" w:ascii="宋体" w:hAnsi="宋体" w:eastAsia="宋体" w:cs="宋体"/>
          <w:color w:val="000000" w:themeColor="text1"/>
          <w:sz w:val="21"/>
          <w:szCs w:val="21"/>
          <w:highlight w:val="none"/>
          <w:lang w:val="en-US" w:eastAsia="zh-CN"/>
          <w14:textFill>
            <w14:solidFill>
              <w14:schemeClr w14:val="tx1"/>
            </w14:solidFill>
          </w14:textFill>
        </w:rPr>
        <w:t>甲</w:t>
      </w:r>
      <w:r>
        <w:rPr>
          <w:rFonts w:hint="eastAsia" w:ascii="宋体" w:hAnsi="宋体" w:eastAsia="宋体" w:cs="宋体"/>
          <w:color w:val="000000" w:themeColor="text1"/>
          <w:sz w:val="21"/>
          <w:szCs w:val="21"/>
          <w:highlight w:val="none"/>
          <w:lang w:eastAsia="zh-CN"/>
          <w14:textFill>
            <w14:solidFill>
              <w14:schemeClr w14:val="tx1"/>
            </w14:solidFill>
          </w14:textFill>
        </w:rPr>
        <w:t>方现场生产副经理室参加现场碰头会，并在生产中予以贯彻。</w:t>
      </w:r>
    </w:p>
    <w:p w14:paraId="6B4EBABB">
      <w:pPr>
        <w:kinsoku w:val="0"/>
        <w:spacing w:after="0" w:line="360" w:lineRule="auto"/>
        <w:ind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12</w:t>
      </w:r>
      <w:r>
        <w:rPr>
          <w:rFonts w:hint="eastAsia" w:ascii="宋体" w:hAnsi="宋体" w:eastAsia="宋体" w:cs="宋体"/>
          <w:color w:val="000000" w:themeColor="text1"/>
          <w:sz w:val="21"/>
          <w:szCs w:val="21"/>
          <w:highlight w:val="none"/>
          <w:lang w:eastAsia="zh-CN"/>
          <w14:textFill>
            <w14:solidFill>
              <w14:schemeClr w14:val="tx1"/>
            </w14:solidFill>
          </w14:textFill>
        </w:rPr>
        <w:t>）乙方承诺：当乙方进度无法满足总包方要求，且改进措施不力时，乙方愿意无条件接受</w:t>
      </w:r>
      <w:r>
        <w:rPr>
          <w:rFonts w:hint="eastAsia" w:ascii="宋体" w:hAnsi="宋体" w:eastAsia="宋体" w:cs="宋体"/>
          <w:color w:val="000000" w:themeColor="text1"/>
          <w:sz w:val="21"/>
          <w:szCs w:val="21"/>
          <w:highlight w:val="none"/>
          <w:lang w:val="en-US" w:eastAsia="zh-CN"/>
          <w14:textFill>
            <w14:solidFill>
              <w14:schemeClr w14:val="tx1"/>
            </w14:solidFill>
          </w14:textFill>
        </w:rPr>
        <w:t>甲方</w:t>
      </w:r>
      <w:r>
        <w:rPr>
          <w:rFonts w:hint="eastAsia" w:ascii="宋体" w:hAnsi="宋体" w:eastAsia="宋体" w:cs="宋体"/>
          <w:color w:val="000000" w:themeColor="text1"/>
          <w:sz w:val="21"/>
          <w:szCs w:val="21"/>
          <w:highlight w:val="none"/>
          <w:lang w:eastAsia="zh-CN"/>
          <w14:textFill>
            <w14:solidFill>
              <w14:schemeClr w14:val="tx1"/>
            </w14:solidFill>
          </w14:textFill>
        </w:rPr>
        <w:t>就进度滞后而处以的罚款，无条件接受</w:t>
      </w:r>
      <w:r>
        <w:rPr>
          <w:rFonts w:hint="eastAsia" w:ascii="宋体" w:hAnsi="宋体" w:eastAsia="宋体" w:cs="宋体"/>
          <w:color w:val="000000" w:themeColor="text1"/>
          <w:sz w:val="21"/>
          <w:szCs w:val="21"/>
          <w:highlight w:val="none"/>
          <w:lang w:val="en-US" w:eastAsia="zh-CN"/>
          <w14:textFill>
            <w14:solidFill>
              <w14:schemeClr w14:val="tx1"/>
            </w14:solidFill>
          </w14:textFill>
        </w:rPr>
        <w:t>甲方</w:t>
      </w:r>
      <w:r>
        <w:rPr>
          <w:rFonts w:hint="eastAsia" w:ascii="宋体" w:hAnsi="宋体" w:eastAsia="宋体" w:cs="宋体"/>
          <w:color w:val="000000" w:themeColor="text1"/>
          <w:sz w:val="21"/>
          <w:szCs w:val="21"/>
          <w:highlight w:val="none"/>
          <w:lang w:eastAsia="zh-CN"/>
          <w14:textFill>
            <w14:solidFill>
              <w14:schemeClr w14:val="tx1"/>
            </w14:solidFill>
          </w14:textFill>
        </w:rPr>
        <w:t>对其施工任务的调整，并承担由此造成的一切损失。</w:t>
      </w:r>
    </w:p>
    <w:p w14:paraId="0856CB75">
      <w:pPr>
        <w:kinsoku w:val="0"/>
        <w:spacing w:after="0" w:line="360" w:lineRule="auto"/>
        <w:ind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13</w:t>
      </w:r>
      <w:r>
        <w:rPr>
          <w:rFonts w:hint="eastAsia" w:ascii="宋体" w:hAnsi="宋体" w:eastAsia="宋体" w:cs="宋体"/>
          <w:color w:val="000000" w:themeColor="text1"/>
          <w:sz w:val="21"/>
          <w:szCs w:val="21"/>
          <w:highlight w:val="none"/>
          <w:lang w:eastAsia="zh-CN"/>
          <w14:textFill>
            <w14:solidFill>
              <w14:schemeClr w14:val="tx1"/>
            </w14:solidFill>
          </w14:textFill>
        </w:rPr>
        <w:t>）乙方</w:t>
      </w:r>
      <w:r>
        <w:rPr>
          <w:rFonts w:hint="eastAsia" w:ascii="宋体" w:hAnsi="宋体" w:eastAsia="宋体" w:cs="宋体"/>
          <w:color w:val="000000" w:themeColor="text1"/>
          <w:sz w:val="21"/>
          <w:szCs w:val="21"/>
          <w:highlight w:val="none"/>
          <w:lang w:val="en-US" w:eastAsia="zh-CN"/>
          <w14:textFill>
            <w14:solidFill>
              <w14:schemeClr w14:val="tx1"/>
            </w14:solidFill>
          </w14:textFill>
        </w:rPr>
        <w:t>必须</w:t>
      </w:r>
      <w:r>
        <w:rPr>
          <w:rFonts w:hint="eastAsia" w:ascii="宋体" w:hAnsi="宋体" w:eastAsia="宋体" w:cs="宋体"/>
          <w:color w:val="000000" w:themeColor="text1"/>
          <w:sz w:val="21"/>
          <w:szCs w:val="21"/>
          <w:highlight w:val="none"/>
          <w:lang w:eastAsia="zh-CN"/>
          <w14:textFill>
            <w14:solidFill>
              <w14:schemeClr w14:val="tx1"/>
            </w14:solidFill>
          </w14:textFill>
        </w:rPr>
        <w:t>严格服从现场管理，遵守总包方一切规章制度，维护</w:t>
      </w:r>
      <w:r>
        <w:rPr>
          <w:rFonts w:hint="eastAsia" w:ascii="宋体" w:hAnsi="宋体" w:eastAsia="宋体" w:cs="宋体"/>
          <w:color w:val="000000" w:themeColor="text1"/>
          <w:sz w:val="21"/>
          <w:szCs w:val="21"/>
          <w:highlight w:val="none"/>
          <w:lang w:val="en-US" w:eastAsia="zh-CN"/>
          <w14:textFill>
            <w14:solidFill>
              <w14:schemeClr w14:val="tx1"/>
            </w14:solidFill>
          </w14:textFill>
        </w:rPr>
        <w:t>甲方</w:t>
      </w:r>
      <w:r>
        <w:rPr>
          <w:rFonts w:hint="eastAsia" w:ascii="宋体" w:hAnsi="宋体" w:eastAsia="宋体" w:cs="宋体"/>
          <w:color w:val="000000" w:themeColor="text1"/>
          <w:sz w:val="21"/>
          <w:szCs w:val="21"/>
          <w:highlight w:val="none"/>
          <w:lang w:eastAsia="zh-CN"/>
          <w14:textFill>
            <w14:solidFill>
              <w14:schemeClr w14:val="tx1"/>
            </w14:solidFill>
          </w14:textFill>
        </w:rPr>
        <w:t>的企业形象，严禁赌博及打架斗殴。</w:t>
      </w:r>
    </w:p>
    <w:p w14:paraId="2B61163B">
      <w:pPr>
        <w:kinsoku w:val="0"/>
        <w:spacing w:after="0" w:line="360" w:lineRule="auto"/>
        <w:ind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14</w:t>
      </w:r>
      <w:r>
        <w:rPr>
          <w:rFonts w:hint="eastAsia" w:ascii="宋体" w:hAnsi="宋体" w:eastAsia="宋体" w:cs="宋体"/>
          <w:color w:val="000000" w:themeColor="text1"/>
          <w:sz w:val="21"/>
          <w:szCs w:val="21"/>
          <w:highlight w:val="none"/>
          <w:lang w:eastAsia="zh-CN"/>
          <w14:textFill>
            <w14:solidFill>
              <w14:schemeClr w14:val="tx1"/>
            </w14:solidFill>
          </w14:textFill>
        </w:rPr>
        <w:t>）乙方必须保留工资簿及每日工作卡。这些资料上应如实标明职工人数、姓名、已付工资、当日工作任务、工作工时。</w:t>
      </w:r>
      <w:r>
        <w:rPr>
          <w:rFonts w:hint="eastAsia" w:ascii="宋体" w:hAnsi="宋体" w:eastAsia="宋体" w:cs="宋体"/>
          <w:color w:val="000000" w:themeColor="text1"/>
          <w:sz w:val="21"/>
          <w:szCs w:val="21"/>
          <w:highlight w:val="none"/>
          <w:lang w:val="en-US" w:eastAsia="zh-CN"/>
          <w14:textFill>
            <w14:solidFill>
              <w14:schemeClr w14:val="tx1"/>
            </w14:solidFill>
          </w14:textFill>
        </w:rPr>
        <w:t>甲方</w:t>
      </w:r>
      <w:r>
        <w:rPr>
          <w:rFonts w:hint="eastAsia" w:ascii="宋体" w:hAnsi="宋体" w:eastAsia="宋体" w:cs="宋体"/>
          <w:color w:val="000000" w:themeColor="text1"/>
          <w:sz w:val="21"/>
          <w:szCs w:val="21"/>
          <w:highlight w:val="none"/>
          <w:lang w:eastAsia="zh-CN"/>
          <w14:textFill>
            <w14:solidFill>
              <w14:schemeClr w14:val="tx1"/>
            </w14:solidFill>
          </w14:textFill>
        </w:rPr>
        <w:t>指定专职劳务管理员有权对分包方进行不定期检查，如发现乙方提供资料与现场不符时，</w:t>
      </w:r>
      <w:r>
        <w:rPr>
          <w:rFonts w:hint="eastAsia" w:ascii="宋体" w:hAnsi="宋体" w:eastAsia="宋体" w:cs="宋体"/>
          <w:color w:val="000000" w:themeColor="text1"/>
          <w:sz w:val="21"/>
          <w:szCs w:val="21"/>
          <w:highlight w:val="none"/>
          <w:lang w:val="en-US" w:eastAsia="zh-CN"/>
          <w14:textFill>
            <w14:solidFill>
              <w14:schemeClr w14:val="tx1"/>
            </w14:solidFill>
          </w14:textFill>
        </w:rPr>
        <w:t>甲方</w:t>
      </w:r>
      <w:r>
        <w:rPr>
          <w:rFonts w:hint="eastAsia" w:ascii="宋体" w:hAnsi="宋体" w:eastAsia="宋体" w:cs="宋体"/>
          <w:color w:val="000000" w:themeColor="text1"/>
          <w:sz w:val="21"/>
          <w:szCs w:val="21"/>
          <w:highlight w:val="none"/>
          <w:lang w:eastAsia="zh-CN"/>
          <w14:textFill>
            <w14:solidFill>
              <w14:schemeClr w14:val="tx1"/>
            </w14:solidFill>
          </w14:textFill>
        </w:rPr>
        <w:t>有权对乙方处以2000元的罚款，由此引起的一切不利后果均由乙方承担。</w:t>
      </w:r>
    </w:p>
    <w:p w14:paraId="285DA001">
      <w:pPr>
        <w:kinsoku w:val="0"/>
        <w:spacing w:after="0" w:line="360" w:lineRule="auto"/>
        <w:ind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15</w:t>
      </w:r>
      <w:r>
        <w:rPr>
          <w:rFonts w:hint="eastAsia" w:ascii="宋体" w:hAnsi="宋体" w:eastAsia="宋体" w:cs="宋体"/>
          <w:color w:val="000000" w:themeColor="text1"/>
          <w:sz w:val="21"/>
          <w:szCs w:val="21"/>
          <w:highlight w:val="none"/>
          <w:lang w:eastAsia="zh-CN"/>
          <w14:textFill>
            <w14:solidFill>
              <w14:schemeClr w14:val="tx1"/>
            </w14:solidFill>
          </w14:textFill>
        </w:rPr>
        <w:t>）乙方负责己方人员、材料、机械设备进退场费，以及人员住宿、材料设备存放、施工作业场地及其他费用、施工过程中的倒运等所有费用。</w:t>
      </w:r>
    </w:p>
    <w:p w14:paraId="67E0F849">
      <w:pPr>
        <w:kinsoku w:val="0"/>
        <w:spacing w:after="0" w:line="360" w:lineRule="auto"/>
        <w:ind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16</w:t>
      </w:r>
      <w:r>
        <w:rPr>
          <w:rFonts w:hint="eastAsia" w:ascii="宋体" w:hAnsi="宋体" w:eastAsia="宋体" w:cs="宋体"/>
          <w:color w:val="000000" w:themeColor="text1"/>
          <w:sz w:val="21"/>
          <w:szCs w:val="21"/>
          <w:highlight w:val="none"/>
          <w:lang w:eastAsia="zh-CN"/>
          <w14:textFill>
            <w14:solidFill>
              <w14:schemeClr w14:val="tx1"/>
            </w14:solidFill>
          </w14:textFill>
        </w:rPr>
        <w:t>）乙方</w:t>
      </w:r>
      <w:r>
        <w:rPr>
          <w:rFonts w:hint="eastAsia" w:ascii="宋体" w:hAnsi="宋体" w:eastAsia="宋体" w:cs="宋体"/>
          <w:color w:val="000000" w:themeColor="text1"/>
          <w:sz w:val="21"/>
          <w:szCs w:val="21"/>
          <w:highlight w:val="none"/>
          <w:lang w:val="en-US" w:eastAsia="zh-CN"/>
          <w14:textFill>
            <w14:solidFill>
              <w14:schemeClr w14:val="tx1"/>
            </w14:solidFill>
          </w14:textFill>
        </w:rPr>
        <w:t>需</w:t>
      </w:r>
      <w:r>
        <w:rPr>
          <w:rFonts w:hint="eastAsia" w:ascii="宋体" w:hAnsi="宋体" w:eastAsia="宋体" w:cs="宋体"/>
          <w:color w:val="000000" w:themeColor="text1"/>
          <w:sz w:val="21"/>
          <w:szCs w:val="21"/>
          <w:highlight w:val="none"/>
          <w:lang w:eastAsia="zh-CN"/>
          <w14:textFill>
            <w14:solidFill>
              <w14:schemeClr w14:val="tx1"/>
            </w14:solidFill>
          </w14:textFill>
        </w:rPr>
        <w:t>负责解决本</w:t>
      </w:r>
      <w:r>
        <w:rPr>
          <w:rFonts w:hint="eastAsia" w:ascii="宋体" w:hAnsi="宋体" w:eastAsia="宋体" w:cs="宋体"/>
          <w:color w:val="000000" w:themeColor="text1"/>
          <w:sz w:val="21"/>
          <w:szCs w:val="21"/>
          <w:highlight w:val="none"/>
          <w:lang w:val="en-US" w:eastAsia="zh-CN"/>
          <w14:textFill>
            <w14:solidFill>
              <w14:schemeClr w14:val="tx1"/>
            </w14:solidFill>
          </w14:textFill>
        </w:rPr>
        <w:t>施工段</w:t>
      </w:r>
      <w:r>
        <w:rPr>
          <w:rFonts w:hint="eastAsia" w:ascii="宋体" w:hAnsi="宋体" w:eastAsia="宋体" w:cs="宋体"/>
          <w:color w:val="000000" w:themeColor="text1"/>
          <w:sz w:val="21"/>
          <w:szCs w:val="21"/>
          <w:highlight w:val="none"/>
          <w:lang w:eastAsia="zh-CN"/>
          <w14:textFill>
            <w14:solidFill>
              <w14:schemeClr w14:val="tx1"/>
            </w14:solidFill>
          </w14:textFill>
        </w:rPr>
        <w:t>内的地方事务，费用均含在综合单价中，不再另行计量。乙方需确保</w:t>
      </w:r>
      <w:r>
        <w:rPr>
          <w:rFonts w:hint="eastAsia" w:ascii="宋体" w:hAnsi="宋体" w:eastAsia="宋体" w:cs="宋体"/>
          <w:color w:val="000000" w:themeColor="text1"/>
          <w:sz w:val="21"/>
          <w:szCs w:val="21"/>
          <w:highlight w:val="none"/>
          <w:lang w:val="en-US" w:eastAsia="zh-CN"/>
          <w14:textFill>
            <w14:solidFill>
              <w14:schemeClr w14:val="tx1"/>
            </w14:solidFill>
          </w14:textFill>
        </w:rPr>
        <w:t>甲方</w:t>
      </w:r>
      <w:r>
        <w:rPr>
          <w:rFonts w:hint="eastAsia" w:ascii="宋体" w:hAnsi="宋体" w:eastAsia="宋体" w:cs="宋体"/>
          <w:color w:val="000000" w:themeColor="text1"/>
          <w:sz w:val="21"/>
          <w:szCs w:val="21"/>
          <w:highlight w:val="none"/>
          <w:lang w:eastAsia="zh-CN"/>
          <w14:textFill>
            <w14:solidFill>
              <w14:schemeClr w14:val="tx1"/>
            </w14:solidFill>
          </w14:textFill>
        </w:rPr>
        <w:t>的车辆无阻挠的通行，若有阻拦，</w:t>
      </w:r>
      <w:r>
        <w:rPr>
          <w:rFonts w:hint="eastAsia" w:ascii="宋体" w:hAnsi="宋体" w:eastAsia="宋体" w:cs="宋体"/>
          <w:color w:val="000000" w:themeColor="text1"/>
          <w:sz w:val="21"/>
          <w:szCs w:val="21"/>
          <w:highlight w:val="none"/>
          <w:lang w:val="en-US" w:eastAsia="zh-CN"/>
          <w14:textFill>
            <w14:solidFill>
              <w14:schemeClr w14:val="tx1"/>
            </w14:solidFill>
          </w14:textFill>
        </w:rPr>
        <w:t>甲方</w:t>
      </w:r>
      <w:r>
        <w:rPr>
          <w:rFonts w:hint="eastAsia" w:ascii="宋体" w:hAnsi="宋体" w:eastAsia="宋体" w:cs="宋体"/>
          <w:color w:val="000000" w:themeColor="text1"/>
          <w:sz w:val="21"/>
          <w:szCs w:val="21"/>
          <w:highlight w:val="none"/>
          <w:lang w:eastAsia="zh-CN"/>
          <w14:textFill>
            <w14:solidFill>
              <w14:schemeClr w14:val="tx1"/>
            </w14:solidFill>
          </w14:textFill>
        </w:rPr>
        <w:t>协调所需的费用，从</w:t>
      </w:r>
      <w:r>
        <w:rPr>
          <w:rFonts w:hint="eastAsia" w:ascii="宋体" w:hAnsi="宋体" w:eastAsia="宋体" w:cs="宋体"/>
          <w:color w:val="000000" w:themeColor="text1"/>
          <w:sz w:val="21"/>
          <w:szCs w:val="21"/>
          <w:highlight w:val="none"/>
          <w:lang w:val="en-US" w:eastAsia="zh-CN"/>
          <w14:textFill>
            <w14:solidFill>
              <w14:schemeClr w14:val="tx1"/>
            </w14:solidFill>
          </w14:textFill>
        </w:rPr>
        <w:t>乙方</w:t>
      </w:r>
      <w:r>
        <w:rPr>
          <w:rFonts w:hint="eastAsia" w:ascii="宋体" w:hAnsi="宋体" w:eastAsia="宋体" w:cs="宋体"/>
          <w:color w:val="000000" w:themeColor="text1"/>
          <w:sz w:val="21"/>
          <w:szCs w:val="21"/>
          <w:highlight w:val="none"/>
          <w:lang w:eastAsia="zh-CN"/>
          <w14:textFill>
            <w14:solidFill>
              <w14:schemeClr w14:val="tx1"/>
            </w14:solidFill>
          </w14:textFill>
        </w:rPr>
        <w:t>工程款扣除。</w:t>
      </w:r>
    </w:p>
    <w:p w14:paraId="76A817BF">
      <w:pPr>
        <w:kinsoku w:val="0"/>
        <w:spacing w:after="0" w:line="360" w:lineRule="auto"/>
        <w:ind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17</w:t>
      </w:r>
      <w:r>
        <w:rPr>
          <w:rFonts w:hint="eastAsia" w:ascii="宋体" w:hAnsi="宋体" w:eastAsia="宋体" w:cs="宋体"/>
          <w:color w:val="000000" w:themeColor="text1"/>
          <w:sz w:val="21"/>
          <w:szCs w:val="21"/>
          <w:highlight w:val="none"/>
          <w:lang w:eastAsia="zh-CN"/>
          <w14:textFill>
            <w14:solidFill>
              <w14:schemeClr w14:val="tx1"/>
            </w14:solidFill>
          </w14:textFill>
        </w:rPr>
        <w:t>）乙方应安排专人及时了解天气变化和河道水位情况，如因此带来的一切损失，由分包方负责。</w:t>
      </w:r>
    </w:p>
    <w:p w14:paraId="22515973">
      <w:pPr>
        <w:kinsoku w:val="0"/>
        <w:spacing w:after="0" w:line="360" w:lineRule="auto"/>
        <w:ind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18</w:t>
      </w:r>
      <w:r>
        <w:rPr>
          <w:rFonts w:hint="eastAsia" w:ascii="宋体" w:hAnsi="宋体" w:eastAsia="宋体" w:cs="宋体"/>
          <w:color w:val="000000" w:themeColor="text1"/>
          <w:sz w:val="21"/>
          <w:szCs w:val="21"/>
          <w:highlight w:val="none"/>
          <w:lang w:eastAsia="zh-CN"/>
          <w14:textFill>
            <w14:solidFill>
              <w14:schemeClr w14:val="tx1"/>
            </w14:solidFill>
          </w14:textFill>
        </w:rPr>
        <w:t>）乙方所有人员的人身安全、伤亡事故责任及处理由乙方</w:t>
      </w:r>
      <w:r>
        <w:rPr>
          <w:rFonts w:hint="eastAsia" w:ascii="宋体" w:hAnsi="宋体" w:eastAsia="宋体" w:cs="宋体"/>
          <w:color w:val="000000" w:themeColor="text1"/>
          <w:sz w:val="21"/>
          <w:szCs w:val="21"/>
          <w:highlight w:val="none"/>
          <w:lang w:val="en-US" w:eastAsia="zh-CN"/>
          <w14:textFill>
            <w14:solidFill>
              <w14:schemeClr w14:val="tx1"/>
            </w14:solidFill>
          </w14:textFill>
        </w:rPr>
        <w:t>自行</w:t>
      </w:r>
      <w:r>
        <w:rPr>
          <w:rFonts w:hint="eastAsia" w:ascii="宋体" w:hAnsi="宋体" w:eastAsia="宋体" w:cs="宋体"/>
          <w:color w:val="000000" w:themeColor="text1"/>
          <w:sz w:val="21"/>
          <w:szCs w:val="21"/>
          <w:highlight w:val="none"/>
          <w:lang w:eastAsia="zh-CN"/>
          <w14:textFill>
            <w14:solidFill>
              <w14:schemeClr w14:val="tx1"/>
            </w14:solidFill>
          </w14:textFill>
        </w:rPr>
        <w:t>负责，</w:t>
      </w:r>
      <w:r>
        <w:rPr>
          <w:rFonts w:hint="eastAsia" w:ascii="宋体" w:hAnsi="宋体" w:eastAsia="宋体" w:cs="宋体"/>
          <w:color w:val="000000" w:themeColor="text1"/>
          <w:sz w:val="21"/>
          <w:szCs w:val="21"/>
          <w:highlight w:val="none"/>
          <w:lang w:val="en-US" w:eastAsia="zh-CN"/>
          <w14:textFill>
            <w14:solidFill>
              <w14:schemeClr w14:val="tx1"/>
            </w14:solidFill>
          </w14:textFill>
        </w:rPr>
        <w:t>保险全部由乙方承担，若由甲方购买，则费用从乙方结算中扣除</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4AAEAA43">
      <w:pPr>
        <w:kinsoku w:val="0"/>
        <w:spacing w:after="0" w:line="360" w:lineRule="auto"/>
        <w:ind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19</w:t>
      </w:r>
      <w:r>
        <w:rPr>
          <w:rFonts w:hint="eastAsia" w:ascii="宋体" w:hAnsi="宋体" w:eastAsia="宋体" w:cs="宋体"/>
          <w:color w:val="000000" w:themeColor="text1"/>
          <w:sz w:val="21"/>
          <w:szCs w:val="21"/>
          <w:highlight w:val="none"/>
          <w:lang w:eastAsia="zh-CN"/>
          <w14:textFill>
            <w14:solidFill>
              <w14:schemeClr w14:val="tx1"/>
            </w14:solidFill>
          </w14:textFill>
        </w:rPr>
        <w:t>）乙方应遵守工程建设安全生产有关管理规定，严格按安全标准组织施工，并随时接受</w:t>
      </w:r>
      <w:r>
        <w:rPr>
          <w:rFonts w:hint="eastAsia" w:ascii="宋体" w:hAnsi="宋体" w:eastAsia="宋体" w:cs="宋体"/>
          <w:color w:val="000000" w:themeColor="text1"/>
          <w:sz w:val="21"/>
          <w:szCs w:val="21"/>
          <w:highlight w:val="none"/>
          <w:lang w:val="en-US" w:eastAsia="zh-CN"/>
          <w14:textFill>
            <w14:solidFill>
              <w14:schemeClr w14:val="tx1"/>
            </w14:solidFill>
          </w14:textFill>
        </w:rPr>
        <w:t>甲</w:t>
      </w:r>
      <w:r>
        <w:rPr>
          <w:rFonts w:hint="eastAsia" w:ascii="宋体" w:hAnsi="宋体" w:eastAsia="宋体" w:cs="宋体"/>
          <w:color w:val="000000" w:themeColor="text1"/>
          <w:sz w:val="21"/>
          <w:szCs w:val="21"/>
          <w:highlight w:val="none"/>
          <w:lang w:eastAsia="zh-CN"/>
          <w14:textFill>
            <w14:solidFill>
              <w14:schemeClr w14:val="tx1"/>
            </w14:solidFill>
          </w14:textFill>
        </w:rPr>
        <w:t>方及有关单位安全检查人员依法实施的监督检查，在施工范围内采取必要的安全防护措施（包括提供和维修夜间施工使用的照明、警示等），消除事故隐患。由于乙方安全措施不力造成的责任和因此发生的费用，由分包方承担，且因此而对</w:t>
      </w:r>
      <w:r>
        <w:rPr>
          <w:rFonts w:hint="eastAsia" w:ascii="宋体" w:hAnsi="宋体" w:eastAsia="宋体" w:cs="宋体"/>
          <w:color w:val="000000" w:themeColor="text1"/>
          <w:sz w:val="21"/>
          <w:szCs w:val="21"/>
          <w:highlight w:val="none"/>
          <w:lang w:val="en-US" w:eastAsia="zh-CN"/>
          <w14:textFill>
            <w14:solidFill>
              <w14:schemeClr w14:val="tx1"/>
            </w14:solidFill>
          </w14:textFill>
        </w:rPr>
        <w:t>甲</w:t>
      </w:r>
      <w:r>
        <w:rPr>
          <w:rFonts w:hint="eastAsia" w:ascii="宋体" w:hAnsi="宋体" w:eastAsia="宋体" w:cs="宋体"/>
          <w:color w:val="000000" w:themeColor="text1"/>
          <w:sz w:val="21"/>
          <w:szCs w:val="21"/>
          <w:highlight w:val="none"/>
          <w:lang w:eastAsia="zh-CN"/>
          <w14:textFill>
            <w14:solidFill>
              <w14:schemeClr w14:val="tx1"/>
            </w14:solidFill>
          </w14:textFill>
        </w:rPr>
        <w:t>方造成的连带损失由乙方承担。乙方除接受</w:t>
      </w:r>
      <w:r>
        <w:rPr>
          <w:rFonts w:hint="eastAsia" w:ascii="宋体" w:hAnsi="宋体" w:eastAsia="宋体" w:cs="宋体"/>
          <w:color w:val="000000" w:themeColor="text1"/>
          <w:sz w:val="21"/>
          <w:szCs w:val="21"/>
          <w:highlight w:val="none"/>
          <w:lang w:val="en-US" w:eastAsia="zh-CN"/>
          <w14:textFill>
            <w14:solidFill>
              <w14:schemeClr w14:val="tx1"/>
            </w14:solidFill>
          </w14:textFill>
        </w:rPr>
        <w:t>甲方</w:t>
      </w:r>
      <w:r>
        <w:rPr>
          <w:rFonts w:hint="eastAsia" w:ascii="宋体" w:hAnsi="宋体" w:eastAsia="宋体" w:cs="宋体"/>
          <w:color w:val="000000" w:themeColor="text1"/>
          <w:sz w:val="21"/>
          <w:szCs w:val="21"/>
          <w:highlight w:val="none"/>
          <w:lang w:eastAsia="zh-CN"/>
          <w14:textFill>
            <w14:solidFill>
              <w14:schemeClr w14:val="tx1"/>
            </w14:solidFill>
          </w14:textFill>
        </w:rPr>
        <w:t>的安全教育外，还应负责对其在施工场地的所有工作人员进行安全教育。</w:t>
      </w:r>
    </w:p>
    <w:p w14:paraId="230E97D2">
      <w:pPr>
        <w:kinsoku w:val="0"/>
        <w:spacing w:after="0" w:line="360" w:lineRule="auto"/>
        <w:ind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20</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乙</w:t>
      </w:r>
      <w:r>
        <w:rPr>
          <w:rFonts w:hint="eastAsia" w:ascii="宋体" w:hAnsi="宋体" w:eastAsia="宋体" w:cs="宋体"/>
          <w:color w:val="000000" w:themeColor="text1"/>
          <w:sz w:val="21"/>
          <w:szCs w:val="21"/>
          <w:highlight w:val="none"/>
          <w:lang w:eastAsia="zh-CN"/>
          <w14:textFill>
            <w14:solidFill>
              <w14:schemeClr w14:val="tx1"/>
            </w14:solidFill>
          </w14:textFill>
        </w:rPr>
        <w:t>方必须本着节约的观念，不得任意乱拆，乱接电源及水管，不得留宿非施工人员进住工地。</w:t>
      </w:r>
    </w:p>
    <w:p w14:paraId="7F4588E9">
      <w:pPr>
        <w:kinsoku w:val="0"/>
        <w:spacing w:after="0" w:line="360" w:lineRule="auto"/>
        <w:ind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21</w:t>
      </w:r>
      <w:r>
        <w:rPr>
          <w:rFonts w:hint="eastAsia" w:ascii="宋体" w:hAnsi="宋体" w:eastAsia="宋体" w:cs="宋体"/>
          <w:color w:val="000000" w:themeColor="text1"/>
          <w:sz w:val="21"/>
          <w:szCs w:val="21"/>
          <w:highlight w:val="none"/>
          <w:lang w:eastAsia="zh-CN"/>
          <w14:textFill>
            <w14:solidFill>
              <w14:schemeClr w14:val="tx1"/>
            </w14:solidFill>
          </w14:textFill>
        </w:rPr>
        <w:t>）《拟进场机械设备一览表》为满足施工需要的最低要求，如</w:t>
      </w:r>
      <w:r>
        <w:rPr>
          <w:rFonts w:hint="eastAsia" w:ascii="宋体" w:hAnsi="宋体" w:eastAsia="宋体" w:cs="宋体"/>
          <w:color w:val="000000" w:themeColor="text1"/>
          <w:sz w:val="21"/>
          <w:szCs w:val="21"/>
          <w:highlight w:val="none"/>
          <w:lang w:val="en-US" w:eastAsia="zh-CN"/>
          <w14:textFill>
            <w14:solidFill>
              <w14:schemeClr w14:val="tx1"/>
            </w14:solidFill>
          </w14:textFill>
        </w:rPr>
        <w:t>甲方</w:t>
      </w:r>
      <w:r>
        <w:rPr>
          <w:rFonts w:hint="eastAsia" w:ascii="宋体" w:hAnsi="宋体" w:eastAsia="宋体" w:cs="宋体"/>
          <w:color w:val="000000" w:themeColor="text1"/>
          <w:sz w:val="21"/>
          <w:szCs w:val="21"/>
          <w:highlight w:val="none"/>
          <w:lang w:eastAsia="zh-CN"/>
          <w14:textFill>
            <w14:solidFill>
              <w14:schemeClr w14:val="tx1"/>
            </w14:solidFill>
          </w14:textFill>
        </w:rPr>
        <w:t>要求</w:t>
      </w:r>
      <w:r>
        <w:rPr>
          <w:rFonts w:hint="eastAsia" w:ascii="宋体" w:hAnsi="宋体" w:eastAsia="宋体" w:cs="宋体"/>
          <w:color w:val="000000" w:themeColor="text1"/>
          <w:sz w:val="21"/>
          <w:szCs w:val="21"/>
          <w:highlight w:val="none"/>
          <w:lang w:val="en-US" w:eastAsia="zh-CN"/>
          <w14:textFill>
            <w14:solidFill>
              <w14:schemeClr w14:val="tx1"/>
            </w14:solidFill>
          </w14:textFill>
        </w:rPr>
        <w:t>乙</w:t>
      </w:r>
      <w:r>
        <w:rPr>
          <w:rFonts w:hint="eastAsia" w:ascii="宋体" w:hAnsi="宋体" w:eastAsia="宋体" w:cs="宋体"/>
          <w:color w:val="000000" w:themeColor="text1"/>
          <w:sz w:val="21"/>
          <w:szCs w:val="21"/>
          <w:highlight w:val="none"/>
          <w:lang w:eastAsia="zh-CN"/>
          <w14:textFill>
            <w14:solidFill>
              <w14:schemeClr w14:val="tx1"/>
            </w14:solidFill>
          </w14:textFill>
        </w:rPr>
        <w:t>方增加进场机械设备及人员，以加快施工进度，</w:t>
      </w:r>
      <w:r>
        <w:rPr>
          <w:rFonts w:hint="eastAsia" w:ascii="宋体" w:hAnsi="宋体" w:eastAsia="宋体" w:cs="宋体"/>
          <w:color w:val="000000" w:themeColor="text1"/>
          <w:sz w:val="21"/>
          <w:szCs w:val="21"/>
          <w:highlight w:val="none"/>
          <w:lang w:val="en-US" w:eastAsia="zh-CN"/>
          <w14:textFill>
            <w14:solidFill>
              <w14:schemeClr w14:val="tx1"/>
            </w14:solidFill>
          </w14:textFill>
        </w:rPr>
        <w:t>乙</w:t>
      </w:r>
      <w:r>
        <w:rPr>
          <w:rFonts w:hint="eastAsia" w:ascii="宋体" w:hAnsi="宋体" w:eastAsia="宋体" w:cs="宋体"/>
          <w:color w:val="000000" w:themeColor="text1"/>
          <w:sz w:val="21"/>
          <w:szCs w:val="21"/>
          <w:highlight w:val="none"/>
          <w:lang w:eastAsia="zh-CN"/>
          <w14:textFill>
            <w14:solidFill>
              <w14:schemeClr w14:val="tx1"/>
            </w14:solidFill>
          </w14:textFill>
        </w:rPr>
        <w:t>方应无条件服从，并不增加相关费用。</w:t>
      </w:r>
    </w:p>
    <w:p w14:paraId="56C2E003">
      <w:pPr>
        <w:kinsoku w:val="0"/>
        <w:spacing w:after="0" w:line="360" w:lineRule="auto"/>
        <w:ind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22</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乙</w:t>
      </w:r>
      <w:r>
        <w:rPr>
          <w:rFonts w:hint="eastAsia" w:ascii="宋体" w:hAnsi="宋体" w:eastAsia="宋体" w:cs="宋体"/>
          <w:color w:val="000000" w:themeColor="text1"/>
          <w:sz w:val="21"/>
          <w:szCs w:val="21"/>
          <w:highlight w:val="none"/>
          <w:lang w:eastAsia="zh-CN"/>
          <w14:textFill>
            <w14:solidFill>
              <w14:schemeClr w14:val="tx1"/>
            </w14:solidFill>
          </w14:textFill>
        </w:rPr>
        <w:t>方应做好消防防火及安全用电工作，不得私拉乱接电线用于大功率电器。做好易燃易爆物品的管理，由此发生的一切事故由</w:t>
      </w:r>
      <w:r>
        <w:rPr>
          <w:rFonts w:hint="eastAsia" w:ascii="宋体" w:hAnsi="宋体" w:eastAsia="宋体" w:cs="宋体"/>
          <w:color w:val="000000" w:themeColor="text1"/>
          <w:sz w:val="21"/>
          <w:szCs w:val="21"/>
          <w:highlight w:val="none"/>
          <w:lang w:val="en-US" w:eastAsia="zh-CN"/>
          <w14:textFill>
            <w14:solidFill>
              <w14:schemeClr w14:val="tx1"/>
            </w14:solidFill>
          </w14:textFill>
        </w:rPr>
        <w:t>乙</w:t>
      </w:r>
      <w:r>
        <w:rPr>
          <w:rFonts w:hint="eastAsia" w:ascii="宋体" w:hAnsi="宋体" w:eastAsia="宋体" w:cs="宋体"/>
          <w:color w:val="000000" w:themeColor="text1"/>
          <w:sz w:val="21"/>
          <w:szCs w:val="21"/>
          <w:highlight w:val="none"/>
          <w:lang w:eastAsia="zh-CN"/>
          <w14:textFill>
            <w14:solidFill>
              <w14:schemeClr w14:val="tx1"/>
            </w14:solidFill>
          </w14:textFill>
        </w:rPr>
        <w:t>方负责。</w:t>
      </w:r>
    </w:p>
    <w:p w14:paraId="202EF300">
      <w:pPr>
        <w:pStyle w:val="11"/>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23）乙方进入施工现场的各种机械设备均要求自有机械。</w:t>
      </w:r>
    </w:p>
    <w:p w14:paraId="381104C2">
      <w:pPr>
        <w:pStyle w:val="11"/>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（24）投标履约人员不得更换，如更换项目经理甲方有权罚款20万元，其他人员每人次10万元。</w:t>
      </w:r>
    </w:p>
    <w:p w14:paraId="66290643">
      <w:pPr>
        <w:pStyle w:val="11"/>
        <w:ind w:firstLine="420" w:firstLineChars="200"/>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分包方未经总包方许可，禁止擅自使用、拆改总包方现场的临时设施，由此发生的一切事故及损失均由分包方负责。</w:t>
      </w:r>
    </w:p>
    <w:p w14:paraId="7BD27FAF">
      <w:pPr>
        <w:pStyle w:val="11"/>
        <w:ind w:firstLine="420"/>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如未在文中以文字形式明确列出、提及或约定的工作内容，但合理推断应属于分包方的工作，则此类工作应理解为分包方的潜在责任和义务，分包方应负责完成并自行承担相应的费用。</w:t>
      </w:r>
    </w:p>
    <w:p w14:paraId="06FFE893">
      <w:pPr>
        <w:pStyle w:val="11"/>
        <w:ind w:firstLine="420"/>
        <w:rPr>
          <w:rFonts w:hint="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在施工过程中若因分包自身原因破坏已完成的工程项目时，分包方需负责修复并承担所有费</w:t>
      </w:r>
      <w:r>
        <w:rPr>
          <w:rFonts w:hint="eastAsia"/>
          <w:color w:val="000000" w:themeColor="text1"/>
          <w:sz w:val="21"/>
          <w:szCs w:val="21"/>
          <w:highlight w:val="none"/>
          <w14:textFill>
            <w14:solidFill>
              <w14:schemeClr w14:val="tx1"/>
            </w14:solidFill>
          </w14:textFill>
        </w:rPr>
        <w:t>用及可能引起的一切经济损失。</w:t>
      </w:r>
    </w:p>
    <w:p w14:paraId="1524C614">
      <w:pPr>
        <w:pStyle w:val="11"/>
        <w:ind w:firstLine="420"/>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6.50公司性质：本公司性质符合以下第</w:t>
      </w:r>
      <w:r>
        <w:rPr>
          <w:rFonts w:hint="eastAsia" w:ascii="Times New Roman" w:hAnsi="Times New Roman" w:eastAsia="宋体" w:cs="Times New Roman"/>
          <w:color w:val="000000" w:themeColor="text1"/>
          <w:sz w:val="21"/>
          <w:szCs w:val="21"/>
          <w:highlight w:val="none"/>
          <w:u w:val="single"/>
          <w:lang w:val="en-US" w:eastAsia="zh-CN"/>
          <w14:textFill>
            <w14:solidFill>
              <w14:schemeClr w14:val="tx1"/>
            </w14:solidFill>
          </w14:textFill>
        </w:rPr>
        <w:t xml:space="preserve">      </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条之规定。</w:t>
      </w:r>
    </w:p>
    <w:p w14:paraId="5EB7CC67">
      <w:pPr>
        <w:pStyle w:val="11"/>
        <w:ind w:firstLine="420"/>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（1）本公司符合《中小企业划型标准规定》（工信部联企业〔2011〕300号）的划型标准中的</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sym w:font="Wingdings 2" w:char="00A3"/>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微型、</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sym w:font="Wingdings 2" w:char="00A3"/>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小型、</w:t>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sym w:font="Wingdings 2" w:char="00A3"/>
      </w: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中型企业。[需提供：企业注册地政府主管部门（如工业和信息化局、中小企业服务中心、市场监督管理局等）出具的“中小企业证明性材料”并加盖公章，非政府机构或企业自行提供的声明文件不予认可。材料内容应明确体现该企业符合国务院批准的中小企业划分标准，常见证明材料包括：《中小企业声明函》（须由政府主管部门盖章确认）、政府官网公示的中小企业名录截图（需带有官方标识）等。]</w:t>
      </w:r>
    </w:p>
    <w:p w14:paraId="4A578692">
      <w:pPr>
        <w:pStyle w:val="11"/>
        <w:ind w:firstLine="420"/>
        <w:rPr>
          <w:color w:val="000000" w:themeColor="text1"/>
          <w:highlight w:val="none"/>
          <w14:textFill>
            <w14:solidFill>
              <w14:schemeClr w14:val="tx1"/>
            </w14:solidFill>
          </w14:textFill>
        </w:rPr>
      </w:pPr>
      <w:r>
        <w:rPr>
          <w:rFonts w:hint="eastAsia" w:ascii="Times New Roman" w:hAnsi="Times New Roman" w:eastAsia="宋体" w:cs="Times New Roman"/>
          <w:color w:val="000000" w:themeColor="text1"/>
          <w:sz w:val="21"/>
          <w:szCs w:val="21"/>
          <w:highlight w:val="none"/>
          <w:lang w:val="en-US" w:eastAsia="zh-CN"/>
          <w14:textFill>
            <w14:solidFill>
              <w14:schemeClr w14:val="tx1"/>
            </w14:solidFill>
          </w14:textFill>
        </w:rPr>
        <w:t>（2）本公司为非中小微型企业。</w:t>
      </w:r>
    </w:p>
    <w:p w14:paraId="175FCF77">
      <w:pPr>
        <w:widowControl w:val="0"/>
        <w:numPr>
          <w:ilvl w:val="0"/>
          <w:numId w:val="10"/>
        </w:numPr>
        <w:kinsoku w:val="0"/>
        <w:spacing w:after="0" w:line="360" w:lineRule="auto"/>
        <w:ind w:left="158" w:leftChars="75"/>
        <w:jc w:val="both"/>
        <w:outlineLvl w:val="1"/>
        <w:rPr>
          <w:rFonts w:hint="eastAsia" w:ascii="宋体" w:hAnsi="宋体" w:eastAsia="宋体" w:cs="宋体"/>
          <w:b/>
          <w:color w:val="000000" w:themeColor="text1"/>
          <w:sz w:val="21"/>
          <w:szCs w:val="21"/>
          <w:highlight w:val="none"/>
          <w14:textFill>
            <w14:solidFill>
              <w14:schemeClr w14:val="tx1"/>
            </w14:solidFill>
          </w14:textFill>
        </w:rPr>
      </w:pPr>
      <w:bookmarkStart w:id="1286" w:name="_Toc101366230"/>
      <w:bookmarkEnd w:id="1286"/>
      <w:bookmarkStart w:id="1287" w:name="_Toc101366229"/>
      <w:bookmarkEnd w:id="1287"/>
      <w:bookmarkStart w:id="1288" w:name="_Toc101366228"/>
      <w:bookmarkEnd w:id="1288"/>
      <w:bookmarkStart w:id="1289" w:name="_Toc101366231"/>
      <w:bookmarkEnd w:id="1289"/>
      <w:bookmarkStart w:id="1290" w:name="_Toc4482"/>
      <w:bookmarkStart w:id="1291" w:name="_Toc9000"/>
      <w:bookmarkStart w:id="1292" w:name="_Toc1623"/>
      <w:bookmarkStart w:id="1293" w:name="_Toc544"/>
      <w:bookmarkStart w:id="1294" w:name="_Toc3041"/>
      <w:bookmarkStart w:id="1295" w:name="_Toc10220"/>
      <w:bookmarkStart w:id="1296" w:name="_Toc101357461"/>
      <w:bookmarkStart w:id="1297" w:name="_Toc175764451"/>
      <w:bookmarkStart w:id="1298" w:name="_Toc3210"/>
      <w:bookmarkStart w:id="1299" w:name="_Toc10615"/>
      <w:bookmarkStart w:id="1300" w:name="_Toc15695"/>
      <w:bookmarkStart w:id="1301" w:name="_Toc752"/>
      <w:bookmarkStart w:id="1302" w:name="_Toc101963515"/>
      <w:bookmarkStart w:id="1303" w:name="_Toc14452"/>
      <w:bookmarkStart w:id="1304" w:name="_Toc26129"/>
      <w:bookmarkStart w:id="1305" w:name="_Toc556"/>
      <w:bookmarkStart w:id="1306" w:name="_Toc23064"/>
      <w:bookmarkStart w:id="1307" w:name="_Toc32452"/>
      <w:bookmarkStart w:id="1308" w:name="_Toc25021"/>
      <w:bookmarkStart w:id="1309" w:name="_Toc29276"/>
      <w:bookmarkStart w:id="1310" w:name="_Toc26576"/>
      <w:r>
        <w:rPr>
          <w:rFonts w:hint="eastAsia" w:ascii="宋体" w:hAnsi="宋体" w:eastAsia="宋体" w:cs="宋体"/>
          <w:b/>
          <w:color w:val="000000" w:themeColor="text1"/>
          <w:sz w:val="21"/>
          <w:szCs w:val="21"/>
          <w:highlight w:val="none"/>
          <w:lang w:eastAsia="zh-CN"/>
          <w14:textFill>
            <w14:solidFill>
              <w14:schemeClr w14:val="tx1"/>
            </w14:solidFill>
          </w14:textFill>
        </w:rPr>
        <w:t>技术质量要求</w:t>
      </w:r>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p>
    <w:p w14:paraId="37FBB15F">
      <w:pPr>
        <w:kinsoku w:val="0"/>
        <w:spacing w:after="0" w:line="360" w:lineRule="auto"/>
        <w:ind w:firstLine="420" w:firstLineChars="200"/>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7.2</w:t>
      </w:r>
      <w:r>
        <w:rPr>
          <w:rFonts w:hint="eastAsia" w:ascii="宋体" w:hAnsi="宋体" w:eastAsia="宋体" w:cs="宋体"/>
          <w:color w:val="000000" w:themeColor="text1"/>
          <w:sz w:val="21"/>
          <w:szCs w:val="21"/>
          <w:highlight w:val="none"/>
          <w:lang w:eastAsia="zh-CN"/>
          <w14:textFill>
            <w14:solidFill>
              <w14:schemeClr w14:val="tx1"/>
            </w14:solidFill>
          </w14:textFill>
        </w:rPr>
        <w:t>补充：</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质量违约金为分包结算总价中相应金额的</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kern w:val="10"/>
          <w:sz w:val="21"/>
          <w:szCs w:val="21"/>
          <w:highlight w:val="none"/>
          <w:u w:val="single"/>
          <w:lang w:val="en-US" w:eastAsia="zh-CN"/>
          <w14:textFill>
            <w14:solidFill>
              <w14:schemeClr w14:val="tx1"/>
            </w14:solidFill>
          </w14:textFill>
        </w:rPr>
        <w:t>2</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w:t>
      </w:r>
    </w:p>
    <w:p w14:paraId="4CF1740E">
      <w:pPr>
        <w:kinsoku w:val="0"/>
        <w:spacing w:after="0" w:line="48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7.8乙方在施工过程中必须充分考虑环境污染问题，如发生污染遭到相关部门处罚（如：现金处罚、停工等）由乙方承担责任，如需项目部协调，产生的费用全部由乙方承担，因此问题造成工程节点未完成，甲方可对乙方进行现金处罚，在计量支付中扣除。</w:t>
      </w:r>
    </w:p>
    <w:p w14:paraId="32E31EE8">
      <w:pPr>
        <w:kinsoku w:val="0"/>
        <w:spacing w:after="0" w:line="48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7.10因施工质量或施工组织不力导致的施工工期延误所产生的一切损失均由乙方承担。</w:t>
      </w:r>
    </w:p>
    <w:p w14:paraId="5EAB440F">
      <w:pPr>
        <w:kinsoku w:val="0"/>
        <w:spacing w:after="0" w:line="48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7.11乙方应严格按照设计规范要求进行施工，严格控制好各施工环节。非甲方及外界原因造成的钢筋等的损耗及相关质量事故，全部由乙方承担，由此造成的相关损失也由乙方承担。</w:t>
      </w:r>
    </w:p>
    <w:p w14:paraId="77777D01">
      <w:pPr>
        <w:kinsoku w:val="0"/>
        <w:spacing w:after="0" w:line="480" w:lineRule="exact"/>
        <w:ind w:firstLine="420" w:firstLineChars="200"/>
        <w:jc w:val="both"/>
        <w:rPr>
          <w:rFonts w:hint="eastAsia"/>
          <w:color w:val="000000" w:themeColor="text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7.12乙方对所属施工人员进行施工技术交底，设专人负责工程质量自检，配合并服从就甲方现场管理人员的质量管理，负责对乙方提供的施工图纸数据进行复核，发现问题应及时上报甲方核实，无权擅自改变图纸设计，对因此产生的损失甲方不承担任何责任。</w:t>
      </w:r>
    </w:p>
    <w:p w14:paraId="0571EC90">
      <w:pPr>
        <w:widowControl w:val="0"/>
        <w:numPr>
          <w:ilvl w:val="0"/>
          <w:numId w:val="10"/>
        </w:numPr>
        <w:kinsoku w:val="0"/>
        <w:spacing w:after="0" w:line="360" w:lineRule="auto"/>
        <w:ind w:left="158" w:leftChars="75"/>
        <w:jc w:val="both"/>
        <w:outlineLvl w:val="1"/>
        <w:rPr>
          <w:rFonts w:hint="eastAsia" w:ascii="宋体" w:hAnsi="宋体" w:eastAsia="宋体" w:cs="宋体"/>
          <w:color w:val="000000" w:themeColor="text1"/>
          <w:kern w:val="10"/>
          <w:sz w:val="21"/>
          <w:szCs w:val="21"/>
          <w:highlight w:val="none"/>
          <w:lang w:eastAsia="zh-CN"/>
          <w14:textFill>
            <w14:solidFill>
              <w14:schemeClr w14:val="tx1"/>
            </w14:solidFill>
          </w14:textFill>
        </w:rPr>
      </w:pPr>
      <w:bookmarkStart w:id="1311" w:name="_Toc5405"/>
      <w:bookmarkStart w:id="1312" w:name="_Toc22750"/>
      <w:bookmarkStart w:id="1313" w:name="_Toc15624"/>
      <w:bookmarkStart w:id="1314" w:name="_Toc29298"/>
      <w:bookmarkStart w:id="1315" w:name="_Toc19888"/>
      <w:bookmarkStart w:id="1316" w:name="_Toc13749"/>
      <w:bookmarkStart w:id="1317" w:name="_Toc19673"/>
      <w:bookmarkStart w:id="1318" w:name="_Toc101963516"/>
      <w:bookmarkStart w:id="1319" w:name="_Toc26939"/>
      <w:bookmarkStart w:id="1320" w:name="_Toc7540"/>
      <w:bookmarkStart w:id="1321" w:name="_Toc175764452"/>
      <w:bookmarkStart w:id="1322" w:name="_Toc22673"/>
      <w:bookmarkStart w:id="1323" w:name="_Toc101357462"/>
      <w:bookmarkStart w:id="1324" w:name="_Toc30440"/>
      <w:bookmarkStart w:id="1325" w:name="_Toc7739"/>
      <w:bookmarkStart w:id="1326" w:name="_Toc31809"/>
      <w:bookmarkStart w:id="1327" w:name="_Toc14225"/>
      <w:bookmarkStart w:id="1328" w:name="_Toc20514"/>
      <w:bookmarkStart w:id="1329" w:name="_Toc13402"/>
      <w:bookmarkStart w:id="1330" w:name="_Toc2819"/>
      <w:bookmarkStart w:id="1331" w:name="_Toc28201"/>
      <w:r>
        <w:rPr>
          <w:rFonts w:hint="eastAsia" w:ascii="宋体" w:hAnsi="宋体" w:eastAsia="宋体" w:cs="宋体"/>
          <w:b/>
          <w:color w:val="000000" w:themeColor="text1"/>
          <w:sz w:val="21"/>
          <w:szCs w:val="21"/>
          <w:highlight w:val="none"/>
          <w:lang w:eastAsia="zh-CN"/>
          <w14:textFill>
            <w14:solidFill>
              <w14:schemeClr w14:val="tx1"/>
            </w14:solidFill>
          </w14:textFill>
        </w:rPr>
        <w:t>材料设备管理</w:t>
      </w:r>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p>
    <w:p w14:paraId="081D0932">
      <w:pPr>
        <w:kinsoku w:val="0"/>
        <w:spacing w:after="0" w:line="480" w:lineRule="exact"/>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8.2半成品库存率不超过</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0FEC99B0">
      <w:pPr>
        <w:kinsoku w:val="0"/>
        <w:spacing w:after="0" w:line="480" w:lineRule="exact"/>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8.7对于由甲方供应的材料，乙方应限额领料，超出限额或损耗率控制目标的部分，甲方将按甲供材料价格表中材料单价加包装、运输费等乘以超出上述核定量之部分</w:t>
      </w:r>
      <w:r>
        <w:rPr>
          <w:rFonts w:hint="eastAsia" w:ascii="宋体" w:hAnsi="宋体" w:eastAsia="宋体" w:cs="宋体"/>
          <w:b/>
          <w:bCs/>
          <w:color w:val="000000" w:themeColor="text1"/>
          <w:sz w:val="21"/>
          <w:szCs w:val="21"/>
          <w:highlight w:val="none"/>
          <w:u w:val="single"/>
          <w:lang w:eastAsia="zh-CN"/>
          <w14:textFill>
            <w14:solidFill>
              <w14:schemeClr w14:val="tx1"/>
            </w14:solidFill>
          </w14:textFill>
        </w:rPr>
        <w:t>1.3倍</w:t>
      </w:r>
      <w:r>
        <w:rPr>
          <w:rFonts w:hint="eastAsia" w:ascii="宋体" w:hAnsi="宋体" w:eastAsia="宋体" w:cs="宋体"/>
          <w:color w:val="000000" w:themeColor="text1"/>
          <w:sz w:val="21"/>
          <w:szCs w:val="21"/>
          <w:highlight w:val="none"/>
          <w:lang w:eastAsia="zh-CN"/>
          <w14:textFill>
            <w14:solidFill>
              <w14:schemeClr w14:val="tx1"/>
            </w14:solidFill>
          </w14:textFill>
        </w:rPr>
        <w:t>在对乙方的进度款或结算款中扣除。</w:t>
      </w:r>
    </w:p>
    <w:p w14:paraId="2499DA72">
      <w:pPr>
        <w:kinsoku w:val="0"/>
        <w:spacing w:after="0" w:line="480" w:lineRule="exact"/>
        <w:ind w:firstLine="420" w:firstLineChars="200"/>
        <w:jc w:val="both"/>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8.20钢筋</w:t>
      </w:r>
      <w:r>
        <w:rPr>
          <w:rFonts w:hint="default" w:ascii="宋体" w:hAnsi="宋体" w:eastAsia="宋体" w:cs="宋体"/>
          <w:color w:val="000000" w:themeColor="text1"/>
          <w:sz w:val="21"/>
          <w:szCs w:val="21"/>
          <w:highlight w:val="none"/>
          <w:lang w:val="en-US" w:eastAsia="zh-CN"/>
          <w14:textFill>
            <w14:solidFill>
              <w14:schemeClr w14:val="tx1"/>
            </w14:solidFill>
          </w14:textFill>
        </w:rPr>
        <w:t>等甲供材料的废料应由甲方过磅处理，所得收入归甲方；乙方不得私自将其处理，一经发现每次将给予</w:t>
      </w:r>
      <w:r>
        <w:rPr>
          <w:rFonts w:hint="default"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5000</w:t>
      </w:r>
      <w:r>
        <w:rPr>
          <w:rFonts w:hint="default"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1"/>
          <w:szCs w:val="21"/>
          <w:highlight w:val="none"/>
          <w:lang w:val="en-US" w:eastAsia="zh-CN"/>
          <w14:textFill>
            <w14:solidFill>
              <w14:schemeClr w14:val="tx1"/>
            </w14:solidFill>
          </w14:textFill>
        </w:rPr>
        <w:t>元至</w:t>
      </w:r>
      <w:r>
        <w:rPr>
          <w:rFonts w:hint="default"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30000</w:t>
      </w:r>
      <w:r>
        <w:rPr>
          <w:rFonts w:hint="default"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1"/>
          <w:szCs w:val="21"/>
          <w:highlight w:val="none"/>
          <w:lang w:val="en-US" w:eastAsia="zh-CN"/>
          <w14:textFill>
            <w14:solidFill>
              <w14:schemeClr w14:val="tx1"/>
            </w14:solidFill>
          </w14:textFill>
        </w:rPr>
        <w:t>元的罚款，该罚款在乙方应得工程款或履约保证金中扣除。由甲方处理的废料过磅单上须甲乙双方工地负责人签字认可以便核算</w:t>
      </w:r>
      <w:r>
        <w:rPr>
          <w:rFonts w:hint="eastAsia" w:ascii="宋体" w:hAnsi="宋体" w:eastAsia="宋体" w:cs="宋体"/>
          <w:color w:val="000000" w:themeColor="text1"/>
          <w:sz w:val="21"/>
          <w:szCs w:val="21"/>
          <w:highlight w:val="none"/>
          <w:lang w:val="en-US" w:eastAsia="zh-CN"/>
          <w14:textFill>
            <w14:solidFill>
              <w14:schemeClr w14:val="tx1"/>
            </w14:solidFill>
          </w14:textFill>
        </w:rPr>
        <w:t>钢筋</w:t>
      </w:r>
      <w:r>
        <w:rPr>
          <w:rFonts w:hint="default" w:ascii="宋体" w:hAnsi="宋体" w:eastAsia="宋体" w:cs="宋体"/>
          <w:color w:val="000000" w:themeColor="text1"/>
          <w:sz w:val="21"/>
          <w:szCs w:val="21"/>
          <w:highlight w:val="none"/>
          <w:lang w:val="en-US" w:eastAsia="zh-CN"/>
          <w14:textFill>
            <w14:solidFill>
              <w14:schemeClr w14:val="tx1"/>
            </w14:solidFill>
          </w14:textFill>
        </w:rPr>
        <w:t>总用量，并作为甲乙双方结算资料的一部分。</w:t>
      </w:r>
    </w:p>
    <w:p w14:paraId="30CE8275">
      <w:pPr>
        <w:kinsoku w:val="0"/>
        <w:spacing w:after="0" w:line="48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8.21除本合同规定的应由甲方供应的材料外的其它材料均由乙方自行采购，所采购的材料须选择甲方认可的合格供应商，本工程严禁使用未经甲方批准验收的材料，乙方所购材料均包括在合同价款内。</w:t>
      </w:r>
    </w:p>
    <w:p w14:paraId="0C4B1FA7">
      <w:pPr>
        <w:kinsoku w:val="0"/>
        <w:spacing w:after="0" w:line="480" w:lineRule="exact"/>
        <w:ind w:firstLine="420" w:firstLineChars="200"/>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8.22本工程所使用原材料（甲方供应的除外）、设备均由乙方自行组织进场，其质量必须符合技术规范及业主、监理、总包方要求，不合格材料和设备不得用于本工程，由此造成的一切损失由乙方承担。</w:t>
      </w:r>
    </w:p>
    <w:p w14:paraId="2A8073D9">
      <w:pPr>
        <w:kinsoku w:val="0"/>
        <w:spacing w:after="0" w:line="480" w:lineRule="exact"/>
        <w:ind w:firstLine="420" w:firstLineChars="200"/>
        <w:jc w:val="both"/>
        <w:rPr>
          <w:rFonts w:hint="eastAsia"/>
          <w:color w:val="000000" w:themeColor="text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8.21乙</w:t>
      </w:r>
      <w:r>
        <w:rPr>
          <w:rFonts w:hint="default" w:ascii="宋体" w:hAnsi="宋体" w:eastAsia="宋体" w:cs="宋体"/>
          <w:color w:val="000000" w:themeColor="text1"/>
          <w:sz w:val="21"/>
          <w:szCs w:val="21"/>
          <w:highlight w:val="none"/>
          <w:lang w:val="en-US" w:eastAsia="zh-CN"/>
          <w14:textFill>
            <w14:solidFill>
              <w14:schemeClr w14:val="tx1"/>
            </w14:solidFill>
          </w14:textFill>
        </w:rPr>
        <w:t>方按设计图纸、规范要求施工，不得有偷工减料行为，如有发现，</w:t>
      </w:r>
      <w:r>
        <w:rPr>
          <w:rFonts w:hint="eastAsia" w:ascii="宋体" w:hAnsi="宋体" w:eastAsia="宋体" w:cs="宋体"/>
          <w:color w:val="000000" w:themeColor="text1"/>
          <w:sz w:val="21"/>
          <w:szCs w:val="21"/>
          <w:highlight w:val="none"/>
          <w:lang w:val="en-US" w:eastAsia="zh-CN"/>
          <w14:textFill>
            <w14:solidFill>
              <w14:schemeClr w14:val="tx1"/>
            </w14:solidFill>
          </w14:textFill>
        </w:rPr>
        <w:t>甲</w:t>
      </w:r>
      <w:r>
        <w:rPr>
          <w:rFonts w:hint="default" w:ascii="宋体" w:hAnsi="宋体" w:eastAsia="宋体" w:cs="宋体"/>
          <w:color w:val="000000" w:themeColor="text1"/>
          <w:sz w:val="21"/>
          <w:szCs w:val="21"/>
          <w:highlight w:val="none"/>
          <w:lang w:val="en-US" w:eastAsia="zh-CN"/>
          <w14:textFill>
            <w14:solidFill>
              <w14:schemeClr w14:val="tx1"/>
            </w14:solidFill>
          </w14:textFill>
        </w:rPr>
        <w:t>方按相关规定进行质量罚款，并要求</w:t>
      </w:r>
      <w:r>
        <w:rPr>
          <w:rFonts w:hint="eastAsia" w:ascii="宋体" w:hAnsi="宋体" w:eastAsia="宋体" w:cs="宋体"/>
          <w:color w:val="000000" w:themeColor="text1"/>
          <w:sz w:val="21"/>
          <w:szCs w:val="21"/>
          <w:highlight w:val="none"/>
          <w:lang w:val="en-US" w:eastAsia="zh-CN"/>
          <w14:textFill>
            <w14:solidFill>
              <w14:schemeClr w14:val="tx1"/>
            </w14:solidFill>
          </w14:textFill>
        </w:rPr>
        <w:t>乙</w:t>
      </w:r>
      <w:r>
        <w:rPr>
          <w:rFonts w:hint="default" w:ascii="宋体" w:hAnsi="宋体" w:eastAsia="宋体" w:cs="宋体"/>
          <w:color w:val="000000" w:themeColor="text1"/>
          <w:sz w:val="21"/>
          <w:szCs w:val="21"/>
          <w:highlight w:val="none"/>
          <w:lang w:val="en-US" w:eastAsia="zh-CN"/>
          <w14:textFill>
            <w14:solidFill>
              <w14:schemeClr w14:val="tx1"/>
            </w14:solidFill>
          </w14:textFill>
        </w:rPr>
        <w:t>方进行返工处理，分包方承担一切责任后果。</w:t>
      </w:r>
    </w:p>
    <w:p w14:paraId="682558C6">
      <w:pPr>
        <w:widowControl w:val="0"/>
        <w:numPr>
          <w:ilvl w:val="0"/>
          <w:numId w:val="10"/>
        </w:numPr>
        <w:kinsoku w:val="0"/>
        <w:spacing w:after="0" w:line="360" w:lineRule="auto"/>
        <w:ind w:left="158" w:leftChars="75"/>
        <w:jc w:val="both"/>
        <w:outlineLvl w:val="1"/>
        <w:rPr>
          <w:rFonts w:hint="eastAsia" w:ascii="宋体" w:hAnsi="宋体" w:eastAsia="宋体" w:cs="宋体"/>
          <w:b/>
          <w:color w:val="000000" w:themeColor="text1"/>
          <w:sz w:val="21"/>
          <w:szCs w:val="21"/>
          <w:highlight w:val="none"/>
          <w14:textFill>
            <w14:solidFill>
              <w14:schemeClr w14:val="tx1"/>
            </w14:solidFill>
          </w14:textFill>
        </w:rPr>
      </w:pPr>
      <w:bookmarkStart w:id="1332" w:name="_Toc6224"/>
      <w:bookmarkStart w:id="1333" w:name="_Toc31479"/>
      <w:bookmarkStart w:id="1334" w:name="_Toc13688"/>
      <w:bookmarkStart w:id="1335" w:name="_Toc19791"/>
      <w:bookmarkStart w:id="1336" w:name="_Toc11460"/>
      <w:bookmarkStart w:id="1337" w:name="_Toc20670"/>
      <w:bookmarkStart w:id="1338" w:name="_Toc7144"/>
      <w:bookmarkStart w:id="1339" w:name="_Toc4835"/>
      <w:bookmarkStart w:id="1340" w:name="_Toc5223"/>
      <w:bookmarkStart w:id="1341" w:name="_Toc10045"/>
      <w:bookmarkStart w:id="1342" w:name="_Toc5704"/>
      <w:bookmarkStart w:id="1343" w:name="_Toc10377"/>
      <w:bookmarkStart w:id="1344" w:name="_Toc26565"/>
      <w:bookmarkStart w:id="1345" w:name="_Toc175764453"/>
      <w:bookmarkStart w:id="1346" w:name="_Toc12658"/>
      <w:bookmarkStart w:id="1347" w:name="_Toc20197"/>
      <w:bookmarkStart w:id="1348" w:name="_Toc101357463"/>
      <w:bookmarkStart w:id="1349" w:name="_Toc101963517"/>
      <w:bookmarkStart w:id="1350" w:name="_Toc10950"/>
      <w:bookmarkStart w:id="1351" w:name="_Toc2732"/>
      <w:bookmarkStart w:id="1352" w:name="_Toc19535"/>
      <w:r>
        <w:rPr>
          <w:rFonts w:hint="eastAsia" w:ascii="宋体" w:hAnsi="宋体" w:eastAsia="宋体" w:cs="宋体"/>
          <w:b/>
          <w:color w:val="000000" w:themeColor="text1"/>
          <w:sz w:val="21"/>
          <w:szCs w:val="21"/>
          <w:highlight w:val="none"/>
          <w:lang w:eastAsia="zh-CN"/>
          <w14:textFill>
            <w14:solidFill>
              <w14:schemeClr w14:val="tx1"/>
            </w14:solidFill>
          </w14:textFill>
        </w:rPr>
        <w:t>安全文明施工管理</w:t>
      </w:r>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p>
    <w:p w14:paraId="13A404DE">
      <w:pPr>
        <w:kinsoku w:val="0"/>
        <w:spacing w:after="0" w:line="360" w:lineRule="auto"/>
        <w:ind w:firstLine="422" w:firstLineChars="200"/>
        <w:jc w:val="both"/>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9.4补充：乙方必须缴纳安全风险抵押金</w:t>
      </w:r>
      <w:r>
        <w:rPr>
          <w:rFonts w:hint="eastAsia" w:ascii="宋体" w:hAnsi="宋体" w:eastAsia="宋体" w:cs="宋体"/>
          <w:b/>
          <w:bCs/>
          <w:color w:val="000000" w:themeColor="text1"/>
          <w:sz w:val="21"/>
          <w:szCs w:val="21"/>
          <w:highlight w:val="none"/>
          <w:u w:val="single"/>
          <w:lang w:eastAsia="zh-CN"/>
          <w14:textFill>
            <w14:solidFill>
              <w14:schemeClr w14:val="tx1"/>
            </w14:solidFill>
          </w14:textFill>
        </w:rPr>
        <w:t xml:space="preserve"> </w:t>
      </w:r>
      <w:r>
        <w:rPr>
          <w:rFonts w:hint="eastAsia" w:ascii="宋体" w:hAnsi="宋体" w:eastAsia="宋体" w:cs="宋体"/>
          <w:b/>
          <w:bCs/>
          <w:color w:val="000000" w:themeColor="text1"/>
          <w:sz w:val="21"/>
          <w:szCs w:val="21"/>
          <w:highlight w:val="none"/>
          <w:u w:val="single"/>
          <w:lang w:val="en-US" w:eastAsia="zh-CN"/>
          <w14:textFill>
            <w14:solidFill>
              <w14:schemeClr w14:val="tx1"/>
            </w14:solidFill>
          </w14:textFill>
        </w:rPr>
        <w:t>2</w:t>
      </w:r>
      <w:r>
        <w:rPr>
          <w:rFonts w:hint="eastAsia" w:ascii="宋体" w:hAnsi="宋体" w:eastAsia="宋体" w:cs="宋体"/>
          <w:b/>
          <w:bCs/>
          <w:color w:val="000000" w:themeColor="text1"/>
          <w:sz w:val="21"/>
          <w:szCs w:val="21"/>
          <w:highlight w:val="none"/>
          <w:u w:val="single"/>
          <w:lang w:eastAsia="zh-CN"/>
          <w14:textFill>
            <w14:solidFill>
              <w14:schemeClr w14:val="tx1"/>
            </w14:solidFill>
          </w14:textFill>
        </w:rPr>
        <w:t xml:space="preserve"> </w:t>
      </w:r>
      <w:r>
        <w:rPr>
          <w:rFonts w:hint="eastAsia" w:ascii="宋体" w:hAnsi="宋体" w:eastAsia="宋体" w:cs="宋体"/>
          <w:b/>
          <w:bCs/>
          <w:color w:val="000000" w:themeColor="text1"/>
          <w:sz w:val="21"/>
          <w:szCs w:val="21"/>
          <w:highlight w:val="none"/>
          <w:lang w:eastAsia="zh-CN"/>
          <w14:textFill>
            <w14:solidFill>
              <w14:schemeClr w14:val="tx1"/>
            </w14:solidFill>
          </w14:textFill>
        </w:rPr>
        <w:t>万元。</w:t>
      </w:r>
    </w:p>
    <w:p w14:paraId="4B1B50B1">
      <w:pPr>
        <w:kinsoku w:val="0"/>
        <w:spacing w:after="0" w:line="360" w:lineRule="auto"/>
        <w:ind w:firstLine="422"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9.12</w:t>
      </w:r>
      <w:r>
        <w:rPr>
          <w:rFonts w:hint="eastAsia" w:ascii="宋体" w:hAnsi="宋体" w:eastAsia="宋体" w:cs="宋体"/>
          <w:color w:val="000000" w:themeColor="text1"/>
          <w:sz w:val="21"/>
          <w:szCs w:val="21"/>
          <w:highlight w:val="none"/>
          <w:lang w:eastAsia="zh-CN"/>
          <w14:textFill>
            <w14:solidFill>
              <w14:schemeClr w14:val="tx1"/>
            </w14:solidFill>
          </w14:textFill>
        </w:rPr>
        <w:t>劳动防护用品（</w:t>
      </w:r>
      <w:r>
        <w:rPr>
          <w:rFonts w:hint="eastAsia" w:ascii="宋体" w:hAnsi="宋体" w:eastAsia="宋体" w:cs="宋体"/>
          <w:color w:val="000000" w:themeColor="text1"/>
          <w:sz w:val="21"/>
          <w:szCs w:val="21"/>
          <w:highlight w:val="none"/>
          <w:lang w:val="en-US" w:eastAsia="zh-CN"/>
          <w14:textFill>
            <w14:solidFill>
              <w14:schemeClr w14:val="tx1"/>
            </w14:solidFill>
          </w14:textFill>
        </w:rPr>
        <w:t>包括“三宝一器”：安全帽、安全带、安全网、漏电保护器</w:t>
      </w:r>
      <w:r>
        <w:rPr>
          <w:rFonts w:hint="eastAsia" w:ascii="宋体" w:hAnsi="宋体" w:eastAsia="宋体" w:cs="宋体"/>
          <w:color w:val="000000" w:themeColor="text1"/>
          <w:sz w:val="21"/>
          <w:szCs w:val="21"/>
          <w:highlight w:val="none"/>
          <w:lang w:eastAsia="zh-CN"/>
          <w14:textFill>
            <w14:solidFill>
              <w14:schemeClr w14:val="tx1"/>
            </w14:solidFill>
          </w14:textFill>
        </w:rPr>
        <w:t>）的购买、验收、发放、使用、更换和报废统一由</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乙方</w:t>
      </w:r>
      <w:r>
        <w:rPr>
          <w:rFonts w:hint="eastAsia" w:ascii="宋体" w:hAnsi="宋体" w:eastAsia="宋体" w:cs="宋体"/>
          <w:color w:val="000000" w:themeColor="text1"/>
          <w:sz w:val="21"/>
          <w:szCs w:val="21"/>
          <w:highlight w:val="none"/>
          <w:lang w:eastAsia="zh-CN"/>
          <w14:textFill>
            <w14:solidFill>
              <w14:schemeClr w14:val="tx1"/>
            </w14:solidFill>
          </w14:textFill>
        </w:rPr>
        <w:t>负责，费用由乙方承担，</w:t>
      </w:r>
      <w:r>
        <w:rPr>
          <w:rFonts w:hint="eastAsia" w:ascii="宋体" w:hAnsi="宋体" w:eastAsia="宋体" w:cs="宋体"/>
          <w:color w:val="000000" w:themeColor="text1"/>
          <w:sz w:val="21"/>
          <w:szCs w:val="21"/>
          <w:highlight w:val="none"/>
          <w:lang w:val="en-US" w:eastAsia="zh-CN"/>
          <w14:textFill>
            <w14:solidFill>
              <w14:schemeClr w14:val="tx1"/>
            </w14:solidFill>
          </w14:textFill>
        </w:rPr>
        <w:t>若甲方购买的</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则</w:t>
      </w:r>
      <w:r>
        <w:rPr>
          <w:rFonts w:hint="eastAsia" w:ascii="宋体" w:hAnsi="宋体" w:eastAsia="宋体" w:cs="宋体"/>
          <w:color w:val="000000" w:themeColor="text1"/>
          <w:sz w:val="21"/>
          <w:szCs w:val="21"/>
          <w:highlight w:val="none"/>
          <w:lang w:eastAsia="zh-CN"/>
          <w14:textFill>
            <w14:solidFill>
              <w14:schemeClr w14:val="tx1"/>
            </w14:solidFill>
          </w14:textFill>
        </w:rPr>
        <w:t>从本分包工程的结算中扣除。</w:t>
      </w:r>
    </w:p>
    <w:p w14:paraId="3311A9B2">
      <w:pPr>
        <w:keepNext w:val="0"/>
        <w:keepLines w:val="0"/>
        <w:pageBreakBefore w:val="0"/>
        <w:widowControl w:val="0"/>
        <w:kinsoku w:val="0"/>
        <w:wordWrap/>
        <w:overflowPunct/>
        <w:topLinePunct w:val="0"/>
        <w:autoSpaceDE/>
        <w:autoSpaceDN/>
        <w:bidi w:val="0"/>
        <w:adjustRightInd/>
        <w:snapToGrid/>
        <w:spacing w:after="0" w:line="480" w:lineRule="atLeast"/>
        <w:ind w:firstLine="420" w:firstLineChars="200"/>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9.13 乙方安全生产费用投入必须达到项目所在地、业主及甲方要求，并提供相应的发票、</w:t>
      </w:r>
      <w:r>
        <w:rPr>
          <w:rFonts w:hint="eastAsia" w:ascii="宋体" w:hAnsi="宋体" w:eastAsia="宋体" w:cs="宋体"/>
          <w:color w:val="000000" w:themeColor="text1"/>
          <w:sz w:val="21"/>
          <w:szCs w:val="21"/>
          <w:highlight w:val="none"/>
          <w:lang w:val="en-US" w:eastAsia="zh-CN"/>
          <w14:textFill>
            <w14:solidFill>
              <w14:schemeClr w14:val="tx1"/>
            </w14:solidFill>
          </w14:textFill>
        </w:rPr>
        <w:t>影响资料、签认单等支撑性资料</w:t>
      </w:r>
      <w:r>
        <w:rPr>
          <w:rFonts w:hint="eastAsia" w:ascii="宋体" w:hAnsi="宋体" w:eastAsia="宋体" w:cs="宋体"/>
          <w:color w:val="000000" w:themeColor="text1"/>
          <w:sz w:val="21"/>
          <w:szCs w:val="21"/>
          <w:highlight w:val="none"/>
          <w:lang w:eastAsia="zh-CN"/>
          <w14:textFill>
            <w14:solidFill>
              <w14:schemeClr w14:val="tx1"/>
            </w14:solidFill>
          </w14:textFill>
        </w:rPr>
        <w:t>，若安全生产费用投入未达到要求的投入金额，甲方有权在工程款支付时扣除不足部分的安全生产费用；</w:t>
      </w:r>
    </w:p>
    <w:p w14:paraId="362E5BF8">
      <w:pPr>
        <w:keepNext w:val="0"/>
        <w:keepLines w:val="0"/>
        <w:pageBreakBefore w:val="0"/>
        <w:widowControl w:val="0"/>
        <w:kinsoku w:val="0"/>
        <w:wordWrap/>
        <w:overflowPunct/>
        <w:topLinePunct w:val="0"/>
        <w:autoSpaceDE/>
        <w:autoSpaceDN/>
        <w:bidi w:val="0"/>
        <w:adjustRightInd/>
        <w:snapToGrid/>
        <w:spacing w:after="0" w:line="480" w:lineRule="atLeast"/>
        <w:ind w:firstLine="420" w:firstLineChars="200"/>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9.14乙方须采取有效措施，防止机械噪声超标或机械漏油污染环境，对于不符合要求的机械应及时采取必要的措施；</w:t>
      </w:r>
    </w:p>
    <w:p w14:paraId="27BB9B9E">
      <w:pPr>
        <w:keepNext w:val="0"/>
        <w:keepLines w:val="0"/>
        <w:pageBreakBefore w:val="0"/>
        <w:widowControl w:val="0"/>
        <w:kinsoku w:val="0"/>
        <w:wordWrap/>
        <w:overflowPunct/>
        <w:topLinePunct w:val="0"/>
        <w:autoSpaceDE/>
        <w:autoSpaceDN/>
        <w:bidi w:val="0"/>
        <w:adjustRightInd/>
        <w:snapToGrid/>
        <w:spacing w:after="0" w:line="480" w:lineRule="atLeast"/>
        <w:ind w:firstLine="420" w:firstLineChars="200"/>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9.1</w:t>
      </w: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lang w:eastAsia="zh-CN"/>
          <w14:textFill>
            <w14:solidFill>
              <w14:schemeClr w14:val="tx1"/>
            </w14:solidFill>
          </w14:textFill>
        </w:rPr>
        <w:t>分包方负责人按实际情况上报人员数量及身份证复印件（身份证复印件必须与本人相符）在我项目部登记备案，人员数量增减必须如实上报。若不如实上报和人员信息不相符，将对其进行1000元罚款。若没有登记和人员信息不符的人员出现安全事故由分包方承担一切责任。</w:t>
      </w:r>
    </w:p>
    <w:p w14:paraId="3188B490">
      <w:pPr>
        <w:keepNext w:val="0"/>
        <w:keepLines w:val="0"/>
        <w:pageBreakBefore w:val="0"/>
        <w:widowControl w:val="0"/>
        <w:kinsoku w:val="0"/>
        <w:wordWrap/>
        <w:overflowPunct/>
        <w:topLinePunct w:val="0"/>
        <w:autoSpaceDE/>
        <w:autoSpaceDN/>
        <w:bidi w:val="0"/>
        <w:adjustRightInd/>
        <w:snapToGrid/>
        <w:spacing w:after="0" w:line="480" w:lineRule="atLeast"/>
        <w:ind w:firstLine="420" w:firstLineChars="200"/>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9.</w:t>
      </w:r>
      <w:r>
        <w:rPr>
          <w:rFonts w:hint="eastAsia" w:ascii="宋体" w:hAnsi="宋体" w:eastAsia="宋体" w:cs="宋体"/>
          <w:color w:val="000000" w:themeColor="text1"/>
          <w:sz w:val="21"/>
          <w:szCs w:val="21"/>
          <w:highlight w:val="none"/>
          <w:lang w:val="en-US" w:eastAsia="zh-CN"/>
          <w14:textFill>
            <w14:solidFill>
              <w14:schemeClr w14:val="tx1"/>
            </w14:solidFill>
          </w14:textFill>
        </w:rPr>
        <w:t>16</w:t>
      </w:r>
      <w:r>
        <w:rPr>
          <w:rFonts w:hint="eastAsia" w:ascii="宋体" w:hAnsi="宋体" w:eastAsia="宋体" w:cs="宋体"/>
          <w:color w:val="000000" w:themeColor="text1"/>
          <w:sz w:val="21"/>
          <w:szCs w:val="21"/>
          <w:highlight w:val="none"/>
          <w:lang w:eastAsia="zh-CN"/>
          <w14:textFill>
            <w14:solidFill>
              <w14:schemeClr w14:val="tx1"/>
            </w14:solidFill>
          </w14:textFill>
        </w:rPr>
        <w:t>在施工场地涉及危险地区或需要安全防护措施施工时，</w:t>
      </w:r>
      <w:r>
        <w:rPr>
          <w:rFonts w:hint="eastAsia" w:ascii="宋体" w:hAnsi="宋体" w:eastAsia="宋体" w:cs="宋体"/>
          <w:color w:val="000000" w:themeColor="text1"/>
          <w:sz w:val="21"/>
          <w:szCs w:val="21"/>
          <w:highlight w:val="none"/>
          <w:lang w:val="en-US" w:eastAsia="zh-CN"/>
          <w14:textFill>
            <w14:solidFill>
              <w14:schemeClr w14:val="tx1"/>
            </w14:solidFill>
          </w14:textFill>
        </w:rPr>
        <w:t>乙</w:t>
      </w:r>
      <w:r>
        <w:rPr>
          <w:rFonts w:hint="eastAsia" w:ascii="宋体" w:hAnsi="宋体" w:eastAsia="宋体" w:cs="宋体"/>
          <w:color w:val="000000" w:themeColor="text1"/>
          <w:sz w:val="21"/>
          <w:szCs w:val="21"/>
          <w:highlight w:val="none"/>
          <w:lang w:eastAsia="zh-CN"/>
          <w14:textFill>
            <w14:solidFill>
              <w14:schemeClr w14:val="tx1"/>
            </w14:solidFill>
          </w14:textFill>
        </w:rPr>
        <w:t>方应提出安全防护措施，经</w:t>
      </w:r>
      <w:r>
        <w:rPr>
          <w:rFonts w:hint="eastAsia" w:ascii="宋体" w:hAnsi="宋体" w:eastAsia="宋体" w:cs="宋体"/>
          <w:color w:val="000000" w:themeColor="text1"/>
          <w:sz w:val="21"/>
          <w:szCs w:val="21"/>
          <w:highlight w:val="none"/>
          <w:lang w:val="en-US" w:eastAsia="zh-CN"/>
          <w14:textFill>
            <w14:solidFill>
              <w14:schemeClr w14:val="tx1"/>
            </w14:solidFill>
          </w14:textFill>
        </w:rPr>
        <w:t>甲</w:t>
      </w:r>
      <w:r>
        <w:rPr>
          <w:rFonts w:hint="eastAsia" w:ascii="宋体" w:hAnsi="宋体" w:eastAsia="宋体" w:cs="宋体"/>
          <w:color w:val="000000" w:themeColor="text1"/>
          <w:sz w:val="21"/>
          <w:szCs w:val="21"/>
          <w:highlight w:val="none"/>
          <w:lang w:eastAsia="zh-CN"/>
          <w14:textFill>
            <w14:solidFill>
              <w14:schemeClr w14:val="tx1"/>
            </w14:solidFill>
          </w14:textFill>
        </w:rPr>
        <w:t>方批准后实施，发生的相应费用由</w:t>
      </w:r>
      <w:r>
        <w:rPr>
          <w:rFonts w:hint="eastAsia" w:ascii="宋体" w:hAnsi="宋体" w:eastAsia="宋体" w:cs="宋体"/>
          <w:color w:val="000000" w:themeColor="text1"/>
          <w:sz w:val="21"/>
          <w:szCs w:val="21"/>
          <w:highlight w:val="none"/>
          <w:lang w:val="en-US" w:eastAsia="zh-CN"/>
          <w14:textFill>
            <w14:solidFill>
              <w14:schemeClr w14:val="tx1"/>
            </w14:solidFill>
          </w14:textFill>
        </w:rPr>
        <w:t>乙</w:t>
      </w:r>
      <w:r>
        <w:rPr>
          <w:rFonts w:hint="eastAsia" w:ascii="宋体" w:hAnsi="宋体" w:eastAsia="宋体" w:cs="宋体"/>
          <w:color w:val="000000" w:themeColor="text1"/>
          <w:sz w:val="21"/>
          <w:szCs w:val="21"/>
          <w:highlight w:val="none"/>
          <w:lang w:eastAsia="zh-CN"/>
          <w14:textFill>
            <w14:solidFill>
              <w14:schemeClr w14:val="tx1"/>
            </w14:solidFill>
          </w14:textFill>
        </w:rPr>
        <w:t>方承担。</w:t>
      </w:r>
    </w:p>
    <w:p w14:paraId="376E0C17">
      <w:pPr>
        <w:keepNext w:val="0"/>
        <w:keepLines w:val="0"/>
        <w:pageBreakBefore w:val="0"/>
        <w:widowControl w:val="0"/>
        <w:kinsoku w:val="0"/>
        <w:wordWrap/>
        <w:overflowPunct/>
        <w:topLinePunct w:val="0"/>
        <w:autoSpaceDE/>
        <w:autoSpaceDN/>
        <w:bidi w:val="0"/>
        <w:adjustRightInd/>
        <w:snapToGrid/>
        <w:spacing w:after="0" w:line="480" w:lineRule="atLeast"/>
        <w:ind w:firstLine="420" w:firstLineChars="200"/>
        <w:jc w:val="both"/>
        <w:textAlignment w:val="auto"/>
        <w:rPr>
          <w:rFonts w:hint="eastAsia"/>
          <w:color w:val="000000" w:themeColor="text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9.17乙方必须对其施工范围和相关场所以及所有施工人员、管理辅助人员、设备、财产及第三人的安全负一切责任，在施工及材料的采购、运输等过程中发生的一切人身伤残、死亡、财产损失、损害及意外事故均由乙方承担，如发生安全事故，甲方有权在乙方进度款或安全履约保证金内扣除相应资金用于安全事故处理。</w:t>
      </w:r>
    </w:p>
    <w:p w14:paraId="36C8F4E7">
      <w:pPr>
        <w:numPr>
          <w:ilvl w:val="0"/>
          <w:numId w:val="10"/>
        </w:numPr>
        <w:kinsoku w:val="0"/>
        <w:spacing w:after="0" w:line="360" w:lineRule="auto"/>
        <w:ind w:left="158" w:leftChars="75"/>
        <w:jc w:val="both"/>
        <w:outlineLvl w:val="1"/>
        <w:rPr>
          <w:rFonts w:hint="eastAsia" w:ascii="宋体" w:hAnsi="宋体" w:eastAsia="宋体" w:cs="宋体"/>
          <w:b/>
          <w:color w:val="000000" w:themeColor="text1"/>
          <w:sz w:val="21"/>
          <w:szCs w:val="21"/>
          <w:highlight w:val="none"/>
          <w:lang w:eastAsia="zh-CN"/>
          <w14:textFill>
            <w14:solidFill>
              <w14:schemeClr w14:val="tx1"/>
            </w14:solidFill>
          </w14:textFill>
        </w:rPr>
      </w:pPr>
      <w:bookmarkStart w:id="1353" w:name="_Toc101357464"/>
      <w:bookmarkStart w:id="1354" w:name="_Toc101963518"/>
      <w:bookmarkStart w:id="1355" w:name="_Toc175764454"/>
      <w:bookmarkStart w:id="1356" w:name="_Toc783"/>
      <w:bookmarkStart w:id="1357" w:name="_Toc28699"/>
      <w:bookmarkStart w:id="1358" w:name="_Toc29188"/>
      <w:bookmarkStart w:id="1359" w:name="_Toc14336"/>
      <w:bookmarkStart w:id="1360" w:name="_Toc496"/>
      <w:bookmarkStart w:id="1361" w:name="_Toc21644"/>
      <w:bookmarkStart w:id="1362" w:name="_Toc17137"/>
      <w:bookmarkStart w:id="1363" w:name="_Toc4937"/>
      <w:bookmarkStart w:id="1364" w:name="_Toc10348"/>
      <w:bookmarkStart w:id="1365" w:name="_Toc28958"/>
      <w:bookmarkStart w:id="1366" w:name="_Toc26103"/>
      <w:bookmarkStart w:id="1367" w:name="_Toc22179"/>
      <w:bookmarkStart w:id="1368" w:name="_Toc370"/>
      <w:bookmarkStart w:id="1369" w:name="_Toc3250"/>
      <w:bookmarkStart w:id="1370" w:name="_Toc2531"/>
      <w:bookmarkStart w:id="1371" w:name="_Toc24192"/>
      <w:bookmarkStart w:id="1372" w:name="_Toc25432"/>
      <w:bookmarkStart w:id="1373" w:name="_Toc21567"/>
      <w:r>
        <w:rPr>
          <w:rFonts w:hint="eastAsia" w:ascii="宋体" w:hAnsi="宋体" w:eastAsia="宋体" w:cs="宋体"/>
          <w:b/>
          <w:color w:val="000000" w:themeColor="text1"/>
          <w:sz w:val="21"/>
          <w:szCs w:val="21"/>
          <w:highlight w:val="none"/>
          <w:lang w:eastAsia="zh-CN"/>
          <w14:textFill>
            <w14:solidFill>
              <w14:schemeClr w14:val="tx1"/>
            </w14:solidFill>
          </w14:textFill>
        </w:rPr>
        <w:t>绿色施工、环境保护与职业健康管理</w:t>
      </w:r>
      <w:bookmarkEnd w:id="1353"/>
      <w:bookmarkEnd w:id="1354"/>
      <w:bookmarkEnd w:id="1355"/>
      <w:bookmarkStart w:id="1374" w:name="_Toc101357465"/>
    </w:p>
    <w:p w14:paraId="4449457F">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见通用合同条款。</w:t>
      </w:r>
      <w:bookmarkEnd w:id="1374"/>
    </w:p>
    <w:p w14:paraId="02726382">
      <w:pPr>
        <w:widowControl w:val="0"/>
        <w:numPr>
          <w:ilvl w:val="0"/>
          <w:numId w:val="10"/>
        </w:numPr>
        <w:kinsoku w:val="0"/>
        <w:spacing w:after="0" w:line="360" w:lineRule="auto"/>
        <w:ind w:left="158" w:leftChars="75"/>
        <w:jc w:val="both"/>
        <w:outlineLvl w:val="1"/>
        <w:rPr>
          <w:rFonts w:hint="eastAsia" w:ascii="宋体" w:hAnsi="宋体" w:eastAsia="宋体" w:cs="宋体"/>
          <w:b/>
          <w:color w:val="000000" w:themeColor="text1"/>
          <w:sz w:val="21"/>
          <w:szCs w:val="21"/>
          <w:highlight w:val="none"/>
          <w:lang w:eastAsia="zh-CN"/>
          <w14:textFill>
            <w14:solidFill>
              <w14:schemeClr w14:val="tx1"/>
            </w14:solidFill>
          </w14:textFill>
        </w:rPr>
      </w:pPr>
      <w:bookmarkStart w:id="1375" w:name="_Toc101963519"/>
      <w:bookmarkStart w:id="1376" w:name="_Toc101357466"/>
      <w:bookmarkStart w:id="1377" w:name="_Toc175764455"/>
      <w:r>
        <w:rPr>
          <w:rFonts w:hint="eastAsia" w:ascii="宋体" w:hAnsi="宋体" w:eastAsia="宋体" w:cs="宋体"/>
          <w:b/>
          <w:color w:val="000000" w:themeColor="text1"/>
          <w:sz w:val="21"/>
          <w:szCs w:val="21"/>
          <w:highlight w:val="none"/>
          <w:lang w:eastAsia="zh-CN"/>
          <w14:textFill>
            <w14:solidFill>
              <w14:schemeClr w14:val="tx1"/>
            </w14:solidFill>
          </w14:textFill>
        </w:rPr>
        <w:t>工期</w:t>
      </w:r>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5"/>
      <w:bookmarkEnd w:id="1376"/>
      <w:bookmarkEnd w:id="1377"/>
    </w:p>
    <w:p w14:paraId="6E9961B6">
      <w:pPr>
        <w:kinsoku w:val="0"/>
        <w:spacing w:after="0" w:line="360" w:lineRule="auto"/>
        <w:ind w:firstLine="420" w:firstLineChars="200"/>
        <w:jc w:val="both"/>
        <w:rPr>
          <w:rFonts w:hint="default" w:ascii="宋体" w:hAnsi="宋体" w:eastAsia="宋体" w:cs="宋体"/>
          <w:color w:val="000000" w:themeColor="text1"/>
          <w:kern w:val="10"/>
          <w:sz w:val="21"/>
          <w:szCs w:val="21"/>
          <w:highlight w:val="none"/>
          <w:lang w:val="en-US" w:eastAsia="zh-CN"/>
          <w14:textFill>
            <w14:solidFill>
              <w14:schemeClr w14:val="tx1"/>
            </w14:solidFill>
          </w14:textFill>
        </w:rPr>
      </w:pPr>
      <w:bookmarkStart w:id="1378" w:name="_Toc2649"/>
      <w:r>
        <w:rPr>
          <w:rFonts w:hint="eastAsia" w:ascii="宋体" w:hAnsi="宋体" w:eastAsia="宋体" w:cs="宋体"/>
          <w:color w:val="000000" w:themeColor="text1"/>
          <w:sz w:val="21"/>
          <w:szCs w:val="21"/>
          <w:highlight w:val="none"/>
          <w:lang w:eastAsia="zh-CN"/>
          <w14:textFill>
            <w14:solidFill>
              <w14:schemeClr w14:val="tx1"/>
            </w14:solidFill>
          </w14:textFill>
        </w:rPr>
        <w:t>11.6主要节点工期目标：</w:t>
      </w:r>
      <w:bookmarkEnd w:id="1378"/>
      <w:r>
        <w:rPr>
          <w:rFonts w:hint="eastAsia" w:ascii="宋体" w:hAnsi="宋体" w:eastAsia="宋体" w:cs="宋体"/>
          <w:color w:val="000000" w:themeColor="text1"/>
          <w:sz w:val="21"/>
          <w:szCs w:val="21"/>
          <w:highlight w:val="none"/>
          <w:lang w:val="en-US" w:eastAsia="zh-CN"/>
          <w14:textFill>
            <w14:solidFill>
              <w14:schemeClr w14:val="tx1"/>
            </w14:solidFill>
          </w14:textFill>
        </w:rPr>
        <w:t>乙方进场后，按照现场实际施工进度计划制定施工节点并确定奖罚措施。</w:t>
      </w:r>
    </w:p>
    <w:p w14:paraId="33F37399">
      <w:pPr>
        <w:widowControl w:val="0"/>
        <w:numPr>
          <w:ilvl w:val="0"/>
          <w:numId w:val="10"/>
        </w:numPr>
        <w:kinsoku w:val="0"/>
        <w:spacing w:after="0" w:line="360" w:lineRule="auto"/>
        <w:ind w:left="158" w:leftChars="75"/>
        <w:jc w:val="both"/>
        <w:outlineLvl w:val="1"/>
        <w:rPr>
          <w:rFonts w:hint="eastAsia" w:ascii="宋体" w:hAnsi="宋体" w:eastAsia="宋体" w:cs="宋体"/>
          <w:b/>
          <w:color w:val="000000" w:themeColor="text1"/>
          <w:sz w:val="21"/>
          <w:szCs w:val="21"/>
          <w:highlight w:val="none"/>
          <w14:textFill>
            <w14:solidFill>
              <w14:schemeClr w14:val="tx1"/>
            </w14:solidFill>
          </w14:textFill>
        </w:rPr>
      </w:pPr>
      <w:bookmarkStart w:id="1379" w:name="_Toc175764456"/>
      <w:bookmarkStart w:id="1380" w:name="_Toc101357467"/>
      <w:bookmarkStart w:id="1381" w:name="_Toc101963520"/>
      <w:bookmarkStart w:id="1382" w:name="_Toc13529"/>
      <w:bookmarkStart w:id="1383" w:name="_Toc20371"/>
      <w:bookmarkStart w:id="1384" w:name="_Toc416"/>
      <w:bookmarkStart w:id="1385" w:name="_Toc4510"/>
      <w:bookmarkStart w:id="1386" w:name="_Toc9732"/>
      <w:bookmarkStart w:id="1387" w:name="_Toc15784"/>
      <w:bookmarkStart w:id="1388" w:name="_Toc9892"/>
      <w:bookmarkStart w:id="1389" w:name="_Toc23709"/>
      <w:bookmarkStart w:id="1390" w:name="_Toc2116"/>
      <w:bookmarkStart w:id="1391" w:name="_Toc6778"/>
      <w:bookmarkStart w:id="1392" w:name="_Toc15033"/>
      <w:bookmarkStart w:id="1393" w:name="_Toc12264"/>
      <w:bookmarkStart w:id="1394" w:name="_Toc19739"/>
      <w:bookmarkStart w:id="1395" w:name="_Toc15643"/>
      <w:bookmarkStart w:id="1396" w:name="_Toc14156"/>
      <w:bookmarkStart w:id="1397" w:name="_Toc17691"/>
      <w:bookmarkStart w:id="1398" w:name="_Toc31747"/>
      <w:bookmarkStart w:id="1399" w:name="_Toc16161"/>
      <w:r>
        <w:rPr>
          <w:rFonts w:hint="eastAsia" w:ascii="宋体" w:hAnsi="宋体" w:eastAsia="宋体" w:cs="宋体"/>
          <w:b/>
          <w:color w:val="000000" w:themeColor="text1"/>
          <w:sz w:val="21"/>
          <w:szCs w:val="21"/>
          <w:highlight w:val="none"/>
          <w:lang w:eastAsia="zh-CN"/>
          <w14:textFill>
            <w14:solidFill>
              <w14:schemeClr w14:val="tx1"/>
            </w14:solidFill>
          </w14:textFill>
        </w:rPr>
        <w:t>试验和检验</w:t>
      </w:r>
      <w:bookmarkEnd w:id="1379"/>
      <w:bookmarkEnd w:id="1380"/>
      <w:bookmarkEnd w:id="1381"/>
    </w:p>
    <w:p w14:paraId="0CCB9735">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bookmarkStart w:id="1400" w:name="_Toc101357468"/>
      <w:r>
        <w:rPr>
          <w:rFonts w:hint="eastAsia" w:ascii="宋体" w:hAnsi="宋体" w:eastAsia="宋体" w:cs="宋体"/>
          <w:color w:val="000000" w:themeColor="text1"/>
          <w:sz w:val="21"/>
          <w:szCs w:val="21"/>
          <w:highlight w:val="none"/>
          <w:lang w:eastAsia="zh-CN"/>
          <w14:textFill>
            <w14:solidFill>
              <w14:schemeClr w14:val="tx1"/>
            </w14:solidFill>
          </w14:textFill>
        </w:rPr>
        <w:t>见通用合同条款。</w:t>
      </w:r>
      <w:bookmarkEnd w:id="1400"/>
    </w:p>
    <w:p w14:paraId="0BF05152">
      <w:pPr>
        <w:widowControl w:val="0"/>
        <w:numPr>
          <w:ilvl w:val="0"/>
          <w:numId w:val="10"/>
        </w:numPr>
        <w:kinsoku w:val="0"/>
        <w:spacing w:after="0" w:line="360" w:lineRule="auto"/>
        <w:ind w:left="158" w:leftChars="75"/>
        <w:jc w:val="both"/>
        <w:outlineLvl w:val="1"/>
        <w:rPr>
          <w:rFonts w:hint="eastAsia" w:ascii="宋体" w:hAnsi="宋体" w:eastAsia="宋体" w:cs="宋体"/>
          <w:b/>
          <w:color w:val="000000" w:themeColor="text1"/>
          <w:sz w:val="21"/>
          <w:szCs w:val="21"/>
          <w:highlight w:val="none"/>
          <w14:textFill>
            <w14:solidFill>
              <w14:schemeClr w14:val="tx1"/>
            </w14:solidFill>
          </w14:textFill>
        </w:rPr>
      </w:pPr>
      <w:bookmarkStart w:id="1401" w:name="_Toc175764457"/>
      <w:bookmarkStart w:id="1402" w:name="_Toc101357469"/>
      <w:bookmarkStart w:id="1403" w:name="_Toc101963521"/>
      <w:r>
        <w:rPr>
          <w:rFonts w:hint="eastAsia" w:ascii="宋体" w:hAnsi="宋体" w:eastAsia="宋体" w:cs="宋体"/>
          <w:b/>
          <w:color w:val="000000" w:themeColor="text1"/>
          <w:sz w:val="21"/>
          <w:szCs w:val="21"/>
          <w:highlight w:val="none"/>
          <w14:textFill>
            <w14:solidFill>
              <w14:schemeClr w14:val="tx1"/>
            </w14:solidFill>
          </w14:textFill>
        </w:rPr>
        <w:t>合同价款与计量方式</w:t>
      </w:r>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1"/>
      <w:bookmarkEnd w:id="1402"/>
      <w:bookmarkEnd w:id="1403"/>
    </w:p>
    <w:p w14:paraId="24D761A8">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bookmarkStart w:id="1404" w:name="_Toc15999"/>
      <w:bookmarkStart w:id="1405" w:name="_Toc3339"/>
      <w:bookmarkStart w:id="1406" w:name="_Toc21889"/>
      <w:bookmarkStart w:id="1407" w:name="_Toc29038"/>
      <w:bookmarkStart w:id="1408" w:name="_Toc10465"/>
      <w:bookmarkStart w:id="1409" w:name="_Toc18090"/>
      <w:r>
        <w:rPr>
          <w:rFonts w:hint="eastAsia" w:ascii="宋体" w:hAnsi="宋体" w:eastAsia="宋体" w:cs="宋体"/>
          <w:color w:val="000000" w:themeColor="text1"/>
          <w:sz w:val="21"/>
          <w:szCs w:val="21"/>
          <w:highlight w:val="none"/>
          <w:lang w:eastAsia="zh-CN"/>
          <w14:textFill>
            <w14:solidFill>
              <w14:schemeClr w14:val="tx1"/>
            </w14:solidFill>
          </w14:textFill>
        </w:rPr>
        <w:t>13.2本分包合同价格采用</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固定综合单价 </w:t>
      </w:r>
      <w:r>
        <w:rPr>
          <w:rFonts w:hint="eastAsia" w:ascii="宋体" w:hAnsi="宋体" w:eastAsia="宋体" w:cs="宋体"/>
          <w:color w:val="000000" w:themeColor="text1"/>
          <w:kern w:val="2"/>
          <w:sz w:val="21"/>
          <w:szCs w:val="21"/>
          <w:highlight w:val="none"/>
          <w:u w:val="single"/>
          <w:lang w:eastAsia="zh-CN" w:bidi="ar-SA"/>
          <w14:textFill>
            <w14:solidFill>
              <w14:schemeClr w14:val="tx1"/>
            </w14:solidFill>
          </w14:textFill>
        </w:rPr>
        <w:t>形式</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051823FC">
      <w:pPr>
        <w:kinsoku w:val="0"/>
        <w:spacing w:after="0" w:line="360" w:lineRule="auto"/>
        <w:ind w:firstLine="420" w:firstLineChars="200"/>
        <w:jc w:val="both"/>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13.5</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合同价款综合考虑的其他因素：合同价款中应包括但不限于施工设备、人工、材料和设备（按本合同要求由分包方自行采购的部分材料和设备）、安装、维护、管理、保险（按</w:t>
      </w:r>
      <w:r>
        <w:rPr>
          <w:rFonts w:hint="eastAsia" w:ascii="宋体" w:hAnsi="宋体" w:eastAsia="宋体" w:cs="宋体"/>
          <w:color w:val="000000" w:themeColor="text1"/>
          <w:kern w:val="10"/>
          <w:sz w:val="21"/>
          <w:szCs w:val="21"/>
          <w:highlight w:val="none"/>
          <w:lang w:val="en-US" w:eastAsia="zh-CN"/>
          <w14:textFill>
            <w14:solidFill>
              <w14:schemeClr w14:val="tx1"/>
            </w14:solidFill>
          </w14:textFill>
        </w:rPr>
        <w:t>河北</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省的有关规定由分包方办理的保险）、利润、税金、风险、责任，与搬运、发运、装卸、仓储、包装等有关的所有费用、与各类材料和工程设备施工就位和安装固定相关的卸车、装车、水平运输、现场倒运、垂直运输等的费用、以及分包方应在其合同价格中考虑但不仅限于下列与雇佣工人相关的所有费用（如：法定假日和公共休息日；上下班交通时间和发生费用；政府收费；非生产用工；因工人自身原因导致的加班；工人的奖金；劳动保护费用；各种社会保险费用；与雇佣工人相关的其它费用）、与指定分包方、其他分包方以及指定供应相关的管理、服务、配合、协调以及承担本合同规定的其他所有相应责任和义务相关的所有费用等以及涉及和国家及</w:t>
      </w:r>
      <w:r>
        <w:rPr>
          <w:rFonts w:hint="eastAsia" w:ascii="宋体" w:hAnsi="宋体" w:eastAsia="宋体" w:cs="宋体"/>
          <w:color w:val="000000" w:themeColor="text1"/>
          <w:kern w:val="10"/>
          <w:sz w:val="21"/>
          <w:szCs w:val="21"/>
          <w:highlight w:val="none"/>
          <w:lang w:val="en-US" w:eastAsia="zh-CN"/>
          <w14:textFill>
            <w14:solidFill>
              <w14:schemeClr w14:val="tx1"/>
            </w14:solidFill>
          </w14:textFill>
        </w:rPr>
        <w:t>河北</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政策性文件规定的所有费用。</w:t>
      </w:r>
    </w:p>
    <w:p w14:paraId="59E73767">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13.9计量方式</w:t>
      </w:r>
    </w:p>
    <w:p w14:paraId="48E6481F">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13.9.1本工程工程量以</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设计院出具的施工蓝图</w:t>
      </w:r>
      <w:r>
        <w:rPr>
          <w:rFonts w:hint="eastAsia" w:ascii="宋体" w:hAnsi="宋体" w:eastAsia="宋体" w:cs="宋体"/>
          <w:color w:val="000000" w:themeColor="text1"/>
          <w:sz w:val="21"/>
          <w:szCs w:val="21"/>
          <w:highlight w:val="none"/>
          <w:lang w:eastAsia="zh-CN"/>
          <w14:textFill>
            <w14:solidFill>
              <w14:schemeClr w14:val="tx1"/>
            </w14:solidFill>
          </w14:textFill>
        </w:rPr>
        <w:t>作为计算依据，计量原则按照以下第</w:t>
      </w:r>
      <w:r>
        <w:rPr>
          <w:rFonts w:hint="eastAsia" w:ascii="宋体" w:hAnsi="宋体" w:eastAsia="宋体" w:cs="宋体"/>
          <w:color w:val="000000" w:themeColor="text1"/>
          <w:kern w:val="10"/>
          <w:sz w:val="21"/>
          <w:szCs w:val="21"/>
          <w:highlight w:val="none"/>
          <w:u w:val="singl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lang w:eastAsia="zh-CN"/>
          <w14:textFill>
            <w14:solidFill>
              <w14:schemeClr w14:val="tx1"/>
            </w14:solidFill>
          </w14:textFill>
        </w:rPr>
        <w:t>种方式执行，按照计算工程量与现场实际施工完成的合格工程量的较小值计算，并以经甲方最终确认的工程数量为准，但不得高于建设单位批复数量。</w:t>
      </w:r>
      <w:bookmarkEnd w:id="1404"/>
      <w:bookmarkEnd w:id="1405"/>
      <w:bookmarkEnd w:id="1406"/>
      <w:bookmarkEnd w:id="1407"/>
      <w:bookmarkEnd w:id="1408"/>
      <w:bookmarkEnd w:id="1409"/>
    </w:p>
    <w:p w14:paraId="3E2465ED">
      <w:pPr>
        <w:tabs>
          <w:tab w:val="left" w:pos="900"/>
        </w:tabs>
        <w:kinsoku w:val="0"/>
        <w:spacing w:after="0" w:line="360" w:lineRule="auto"/>
        <w:ind w:firstLine="630" w:firstLineChars="300"/>
        <w:contextualSpacing/>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（1）</w:t>
      </w:r>
      <w:r>
        <w:rPr>
          <w:rFonts w:hint="eastAsia" w:ascii="宋体" w:hAnsi="宋体" w:eastAsia="宋体" w:cs="宋体"/>
          <w:color w:val="000000" w:themeColor="text1"/>
          <w:sz w:val="21"/>
          <w:szCs w:val="21"/>
          <w:highlight w:val="none"/>
          <w:lang w:eastAsia="zh-CN"/>
          <w14:textFill>
            <w14:solidFill>
              <w14:schemeClr w14:val="tx1"/>
            </w14:solidFill>
          </w14:textFill>
        </w:rPr>
        <w:t>工程预算定额</w:t>
      </w:r>
    </w:p>
    <w:p w14:paraId="3943FD4A">
      <w:pPr>
        <w:kinsoku w:val="0"/>
        <w:spacing w:after="0" w:line="360" w:lineRule="auto"/>
        <w:ind w:firstLine="630" w:firstLineChars="3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《公路工程预算定额》（JTG/T 3832-2018）</w:t>
      </w:r>
    </w:p>
    <w:p w14:paraId="785B8398">
      <w:pPr>
        <w:kinsoku w:val="0"/>
        <w:spacing w:after="0" w:line="360" w:lineRule="auto"/>
        <w:ind w:firstLine="630" w:firstLineChars="3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（2）工程量清单规范</w:t>
      </w:r>
    </w:p>
    <w:p w14:paraId="36B1291D">
      <w:pPr>
        <w:kinsoku w:val="0"/>
        <w:spacing w:after="0" w:line="360" w:lineRule="auto"/>
        <w:ind w:firstLine="630" w:firstLineChars="300"/>
        <w:jc w:val="both"/>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《公路工程</w:t>
      </w:r>
      <w:r>
        <w:rPr>
          <w:rFonts w:hint="eastAsia" w:ascii="宋体" w:hAnsi="宋体" w:eastAsia="宋体" w:cs="宋体"/>
          <w:color w:val="000000" w:themeColor="text1"/>
          <w:sz w:val="21"/>
          <w:szCs w:val="21"/>
          <w:highlight w:val="none"/>
          <w:lang w:val="en-US" w:eastAsia="zh-CN"/>
          <w14:textFill>
            <w14:solidFill>
              <w14:schemeClr w14:val="tx1"/>
            </w14:solidFill>
          </w14:textFill>
        </w:rPr>
        <w:t>标准施工采购文件</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2018版</w:t>
      </w:r>
    </w:p>
    <w:p w14:paraId="1B5A9B55">
      <w:pPr>
        <w:numPr>
          <w:ilvl w:val="0"/>
          <w:numId w:val="11"/>
        </w:numPr>
        <w:kinsoku w:val="0"/>
        <w:adjustRightInd w:val="0"/>
        <w:snapToGrid w:val="0"/>
        <w:spacing w:after="0" w:line="360" w:lineRule="auto"/>
        <w:ind w:firstLine="420" w:firstLineChars="200"/>
        <w:contextualSpacing/>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其他</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w:t>
      </w:r>
    </w:p>
    <w:p w14:paraId="46717847">
      <w:pPr>
        <w:widowControl w:val="0"/>
        <w:numPr>
          <w:ilvl w:val="0"/>
          <w:numId w:val="10"/>
        </w:numPr>
        <w:kinsoku w:val="0"/>
        <w:spacing w:after="0" w:line="360" w:lineRule="auto"/>
        <w:ind w:left="158" w:leftChars="75"/>
        <w:jc w:val="both"/>
        <w:outlineLvl w:val="1"/>
        <w:rPr>
          <w:rFonts w:hint="eastAsia" w:ascii="宋体" w:hAnsi="宋体" w:eastAsia="宋体" w:cs="宋体"/>
          <w:b/>
          <w:color w:val="000000" w:themeColor="text1"/>
          <w:sz w:val="21"/>
          <w:szCs w:val="21"/>
          <w:highlight w:val="none"/>
          <w14:textFill>
            <w14:solidFill>
              <w14:schemeClr w14:val="tx1"/>
            </w14:solidFill>
          </w14:textFill>
        </w:rPr>
      </w:pPr>
      <w:bookmarkStart w:id="1410" w:name="_Toc6228"/>
      <w:bookmarkStart w:id="1411" w:name="_Toc21360"/>
      <w:bookmarkStart w:id="1412" w:name="_Toc2347"/>
      <w:bookmarkStart w:id="1413" w:name="_Toc7533"/>
      <w:bookmarkStart w:id="1414" w:name="_Toc3437"/>
      <w:bookmarkStart w:id="1415" w:name="_Toc2913"/>
      <w:bookmarkStart w:id="1416" w:name="_Toc438"/>
      <w:bookmarkStart w:id="1417" w:name="_Toc101357470"/>
      <w:bookmarkStart w:id="1418" w:name="_Toc26062"/>
      <w:bookmarkStart w:id="1419" w:name="_Toc19921"/>
      <w:bookmarkStart w:id="1420" w:name="_Toc101963522"/>
      <w:bookmarkStart w:id="1421" w:name="_Toc6377"/>
      <w:bookmarkStart w:id="1422" w:name="_Toc21879"/>
      <w:bookmarkStart w:id="1423" w:name="_Toc31545"/>
      <w:bookmarkStart w:id="1424" w:name="_Toc6199"/>
      <w:bookmarkStart w:id="1425" w:name="_Toc9193"/>
      <w:bookmarkStart w:id="1426" w:name="_Toc11994"/>
      <w:bookmarkStart w:id="1427" w:name="_Toc15608"/>
      <w:bookmarkStart w:id="1428" w:name="_Toc8900"/>
      <w:bookmarkStart w:id="1429" w:name="_Toc28009"/>
      <w:bookmarkStart w:id="1430" w:name="_Toc175764458"/>
      <w:r>
        <w:rPr>
          <w:rFonts w:hint="eastAsia" w:ascii="宋体" w:hAnsi="宋体" w:eastAsia="宋体" w:cs="宋体"/>
          <w:b/>
          <w:color w:val="000000" w:themeColor="text1"/>
          <w:sz w:val="21"/>
          <w:szCs w:val="21"/>
          <w:highlight w:val="none"/>
          <w14:textFill>
            <w14:solidFill>
              <w14:schemeClr w14:val="tx1"/>
            </w14:solidFill>
          </w14:textFill>
        </w:rPr>
        <w:t>变更</w:t>
      </w:r>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r>
        <w:rPr>
          <w:rFonts w:hint="eastAsia" w:ascii="宋体" w:hAnsi="宋体" w:eastAsia="宋体" w:cs="宋体"/>
          <w:b/>
          <w:color w:val="000000" w:themeColor="text1"/>
          <w:sz w:val="21"/>
          <w:szCs w:val="21"/>
          <w:highlight w:val="none"/>
          <w:lang w:eastAsia="zh-CN"/>
          <w14:textFill>
            <w14:solidFill>
              <w14:schemeClr w14:val="tx1"/>
            </w14:solidFill>
          </w14:textFill>
        </w:rPr>
        <w:t>签证</w:t>
      </w:r>
      <w:bookmarkEnd w:id="1430"/>
    </w:p>
    <w:p w14:paraId="78169FF4">
      <w:pPr>
        <w:kinsoku w:val="0"/>
        <w:spacing w:after="0" w:line="360" w:lineRule="auto"/>
        <w:ind w:firstLine="420" w:firstLineChars="200"/>
        <w:jc w:val="both"/>
        <w:rPr>
          <w:rFonts w:hint="eastAsia" w:ascii="宋体" w:hAnsi="宋体" w:cs="宋体"/>
          <w:color w:val="000000" w:themeColor="text1"/>
          <w:sz w:val="21"/>
          <w:szCs w:val="21"/>
          <w:highlight w:val="none"/>
          <w:lang w:eastAsia="zh-CN"/>
          <w14:textFill>
            <w14:solidFill>
              <w14:schemeClr w14:val="tx1"/>
            </w14:solidFill>
          </w14:textFill>
        </w:rPr>
      </w:pPr>
      <w:bookmarkStart w:id="1431" w:name="_Toc5241"/>
      <w:bookmarkStart w:id="1432" w:name="_Toc10576"/>
      <w:bookmarkStart w:id="1433" w:name="_Toc9374"/>
      <w:bookmarkStart w:id="1434" w:name="_Toc1218"/>
      <w:bookmarkStart w:id="1435" w:name="_Toc10335"/>
      <w:bookmarkStart w:id="1436" w:name="_Toc228"/>
      <w:r>
        <w:rPr>
          <w:rFonts w:hint="eastAsia" w:ascii="宋体" w:hAnsi="宋体" w:cs="宋体"/>
          <w:color w:val="000000" w:themeColor="text1"/>
          <w:sz w:val="21"/>
          <w:szCs w:val="21"/>
          <w:highlight w:val="none"/>
          <w:lang w:eastAsia="zh-CN"/>
          <w14:textFill>
            <w14:solidFill>
              <w14:schemeClr w14:val="tx1"/>
            </w14:solidFill>
          </w14:textFill>
        </w:rPr>
        <w:t>14.7.5增加：甲方授权本合同现场签证事项签署人员为：项目经理</w:t>
      </w:r>
      <w:r>
        <w:rPr>
          <w:rFonts w:hint="eastAsia" w:ascii="宋体" w:hAnsi="宋体" w:cs="宋体"/>
          <w:color w:val="000000" w:themeColor="text1"/>
          <w:sz w:val="21"/>
          <w:szCs w:val="21"/>
          <w:highlight w:val="none"/>
          <w:u w:val="single"/>
          <w:lang w:eastAsia="zh-CN"/>
          <w14:textFill>
            <w14:solidFill>
              <w14:schemeClr w14:val="tx1"/>
            </w14:solidFill>
          </w14:textFill>
        </w:rPr>
        <w:t>XXX</w:t>
      </w:r>
      <w:r>
        <w:rPr>
          <w:rFonts w:hint="eastAsia" w:ascii="宋体" w:hAnsi="宋体" w:cs="宋体"/>
          <w:color w:val="000000" w:themeColor="text1"/>
          <w:sz w:val="21"/>
          <w:szCs w:val="21"/>
          <w:highlight w:val="none"/>
          <w:lang w:eastAsia="zh-CN"/>
          <w14:textFill>
            <w14:solidFill>
              <w14:schemeClr w14:val="tx1"/>
            </w14:solidFill>
          </w14:textFill>
        </w:rPr>
        <w:t>及分管项目签证负责人</w:t>
      </w:r>
      <w:r>
        <w:rPr>
          <w:rFonts w:hint="eastAsia" w:ascii="宋体" w:hAnsi="宋体" w:cs="宋体"/>
          <w:color w:val="000000" w:themeColor="text1"/>
          <w:sz w:val="21"/>
          <w:szCs w:val="21"/>
          <w:highlight w:val="none"/>
          <w:u w:val="single"/>
          <w:lang w:eastAsia="zh-CN"/>
          <w14:textFill>
            <w14:solidFill>
              <w14:schemeClr w14:val="tx1"/>
            </w14:solidFill>
          </w14:textFill>
        </w:rPr>
        <w:t>XXX</w:t>
      </w:r>
      <w:r>
        <w:rPr>
          <w:rFonts w:hint="eastAsia" w:ascii="宋体" w:hAnsi="宋体" w:cs="宋体"/>
          <w:color w:val="000000" w:themeColor="text1"/>
          <w:sz w:val="21"/>
          <w:szCs w:val="21"/>
          <w:highlight w:val="none"/>
          <w:lang w:eastAsia="zh-CN"/>
          <w14:textFill>
            <w14:solidFill>
              <w14:schemeClr w14:val="tx1"/>
            </w14:solidFill>
          </w14:textFill>
        </w:rPr>
        <w:t>。单份单项额度2万元以下的现场签证签署至项目经理，单份单项额度2万元及以上的现场签证签署至分管项目签证负责人，非甲方授权人员签字确认的签证事项一律无效，不作为结算依据。在分包合同和工程量清单描述中已经明确约定由乙方负责的工作内容以及属分包合同价格包干工作内容，不能签证，即使签署了签证也为无效签证。</w:t>
      </w:r>
    </w:p>
    <w:p w14:paraId="48D9363B">
      <w:pPr>
        <w:pStyle w:val="11"/>
        <w:spacing w:after="0" w:line="360" w:lineRule="auto"/>
        <w:ind w:firstLine="420"/>
        <w:jc w:val="both"/>
        <w:rPr>
          <w:rFonts w:hint="eastAsia"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14.7.6增加：甲方对乙方结算及付款的依据仅限于甲方与乙方双方签订的分包合同、分包补充合同（协议）及甲方授权人在权限范围内签署的现场签证。除甲方评审通过并经甲乙双方签字盖章的变更、签证单外（格式见附件16），由甲方发出的、超出分包合同工程量清单承包范围外的指令，无论何种形式（包括但不仅限于往来函件、会议纪要、洽商变更、承诺书、备忘录等</w:t>
      </w:r>
      <w:r>
        <w:rPr>
          <w:rFonts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，仅作为签订分包合同、补充合同（协议）或现场签证的辅助性支撑资料，不能单独作为甲方对乙方结算及付款的依据。甲方项目部其他任何人员的任何形式的签字均不作为甲方结算及付款的依据。</w:t>
      </w:r>
    </w:p>
    <w:bookmarkEnd w:id="1431"/>
    <w:bookmarkEnd w:id="1432"/>
    <w:bookmarkEnd w:id="1433"/>
    <w:bookmarkEnd w:id="1434"/>
    <w:bookmarkEnd w:id="1435"/>
    <w:bookmarkEnd w:id="1436"/>
    <w:p w14:paraId="5A79CCEE">
      <w:pPr>
        <w:widowControl w:val="0"/>
        <w:numPr>
          <w:ilvl w:val="0"/>
          <w:numId w:val="10"/>
        </w:numPr>
        <w:kinsoku w:val="0"/>
        <w:spacing w:after="0" w:line="360" w:lineRule="auto"/>
        <w:ind w:left="158" w:leftChars="75"/>
        <w:jc w:val="both"/>
        <w:outlineLvl w:val="1"/>
        <w:rPr>
          <w:rFonts w:hint="eastAsia" w:ascii="宋体" w:hAnsi="宋体" w:eastAsia="宋体" w:cs="宋体"/>
          <w:b/>
          <w:color w:val="000000" w:themeColor="text1"/>
          <w:sz w:val="21"/>
          <w:szCs w:val="21"/>
          <w:highlight w:val="none"/>
          <w14:textFill>
            <w14:solidFill>
              <w14:schemeClr w14:val="tx1"/>
            </w14:solidFill>
          </w14:textFill>
        </w:rPr>
      </w:pPr>
      <w:bookmarkStart w:id="1437" w:name="_Toc101357473"/>
      <w:bookmarkStart w:id="1438" w:name="_Toc8508"/>
      <w:bookmarkStart w:id="1439" w:name="_Toc10569"/>
      <w:bookmarkStart w:id="1440" w:name="_Toc8618"/>
      <w:bookmarkStart w:id="1441" w:name="_Toc6875"/>
      <w:bookmarkStart w:id="1442" w:name="_Toc11817"/>
      <w:bookmarkStart w:id="1443" w:name="_Toc28357"/>
      <w:bookmarkStart w:id="1444" w:name="_Toc2547"/>
      <w:bookmarkStart w:id="1445" w:name="_Toc20022"/>
      <w:bookmarkStart w:id="1446" w:name="_Toc3916"/>
      <w:bookmarkStart w:id="1447" w:name="_Toc20034"/>
      <w:bookmarkStart w:id="1448" w:name="_Toc4604"/>
      <w:bookmarkStart w:id="1449" w:name="_Toc175764459"/>
      <w:bookmarkStart w:id="1450" w:name="_Toc28309"/>
      <w:bookmarkStart w:id="1451" w:name="_Toc14584"/>
      <w:bookmarkStart w:id="1452" w:name="_Toc11499"/>
      <w:bookmarkStart w:id="1453" w:name="_Toc9211"/>
      <w:bookmarkStart w:id="1454" w:name="_Toc31952"/>
      <w:bookmarkStart w:id="1455" w:name="_Toc101963523"/>
      <w:bookmarkStart w:id="1456" w:name="_Toc15410"/>
      <w:bookmarkStart w:id="1457" w:name="_Toc22366"/>
      <w:bookmarkStart w:id="1458" w:name="_Toc12415"/>
      <w:bookmarkStart w:id="1459" w:name="_Toc101357471"/>
      <w:bookmarkStart w:id="1460" w:name="_Toc27504"/>
      <w:bookmarkStart w:id="1461" w:name="_Toc1067"/>
      <w:bookmarkStart w:id="1462" w:name="_Toc27680"/>
      <w:bookmarkStart w:id="1463" w:name="_Toc5433"/>
      <w:bookmarkStart w:id="1464" w:name="_Toc11858"/>
      <w:bookmarkStart w:id="1465" w:name="_Toc21651"/>
      <w:bookmarkStart w:id="1466" w:name="_Toc31997"/>
      <w:bookmarkStart w:id="1467" w:name="_Toc1084"/>
      <w:bookmarkStart w:id="1468" w:name="_Toc27949"/>
      <w:bookmarkStart w:id="1469" w:name="_Toc8585"/>
      <w:bookmarkStart w:id="1470" w:name="_Toc24145"/>
      <w:bookmarkStart w:id="1471" w:name="_Toc21029"/>
      <w:bookmarkStart w:id="1472" w:name="_Toc7740"/>
      <w:bookmarkStart w:id="1473" w:name="_Toc17252"/>
      <w:bookmarkStart w:id="1474" w:name="_Toc18734"/>
      <w:bookmarkStart w:id="1475" w:name="_Toc13268"/>
      <w:bookmarkStart w:id="1476" w:name="_Toc5210"/>
      <w:r>
        <w:rPr>
          <w:rFonts w:hint="eastAsia" w:ascii="宋体" w:hAnsi="宋体" w:eastAsia="宋体" w:cs="宋体"/>
          <w:b/>
          <w:color w:val="000000" w:themeColor="text1"/>
          <w:sz w:val="21"/>
          <w:szCs w:val="21"/>
          <w:highlight w:val="none"/>
          <w14:textFill>
            <w14:solidFill>
              <w14:schemeClr w14:val="tx1"/>
            </w14:solidFill>
          </w14:textFill>
        </w:rPr>
        <w:t>工程款支付</w:t>
      </w:r>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p>
    <w:p w14:paraId="6FB71862">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15.1本工程</w:t>
      </w:r>
      <w:r>
        <w:rPr>
          <w:rFonts w:ascii="宋体" w:hAnsi="宋体" w:eastAsia="宋体" w:cs="宋体"/>
          <w:color w:val="000000" w:themeColor="text1"/>
          <w:sz w:val="21"/>
          <w:szCs w:val="21"/>
          <w:highlight w:val="none"/>
          <w14:textFill>
            <w14:solidFill>
              <w14:schemeClr w14:val="tx1"/>
            </w14:solidFill>
          </w14:textFill>
        </w:rPr>
        <w:sym w:font="Wingdings 2" w:char="F052"/>
      </w:r>
      <w:r>
        <w:rPr>
          <w:rFonts w:hint="eastAsia" w:ascii="宋体" w:hAnsi="宋体" w:eastAsia="宋体" w:cs="宋体"/>
          <w:color w:val="000000" w:themeColor="text1"/>
          <w:sz w:val="21"/>
          <w:szCs w:val="21"/>
          <w:highlight w:val="none"/>
          <w:lang w:eastAsia="zh-CN"/>
          <w14:textFill>
            <w14:solidFill>
              <w14:schemeClr w14:val="tx1"/>
            </w14:solidFill>
          </w14:textFill>
        </w:rPr>
        <w:t>无工程预付款，</w:t>
      </w:r>
      <w:r>
        <w:rPr>
          <w:rFonts w:ascii="宋体" w:hAnsi="宋体" w:eastAsia="宋体" w:cs="宋体"/>
          <w:color w:val="000000" w:themeColor="text1"/>
          <w:sz w:val="21"/>
          <w:szCs w:val="21"/>
          <w:highlight w:val="none"/>
          <w14:textFill>
            <w14:solidFill>
              <w14:schemeClr w14:val="tx1"/>
            </w14:solidFill>
          </w14:textFill>
        </w:rPr>
        <w:sym w:font="Wingdings 2" w:char="F0A3"/>
      </w:r>
      <w:r>
        <w:rPr>
          <w:rFonts w:hint="eastAsia" w:ascii="宋体" w:hAnsi="宋体" w:eastAsia="宋体" w:cs="宋体"/>
          <w:color w:val="000000" w:themeColor="text1"/>
          <w:sz w:val="21"/>
          <w:szCs w:val="21"/>
          <w:highlight w:val="none"/>
          <w:lang w:eastAsia="zh-CN"/>
          <w14:textFill>
            <w14:solidFill>
              <w14:schemeClr w14:val="tx1"/>
            </w14:solidFill>
          </w14:textFill>
        </w:rPr>
        <w:t>有工程预付款，工程预付款的支付时间、预付额度、工程预付款的抵扣起始时间和方式：</w:t>
      </w:r>
    </w:p>
    <w:p w14:paraId="62E1AB3F">
      <w:pPr>
        <w:kinsoku w:val="0"/>
        <w:spacing w:after="0" w:line="360" w:lineRule="auto"/>
        <w:ind w:firstLine="420" w:firstLineChars="200"/>
        <w:jc w:val="both"/>
        <w:rPr>
          <w:rFonts w:hint="eastAsia" w:ascii="宋体" w:hAnsi="宋体" w:eastAsia="宋体" w:cs="宋体"/>
          <w:color w:val="000000" w:themeColor="text1"/>
          <w:sz w:val="21"/>
          <w:szCs w:val="21"/>
          <w:highlight w:val="none"/>
          <w:u w:val="singl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（1）工程预付款的支付时间：</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kern w:val="10"/>
          <w:sz w:val="21"/>
          <w:szCs w:val="21"/>
          <w:highlight w:val="none"/>
          <w:u w:val="single"/>
          <w:lang w:val="en-US" w:eastAsia="zh-CN"/>
          <w14:textFill>
            <w14:solidFill>
              <w14:schemeClr w14:val="tx1"/>
            </w14:solidFill>
          </w14:textFill>
        </w:rPr>
        <w:t>/</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445957E8">
      <w:pPr>
        <w:kinsoku w:val="0"/>
        <w:spacing w:after="0" w:line="360" w:lineRule="auto"/>
        <w:ind w:firstLine="420" w:firstLineChars="200"/>
        <w:jc w:val="both"/>
        <w:rPr>
          <w:rFonts w:hint="eastAsia" w:ascii="宋体" w:hAnsi="宋体" w:eastAsia="宋体" w:cs="宋体"/>
          <w:color w:val="000000" w:themeColor="text1"/>
          <w:sz w:val="21"/>
          <w:szCs w:val="21"/>
          <w:highlight w:val="none"/>
          <w:u w:val="singl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（2）工程预付款的额度：</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kern w:val="10"/>
          <w:sz w:val="21"/>
          <w:szCs w:val="21"/>
          <w:highlight w:val="none"/>
          <w:u w:val="single"/>
          <w:lang w:val="en-US" w:eastAsia="zh-CN"/>
          <w14:textFill>
            <w14:solidFill>
              <w14:schemeClr w14:val="tx1"/>
            </w14:solidFill>
          </w14:textFill>
        </w:rPr>
        <w:t>/</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0FA60166">
      <w:pPr>
        <w:kinsoku w:val="0"/>
        <w:spacing w:after="0" w:line="360" w:lineRule="auto"/>
        <w:ind w:firstLine="420" w:firstLineChars="200"/>
        <w:jc w:val="both"/>
        <w:rPr>
          <w:rFonts w:hint="eastAsia" w:ascii="宋体" w:hAnsi="宋体" w:eastAsia="宋体" w:cs="宋体"/>
          <w:color w:val="000000" w:themeColor="text1"/>
          <w:sz w:val="21"/>
          <w:szCs w:val="21"/>
          <w:highlight w:val="none"/>
          <w:u w:val="singl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（3）工程预付款的抵扣起始时间：</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kern w:val="10"/>
          <w:sz w:val="21"/>
          <w:szCs w:val="21"/>
          <w:highlight w:val="none"/>
          <w:u w:val="single"/>
          <w:lang w:val="en-US" w:eastAsia="zh-CN"/>
          <w14:textFill>
            <w14:solidFill>
              <w14:schemeClr w14:val="tx1"/>
            </w14:solidFill>
          </w14:textFill>
        </w:rPr>
        <w:t>/</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6254989A">
      <w:pPr>
        <w:kinsoku w:val="0"/>
        <w:spacing w:after="0" w:line="360" w:lineRule="auto"/>
        <w:ind w:firstLine="420" w:firstLineChars="200"/>
        <w:jc w:val="both"/>
        <w:rPr>
          <w:rFonts w:hint="eastAsia" w:ascii="宋体" w:hAnsi="宋体" w:eastAsia="宋体" w:cs="宋体"/>
          <w:color w:val="000000" w:themeColor="text1"/>
          <w:sz w:val="21"/>
          <w:szCs w:val="21"/>
          <w:highlight w:val="none"/>
          <w:u w:val="singl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（4）工程预付款的抵扣方式：</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kern w:val="10"/>
          <w:sz w:val="21"/>
          <w:szCs w:val="21"/>
          <w:highlight w:val="none"/>
          <w:u w:val="single"/>
          <w:lang w:val="en-US" w:eastAsia="zh-CN"/>
          <w14:textFill>
            <w14:solidFill>
              <w14:schemeClr w14:val="tx1"/>
            </w14:solidFill>
          </w14:textFill>
        </w:rPr>
        <w:t>/</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45F77806">
      <w:pPr>
        <w:kinsoku w:val="0"/>
        <w:spacing w:after="0" w:line="360" w:lineRule="auto"/>
        <w:ind w:firstLine="420" w:firstLineChars="200"/>
        <w:jc w:val="both"/>
        <w:rPr>
          <w:rFonts w:hint="eastAsia" w:ascii="宋体" w:hAnsi="宋体" w:eastAsia="宋体" w:cs="宋体"/>
          <w:color w:val="000000" w:themeColor="text1"/>
          <w:sz w:val="21"/>
          <w:szCs w:val="21"/>
          <w:highlight w:val="none"/>
          <w:u w:val="singl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（5）预付款保函：</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预付款支付前3日内，乙方将预付款保函按甲方的要求提供。</w:t>
      </w:r>
    </w:p>
    <w:p w14:paraId="5F625354">
      <w:pPr>
        <w:kinsoku w:val="0"/>
        <w:spacing w:after="0" w:line="360" w:lineRule="auto"/>
        <w:ind w:firstLine="420" w:firstLineChars="200"/>
        <w:jc w:val="both"/>
        <w:rPr>
          <w:rFonts w:hint="eastAsia" w:ascii="宋体" w:hAnsi="宋体" w:eastAsia="宋体" w:cs="宋体"/>
          <w:color w:val="000000" w:themeColor="text1"/>
          <w:sz w:val="21"/>
          <w:szCs w:val="21"/>
          <w:highlight w:val="none"/>
          <w:u w:val="singl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15.2工程进度款的付款周期、程序、支付比例：</w:t>
      </w:r>
    </w:p>
    <w:p w14:paraId="6B8E5329">
      <w:pPr>
        <w:tabs>
          <w:tab w:val="left" w:pos="992"/>
        </w:tabs>
        <w:kinsoku w:val="0"/>
        <w:spacing w:after="0" w:line="360" w:lineRule="auto"/>
        <w:ind w:left="158" w:leftChars="75"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以下约定的支付情况，是在乙方已向甲方提供了按结算金额开具的建筑业增值税专用发票并经甲方完成发票认证和相应金额的财务收据前提下执行。</w:t>
      </w:r>
    </w:p>
    <w:p w14:paraId="609E68AD">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15.1本工程</w:t>
      </w:r>
      <w:r>
        <w:rPr>
          <w:rFonts w:ascii="宋体" w:hAnsi="宋体" w:eastAsia="宋体" w:cs="宋体"/>
          <w:color w:val="000000" w:themeColor="text1"/>
          <w:sz w:val="21"/>
          <w:szCs w:val="21"/>
          <w:highlight w:val="none"/>
          <w14:textFill>
            <w14:solidFill>
              <w14:schemeClr w14:val="tx1"/>
            </w14:solidFill>
          </w14:textFill>
        </w:rPr>
        <w:sym w:font="Wingdings 2" w:char="F052"/>
      </w:r>
      <w:r>
        <w:rPr>
          <w:rFonts w:hint="eastAsia" w:ascii="宋体" w:hAnsi="宋体" w:eastAsia="宋体" w:cs="宋体"/>
          <w:color w:val="000000" w:themeColor="text1"/>
          <w:sz w:val="21"/>
          <w:szCs w:val="21"/>
          <w:highlight w:val="none"/>
          <w:lang w:eastAsia="zh-CN"/>
          <w14:textFill>
            <w14:solidFill>
              <w14:schemeClr w14:val="tx1"/>
            </w14:solidFill>
          </w14:textFill>
        </w:rPr>
        <w:t>无工程预付款，</w:t>
      </w:r>
      <w:r>
        <w:rPr>
          <w:rFonts w:ascii="宋体" w:hAnsi="宋体" w:eastAsia="宋体" w:cs="宋体"/>
          <w:color w:val="000000" w:themeColor="text1"/>
          <w:sz w:val="21"/>
          <w:szCs w:val="21"/>
          <w:highlight w:val="none"/>
          <w14:textFill>
            <w14:solidFill>
              <w14:schemeClr w14:val="tx1"/>
            </w14:solidFill>
          </w14:textFill>
        </w:rPr>
        <w:sym w:font="Wingdings 2" w:char="F0A3"/>
      </w:r>
      <w:r>
        <w:rPr>
          <w:rFonts w:hint="eastAsia" w:ascii="宋体" w:hAnsi="宋体" w:eastAsia="宋体" w:cs="宋体"/>
          <w:color w:val="000000" w:themeColor="text1"/>
          <w:sz w:val="21"/>
          <w:szCs w:val="21"/>
          <w:highlight w:val="none"/>
          <w:lang w:eastAsia="zh-CN"/>
          <w14:textFill>
            <w14:solidFill>
              <w14:schemeClr w14:val="tx1"/>
            </w14:solidFill>
          </w14:textFill>
        </w:rPr>
        <w:t>有工程预付款，工程预付款的支付时间、预付额度、工程预付款的抵扣起始时间和方式：</w:t>
      </w:r>
    </w:p>
    <w:p w14:paraId="1075F83A">
      <w:pPr>
        <w:kinsoku w:val="0"/>
        <w:spacing w:after="0" w:line="360" w:lineRule="auto"/>
        <w:ind w:firstLine="420" w:firstLineChars="200"/>
        <w:jc w:val="both"/>
        <w:rPr>
          <w:rFonts w:hint="eastAsia" w:ascii="宋体" w:hAnsi="宋体" w:eastAsia="宋体" w:cs="宋体"/>
          <w:color w:val="000000" w:themeColor="text1"/>
          <w:sz w:val="21"/>
          <w:szCs w:val="21"/>
          <w:highlight w:val="none"/>
          <w:u w:val="singl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（1）工程预付款的支付时间：</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kern w:val="10"/>
          <w:sz w:val="21"/>
          <w:szCs w:val="21"/>
          <w:highlight w:val="none"/>
          <w:u w:val="single"/>
          <w:lang w:val="en-US" w:eastAsia="zh-CN"/>
          <w14:textFill>
            <w14:solidFill>
              <w14:schemeClr w14:val="tx1"/>
            </w14:solidFill>
          </w14:textFill>
        </w:rPr>
        <w:t>/</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07DDB67C">
      <w:pPr>
        <w:kinsoku w:val="0"/>
        <w:spacing w:after="0" w:line="360" w:lineRule="auto"/>
        <w:ind w:firstLine="420" w:firstLineChars="200"/>
        <w:jc w:val="both"/>
        <w:rPr>
          <w:rFonts w:hint="eastAsia" w:ascii="宋体" w:hAnsi="宋体" w:eastAsia="宋体" w:cs="宋体"/>
          <w:color w:val="000000" w:themeColor="text1"/>
          <w:sz w:val="21"/>
          <w:szCs w:val="21"/>
          <w:highlight w:val="none"/>
          <w:u w:val="singl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（2）工程预付款的额度：</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kern w:val="10"/>
          <w:sz w:val="21"/>
          <w:szCs w:val="21"/>
          <w:highlight w:val="none"/>
          <w:u w:val="single"/>
          <w:lang w:val="en-US" w:eastAsia="zh-CN"/>
          <w14:textFill>
            <w14:solidFill>
              <w14:schemeClr w14:val="tx1"/>
            </w14:solidFill>
          </w14:textFill>
        </w:rPr>
        <w:t>/</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5A627805">
      <w:pPr>
        <w:kinsoku w:val="0"/>
        <w:spacing w:after="0" w:line="360" w:lineRule="auto"/>
        <w:ind w:firstLine="420" w:firstLineChars="200"/>
        <w:jc w:val="both"/>
        <w:rPr>
          <w:rFonts w:hint="eastAsia" w:ascii="宋体" w:hAnsi="宋体" w:eastAsia="宋体" w:cs="宋体"/>
          <w:color w:val="000000" w:themeColor="text1"/>
          <w:sz w:val="21"/>
          <w:szCs w:val="21"/>
          <w:highlight w:val="none"/>
          <w:u w:val="singl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（3）工程预付款的抵扣起始时间：</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kern w:val="10"/>
          <w:sz w:val="21"/>
          <w:szCs w:val="21"/>
          <w:highlight w:val="none"/>
          <w:u w:val="single"/>
          <w:lang w:val="en-US" w:eastAsia="zh-CN"/>
          <w14:textFill>
            <w14:solidFill>
              <w14:schemeClr w14:val="tx1"/>
            </w14:solidFill>
          </w14:textFill>
        </w:rPr>
        <w:t>/</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060EAD7C">
      <w:pPr>
        <w:kinsoku w:val="0"/>
        <w:spacing w:after="0" w:line="360" w:lineRule="auto"/>
        <w:ind w:firstLine="420" w:firstLineChars="200"/>
        <w:jc w:val="both"/>
        <w:rPr>
          <w:rFonts w:hint="eastAsia" w:ascii="宋体" w:hAnsi="宋体" w:eastAsia="宋体" w:cs="宋体"/>
          <w:color w:val="000000" w:themeColor="text1"/>
          <w:sz w:val="21"/>
          <w:szCs w:val="21"/>
          <w:highlight w:val="none"/>
          <w:u w:val="singl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（4）工程预付款的抵扣方式：</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kern w:val="10"/>
          <w:sz w:val="21"/>
          <w:szCs w:val="21"/>
          <w:highlight w:val="none"/>
          <w:u w:val="single"/>
          <w:lang w:val="en-US" w:eastAsia="zh-CN"/>
          <w14:textFill>
            <w14:solidFill>
              <w14:schemeClr w14:val="tx1"/>
            </w14:solidFill>
          </w14:textFill>
        </w:rPr>
        <w:t>/</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39C4758A">
      <w:pPr>
        <w:kinsoku w:val="0"/>
        <w:spacing w:after="0" w:line="360" w:lineRule="auto"/>
        <w:ind w:firstLine="420" w:firstLineChars="200"/>
        <w:jc w:val="both"/>
        <w:rPr>
          <w:rFonts w:hint="eastAsia" w:ascii="宋体" w:hAnsi="宋体" w:eastAsia="宋体" w:cs="宋体"/>
          <w:color w:val="000000" w:themeColor="text1"/>
          <w:sz w:val="21"/>
          <w:szCs w:val="21"/>
          <w:highlight w:val="none"/>
          <w:u w:val="singl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（5）预付款保函：</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预付款支付前3日内，乙方将预付款保函按甲方的要求提供。</w:t>
      </w:r>
    </w:p>
    <w:p w14:paraId="21A4771C">
      <w:pPr>
        <w:kinsoku w:val="0"/>
        <w:spacing w:after="0" w:line="360" w:lineRule="auto"/>
        <w:ind w:firstLine="420" w:firstLineChars="200"/>
        <w:jc w:val="both"/>
        <w:rPr>
          <w:rFonts w:hint="eastAsia" w:ascii="宋体" w:hAnsi="宋体" w:eastAsia="宋体" w:cs="宋体"/>
          <w:color w:val="000000" w:themeColor="text1"/>
          <w:sz w:val="21"/>
          <w:szCs w:val="21"/>
          <w:highlight w:val="none"/>
          <w:u w:val="singl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15.2工程进度款的付款周期、程序、支付比例：</w:t>
      </w:r>
    </w:p>
    <w:p w14:paraId="48977E17">
      <w:pPr>
        <w:tabs>
          <w:tab w:val="left" w:pos="992"/>
        </w:tabs>
        <w:kinsoku w:val="0"/>
        <w:spacing w:after="0" w:line="360" w:lineRule="auto"/>
        <w:ind w:left="158" w:leftChars="75"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以下约定的支付情况，是在乙方已向甲方提供了按结算金额开具的建筑业增值税专用发票并经甲方完成发票认证和相应金额的财务收据前提下执行。</w:t>
      </w:r>
    </w:p>
    <w:p w14:paraId="7F00CCEA">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15.1本工程</w:t>
      </w:r>
      <w:r>
        <w:rPr>
          <w:rFonts w:ascii="宋体" w:hAnsi="宋体" w:eastAsia="宋体" w:cs="宋体"/>
          <w:color w:val="000000" w:themeColor="text1"/>
          <w:sz w:val="21"/>
          <w:szCs w:val="21"/>
          <w:highlight w:val="none"/>
          <w14:textFill>
            <w14:solidFill>
              <w14:schemeClr w14:val="tx1"/>
            </w14:solidFill>
          </w14:textFill>
        </w:rPr>
        <w:sym w:font="Wingdings 2" w:char="F052"/>
      </w:r>
      <w:r>
        <w:rPr>
          <w:rFonts w:hint="eastAsia" w:ascii="宋体" w:hAnsi="宋体" w:eastAsia="宋体" w:cs="宋体"/>
          <w:color w:val="000000" w:themeColor="text1"/>
          <w:sz w:val="21"/>
          <w:szCs w:val="21"/>
          <w:highlight w:val="none"/>
          <w:lang w:eastAsia="zh-CN"/>
          <w14:textFill>
            <w14:solidFill>
              <w14:schemeClr w14:val="tx1"/>
            </w14:solidFill>
          </w14:textFill>
        </w:rPr>
        <w:t>无工程预付款，</w:t>
      </w:r>
      <w:r>
        <w:rPr>
          <w:rFonts w:ascii="宋体" w:hAnsi="宋体" w:eastAsia="宋体" w:cs="宋体"/>
          <w:color w:val="000000" w:themeColor="text1"/>
          <w:sz w:val="21"/>
          <w:szCs w:val="21"/>
          <w:highlight w:val="none"/>
          <w14:textFill>
            <w14:solidFill>
              <w14:schemeClr w14:val="tx1"/>
            </w14:solidFill>
          </w14:textFill>
        </w:rPr>
        <w:sym w:font="Wingdings 2" w:char="F0A3"/>
      </w:r>
      <w:r>
        <w:rPr>
          <w:rFonts w:hint="eastAsia" w:ascii="宋体" w:hAnsi="宋体" w:eastAsia="宋体" w:cs="宋体"/>
          <w:color w:val="000000" w:themeColor="text1"/>
          <w:sz w:val="21"/>
          <w:szCs w:val="21"/>
          <w:highlight w:val="none"/>
          <w:lang w:eastAsia="zh-CN"/>
          <w14:textFill>
            <w14:solidFill>
              <w14:schemeClr w14:val="tx1"/>
            </w14:solidFill>
          </w14:textFill>
        </w:rPr>
        <w:t>有工程预付款，工程预付款的支付时间、预付额度、工程预付款的抵扣起始时间和方式：</w:t>
      </w:r>
    </w:p>
    <w:p w14:paraId="29CE12DC">
      <w:pPr>
        <w:kinsoku w:val="0"/>
        <w:spacing w:after="0" w:line="360" w:lineRule="auto"/>
        <w:ind w:firstLine="420" w:firstLineChars="200"/>
        <w:jc w:val="both"/>
        <w:rPr>
          <w:rFonts w:hint="eastAsia" w:ascii="宋体" w:hAnsi="宋体" w:eastAsia="宋体" w:cs="宋体"/>
          <w:color w:val="000000" w:themeColor="text1"/>
          <w:sz w:val="21"/>
          <w:szCs w:val="21"/>
          <w:highlight w:val="none"/>
          <w:u w:val="singl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（1）工程预付款的支付时间：</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kern w:val="10"/>
          <w:sz w:val="21"/>
          <w:szCs w:val="21"/>
          <w:highlight w:val="none"/>
          <w:u w:val="single"/>
          <w:lang w:val="en-US" w:eastAsia="zh-CN"/>
          <w14:textFill>
            <w14:solidFill>
              <w14:schemeClr w14:val="tx1"/>
            </w14:solidFill>
          </w14:textFill>
        </w:rPr>
        <w:t>/</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7CA20A46">
      <w:pPr>
        <w:kinsoku w:val="0"/>
        <w:spacing w:after="0" w:line="360" w:lineRule="auto"/>
        <w:ind w:firstLine="420" w:firstLineChars="200"/>
        <w:jc w:val="both"/>
        <w:rPr>
          <w:rFonts w:hint="eastAsia" w:ascii="宋体" w:hAnsi="宋体" w:eastAsia="宋体" w:cs="宋体"/>
          <w:color w:val="000000" w:themeColor="text1"/>
          <w:sz w:val="21"/>
          <w:szCs w:val="21"/>
          <w:highlight w:val="none"/>
          <w:u w:val="singl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（2）工程预付款的额度：</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kern w:val="10"/>
          <w:sz w:val="21"/>
          <w:szCs w:val="21"/>
          <w:highlight w:val="none"/>
          <w:u w:val="single"/>
          <w:lang w:val="en-US" w:eastAsia="zh-CN"/>
          <w14:textFill>
            <w14:solidFill>
              <w14:schemeClr w14:val="tx1"/>
            </w14:solidFill>
          </w14:textFill>
        </w:rPr>
        <w:t>/</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266B319C">
      <w:pPr>
        <w:kinsoku w:val="0"/>
        <w:spacing w:after="0" w:line="360" w:lineRule="auto"/>
        <w:ind w:firstLine="420" w:firstLineChars="200"/>
        <w:jc w:val="both"/>
        <w:rPr>
          <w:rFonts w:hint="eastAsia" w:ascii="宋体" w:hAnsi="宋体" w:eastAsia="宋体" w:cs="宋体"/>
          <w:color w:val="000000" w:themeColor="text1"/>
          <w:sz w:val="21"/>
          <w:szCs w:val="21"/>
          <w:highlight w:val="none"/>
          <w:u w:val="singl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（3）工程预付款的抵扣起始时间：</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kern w:val="10"/>
          <w:sz w:val="21"/>
          <w:szCs w:val="21"/>
          <w:highlight w:val="none"/>
          <w:u w:val="single"/>
          <w:lang w:val="en-US" w:eastAsia="zh-CN"/>
          <w14:textFill>
            <w14:solidFill>
              <w14:schemeClr w14:val="tx1"/>
            </w14:solidFill>
          </w14:textFill>
        </w:rPr>
        <w:t>/</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5256ED70">
      <w:pPr>
        <w:kinsoku w:val="0"/>
        <w:spacing w:after="0" w:line="360" w:lineRule="auto"/>
        <w:ind w:firstLine="420" w:firstLineChars="200"/>
        <w:jc w:val="both"/>
        <w:rPr>
          <w:rFonts w:hint="eastAsia" w:ascii="宋体" w:hAnsi="宋体" w:eastAsia="宋体" w:cs="宋体"/>
          <w:color w:val="000000" w:themeColor="text1"/>
          <w:sz w:val="21"/>
          <w:szCs w:val="21"/>
          <w:highlight w:val="none"/>
          <w:u w:val="singl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（4）工程预付款的抵扣方式：</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kern w:val="10"/>
          <w:sz w:val="21"/>
          <w:szCs w:val="21"/>
          <w:highlight w:val="none"/>
          <w:u w:val="single"/>
          <w:lang w:val="en-US" w:eastAsia="zh-CN"/>
          <w14:textFill>
            <w14:solidFill>
              <w14:schemeClr w14:val="tx1"/>
            </w14:solidFill>
          </w14:textFill>
        </w:rPr>
        <w:t>/</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6AD6AF9D">
      <w:pPr>
        <w:kinsoku w:val="0"/>
        <w:spacing w:after="0" w:line="360" w:lineRule="auto"/>
        <w:ind w:firstLine="420" w:firstLineChars="200"/>
        <w:jc w:val="both"/>
        <w:rPr>
          <w:rFonts w:hint="eastAsia" w:ascii="宋体" w:hAnsi="宋体" w:eastAsia="宋体" w:cs="宋体"/>
          <w:color w:val="000000" w:themeColor="text1"/>
          <w:sz w:val="21"/>
          <w:szCs w:val="21"/>
          <w:highlight w:val="none"/>
          <w:u w:val="singl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（5）预付款保函：</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预付款支付前3日内，乙方将预付款保函按甲方的要求提供。</w:t>
      </w:r>
    </w:p>
    <w:p w14:paraId="442E227C">
      <w:pPr>
        <w:kinsoku w:val="0"/>
        <w:spacing w:after="0" w:line="360" w:lineRule="auto"/>
        <w:ind w:firstLine="420" w:firstLineChars="200"/>
        <w:jc w:val="both"/>
        <w:rPr>
          <w:rFonts w:hint="eastAsia" w:ascii="宋体" w:hAnsi="宋体" w:eastAsia="宋体" w:cs="宋体"/>
          <w:color w:val="000000" w:themeColor="text1"/>
          <w:sz w:val="21"/>
          <w:szCs w:val="21"/>
          <w:highlight w:val="none"/>
          <w:u w:val="singl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15.2工程进度款的付款周期、程序、支付比例：</w:t>
      </w:r>
    </w:p>
    <w:p w14:paraId="6EAA3774">
      <w:pPr>
        <w:tabs>
          <w:tab w:val="left" w:pos="992"/>
        </w:tabs>
        <w:kinsoku w:val="0"/>
        <w:spacing w:after="0" w:line="360" w:lineRule="auto"/>
        <w:ind w:left="158" w:leftChars="75"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以下约定的支付情况，是在乙方已向甲方提供了按结算金额开具的建筑业增值税专用发票并经甲方完成发票认证和相应金额的财务收据前提下执行。</w:t>
      </w:r>
    </w:p>
    <w:p w14:paraId="3BF0B91A">
      <w:pPr>
        <w:numPr>
          <w:ilvl w:val="0"/>
          <w:numId w:val="12"/>
        </w:numPr>
        <w:kinsoku w:val="0"/>
        <w:spacing w:after="0" w:line="360" w:lineRule="auto"/>
        <w:ind w:firstLine="420" w:firstLineChars="200"/>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本工程按</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月 </w:t>
      </w:r>
      <w:r>
        <w:rPr>
          <w:rFonts w:hint="eastAsia" w:ascii="宋体" w:hAnsi="宋体" w:eastAsia="宋体" w:cs="宋体"/>
          <w:color w:val="000000" w:themeColor="text1"/>
          <w:sz w:val="21"/>
          <w:szCs w:val="21"/>
          <w:highlight w:val="none"/>
          <w:lang w:eastAsia="zh-CN"/>
          <w14:textFill>
            <w14:solidFill>
              <w14:schemeClr w14:val="tx1"/>
            </w14:solidFill>
          </w14:textFill>
        </w:rPr>
        <w:t>支付进度工程款，经甲方审核完成乙方报送过程结算书后1个月内，支付甲方审定的当期进度完成量的</w:t>
      </w:r>
      <w:r>
        <w:rPr>
          <w:rFonts w:hint="eastAsia" w:ascii="宋体" w:hAnsi="宋体" w:cs="宋体"/>
          <w:color w:val="000000" w:themeColor="text1"/>
          <w:sz w:val="21"/>
          <w:szCs w:val="21"/>
          <w:highlight w:val="none"/>
          <w:u w:val="single"/>
          <w:lang w:val="en-US" w:eastAsia="zh-CN"/>
          <w14:textFill>
            <w14:solidFill>
              <w14:schemeClr w14:val="tx1"/>
            </w14:solidFill>
          </w14:textFill>
        </w:rPr>
        <w:t>7</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0 </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乙方应及时提交农民工工资支付各项手续，并对真实性、完整性负责，确保农民工工资支付比例</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100</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w:t>
      </w:r>
    </w:p>
    <w:p w14:paraId="7E9C1DC8">
      <w:pPr>
        <w:numPr>
          <w:ilvl w:val="0"/>
          <w:numId w:val="12"/>
        </w:numPr>
        <w:kinsoku w:val="0"/>
        <w:spacing w:after="0" w:line="360" w:lineRule="auto"/>
        <w:ind w:firstLine="420" w:firstLineChars="200"/>
        <w:jc w:val="both"/>
        <w:rPr>
          <w:rFonts w:hint="eastAsia" w:ascii="宋体" w:hAnsi="宋体" w:eastAsia="宋体" w:cs="宋体"/>
          <w:color w:val="000000" w:themeColor="text1"/>
          <w:sz w:val="21"/>
          <w:szCs w:val="21"/>
          <w:highlight w:val="none"/>
          <w:u w:val="none"/>
          <w:lang w:eastAsia="zh-CN"/>
          <w14:textFill>
            <w14:solidFill>
              <w14:schemeClr w14:val="tx1"/>
            </w14:solidFill>
          </w14:textFill>
        </w:rPr>
      </w:pPr>
      <w:r>
        <w:rPr>
          <w:rFonts w:hint="eastAsia" w:ascii="宋体" w:hAnsi="宋体" w:cs="宋体"/>
          <w:color w:val="000000" w:themeColor="text1"/>
          <w:sz w:val="21"/>
          <w:szCs w:val="21"/>
          <w:highlight w:val="none"/>
          <w:u w:val="none"/>
          <w:lang w:val="en-US" w:eastAsia="zh-CN"/>
          <w14:textFill>
            <w14:solidFill>
              <w14:schemeClr w14:val="tx1"/>
            </w14:solidFill>
          </w14:textFill>
        </w:rPr>
        <w:t>乙方</w:t>
      </w:r>
      <w:r>
        <w:rPr>
          <w:rFonts w:hint="eastAsia" w:ascii="宋体" w:hAnsi="宋体" w:cs="宋体"/>
          <w:color w:val="000000" w:themeColor="text1"/>
          <w:sz w:val="21"/>
          <w:szCs w:val="21"/>
          <w:highlight w:val="none"/>
          <w:u w:val="none"/>
          <w14:textFill>
            <w14:solidFill>
              <w14:schemeClr w14:val="tx1"/>
            </w14:solidFill>
          </w14:textFill>
        </w:rPr>
        <w:t>所承包工程完工并经</w:t>
      </w:r>
      <w:r>
        <w:rPr>
          <w:rFonts w:hint="eastAsia" w:ascii="宋体" w:hAnsi="宋体" w:cs="宋体"/>
          <w:color w:val="000000" w:themeColor="text1"/>
          <w:sz w:val="21"/>
          <w:szCs w:val="21"/>
          <w:highlight w:val="none"/>
          <w:u w:val="none"/>
          <w:lang w:val="en-US" w:eastAsia="zh-CN"/>
          <w14:textFill>
            <w14:solidFill>
              <w14:schemeClr w14:val="tx1"/>
            </w14:solidFill>
          </w14:textFill>
        </w:rPr>
        <w:t>甲方</w:t>
      </w:r>
      <w:r>
        <w:rPr>
          <w:rFonts w:hint="eastAsia" w:ascii="宋体" w:hAnsi="宋体" w:cs="宋体"/>
          <w:color w:val="000000" w:themeColor="text1"/>
          <w:sz w:val="21"/>
          <w:szCs w:val="21"/>
          <w:highlight w:val="none"/>
          <w:u w:val="none"/>
          <w14:textFill>
            <w14:solidFill>
              <w14:schemeClr w14:val="tx1"/>
            </w14:solidFill>
          </w14:textFill>
        </w:rPr>
        <w:t>验收合格并办理完成最终结算后，</w:t>
      </w:r>
      <w:r>
        <w:rPr>
          <w:rFonts w:hint="eastAsia" w:ascii="宋体" w:hAnsi="宋体" w:cs="宋体"/>
          <w:color w:val="000000" w:themeColor="text1"/>
          <w:sz w:val="21"/>
          <w:szCs w:val="21"/>
          <w:highlight w:val="none"/>
          <w:u w:val="none"/>
          <w:lang w:val="en-US" w:eastAsia="zh-CN"/>
          <w14:textFill>
            <w14:solidFill>
              <w14:schemeClr w14:val="tx1"/>
            </w14:solidFill>
          </w14:textFill>
        </w:rPr>
        <w:t>甲方</w:t>
      </w:r>
      <w:r>
        <w:rPr>
          <w:rFonts w:hint="eastAsia" w:ascii="宋体" w:hAnsi="宋体" w:cs="宋体"/>
          <w:color w:val="000000" w:themeColor="text1"/>
          <w:sz w:val="21"/>
          <w:szCs w:val="21"/>
          <w:highlight w:val="none"/>
          <w:u w:val="none"/>
          <w14:textFill>
            <w14:solidFill>
              <w14:schemeClr w14:val="tx1"/>
            </w14:solidFill>
          </w14:textFill>
        </w:rPr>
        <w:t>支付</w:t>
      </w:r>
      <w:r>
        <w:rPr>
          <w:rFonts w:hint="eastAsia" w:ascii="宋体" w:hAnsi="宋体" w:cs="宋体"/>
          <w:color w:val="000000" w:themeColor="text1"/>
          <w:sz w:val="21"/>
          <w:szCs w:val="21"/>
          <w:highlight w:val="none"/>
          <w:u w:val="none"/>
          <w:lang w:val="en-US" w:eastAsia="zh-CN"/>
          <w14:textFill>
            <w14:solidFill>
              <w14:schemeClr w14:val="tx1"/>
            </w14:solidFill>
          </w14:textFill>
        </w:rPr>
        <w:t>乙方</w:t>
      </w:r>
      <w:r>
        <w:rPr>
          <w:rFonts w:hint="eastAsia" w:ascii="宋体" w:hAnsi="宋体" w:cs="宋体"/>
          <w:color w:val="000000" w:themeColor="text1"/>
          <w:sz w:val="21"/>
          <w:szCs w:val="21"/>
          <w:highlight w:val="none"/>
          <w:u w:val="none"/>
          <w14:textFill>
            <w14:solidFill>
              <w14:schemeClr w14:val="tx1"/>
            </w14:solidFill>
          </w14:textFill>
        </w:rPr>
        <w:t>工程款至最终结算金额的9</w:t>
      </w:r>
      <w:r>
        <w:rPr>
          <w:rFonts w:hint="eastAsia" w:ascii="宋体" w:hAnsi="宋体" w:cs="宋体"/>
          <w:color w:val="000000" w:themeColor="text1"/>
          <w:sz w:val="21"/>
          <w:szCs w:val="21"/>
          <w:highlight w:val="none"/>
          <w:u w:val="none"/>
          <w:lang w:val="en-US" w:eastAsia="zh-CN"/>
          <w14:textFill>
            <w14:solidFill>
              <w14:schemeClr w14:val="tx1"/>
            </w14:solidFill>
          </w14:textFill>
        </w:rPr>
        <w:t>7</w:t>
      </w:r>
      <w:r>
        <w:rPr>
          <w:rFonts w:hint="eastAsia" w:ascii="宋体" w:hAnsi="宋体" w:cs="宋体"/>
          <w:color w:val="000000" w:themeColor="text1"/>
          <w:sz w:val="21"/>
          <w:szCs w:val="21"/>
          <w:highlight w:val="none"/>
          <w:u w:val="none"/>
          <w14:textFill>
            <w14:solidFill>
              <w14:schemeClr w14:val="tx1"/>
            </w14:solidFill>
          </w14:textFill>
        </w:rPr>
        <w:t>%，剩余</w:t>
      </w:r>
      <w:r>
        <w:rPr>
          <w:rFonts w:hint="eastAsia" w:ascii="宋体" w:hAnsi="宋体" w:cs="宋体"/>
          <w:color w:val="000000" w:themeColor="text1"/>
          <w:sz w:val="21"/>
          <w:szCs w:val="21"/>
          <w:highlight w:val="none"/>
          <w:u w:val="none"/>
          <w:lang w:val="en-US" w:eastAsia="zh-CN"/>
          <w14:textFill>
            <w14:solidFill>
              <w14:schemeClr w14:val="tx1"/>
            </w14:solidFill>
          </w14:textFill>
        </w:rPr>
        <w:t>3</w:t>
      </w:r>
      <w:r>
        <w:rPr>
          <w:rFonts w:hint="eastAsia" w:ascii="宋体" w:hAnsi="宋体" w:cs="宋体"/>
          <w:color w:val="000000" w:themeColor="text1"/>
          <w:sz w:val="21"/>
          <w:szCs w:val="21"/>
          <w:highlight w:val="none"/>
          <w:u w:val="none"/>
          <w14:textFill>
            <w14:solidFill>
              <w14:schemeClr w14:val="tx1"/>
            </w14:solidFill>
          </w14:textFill>
        </w:rPr>
        <w:t>%作为工程质保金，质保金</w:t>
      </w:r>
      <w:r>
        <w:rPr>
          <w:rFonts w:hint="eastAsia" w:ascii="宋体" w:hAnsi="宋体" w:cs="宋体"/>
          <w:color w:val="000000" w:themeColor="text1"/>
          <w:sz w:val="21"/>
          <w:szCs w:val="21"/>
          <w:highlight w:val="none"/>
          <w:u w:val="none"/>
          <w:lang w:val="en-US" w:eastAsia="zh-CN"/>
          <w14:textFill>
            <w14:solidFill>
              <w14:schemeClr w14:val="tx1"/>
            </w14:solidFill>
          </w14:textFill>
        </w:rPr>
        <w:t>到期且扣除相应扣款后</w:t>
      </w:r>
      <w:r>
        <w:rPr>
          <w:rFonts w:hint="eastAsia" w:ascii="宋体" w:hAnsi="宋体" w:cs="宋体"/>
          <w:color w:val="000000" w:themeColor="text1"/>
          <w:sz w:val="21"/>
          <w:szCs w:val="21"/>
          <w:highlight w:val="none"/>
          <w:u w:val="none"/>
          <w14:textFill>
            <w14:solidFill>
              <w14:schemeClr w14:val="tx1"/>
            </w14:solidFill>
          </w14:textFill>
        </w:rPr>
        <w:t>全额无息支付给分包方。</w:t>
      </w:r>
    </w:p>
    <w:p w14:paraId="5AECB0DD">
      <w:pPr>
        <w:numPr>
          <w:ilvl w:val="0"/>
          <w:numId w:val="12"/>
        </w:num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甲乙双方一致同意对工程所有款项实施分账制支付，即，一部分是农民工工资，占结算价款比</w:t>
      </w:r>
      <w:r>
        <w:rPr>
          <w:rFonts w:hint="eastAsia" w:ascii="宋体" w:hAnsi="宋体" w:eastAsia="宋体" w:cs="宋体"/>
          <w:color w:val="000000" w:themeColor="text1"/>
          <w:sz w:val="21"/>
          <w:szCs w:val="21"/>
          <w:highlight w:val="none"/>
          <w:lang w:eastAsia="zh-CN"/>
          <w14:textFill>
            <w14:solidFill>
              <w14:schemeClr w14:val="tx1"/>
            </w14:solidFill>
          </w14:textFill>
        </w:rPr>
        <w:t>例的</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55</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暂定比例，实际支付以实际进场产生为准</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直接通过甲方开设的农民工工资专用账户（乙方应签订农民工工资代付协议，并为农民工办理个人工资银行卡，在工人进场后7日内将工人的工资收款信息书面报送甲方，并按时编制报送每期农民工工资明细）支付至乙方指定工人（乙方在实名制平台上登记考勤的工人）的银行卡；另外一部分（含乙方采购的零星材料、辅材、小型机械费、管理费、利润和税金等除农民工工资外的全部费用）按合同约定支付到乙方指定账户。</w:t>
      </w:r>
    </w:p>
    <w:p w14:paraId="670370E2">
      <w:pPr>
        <w:numPr>
          <w:ilvl w:val="0"/>
          <w:numId w:val="12"/>
        </w:num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接受甲方以现金或银行转账方式支付人工费部分，以电汇、转账、银行汇票、信用证、保理、供应链等形式支付非人工费部分，乙方须配合甲方完成相关支付手续。付款过程中产生的贴息费用及手续费由【乙方】承担。乙方委托专职收款人办理收款业务，收款人必须取得授权。</w:t>
      </w:r>
    </w:p>
    <w:p w14:paraId="13C13CD0">
      <w:pPr>
        <w:numPr>
          <w:ilvl w:val="0"/>
          <w:numId w:val="12"/>
        </w:num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乙方指定下列账户为收款账户，当甲方采用转账方式付款时，应支付至下列账户。如乙方变更收款账户，应提前十五天以上书面通知甲方，否则造成资金的损失由乙方自行承担，与甲方无关。乙方指定收款账户：</w:t>
      </w:r>
    </w:p>
    <w:p w14:paraId="569FB8B6">
      <w:pPr>
        <w:kinsoku w:val="0"/>
        <w:spacing w:after="0" w:line="360" w:lineRule="auto"/>
        <w:ind w:left="420" w:left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账户名：</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w:t>
      </w:r>
    </w:p>
    <w:p w14:paraId="6D2E6840">
      <w:pPr>
        <w:kinsoku w:val="0"/>
        <w:spacing w:after="0" w:line="360" w:lineRule="auto"/>
        <w:ind w:left="420" w:left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开户行：</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w:t>
      </w:r>
    </w:p>
    <w:p w14:paraId="6531E7CB">
      <w:pPr>
        <w:kinsoku w:val="0"/>
        <w:spacing w:after="0" w:line="360" w:lineRule="auto"/>
        <w:ind w:left="420" w:left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账  号：</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w:t>
      </w:r>
    </w:p>
    <w:p w14:paraId="6290B1ED">
      <w:pPr>
        <w:numPr>
          <w:ilvl w:val="0"/>
          <w:numId w:val="0"/>
        </w:numPr>
        <w:kinsoku w:val="0"/>
        <w:spacing w:after="0" w:line="360" w:lineRule="auto"/>
        <w:ind w:left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9</w:t>
      </w:r>
      <w:r>
        <w:rPr>
          <w:rFonts w:hint="eastAsia" w:ascii="宋体" w:hAnsi="宋体" w:eastAsia="宋体" w:cs="宋体"/>
          <w:color w:val="000000" w:themeColor="text1"/>
          <w:sz w:val="21"/>
          <w:szCs w:val="21"/>
          <w:highlight w:val="none"/>
          <w:lang w:eastAsia="zh-CN"/>
          <w14:textFill>
            <w14:solidFill>
              <w14:schemeClr w14:val="tx1"/>
            </w14:solidFill>
          </w14:textFill>
        </w:rPr>
        <w:t>）安全生产费根据乙方安全生产措施的实际实施情况进行计量，需要乙方提供相应发票以及现场施工照片后方可进行计量。乙方投入不足或提供资料不符合要求的，甲方有权在后续工程款中扣除或要求乙方退还已支付安全生产费。</w:t>
      </w:r>
    </w:p>
    <w:p w14:paraId="7092A0DC">
      <w:pPr>
        <w:numPr>
          <w:ilvl w:val="0"/>
          <w:numId w:val="0"/>
        </w:numPr>
        <w:kinsoku w:val="0"/>
        <w:spacing w:after="0" w:line="360" w:lineRule="auto"/>
        <w:ind w:left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color w:val="000000" w:themeColor="text1"/>
          <w:sz w:val="21"/>
          <w:szCs w:val="21"/>
          <w:highlight w:val="none"/>
          <w:lang w:eastAsia="zh-CN"/>
          <w14:textFill>
            <w14:solidFill>
              <w14:schemeClr w14:val="tx1"/>
            </w14:solidFill>
          </w14:textFill>
        </w:rPr>
        <w:t>）甲方拖欠线索受理联系人：</w:t>
      </w:r>
    </w:p>
    <w:p w14:paraId="61475241">
      <w:pPr>
        <w:kinsoku w:val="0"/>
        <w:spacing w:after="0" w:line="360" w:lineRule="auto"/>
        <w:ind w:left="420" w:leftChars="200" w:firstLine="210" w:firstLineChars="1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项目部联系人：</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孙文特</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 xml:space="preserve"> ，联系电话：</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13501301834</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 xml:space="preserve">； </w:t>
      </w:r>
    </w:p>
    <w:p w14:paraId="5A1D6EF7">
      <w:pPr>
        <w:kinsoku w:val="0"/>
        <w:spacing w:after="0" w:line="360" w:lineRule="auto"/>
        <w:ind w:firstLine="630" w:firstLineChars="3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公司联系人：</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侯双全</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 xml:space="preserve"> ，联系电话： </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0311-89915065</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44A4246C">
      <w:pPr>
        <w:kinsoku w:val="0"/>
        <w:spacing w:after="0" w:line="360" w:lineRule="auto"/>
        <w:ind w:firstLine="630" w:firstLineChars="3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公司信访投诉电话：</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031189915068</w:t>
      </w:r>
    </w:p>
    <w:p w14:paraId="7197212D">
      <w:pPr>
        <w:kinsoku w:val="0"/>
        <w:spacing w:after="0" w:line="360" w:lineRule="auto"/>
        <w:ind w:firstLine="630" w:firstLineChars="3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信访投诉邮箱：</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604869518</w:t>
      </w:r>
      <w:r>
        <w:rPr>
          <w:rFonts w:hint="eastAsia" w:ascii="宋体" w:hAnsi="宋体" w:eastAsia="宋体" w:cs="宋体"/>
          <w:color w:val="000000" w:themeColor="text1"/>
          <w:sz w:val="21"/>
          <w:szCs w:val="21"/>
          <w:highlight w:val="none"/>
          <w:lang w:eastAsia="zh-CN"/>
          <w14:textFill>
            <w14:solidFill>
              <w14:schemeClr w14:val="tx1"/>
            </w14:solidFill>
          </w14:textFill>
        </w:rPr>
        <w:t>@qq.com</w:t>
      </w:r>
    </w:p>
    <w:p w14:paraId="182413FA">
      <w:pPr>
        <w:kinsoku w:val="0"/>
        <w:spacing w:after="0" w:line="360" w:lineRule="auto"/>
        <w:ind w:firstLine="210" w:firstLineChars="1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15.3甲方代发乙方农民工工资的程序、支付比例：</w:t>
      </w:r>
    </w:p>
    <w:p w14:paraId="1D1C640F">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（1）支付周期：</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月度  </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7F5B56BD">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（2）甲方优先代发乙方农民工工资，农民工工资代发完毕后，支付乙方当期其他工程款。</w:t>
      </w:r>
    </w:p>
    <w:p w14:paraId="2044D62F">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（3）甲方代发乙方农民工工资前，乙方应提供以下资料：</w:t>
      </w:r>
    </w:p>
    <w:p w14:paraId="7E0F5221">
      <w:pPr>
        <w:kinsoku w:val="0"/>
        <w:spacing w:after="0" w:line="360" w:lineRule="auto"/>
        <w:ind w:left="158" w:leftChars="75"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1）乙方与农民工签订的劳动合同。</w:t>
      </w:r>
    </w:p>
    <w:p w14:paraId="4A78F6B9">
      <w:pPr>
        <w:kinsoku w:val="0"/>
        <w:spacing w:after="0" w:line="360" w:lineRule="auto"/>
        <w:ind w:left="158" w:leftChars="75"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2）农民工工资支付台账、考勤表，农民工工资支付台账以班组分类，必须农民工本人签字并按手印，提供农民工本人签字并按手印的影像资料。</w:t>
      </w:r>
    </w:p>
    <w:p w14:paraId="6F9D9115">
      <w:pPr>
        <w:kinsoku w:val="0"/>
        <w:spacing w:after="0" w:line="360" w:lineRule="auto"/>
        <w:ind w:left="158" w:leftChars="75"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3）乙方出具的《农民工当期工资支付完毕声明书》。</w:t>
      </w:r>
    </w:p>
    <w:p w14:paraId="7F61D9FD">
      <w:pPr>
        <w:kinsoku w:val="0"/>
        <w:spacing w:after="0" w:line="360" w:lineRule="auto"/>
        <w:ind w:left="158" w:leftChars="75"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4）工人退场时需办理劳务工资结算单，对于已经结清工资的农民工，应在劳务结算单上签字确认工资结清承诺。</w:t>
      </w:r>
    </w:p>
    <w:p w14:paraId="10A1AA3D">
      <w:pPr>
        <w:kinsoku w:val="0"/>
        <w:spacing w:after="0" w:line="360" w:lineRule="auto"/>
        <w:ind w:left="158" w:leftChars="75"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5）乙方应向甲方出具农民工工资代发授权委托书。</w:t>
      </w:r>
    </w:p>
    <w:p w14:paraId="675EF34F">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（4）甲方根据乙方编制的农民工工资支付台账，通过农民工工资专用账户直接将工资支付到农民工本人的银行账户，并向乙方提供代发工资凭证。</w:t>
      </w:r>
    </w:p>
    <w:p w14:paraId="25643D6E">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5）因乙方漏报、瞒报、虚报农民工工资等原因造成甲方代乙方清偿拖欠农民工工资、超分包工程款代付农民工工资情况的，甲方可以从分包履约保证金中扣回（尚未完成履约的应及时补缴履约保证金），也可以采取索赔和追偿。</w:t>
      </w:r>
    </w:p>
    <w:p w14:paraId="0F3C1A5C">
      <w:pPr>
        <w:pStyle w:val="11"/>
        <w:spacing w:after="0" w:line="360" w:lineRule="auto"/>
        <w:ind w:firstLine="420"/>
        <w:rPr>
          <w:rFonts w:hint="eastAsia" w:ascii="宋体" w:hAnsi="宋体" w:eastAsia="宋体" w:cs="宋体"/>
          <w:b/>
          <w:bCs/>
          <w:color w:val="000000" w:themeColor="text1"/>
          <w:kern w:val="10"/>
          <w:sz w:val="21"/>
          <w:szCs w:val="21"/>
          <w:highlight w:val="none"/>
          <w:u w:val="singl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15.4本条款</w:t>
      </w:r>
      <w:r>
        <w:rPr>
          <w:rFonts w:hint="eastAsia" w:ascii="宋体" w:hAnsi="宋体" w:eastAsia="宋体" w:cs="宋体"/>
          <w:color w:val="000000" w:themeColor="text1"/>
          <w:sz w:val="21"/>
          <w:szCs w:val="21"/>
          <w:highlight w:val="none"/>
          <w:u w:val="single"/>
          <w14:textFill>
            <w14:solidFill>
              <w14:schemeClr w14:val="tx1"/>
            </w14:solidFill>
          </w14:textFill>
        </w:rPr>
        <w:t>【不适用】</w:t>
      </w:r>
      <w:r>
        <w:rPr>
          <w:rFonts w:hint="eastAsia" w:ascii="宋体" w:hAnsi="宋体" w:eastAsia="宋体" w:cs="宋体"/>
          <w:color w:val="000000" w:themeColor="text1"/>
          <w:sz w:val="21"/>
          <w:szCs w:val="21"/>
          <w:highlight w:val="none"/>
          <w14:textFill>
            <w14:solidFill>
              <w14:schemeClr w14:val="tx1"/>
            </w14:solidFill>
          </w14:textFill>
        </w:rPr>
        <w:t>。</w:t>
      </w:r>
    </w:p>
    <w:p w14:paraId="4E82F212">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15.10甲方付款前，乙方应按甲方财务要求提供合法的</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增值税专用发票</w:t>
      </w:r>
      <w:r>
        <w:rPr>
          <w:rFonts w:hint="eastAsia" w:ascii="宋体" w:hAnsi="宋体" w:eastAsia="宋体" w:cs="宋体"/>
          <w:color w:val="000000" w:themeColor="text1"/>
          <w:sz w:val="21"/>
          <w:szCs w:val="21"/>
          <w:highlight w:val="none"/>
          <w:lang w:eastAsia="zh-CN"/>
          <w14:textFill>
            <w14:solidFill>
              <w14:schemeClr w14:val="tx1"/>
            </w14:solidFill>
          </w14:textFill>
        </w:rPr>
        <w:t>，准确填写发票内容并提供发票真伪查询证明，发票备注栏应填写与总包合同一致的工程名称及工程地址（省市区）。</w:t>
      </w:r>
      <w:r>
        <w:rPr>
          <w:rFonts w:hint="eastAsia" w:ascii="宋体" w:hAnsi="宋体" w:eastAsia="宋体" w:cs="宋体"/>
          <w:b/>
          <w:bCs/>
          <w:color w:val="000000" w:themeColor="text1"/>
          <w:sz w:val="21"/>
          <w:szCs w:val="21"/>
          <w:highlight w:val="none"/>
          <w:lang w:eastAsia="zh-CN"/>
          <w14:textFill>
            <w14:solidFill>
              <w14:schemeClr w14:val="tx1"/>
            </w14:solidFill>
          </w14:textFill>
        </w:rPr>
        <w:t>乙方未能按甲方要求提供增值税专用发票，除扣除相应税金外，还应承担合同金额（含增值税）</w:t>
      </w:r>
      <w:r>
        <w:rPr>
          <w:rFonts w:hint="eastAsia" w:ascii="宋体" w:hAnsi="宋体" w:eastAsia="宋体" w:cs="宋体"/>
          <w:b/>
          <w:bCs/>
          <w:color w:val="000000" w:themeColor="text1"/>
          <w:sz w:val="21"/>
          <w:szCs w:val="21"/>
          <w:highlight w:val="none"/>
          <w:u w:val="single"/>
          <w:lang w:eastAsia="zh-CN"/>
          <w14:textFill>
            <w14:solidFill>
              <w14:schemeClr w14:val="tx1"/>
            </w14:solidFill>
          </w14:textFill>
        </w:rPr>
        <w:t>10%</w:t>
      </w:r>
      <w:r>
        <w:rPr>
          <w:rFonts w:hint="eastAsia" w:ascii="宋体" w:hAnsi="宋体" w:eastAsia="宋体" w:cs="宋体"/>
          <w:b/>
          <w:bCs/>
          <w:color w:val="000000" w:themeColor="text1"/>
          <w:sz w:val="21"/>
          <w:szCs w:val="21"/>
          <w:highlight w:val="none"/>
          <w:lang w:eastAsia="zh-CN"/>
          <w14:textFill>
            <w14:solidFill>
              <w14:schemeClr w14:val="tx1"/>
            </w14:solidFill>
          </w14:textFill>
        </w:rPr>
        <w:t>的违约金。</w:t>
      </w:r>
      <w:r>
        <w:rPr>
          <w:rFonts w:hint="eastAsia" w:ascii="宋体" w:hAnsi="宋体" w:eastAsia="宋体" w:cs="宋体"/>
          <w:color w:val="000000" w:themeColor="text1"/>
          <w:sz w:val="21"/>
          <w:szCs w:val="21"/>
          <w:highlight w:val="none"/>
          <w:lang w:eastAsia="zh-CN"/>
          <w14:textFill>
            <w14:solidFill>
              <w14:schemeClr w14:val="tx1"/>
            </w14:solidFill>
          </w14:textFill>
        </w:rPr>
        <w:t>乙方开具增值税发票后，次月必须在税务网进行抄税，未经甲方事先书面同意，乙方不得擅自将已向甲方开具的增值税发票作废。若乙方擅自作废发票，需向甲方承担作废发票金额</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2</w:t>
      </w:r>
      <w:r>
        <w:rPr>
          <w:rFonts w:hint="eastAsia" w:ascii="宋体" w:hAnsi="宋体" w:eastAsia="宋体" w:cs="宋体"/>
          <w:color w:val="000000" w:themeColor="text1"/>
          <w:sz w:val="21"/>
          <w:szCs w:val="21"/>
          <w:highlight w:val="none"/>
          <w:lang w:eastAsia="zh-CN"/>
          <w14:textFill>
            <w14:solidFill>
              <w14:schemeClr w14:val="tx1"/>
            </w14:solidFill>
          </w14:textFill>
        </w:rPr>
        <w:t>%的违约金并承担因擅自作废给甲方造成的所有责任及损失。</w:t>
      </w:r>
    </w:p>
    <w:p w14:paraId="193CC721">
      <w:pPr>
        <w:kinsoku w:val="0"/>
        <w:spacing w:after="0" w:line="360" w:lineRule="auto"/>
        <w:ind w:firstLine="420" w:firstLine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15.11发票要求：</w:t>
      </w:r>
    </w:p>
    <w:p w14:paraId="023DB9B9">
      <w:pPr>
        <w:widowControl w:val="0"/>
        <w:kinsoku w:val="0"/>
        <w:spacing w:after="0" w:line="360" w:lineRule="auto"/>
        <w:ind w:left="158" w:leftChars="75" w:firstLine="840" w:firstLineChars="400"/>
        <w:rPr>
          <w:rFonts w:hint="eastAsia" w:ascii="宋体" w:hAnsi="宋体" w:eastAsia="宋体" w:cs="宋体"/>
          <w:bCs/>
          <w:color w:val="000000" w:themeColor="text1"/>
          <w:sz w:val="21"/>
          <w:szCs w:val="21"/>
          <w:highlight w:val="none"/>
          <w:lang w:eastAsia="zh-CN"/>
          <w14:textFill>
            <w14:solidFill>
              <w14:schemeClr w14:val="tx1"/>
            </w14:solidFill>
          </w14:textFill>
        </w:rPr>
      </w:pPr>
      <w:r>
        <w:rPr>
          <w:rFonts w:hint="eastAsia" w:ascii="宋体" w:hAnsi="宋体" w:eastAsia="宋体" w:cs="宋体"/>
          <w:bCs/>
          <w:color w:val="000000" w:themeColor="text1"/>
          <w:sz w:val="21"/>
          <w:szCs w:val="21"/>
          <w:highlight w:val="none"/>
          <w:lang w:eastAsia="zh-CN"/>
          <w14:textFill>
            <w14:solidFill>
              <w14:schemeClr w14:val="tx1"/>
            </w14:solidFill>
          </w14:textFill>
        </w:rPr>
        <w:t>甲方单位名称：</w:t>
      </w:r>
      <w:r>
        <w:rPr>
          <w:rFonts w:hint="eastAsia" w:ascii="宋体" w:hAnsi="宋体" w:eastAsia="宋体" w:cs="宋体"/>
          <w:bCs/>
          <w:color w:val="000000" w:themeColor="text1"/>
          <w:sz w:val="21"/>
          <w:szCs w:val="21"/>
          <w:highlight w:val="none"/>
          <w:u w:val="single"/>
          <w:lang w:eastAsia="zh-CN"/>
          <w14:textFill>
            <w14:solidFill>
              <w14:schemeClr w14:val="tx1"/>
            </w14:solidFill>
          </w14:textFill>
        </w:rPr>
        <w:t xml:space="preserve"> </w:t>
      </w:r>
      <w:r>
        <w:rPr>
          <w:rFonts w:hint="eastAsia" w:ascii="宋体" w:hAnsi="宋体" w:eastAsia="宋体" w:cs="宋体"/>
          <w:bCs/>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Times New Roman"/>
          <w:b w:val="0"/>
          <w:bCs/>
          <w:color w:val="000000" w:themeColor="text1"/>
          <w:sz w:val="21"/>
          <w:szCs w:val="21"/>
          <w:highlight w:val="none"/>
          <w:u w:val="single"/>
          <w:lang w:val="en-US" w:eastAsia="zh-CN"/>
          <w14:textFill>
            <w14:solidFill>
              <w14:schemeClr w14:val="tx1"/>
            </w14:solidFill>
          </w14:textFill>
        </w:rPr>
        <w:t xml:space="preserve"> 中建路桥集团第二工程有限公司</w:t>
      </w:r>
      <w:r>
        <w:rPr>
          <w:rFonts w:hint="eastAsia" w:ascii="宋体" w:hAnsi="宋体" w:eastAsia="宋体" w:cs="宋体"/>
          <w:bCs/>
          <w:color w:val="000000" w:themeColor="text1"/>
          <w:sz w:val="21"/>
          <w:szCs w:val="21"/>
          <w:highlight w:val="none"/>
          <w:u w:val="single"/>
          <w:lang w:eastAsia="zh-CN"/>
          <w14:textFill>
            <w14:solidFill>
              <w14:schemeClr w14:val="tx1"/>
            </w14:solidFill>
          </w14:textFill>
        </w:rPr>
        <w:t xml:space="preserve">        </w:t>
      </w:r>
    </w:p>
    <w:p w14:paraId="09CEE7A2">
      <w:pPr>
        <w:widowControl w:val="0"/>
        <w:kinsoku w:val="0"/>
        <w:spacing w:after="0" w:line="360" w:lineRule="auto"/>
        <w:ind w:left="158" w:leftChars="75" w:firstLine="840" w:firstLineChars="400"/>
        <w:rPr>
          <w:rFonts w:hint="eastAsia" w:ascii="宋体" w:hAnsi="宋体" w:eastAsia="宋体" w:cs="宋体"/>
          <w:bCs/>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甲方</w:t>
      </w:r>
      <w:r>
        <w:rPr>
          <w:rFonts w:hint="eastAsia" w:ascii="宋体" w:hAnsi="宋体" w:eastAsia="宋体" w:cs="宋体"/>
          <w:bCs/>
          <w:color w:val="000000" w:themeColor="text1"/>
          <w:sz w:val="21"/>
          <w:szCs w:val="21"/>
          <w:highlight w:val="none"/>
          <w:lang w:eastAsia="zh-CN"/>
          <w14:textFill>
            <w14:solidFill>
              <w14:schemeClr w14:val="tx1"/>
            </w14:solidFill>
          </w14:textFill>
        </w:rPr>
        <w:t>开户银行：</w:t>
      </w:r>
      <w:r>
        <w:rPr>
          <w:rFonts w:hint="eastAsia" w:ascii="宋体" w:hAnsi="宋体" w:eastAsia="宋体" w:cs="宋体"/>
          <w:bCs/>
          <w:color w:val="000000" w:themeColor="text1"/>
          <w:sz w:val="21"/>
          <w:szCs w:val="21"/>
          <w:highlight w:val="none"/>
          <w:u w:val="single"/>
          <w:lang w:eastAsia="zh-CN"/>
          <w14:textFill>
            <w14:solidFill>
              <w14:schemeClr w14:val="tx1"/>
            </w14:solidFill>
          </w14:textFill>
        </w:rPr>
        <w:t xml:space="preserve">   </w:t>
      </w:r>
      <w:r>
        <w:rPr>
          <w:rFonts w:hint="eastAsia" w:ascii="宋体" w:hAnsi="宋体" w:eastAsia="宋体" w:cs="宋体"/>
          <w:bCs/>
          <w:color w:val="000000" w:themeColor="text1"/>
          <w:sz w:val="21"/>
          <w:szCs w:val="21"/>
          <w:highlight w:val="none"/>
          <w:u w:val="single"/>
          <w:lang w:val="en-US" w:eastAsia="zh-CN"/>
          <w14:textFill>
            <w14:solidFill>
              <w14:schemeClr w14:val="tx1"/>
            </w14:solidFill>
          </w14:textFill>
        </w:rPr>
        <w:t xml:space="preserve">      广西北部湾银行南宁市琅东支行</w:t>
      </w:r>
      <w:r>
        <w:rPr>
          <w:rFonts w:hint="eastAsia" w:ascii="宋体" w:hAnsi="宋体" w:eastAsia="宋体" w:cs="宋体"/>
          <w:bCs/>
          <w:color w:val="000000" w:themeColor="text1"/>
          <w:sz w:val="21"/>
          <w:szCs w:val="21"/>
          <w:highlight w:val="none"/>
          <w:u w:val="single"/>
          <w:lang w:eastAsia="zh-CN"/>
          <w14:textFill>
            <w14:solidFill>
              <w14:schemeClr w14:val="tx1"/>
            </w14:solidFill>
          </w14:textFill>
        </w:rPr>
        <w:t xml:space="preserve">      </w:t>
      </w:r>
    </w:p>
    <w:p w14:paraId="52256249">
      <w:pPr>
        <w:widowControl w:val="0"/>
        <w:kinsoku w:val="0"/>
        <w:spacing w:after="0" w:line="360" w:lineRule="auto"/>
        <w:ind w:left="158" w:leftChars="75" w:firstLine="840" w:firstLineChars="400"/>
        <w:rPr>
          <w:rFonts w:hint="eastAsia" w:ascii="宋体" w:hAnsi="宋体" w:eastAsia="宋体" w:cs="宋体"/>
          <w:bCs/>
          <w:color w:val="000000" w:themeColor="text1"/>
          <w:sz w:val="21"/>
          <w:szCs w:val="21"/>
          <w:highlight w:val="none"/>
          <w:u w:val="single"/>
          <w:lang w:eastAsia="zh-CN"/>
          <w14:textFill>
            <w14:solidFill>
              <w14:schemeClr w14:val="tx1"/>
            </w14:solidFill>
          </w14:textFill>
        </w:rPr>
      </w:pPr>
      <w:r>
        <w:rPr>
          <w:rFonts w:hint="eastAsia" w:ascii="宋体" w:hAnsi="宋体" w:eastAsia="宋体" w:cs="宋体"/>
          <w:bCs/>
          <w:color w:val="000000" w:themeColor="text1"/>
          <w:sz w:val="21"/>
          <w:szCs w:val="21"/>
          <w:highlight w:val="none"/>
          <w:lang w:eastAsia="zh-CN"/>
          <w14:textFill>
            <w14:solidFill>
              <w14:schemeClr w14:val="tx1"/>
            </w14:solidFill>
          </w14:textFill>
        </w:rPr>
        <w:t>甲方银行账号：</w:t>
      </w:r>
      <w:r>
        <w:rPr>
          <w:rFonts w:hint="eastAsia" w:ascii="宋体" w:hAnsi="宋体" w:eastAsia="宋体" w:cs="宋体"/>
          <w:bCs/>
          <w:color w:val="000000" w:themeColor="text1"/>
          <w:sz w:val="21"/>
          <w:szCs w:val="21"/>
          <w:highlight w:val="none"/>
          <w:u w:val="single"/>
          <w:lang w:eastAsia="zh-CN"/>
          <w14:textFill>
            <w14:solidFill>
              <w14:schemeClr w14:val="tx1"/>
            </w14:solidFill>
          </w14:textFill>
        </w:rPr>
        <w:t xml:space="preserve">   </w:t>
      </w:r>
      <w:r>
        <w:rPr>
          <w:rFonts w:hint="eastAsia" w:ascii="宋体" w:hAnsi="宋体" w:eastAsia="宋体" w:cs="宋体"/>
          <w:bCs/>
          <w:color w:val="000000" w:themeColor="text1"/>
          <w:sz w:val="21"/>
          <w:szCs w:val="21"/>
          <w:highlight w:val="none"/>
          <w:u w:val="single"/>
          <w:lang w:val="en-US" w:eastAsia="zh-CN"/>
          <w14:textFill>
            <w14:solidFill>
              <w14:schemeClr w14:val="tx1"/>
            </w14:solidFill>
          </w14:textFill>
        </w:rPr>
        <w:t xml:space="preserve">  800136608100016</w:t>
      </w:r>
      <w:r>
        <w:rPr>
          <w:rFonts w:hint="eastAsia" w:ascii="宋体" w:hAnsi="宋体" w:eastAsia="宋体" w:cs="宋体"/>
          <w:bCs/>
          <w:color w:val="000000" w:themeColor="text1"/>
          <w:sz w:val="21"/>
          <w:szCs w:val="21"/>
          <w:highlight w:val="none"/>
          <w:u w:val="single"/>
          <w:lang w:eastAsia="zh-CN"/>
          <w14:textFill>
            <w14:solidFill>
              <w14:schemeClr w14:val="tx1"/>
            </w14:solidFill>
          </w14:textFill>
        </w:rPr>
        <w:t xml:space="preserve"> </w:t>
      </w:r>
      <w:r>
        <w:rPr>
          <w:rFonts w:hint="eastAsia" w:ascii="宋体" w:hAnsi="宋体" w:eastAsia="宋体" w:cs="宋体"/>
          <w:bCs/>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bCs/>
          <w:color w:val="000000" w:themeColor="text1"/>
          <w:sz w:val="21"/>
          <w:szCs w:val="21"/>
          <w:highlight w:val="none"/>
          <w:u w:val="single"/>
          <w:lang w:eastAsia="zh-CN"/>
          <w14:textFill>
            <w14:solidFill>
              <w14:schemeClr w14:val="tx1"/>
            </w14:solidFill>
          </w14:textFill>
        </w:rPr>
        <w:t xml:space="preserve">   </w:t>
      </w:r>
    </w:p>
    <w:p w14:paraId="6F9DE663">
      <w:pPr>
        <w:widowControl w:val="0"/>
        <w:kinsoku w:val="0"/>
        <w:spacing w:after="0" w:line="360" w:lineRule="auto"/>
        <w:ind w:left="158" w:leftChars="75" w:firstLine="840" w:firstLineChars="400"/>
        <w:rPr>
          <w:rFonts w:hint="eastAsia" w:ascii="宋体" w:hAnsi="宋体" w:eastAsia="宋体" w:cs="宋体"/>
          <w:bCs/>
          <w:color w:val="000000" w:themeColor="text1"/>
          <w:sz w:val="21"/>
          <w:szCs w:val="21"/>
          <w:highlight w:val="none"/>
          <w:u w:val="single"/>
          <w:lang w:eastAsia="zh-CN"/>
          <w14:textFill>
            <w14:solidFill>
              <w14:schemeClr w14:val="tx1"/>
            </w14:solidFill>
          </w14:textFill>
        </w:rPr>
      </w:pPr>
      <w:r>
        <w:rPr>
          <w:rFonts w:hint="eastAsia" w:ascii="宋体" w:hAnsi="宋体" w:eastAsia="宋体" w:cs="宋体"/>
          <w:bCs/>
          <w:color w:val="000000" w:themeColor="text1"/>
          <w:sz w:val="21"/>
          <w:szCs w:val="21"/>
          <w:highlight w:val="none"/>
          <w:lang w:eastAsia="zh-CN"/>
          <w14:textFill>
            <w14:solidFill>
              <w14:schemeClr w14:val="tx1"/>
            </w14:solidFill>
          </w14:textFill>
        </w:rPr>
        <w:t>地 址、电 话：</w:t>
      </w:r>
      <w:r>
        <w:rPr>
          <w:rFonts w:hint="eastAsia" w:ascii="宋体" w:hAnsi="宋体" w:eastAsia="宋体" w:cs="宋体"/>
          <w:bCs/>
          <w:color w:val="000000" w:themeColor="text1"/>
          <w:sz w:val="21"/>
          <w:szCs w:val="21"/>
          <w:highlight w:val="none"/>
          <w:u w:val="single"/>
          <w:lang w:eastAsia="zh-CN"/>
          <w14:textFill>
            <w14:solidFill>
              <w14:schemeClr w14:val="tx1"/>
            </w14:solidFill>
          </w14:textFill>
        </w:rPr>
        <w:t xml:space="preserve"> </w:t>
      </w:r>
      <w:r>
        <w:rPr>
          <w:rFonts w:hint="eastAsia" w:ascii="宋体" w:hAnsi="宋体" w:eastAsia="宋体" w:cs="宋体"/>
          <w:bCs/>
          <w:color w:val="000000" w:themeColor="text1"/>
          <w:sz w:val="21"/>
          <w:szCs w:val="21"/>
          <w:highlight w:val="none"/>
          <w:u w:val="single"/>
          <w:lang w:val="en-US" w:eastAsia="zh-CN"/>
          <w14:textFill>
            <w14:solidFill>
              <w14:schemeClr w14:val="tx1"/>
            </w14:solidFill>
          </w14:textFill>
        </w:rPr>
        <w:t xml:space="preserve"> 广西省玉林市博白县龙潭产业园区交易集散市场办公楼二楼202室  0771-3120799</w:t>
      </w:r>
      <w:r>
        <w:rPr>
          <w:rFonts w:hint="eastAsia" w:ascii="宋体" w:hAnsi="宋体" w:eastAsia="宋体" w:cs="宋体"/>
          <w:bCs/>
          <w:color w:val="000000" w:themeColor="text1"/>
          <w:sz w:val="21"/>
          <w:szCs w:val="21"/>
          <w:highlight w:val="none"/>
          <w:u w:val="single"/>
          <w:lang w:eastAsia="zh-CN"/>
          <w14:textFill>
            <w14:solidFill>
              <w14:schemeClr w14:val="tx1"/>
            </w14:solidFill>
          </w14:textFill>
        </w:rPr>
        <w:t xml:space="preserve">  </w:t>
      </w:r>
    </w:p>
    <w:p w14:paraId="5550D107">
      <w:pPr>
        <w:kinsoku w:val="0"/>
        <w:spacing w:after="0" w:line="360" w:lineRule="auto"/>
        <w:ind w:left="158" w:leftChars="75" w:firstLine="840" w:firstLineChars="4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Cs/>
          <w:color w:val="000000" w:themeColor="text1"/>
          <w:sz w:val="21"/>
          <w:szCs w:val="21"/>
          <w:highlight w:val="none"/>
          <w:lang w:eastAsia="zh-CN"/>
          <w14:textFill>
            <w14:solidFill>
              <w14:schemeClr w14:val="tx1"/>
            </w14:solidFill>
          </w14:textFill>
        </w:rPr>
        <w:t>统一社会信用代码：</w:t>
      </w:r>
      <w:r>
        <w:rPr>
          <w:rFonts w:hint="eastAsia" w:ascii="宋体" w:hAnsi="宋体" w:eastAsia="宋体" w:cs="宋体"/>
          <w:bCs/>
          <w:color w:val="000000" w:themeColor="text1"/>
          <w:sz w:val="21"/>
          <w:szCs w:val="21"/>
          <w:highlight w:val="none"/>
          <w:u w:val="single"/>
          <w:lang w:eastAsia="zh-CN"/>
          <w14:textFill>
            <w14:solidFill>
              <w14:schemeClr w14:val="tx1"/>
            </w14:solidFill>
          </w14:textFill>
        </w:rPr>
        <w:t xml:space="preserve">   </w:t>
      </w:r>
      <w:r>
        <w:rPr>
          <w:rFonts w:hint="eastAsia" w:ascii="宋体" w:hAnsi="宋体" w:eastAsia="宋体" w:cs="宋体"/>
          <w:bCs/>
          <w:color w:val="000000" w:themeColor="text1"/>
          <w:sz w:val="21"/>
          <w:szCs w:val="21"/>
          <w:highlight w:val="none"/>
          <w:u w:val="single"/>
          <w:lang w:val="en-US" w:eastAsia="zh-CN"/>
          <w14:textFill>
            <w14:solidFill>
              <w14:schemeClr w14:val="tx1"/>
            </w14:solidFill>
          </w14:textFill>
        </w:rPr>
        <w:t xml:space="preserve">   911301006690940535  </w:t>
      </w:r>
      <w:r>
        <w:rPr>
          <w:rFonts w:hint="eastAsia" w:ascii="宋体" w:hAnsi="宋体" w:eastAsia="宋体" w:cs="宋体"/>
          <w:bCs/>
          <w:color w:val="000000" w:themeColor="text1"/>
          <w:sz w:val="21"/>
          <w:szCs w:val="21"/>
          <w:highlight w:val="none"/>
          <w:u w:val="single"/>
          <w:lang w:eastAsia="zh-CN"/>
          <w14:textFill>
            <w14:solidFill>
              <w14:schemeClr w14:val="tx1"/>
            </w14:solidFill>
          </w14:textFill>
        </w:rPr>
        <w:t xml:space="preserve">    </w:t>
      </w:r>
    </w:p>
    <w:p w14:paraId="2BCF3ADB">
      <w:pPr>
        <w:kinsoku w:val="0"/>
        <w:spacing w:after="0" w:line="360" w:lineRule="auto"/>
        <w:ind w:firstLine="420" w:firstLineChars="200"/>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15.12甲乙双方一致确认提供发票为主合同义务而非附随义务，如因乙方未及时开具发票，甲方可拒绝付款，并不承担逾期付款责任。</w:t>
      </w:r>
    </w:p>
    <w:p w14:paraId="1BC09107">
      <w:pPr>
        <w:widowControl w:val="0"/>
        <w:numPr>
          <w:ilvl w:val="0"/>
          <w:numId w:val="10"/>
        </w:numPr>
        <w:kinsoku w:val="0"/>
        <w:spacing w:after="0" w:line="360" w:lineRule="auto"/>
        <w:ind w:left="158" w:leftChars="75"/>
        <w:jc w:val="both"/>
        <w:outlineLvl w:val="1"/>
        <w:rPr>
          <w:rFonts w:hint="eastAsia" w:ascii="宋体" w:hAnsi="宋体" w:eastAsia="宋体" w:cs="宋体"/>
          <w:b/>
          <w:color w:val="000000" w:themeColor="text1"/>
          <w:sz w:val="21"/>
          <w:szCs w:val="21"/>
          <w:highlight w:val="none"/>
          <w14:textFill>
            <w14:solidFill>
              <w14:schemeClr w14:val="tx1"/>
            </w14:solidFill>
          </w14:textFill>
        </w:rPr>
      </w:pPr>
      <w:bookmarkStart w:id="1477" w:name="_Toc175764460"/>
      <w:bookmarkStart w:id="1478" w:name="_Toc101963524"/>
      <w:r>
        <w:rPr>
          <w:rFonts w:hint="eastAsia" w:ascii="宋体" w:hAnsi="宋体" w:eastAsia="宋体" w:cs="宋体"/>
          <w:b/>
          <w:color w:val="000000" w:themeColor="text1"/>
          <w:sz w:val="21"/>
          <w:szCs w:val="21"/>
          <w:highlight w:val="none"/>
          <w:lang w:eastAsia="zh-CN"/>
          <w14:textFill>
            <w14:solidFill>
              <w14:schemeClr w14:val="tx1"/>
            </w14:solidFill>
          </w14:textFill>
        </w:rPr>
        <w:t>过程结算</w:t>
      </w:r>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p>
    <w:p w14:paraId="1FF2A5ED">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16.1乙方提交已完成的工程量报告的时间、内容、计量周期：</w:t>
      </w:r>
    </w:p>
    <w:p w14:paraId="4E7FC607">
      <w:pPr>
        <w:kinsoku w:val="0"/>
        <w:spacing w:after="0" w:line="360" w:lineRule="auto"/>
        <w:ind w:firstLine="420" w:firstLineChars="200"/>
        <w:jc w:val="both"/>
        <w:rPr>
          <w:rFonts w:hint="eastAsia" w:ascii="宋体" w:hAnsi="宋体" w:eastAsia="宋体" w:cs="宋体"/>
          <w:color w:val="000000" w:themeColor="text1"/>
          <w:sz w:val="21"/>
          <w:szCs w:val="21"/>
          <w:highlight w:val="none"/>
          <w:u w:val="singl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（1）乙方提交已完成的工程量报告的时间：</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kern w:val="10"/>
          <w:sz w:val="21"/>
          <w:szCs w:val="21"/>
          <w:highlight w:val="none"/>
          <w:u w:val="single"/>
          <w:lang w:val="en-US" w:eastAsia="zh-CN"/>
          <w14:textFill>
            <w14:solidFill>
              <w14:schemeClr w14:val="tx1"/>
            </w14:solidFill>
          </w14:textFill>
        </w:rPr>
        <w:t>每月15日</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2A4A08F9">
      <w:pPr>
        <w:kinsoku w:val="0"/>
        <w:spacing w:after="0" w:line="360" w:lineRule="auto"/>
        <w:ind w:firstLine="420" w:firstLineChars="200"/>
        <w:jc w:val="both"/>
        <w:rPr>
          <w:rFonts w:hint="eastAsia" w:ascii="宋体" w:hAnsi="宋体" w:eastAsia="宋体" w:cs="宋体"/>
          <w:color w:val="000000" w:themeColor="text1"/>
          <w:sz w:val="21"/>
          <w:szCs w:val="21"/>
          <w:highlight w:val="none"/>
          <w:u w:val="singl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（2）乙方提交已完成的工程量报告的内容：</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kern w:val="10"/>
          <w:sz w:val="21"/>
          <w:szCs w:val="21"/>
          <w:highlight w:val="none"/>
          <w:u w:val="single"/>
          <w:lang w:val="en-US" w:eastAsia="zh-CN"/>
          <w14:textFill>
            <w14:solidFill>
              <w14:schemeClr w14:val="tx1"/>
            </w14:solidFill>
          </w14:textFill>
        </w:rPr>
        <w:t>上月16日至本月15日实际完成形象进度报表（包括合同外增项、变更、签证等）、相关计量资料及农民工工资支付明细表</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4FA8D896">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（3）计量周期：</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kern w:val="10"/>
          <w:sz w:val="21"/>
          <w:szCs w:val="21"/>
          <w:highlight w:val="none"/>
          <w:u w:val="single"/>
          <w:lang w:val="en-US" w:eastAsia="zh-CN"/>
          <w14:textFill>
            <w14:solidFill>
              <w14:schemeClr w14:val="tx1"/>
            </w14:solidFill>
          </w14:textFill>
        </w:rPr>
        <w:t>月度计量</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38F5F8EA">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16.6若乙方未能在本合同约定的时间内完成工程量核对确认工作，甲方可以暂停乙方过程结算及支付工作，直至完成合同内工程量核对确认并签订转固定总价补充协议。</w:t>
      </w:r>
    </w:p>
    <w:p w14:paraId="65B5BDEA">
      <w:pPr>
        <w:widowControl w:val="0"/>
        <w:numPr>
          <w:ilvl w:val="0"/>
          <w:numId w:val="10"/>
        </w:numPr>
        <w:kinsoku w:val="0"/>
        <w:spacing w:after="0" w:line="360" w:lineRule="auto"/>
        <w:ind w:left="158" w:leftChars="75"/>
        <w:jc w:val="both"/>
        <w:outlineLvl w:val="1"/>
        <w:rPr>
          <w:rFonts w:hint="eastAsia" w:ascii="宋体" w:hAnsi="宋体" w:eastAsia="宋体" w:cs="宋体"/>
          <w:b/>
          <w:color w:val="000000" w:themeColor="text1"/>
          <w:sz w:val="21"/>
          <w:szCs w:val="21"/>
          <w:highlight w:val="none"/>
          <w14:textFill>
            <w14:solidFill>
              <w14:schemeClr w14:val="tx1"/>
            </w14:solidFill>
          </w14:textFill>
        </w:rPr>
      </w:pPr>
      <w:bookmarkStart w:id="1479" w:name="_Toc101963525"/>
      <w:bookmarkStart w:id="1480" w:name="_Toc11418"/>
      <w:bookmarkStart w:id="1481" w:name="_Toc9149"/>
      <w:bookmarkStart w:id="1482" w:name="_Toc638"/>
      <w:bookmarkStart w:id="1483" w:name="_Toc5073"/>
      <w:bookmarkStart w:id="1484" w:name="_Toc101357472"/>
      <w:bookmarkStart w:id="1485" w:name="_Toc13020"/>
      <w:bookmarkStart w:id="1486" w:name="_Toc32235"/>
      <w:bookmarkStart w:id="1487" w:name="_Toc12521"/>
      <w:bookmarkStart w:id="1488" w:name="_Toc24445"/>
      <w:bookmarkStart w:id="1489" w:name="_Toc5995"/>
      <w:bookmarkStart w:id="1490" w:name="_Toc12928"/>
      <w:bookmarkStart w:id="1491" w:name="_Toc24071"/>
      <w:bookmarkStart w:id="1492" w:name="_Toc9965"/>
      <w:bookmarkStart w:id="1493" w:name="_Toc9347"/>
      <w:bookmarkStart w:id="1494" w:name="_Toc24768"/>
      <w:bookmarkStart w:id="1495" w:name="_Toc32123"/>
      <w:bookmarkStart w:id="1496" w:name="_Toc16958"/>
      <w:bookmarkStart w:id="1497" w:name="_Toc8151"/>
      <w:bookmarkStart w:id="1498" w:name="_Toc175764461"/>
      <w:bookmarkStart w:id="1499" w:name="_Toc8237"/>
      <w:r>
        <w:rPr>
          <w:rFonts w:hint="eastAsia" w:ascii="宋体" w:hAnsi="宋体" w:eastAsia="宋体" w:cs="宋体"/>
          <w:b/>
          <w:color w:val="000000" w:themeColor="text1"/>
          <w:sz w:val="21"/>
          <w:szCs w:val="21"/>
          <w:highlight w:val="none"/>
          <w:lang w:eastAsia="zh-CN"/>
          <w14:textFill>
            <w14:solidFill>
              <w14:schemeClr w14:val="tx1"/>
            </w14:solidFill>
          </w14:textFill>
        </w:rPr>
        <w:t>最终</w:t>
      </w:r>
      <w:r>
        <w:rPr>
          <w:rFonts w:hint="eastAsia" w:ascii="宋体" w:hAnsi="宋体" w:eastAsia="宋体" w:cs="宋体"/>
          <w:b/>
          <w:color w:val="000000" w:themeColor="text1"/>
          <w:sz w:val="21"/>
          <w:szCs w:val="21"/>
          <w:highlight w:val="none"/>
          <w14:textFill>
            <w14:solidFill>
              <w14:schemeClr w14:val="tx1"/>
            </w14:solidFill>
          </w14:textFill>
        </w:rPr>
        <w:t>结算</w:t>
      </w:r>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p>
    <w:p w14:paraId="76CBD72D">
      <w:pPr>
        <w:tabs>
          <w:tab w:val="left" w:pos="425"/>
        </w:tabs>
        <w:kinsoku w:val="0"/>
        <w:spacing w:after="0" w:line="360" w:lineRule="auto"/>
        <w:ind w:firstLine="420" w:firstLineChars="200"/>
        <w:jc w:val="both"/>
        <w:rPr>
          <w:rFonts w:hint="eastAsia" w:ascii="宋体" w:hAnsi="宋体" w:eastAsia="宋体" w:cs="宋体"/>
          <w:b/>
          <w:color w:val="000000" w:themeColor="text1"/>
          <w:sz w:val="21"/>
          <w:szCs w:val="21"/>
          <w:highlight w:val="none"/>
          <w:lang w:eastAsia="zh-CN"/>
          <w14:textFill>
            <w14:solidFill>
              <w14:schemeClr w14:val="tx1"/>
            </w14:solidFill>
          </w14:textFill>
        </w:rPr>
      </w:pPr>
      <w:r>
        <w:rPr>
          <w:rFonts w:hint="eastAsia" w:ascii="宋体" w:hAnsi="宋体" w:eastAsia="宋体" w:cs="宋体"/>
          <w:bCs/>
          <w:color w:val="000000" w:themeColor="text1"/>
          <w:sz w:val="21"/>
          <w:szCs w:val="21"/>
          <w:highlight w:val="none"/>
          <w:lang w:eastAsia="zh-CN"/>
          <w14:textFill>
            <w14:solidFill>
              <w14:schemeClr w14:val="tx1"/>
            </w14:solidFill>
          </w14:textFill>
        </w:rPr>
        <w:t>17.1</w:t>
      </w:r>
      <w:r>
        <w:rPr>
          <w:rFonts w:hint="eastAsia" w:ascii="宋体" w:hAnsi="宋体" w:eastAsia="宋体" w:cs="宋体"/>
          <w:b/>
          <w:bCs/>
          <w:color w:val="000000" w:themeColor="text1"/>
          <w:sz w:val="21"/>
          <w:szCs w:val="21"/>
          <w:highlight w:val="none"/>
          <w:lang w:eastAsia="zh-CN"/>
          <w14:textFill>
            <w14:solidFill>
              <w14:schemeClr w14:val="tx1"/>
            </w14:solidFill>
          </w14:textFill>
        </w:rPr>
        <w:t>本分包工程完工验收合格后30天内，乙方向甲方提交结算报告，乙方提交的结算报告内容包含且不限于：</w:t>
      </w:r>
    </w:p>
    <w:p w14:paraId="3759D698">
      <w:pPr>
        <w:kinsoku w:val="0"/>
        <w:spacing w:after="0" w:line="360" w:lineRule="auto"/>
        <w:ind w:firstLine="422" w:firstLineChars="200"/>
        <w:jc w:val="both"/>
        <w:rPr>
          <w:rFonts w:hint="eastAsia" w:ascii="宋体" w:hAnsi="宋体" w:eastAsia="宋体" w:cs="宋体"/>
          <w:b/>
          <w:color w:val="000000" w:themeColor="text1"/>
          <w:sz w:val="21"/>
          <w:szCs w:val="21"/>
          <w:highlight w:val="none"/>
          <w:lang w:eastAsia="zh-CN"/>
          <w14:textFill>
            <w14:solidFill>
              <w14:schemeClr w14:val="tx1"/>
            </w14:solidFill>
          </w14:textFill>
        </w:rPr>
      </w:pPr>
      <w:r>
        <w:rPr>
          <w:rFonts w:hint="eastAsia" w:ascii="宋体" w:hAnsi="宋体" w:eastAsia="宋体" w:cs="宋体"/>
          <w:b/>
          <w:color w:val="000000" w:themeColor="text1"/>
          <w:sz w:val="21"/>
          <w:szCs w:val="21"/>
          <w:highlight w:val="none"/>
          <w:lang w:eastAsia="zh-CN"/>
          <w14:textFill>
            <w14:solidFill>
              <w14:schemeClr w14:val="tx1"/>
            </w14:solidFill>
          </w14:textFill>
        </w:rPr>
        <w:t>（1）加盖乙方单位公章的工程结算书（含工程量计算书电子版）。</w:t>
      </w:r>
    </w:p>
    <w:p w14:paraId="0DD8EF67">
      <w:pPr>
        <w:kinsoku w:val="0"/>
        <w:spacing w:after="0" w:line="360" w:lineRule="auto"/>
        <w:ind w:firstLine="422" w:firstLineChars="200"/>
        <w:jc w:val="both"/>
        <w:rPr>
          <w:rFonts w:hint="eastAsia" w:ascii="宋体" w:hAnsi="宋体" w:eastAsia="宋体" w:cs="宋体"/>
          <w:b/>
          <w:color w:val="000000" w:themeColor="text1"/>
          <w:sz w:val="21"/>
          <w:szCs w:val="21"/>
          <w:highlight w:val="none"/>
          <w:lang w:eastAsia="zh-CN"/>
          <w14:textFill>
            <w14:solidFill>
              <w14:schemeClr w14:val="tx1"/>
            </w14:solidFill>
          </w14:textFill>
        </w:rPr>
      </w:pPr>
      <w:r>
        <w:rPr>
          <w:rFonts w:hint="eastAsia" w:ascii="宋体" w:hAnsi="宋体" w:eastAsia="宋体" w:cs="宋体"/>
          <w:b/>
          <w:color w:val="000000" w:themeColor="text1"/>
          <w:sz w:val="21"/>
          <w:szCs w:val="21"/>
          <w:highlight w:val="none"/>
          <w:lang w:eastAsia="zh-CN"/>
          <w14:textFill>
            <w14:solidFill>
              <w14:schemeClr w14:val="tx1"/>
            </w14:solidFill>
          </w14:textFill>
        </w:rPr>
        <w:t>（2）分包完工确认单（含工程量、签证、材料、费用等完工确认单）。</w:t>
      </w:r>
    </w:p>
    <w:p w14:paraId="0163C46D">
      <w:pPr>
        <w:kinsoku w:val="0"/>
        <w:spacing w:after="0" w:line="360" w:lineRule="auto"/>
        <w:ind w:firstLine="422" w:firstLineChars="200"/>
        <w:jc w:val="both"/>
        <w:rPr>
          <w:rFonts w:hint="eastAsia" w:ascii="宋体" w:hAnsi="宋体" w:eastAsia="宋体" w:cs="宋体"/>
          <w:b/>
          <w:color w:val="000000" w:themeColor="text1"/>
          <w:sz w:val="21"/>
          <w:szCs w:val="21"/>
          <w:highlight w:val="none"/>
          <w:lang w:eastAsia="zh-CN"/>
          <w14:textFill>
            <w14:solidFill>
              <w14:schemeClr w14:val="tx1"/>
            </w14:solidFill>
          </w14:textFill>
        </w:rPr>
      </w:pPr>
      <w:r>
        <w:rPr>
          <w:rFonts w:hint="eastAsia" w:ascii="宋体" w:hAnsi="宋体" w:eastAsia="宋体" w:cs="宋体"/>
          <w:b/>
          <w:color w:val="000000" w:themeColor="text1"/>
          <w:sz w:val="21"/>
          <w:szCs w:val="21"/>
          <w:highlight w:val="none"/>
          <w:lang w:eastAsia="zh-CN"/>
          <w14:textFill>
            <w14:solidFill>
              <w14:schemeClr w14:val="tx1"/>
            </w14:solidFill>
          </w14:textFill>
        </w:rPr>
        <w:t>（3）派工资料、验收资料、设备启停通知等。</w:t>
      </w:r>
    </w:p>
    <w:p w14:paraId="26A18EA6">
      <w:pPr>
        <w:kinsoku w:val="0"/>
        <w:spacing w:after="0" w:line="360" w:lineRule="auto"/>
        <w:ind w:firstLine="422" w:firstLineChars="200"/>
        <w:jc w:val="both"/>
        <w:rPr>
          <w:rFonts w:hint="eastAsia" w:ascii="宋体" w:hAnsi="宋体" w:eastAsia="宋体" w:cs="宋体"/>
          <w:b/>
          <w:color w:val="000000" w:themeColor="text1"/>
          <w:sz w:val="21"/>
          <w:szCs w:val="21"/>
          <w:highlight w:val="none"/>
          <w:lang w:eastAsia="zh-CN"/>
          <w14:textFill>
            <w14:solidFill>
              <w14:schemeClr w14:val="tx1"/>
            </w14:solidFill>
          </w14:textFill>
        </w:rPr>
      </w:pPr>
      <w:r>
        <w:rPr>
          <w:rFonts w:hint="eastAsia" w:ascii="宋体" w:hAnsi="宋体" w:eastAsia="宋体" w:cs="宋体"/>
          <w:b/>
          <w:color w:val="000000" w:themeColor="text1"/>
          <w:sz w:val="21"/>
          <w:szCs w:val="21"/>
          <w:highlight w:val="none"/>
          <w:lang w:eastAsia="zh-CN"/>
          <w14:textFill>
            <w14:solidFill>
              <w14:schemeClr w14:val="tx1"/>
            </w14:solidFill>
          </w14:textFill>
        </w:rPr>
        <w:t>（4）乙方物资对账汇总表。</w:t>
      </w:r>
    </w:p>
    <w:p w14:paraId="7A81B808">
      <w:pPr>
        <w:kinsoku w:val="0"/>
        <w:spacing w:after="0" w:line="360" w:lineRule="auto"/>
        <w:ind w:firstLine="422" w:firstLineChars="200"/>
        <w:jc w:val="both"/>
        <w:rPr>
          <w:rFonts w:hint="eastAsia" w:ascii="宋体" w:hAnsi="宋体" w:eastAsia="宋体" w:cs="宋体"/>
          <w:b/>
          <w:color w:val="000000" w:themeColor="text1"/>
          <w:sz w:val="21"/>
          <w:szCs w:val="21"/>
          <w:highlight w:val="none"/>
          <w:lang w:eastAsia="zh-CN"/>
          <w14:textFill>
            <w14:solidFill>
              <w14:schemeClr w14:val="tx1"/>
            </w14:solidFill>
          </w14:textFill>
        </w:rPr>
      </w:pPr>
      <w:r>
        <w:rPr>
          <w:rFonts w:hint="eastAsia" w:ascii="宋体" w:hAnsi="宋体" w:eastAsia="宋体" w:cs="宋体"/>
          <w:b/>
          <w:color w:val="000000" w:themeColor="text1"/>
          <w:sz w:val="21"/>
          <w:szCs w:val="21"/>
          <w:highlight w:val="none"/>
          <w:lang w:eastAsia="zh-CN"/>
          <w14:textFill>
            <w14:solidFill>
              <w14:schemeClr w14:val="tx1"/>
            </w14:solidFill>
          </w14:textFill>
        </w:rPr>
        <w:t>（5）经审批的变更洽商、现场签证等。</w:t>
      </w:r>
    </w:p>
    <w:p w14:paraId="2032344A">
      <w:pPr>
        <w:kinsoku w:val="0"/>
        <w:spacing w:after="0" w:line="360" w:lineRule="auto"/>
        <w:ind w:firstLine="422"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b/>
          <w:color w:val="000000" w:themeColor="text1"/>
          <w:sz w:val="21"/>
          <w:szCs w:val="21"/>
          <w:highlight w:val="none"/>
          <w:lang w:eastAsia="zh-CN"/>
          <w14:textFill>
            <w14:solidFill>
              <w14:schemeClr w14:val="tx1"/>
            </w14:solidFill>
          </w14:textFill>
        </w:rPr>
        <w:t>（6）会议纪要、备忘录、施工方案等相关资料。</w:t>
      </w:r>
    </w:p>
    <w:p w14:paraId="0013D181">
      <w:pPr>
        <w:pStyle w:val="15"/>
        <w:kinsoku w:val="0"/>
        <w:spacing w:after="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（7）其他：</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val="en-US" w:eastAsia="zh-CN"/>
          <w14:textFill>
            <w14:solidFill>
              <w14:schemeClr w14:val="tx1"/>
            </w14:solidFill>
          </w14:textFill>
        </w:rPr>
        <w:t>/</w:t>
      </w:r>
      <w:r>
        <w:rPr>
          <w:rFonts w:hint="eastAsia"/>
          <w:color w:val="000000" w:themeColor="text1"/>
          <w:highlight w:val="none"/>
          <w:u w:val="single"/>
          <w14:textFill>
            <w14:solidFill>
              <w14:schemeClr w14:val="tx1"/>
            </w14:solidFill>
          </w14:textFill>
        </w:rPr>
        <w:t xml:space="preserve">  </w:t>
      </w:r>
    </w:p>
    <w:p w14:paraId="2D71388D">
      <w:pPr>
        <w:kinsoku w:val="0"/>
        <w:snapToGrid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17.3增加：若乙方所报结算价的审减率在5%-10%（含5%）的，乙方承担被审减额的</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5  </w:t>
      </w:r>
      <w:r>
        <w:rPr>
          <w:rFonts w:hint="eastAsia" w:ascii="宋体" w:hAnsi="宋体" w:eastAsia="宋体" w:cs="宋体"/>
          <w:color w:val="000000" w:themeColor="text1"/>
          <w:sz w:val="21"/>
          <w:szCs w:val="21"/>
          <w:highlight w:val="none"/>
          <w:lang w:eastAsia="zh-CN"/>
          <w14:textFill>
            <w14:solidFill>
              <w14:schemeClr w14:val="tx1"/>
            </w14:solidFill>
          </w14:textFill>
        </w:rPr>
        <w:t xml:space="preserve">%的违约金，若审减率超过10%（含10%）的，乙方承担被审减额的 </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10 </w:t>
      </w:r>
      <w:r>
        <w:rPr>
          <w:rFonts w:hint="eastAsia" w:ascii="宋体" w:hAnsi="宋体" w:eastAsia="宋体" w:cs="宋体"/>
          <w:color w:val="000000" w:themeColor="text1"/>
          <w:sz w:val="21"/>
          <w:szCs w:val="21"/>
          <w:highlight w:val="none"/>
          <w:lang w:eastAsia="zh-CN"/>
          <w14:textFill>
            <w14:solidFill>
              <w14:schemeClr w14:val="tx1"/>
            </w14:solidFill>
          </w14:textFill>
        </w:rPr>
        <w:t>%的违约金，审减率在20%以上（含20%）的，乙方承担被审减额的</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20 </w:t>
      </w:r>
      <w:r>
        <w:rPr>
          <w:rFonts w:hint="eastAsia" w:ascii="宋体" w:hAnsi="宋体" w:eastAsia="宋体" w:cs="宋体"/>
          <w:color w:val="000000" w:themeColor="text1"/>
          <w:sz w:val="21"/>
          <w:szCs w:val="21"/>
          <w:highlight w:val="none"/>
          <w:lang w:eastAsia="zh-CN"/>
          <w14:textFill>
            <w14:solidFill>
              <w14:schemeClr w14:val="tx1"/>
            </w14:solidFill>
          </w14:textFill>
        </w:rPr>
        <w:t>%的违约金，被审减额为乙方上报结算金额与经甲方审定盖章后的最终结算金额之差。</w:t>
      </w:r>
    </w:p>
    <w:p w14:paraId="01E27745">
      <w:pPr>
        <w:kinsoku w:val="0"/>
        <w:snapToGrid w:val="0"/>
        <w:spacing w:after="0" w:line="360" w:lineRule="auto"/>
        <w:ind w:firstLine="420" w:firstLineChars="200"/>
        <w:jc w:val="both"/>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17.4</w:t>
      </w:r>
      <w:r>
        <w:rPr>
          <w:rFonts w:hint="eastAsia" w:ascii="宋体" w:hAnsi="宋体" w:eastAsia="宋体" w:cs="宋体"/>
          <w:b/>
          <w:bCs/>
          <w:color w:val="000000" w:themeColor="text1"/>
          <w:sz w:val="21"/>
          <w:szCs w:val="21"/>
          <w:highlight w:val="none"/>
          <w:lang w:eastAsia="zh-CN"/>
          <w14:textFill>
            <w14:solidFill>
              <w14:schemeClr w14:val="tx1"/>
            </w14:solidFill>
          </w14:textFill>
        </w:rPr>
        <w:t>最终结算价款=根据13.9.1条计算的工程量×固定单价±变更洽商金额—扣款和罚款—违约金。</w:t>
      </w:r>
    </w:p>
    <w:p w14:paraId="074F3D2A">
      <w:pPr>
        <w:kinsoku w:val="0"/>
        <w:autoSpaceDE w:val="0"/>
        <w:autoSpaceDN w:val="0"/>
        <w:adjustRightInd w:val="0"/>
        <w:spacing w:after="0" w:line="360" w:lineRule="auto"/>
        <w:ind w:firstLine="422" w:firstLineChars="200"/>
        <w:jc w:val="both"/>
        <w:rPr>
          <w:rFonts w:hint="eastAsia" w:ascii="宋体" w:hAnsi="宋体" w:eastAsia="宋体" w:cs="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17.4.1结算扣款、罚款和违约金包含且不限于以下内容：</w:t>
      </w:r>
    </w:p>
    <w:p w14:paraId="76BFC887">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①包含在施工所需水、电费用。</w:t>
      </w:r>
    </w:p>
    <w:p w14:paraId="12E8D9EB">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②地方各种政策性收费：按甲方实际代扣代缴为准。</w:t>
      </w:r>
    </w:p>
    <w:p w14:paraId="69FE6E1D">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③乙方承担的各项罚款及违约金。</w:t>
      </w:r>
    </w:p>
    <w:p w14:paraId="04B33AFE">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④乙方施工的安防用品、工作服等，以实际领取数量及甲方采购价为准（如有）。</w:t>
      </w:r>
    </w:p>
    <w:p w14:paraId="2229D8D2">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⑤应由乙方分摊或甲方代为支付的垃圾清运、试验检测、安全文明等费用。</w:t>
      </w:r>
    </w:p>
    <w:p w14:paraId="2E5C255C">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⑥甲方根据合同应当扣除的其他款项。</w:t>
      </w:r>
    </w:p>
    <w:p w14:paraId="3BCAFA82">
      <w:pPr>
        <w:widowControl w:val="0"/>
        <w:numPr>
          <w:ilvl w:val="0"/>
          <w:numId w:val="10"/>
        </w:numPr>
        <w:kinsoku w:val="0"/>
        <w:spacing w:after="0" w:line="360" w:lineRule="auto"/>
        <w:ind w:left="158" w:leftChars="75"/>
        <w:jc w:val="both"/>
        <w:outlineLvl w:val="1"/>
        <w:rPr>
          <w:rFonts w:hint="eastAsia" w:ascii="宋体" w:hAnsi="宋体" w:eastAsia="宋体" w:cs="宋体"/>
          <w:b/>
          <w:color w:val="000000" w:themeColor="text1"/>
          <w:sz w:val="21"/>
          <w:szCs w:val="21"/>
          <w:highlight w:val="none"/>
          <w14:textFill>
            <w14:solidFill>
              <w14:schemeClr w14:val="tx1"/>
            </w14:solidFill>
          </w14:textFill>
        </w:rPr>
      </w:pPr>
      <w:bookmarkStart w:id="1500" w:name="_Toc101357474"/>
      <w:bookmarkStart w:id="1501" w:name="_Toc175764462"/>
      <w:bookmarkStart w:id="1502" w:name="_Toc101963526"/>
      <w:bookmarkStart w:id="1503" w:name="_Toc15704"/>
      <w:bookmarkStart w:id="1504" w:name="_Toc8522"/>
      <w:bookmarkStart w:id="1505" w:name="_Toc8861"/>
      <w:bookmarkStart w:id="1506" w:name="_Toc3585"/>
      <w:bookmarkStart w:id="1507" w:name="_Toc28514"/>
      <w:bookmarkStart w:id="1508" w:name="_Toc29974"/>
      <w:bookmarkStart w:id="1509" w:name="_Toc577"/>
      <w:bookmarkStart w:id="1510" w:name="_Toc25355"/>
      <w:bookmarkStart w:id="1511" w:name="_Toc31287"/>
      <w:bookmarkStart w:id="1512" w:name="_Toc2867"/>
      <w:bookmarkStart w:id="1513" w:name="_Toc4720"/>
      <w:bookmarkStart w:id="1514" w:name="_Toc22761"/>
      <w:bookmarkStart w:id="1515" w:name="_Toc19408"/>
      <w:bookmarkStart w:id="1516" w:name="_Toc7572"/>
      <w:bookmarkStart w:id="1517" w:name="_Toc21149"/>
      <w:bookmarkStart w:id="1518" w:name="_Toc4434"/>
      <w:bookmarkStart w:id="1519" w:name="_Toc31668"/>
      <w:bookmarkStart w:id="1520" w:name="_Toc16327"/>
      <w:r>
        <w:rPr>
          <w:rFonts w:hint="eastAsia" w:ascii="宋体" w:hAnsi="宋体" w:eastAsia="宋体" w:cs="宋体"/>
          <w:b/>
          <w:color w:val="000000" w:themeColor="text1"/>
          <w:sz w:val="21"/>
          <w:szCs w:val="21"/>
          <w:highlight w:val="none"/>
          <w:lang w:eastAsia="zh-CN"/>
          <w14:textFill>
            <w14:solidFill>
              <w14:schemeClr w14:val="tx1"/>
            </w14:solidFill>
          </w14:textFill>
        </w:rPr>
        <w:t>完工验收</w:t>
      </w:r>
      <w:bookmarkEnd w:id="1500"/>
      <w:bookmarkEnd w:id="1501"/>
      <w:bookmarkEnd w:id="1502"/>
    </w:p>
    <w:p w14:paraId="33B7085B">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18.3补充：完工验收期限：</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kern w:val="10"/>
          <w:sz w:val="21"/>
          <w:szCs w:val="21"/>
          <w:highlight w:val="none"/>
          <w:u w:val="single"/>
          <w:lang w:val="en-US" w:eastAsia="zh-CN"/>
          <w14:textFill>
            <w14:solidFill>
              <w14:schemeClr w14:val="tx1"/>
            </w14:solidFill>
          </w14:textFill>
        </w:rPr>
        <w:t>3个月</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w:t>
      </w:r>
    </w:p>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p w14:paraId="17483E0A">
      <w:pPr>
        <w:widowControl w:val="0"/>
        <w:numPr>
          <w:ilvl w:val="0"/>
          <w:numId w:val="10"/>
        </w:numPr>
        <w:kinsoku w:val="0"/>
        <w:spacing w:after="0" w:line="360" w:lineRule="auto"/>
        <w:ind w:left="158" w:leftChars="75"/>
        <w:jc w:val="both"/>
        <w:outlineLvl w:val="1"/>
        <w:rPr>
          <w:rFonts w:hint="eastAsia" w:ascii="宋体" w:hAnsi="宋体" w:eastAsia="宋体" w:cs="宋体"/>
          <w:b/>
          <w:color w:val="000000" w:themeColor="text1"/>
          <w:sz w:val="21"/>
          <w:szCs w:val="21"/>
          <w:highlight w:val="none"/>
          <w14:textFill>
            <w14:solidFill>
              <w14:schemeClr w14:val="tx1"/>
            </w14:solidFill>
          </w14:textFill>
        </w:rPr>
      </w:pPr>
      <w:bookmarkStart w:id="1521" w:name="_Toc175764463"/>
      <w:bookmarkStart w:id="1522" w:name="_Toc21044"/>
      <w:bookmarkStart w:id="1523" w:name="_Toc6364"/>
      <w:bookmarkStart w:id="1524" w:name="_Toc18993"/>
      <w:bookmarkStart w:id="1525" w:name="_Toc101357477"/>
      <w:bookmarkStart w:id="1526" w:name="_Toc28255"/>
      <w:bookmarkStart w:id="1527" w:name="_Toc10185"/>
      <w:bookmarkStart w:id="1528" w:name="_Toc21183"/>
      <w:bookmarkStart w:id="1529" w:name="_Toc28462"/>
      <w:bookmarkStart w:id="1530" w:name="_Toc27061"/>
      <w:bookmarkStart w:id="1531" w:name="_Toc3443"/>
      <w:bookmarkStart w:id="1532" w:name="_Toc14412"/>
      <w:bookmarkStart w:id="1533" w:name="_Toc101963528"/>
      <w:bookmarkStart w:id="1534" w:name="_Toc5078"/>
      <w:bookmarkStart w:id="1535" w:name="_Toc31722"/>
      <w:bookmarkStart w:id="1536" w:name="_Toc21575"/>
      <w:bookmarkStart w:id="1537" w:name="_Toc1328"/>
      <w:bookmarkStart w:id="1538" w:name="_Toc14756"/>
      <w:bookmarkStart w:id="1539" w:name="_Toc15602"/>
      <w:bookmarkStart w:id="1540" w:name="_Toc31165"/>
      <w:bookmarkStart w:id="1541" w:name="_Toc10135"/>
      <w:r>
        <w:rPr>
          <w:rFonts w:hint="eastAsia" w:ascii="宋体" w:hAnsi="宋体" w:eastAsia="宋体" w:cs="宋体"/>
          <w:b/>
          <w:color w:val="000000" w:themeColor="text1"/>
          <w:sz w:val="21"/>
          <w:szCs w:val="21"/>
          <w:highlight w:val="none"/>
          <w14:textFill>
            <w14:solidFill>
              <w14:schemeClr w14:val="tx1"/>
            </w14:solidFill>
          </w14:textFill>
        </w:rPr>
        <w:t>履约保</w:t>
      </w:r>
      <w:r>
        <w:rPr>
          <w:rFonts w:hint="eastAsia" w:ascii="宋体" w:hAnsi="宋体" w:eastAsia="宋体" w:cs="宋体"/>
          <w:b/>
          <w:color w:val="000000" w:themeColor="text1"/>
          <w:sz w:val="21"/>
          <w:szCs w:val="21"/>
          <w:highlight w:val="none"/>
          <w:lang w:eastAsia="zh-CN"/>
          <w14:textFill>
            <w14:solidFill>
              <w14:schemeClr w14:val="tx1"/>
            </w14:solidFill>
          </w14:textFill>
        </w:rPr>
        <w:t>证</w:t>
      </w:r>
      <w:bookmarkEnd w:id="1521"/>
    </w:p>
    <w:p w14:paraId="51C95B88">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(以下条款在通用条款基础上进一步补充）</w:t>
      </w:r>
    </w:p>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p w14:paraId="43FAA835">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19.1乙方履约担保形式：</w:t>
      </w:r>
      <w:r>
        <w:rPr>
          <w:rFonts w:ascii="宋体" w:hAnsi="宋体" w:eastAsia="宋体" w:cs="宋体"/>
          <w:color w:val="000000" w:themeColor="text1"/>
          <w:sz w:val="21"/>
          <w:szCs w:val="21"/>
          <w:highlight w:val="none"/>
          <w14:textFill>
            <w14:solidFill>
              <w14:schemeClr w14:val="tx1"/>
            </w14:solidFill>
          </w14:textFill>
        </w:rPr>
        <w:sym w:font="Wingdings 2" w:char="F0A3"/>
      </w:r>
      <w:r>
        <w:rPr>
          <w:rFonts w:hint="eastAsia" w:ascii="宋体" w:hAnsi="宋体" w:eastAsia="宋体" w:cs="宋体"/>
          <w:color w:val="000000" w:themeColor="text1"/>
          <w:sz w:val="21"/>
          <w:szCs w:val="21"/>
          <w:highlight w:val="none"/>
          <w:lang w:eastAsia="zh-CN"/>
          <w14:textFill>
            <w14:solidFill>
              <w14:schemeClr w14:val="tx1"/>
            </w14:solidFill>
          </w14:textFill>
        </w:rPr>
        <w:t>不担保，</w:t>
      </w:r>
      <w:r>
        <w:rPr>
          <w:rFonts w:ascii="宋体" w:hAnsi="宋体" w:eastAsia="宋体" w:cs="宋体"/>
          <w:color w:val="000000" w:themeColor="text1"/>
          <w:sz w:val="21"/>
          <w:szCs w:val="21"/>
          <w:highlight w:val="none"/>
          <w14:textFill>
            <w14:solidFill>
              <w14:schemeClr w14:val="tx1"/>
            </w14:solidFill>
          </w14:textFill>
        </w:rPr>
        <w:sym w:font="Wingdings 2" w:char="0052"/>
      </w:r>
      <w:r>
        <w:rPr>
          <w:rFonts w:hint="eastAsia" w:ascii="宋体" w:hAnsi="宋体" w:eastAsia="宋体" w:cs="宋体"/>
          <w:color w:val="000000" w:themeColor="text1"/>
          <w:sz w:val="21"/>
          <w:szCs w:val="21"/>
          <w:highlight w:val="none"/>
          <w:lang w:eastAsia="zh-CN"/>
          <w14:textFill>
            <w14:solidFill>
              <w14:schemeClr w14:val="tx1"/>
            </w14:solidFill>
          </w14:textFill>
        </w:rPr>
        <w:t>独立、不可撤销、见索即付的银行保函，担保金额（</w:t>
      </w:r>
      <w:r>
        <w:rPr>
          <w:rFonts w:hint="eastAsia" w:ascii="宋体" w:hAnsi="宋体" w:eastAsia="宋体" w:cs="宋体"/>
          <w:color w:val="000000" w:themeColor="text1"/>
          <w:sz w:val="21"/>
          <w:szCs w:val="21"/>
          <w:highlight w:val="none"/>
          <w:lang w:val="en-US" w:eastAsia="zh-CN"/>
          <w14:textFill>
            <w14:solidFill>
              <w14:schemeClr w14:val="tx1"/>
            </w14:solidFill>
          </w14:textFill>
        </w:rPr>
        <w:t>合同额的5%</w:t>
      </w:r>
      <w:r>
        <w:rPr>
          <w:rFonts w:hint="eastAsia" w:ascii="宋体" w:hAnsi="宋体" w:eastAsia="宋体" w:cs="宋体"/>
          <w:color w:val="000000" w:themeColor="text1"/>
          <w:sz w:val="21"/>
          <w:szCs w:val="21"/>
          <w:highlight w:val="non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  </w:t>
      </w:r>
      <w:r>
        <w:rPr>
          <w:rFonts w:hint="eastAsia" w:ascii="宋体" w:hAnsi="宋体" w:eastAsia="宋体" w:cs="宋体"/>
          <w:color w:val="000000" w:themeColor="text1"/>
          <w:sz w:val="21"/>
          <w:szCs w:val="21"/>
          <w:highlight w:val="none"/>
          <w:lang w:eastAsia="zh-CN"/>
          <w14:textFill>
            <w14:solidFill>
              <w14:schemeClr w14:val="tx1"/>
            </w14:solidFill>
          </w14:textFill>
        </w:rPr>
        <w:t>元（人民币大写：</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  </w:t>
      </w:r>
      <w:r>
        <w:rPr>
          <w:rFonts w:hint="eastAsia" w:ascii="宋体" w:hAnsi="宋体" w:eastAsia="宋体" w:cs="宋体"/>
          <w:color w:val="000000" w:themeColor="text1"/>
          <w:sz w:val="21"/>
          <w:szCs w:val="21"/>
          <w:highlight w:val="none"/>
          <w:lang w:eastAsia="zh-CN"/>
          <w14:textFill>
            <w14:solidFill>
              <w14:schemeClr w14:val="tx1"/>
            </w14:solidFill>
          </w14:textFill>
        </w:rPr>
        <w:t>元）；</w:t>
      </w:r>
      <w:r>
        <w:rPr>
          <w:rFonts w:ascii="宋体" w:hAnsi="宋体" w:eastAsia="宋体" w:cs="宋体"/>
          <w:color w:val="000000" w:themeColor="text1"/>
          <w:sz w:val="21"/>
          <w:szCs w:val="21"/>
          <w:highlight w:val="none"/>
          <w14:textFill>
            <w14:solidFill>
              <w14:schemeClr w14:val="tx1"/>
            </w14:solidFill>
          </w14:textFill>
        </w:rPr>
        <w:sym w:font="Wingdings 2" w:char="F0A3"/>
      </w:r>
      <w:r>
        <w:rPr>
          <w:rFonts w:hint="eastAsia" w:ascii="宋体" w:hAnsi="宋体" w:eastAsia="宋体" w:cs="宋体"/>
          <w:color w:val="000000" w:themeColor="text1"/>
          <w:sz w:val="21"/>
          <w:szCs w:val="21"/>
          <w:highlight w:val="none"/>
          <w:lang w:eastAsia="zh-CN"/>
          <w14:textFill>
            <w14:solidFill>
              <w14:schemeClr w14:val="tx1"/>
            </w14:solidFill>
          </w14:textFill>
        </w:rPr>
        <w:t xml:space="preserve">履约保证金，保证金额：¥ </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  </w:t>
      </w:r>
      <w:r>
        <w:rPr>
          <w:rFonts w:hint="eastAsia" w:ascii="宋体" w:hAnsi="宋体" w:eastAsia="宋体" w:cs="宋体"/>
          <w:color w:val="000000" w:themeColor="text1"/>
          <w:sz w:val="21"/>
          <w:szCs w:val="21"/>
          <w:highlight w:val="none"/>
          <w:lang w:eastAsia="zh-CN"/>
          <w14:textFill>
            <w14:solidFill>
              <w14:schemeClr w14:val="tx1"/>
            </w14:solidFill>
          </w14:textFill>
        </w:rPr>
        <w:t>元（人民币大写：</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  </w:t>
      </w:r>
      <w:r>
        <w:rPr>
          <w:rFonts w:hint="eastAsia" w:ascii="宋体" w:hAnsi="宋体" w:eastAsia="宋体" w:cs="宋体"/>
          <w:color w:val="000000" w:themeColor="text1"/>
          <w:sz w:val="21"/>
          <w:szCs w:val="21"/>
          <w:highlight w:val="none"/>
          <w:lang w:eastAsia="zh-CN"/>
          <w14:textFill>
            <w14:solidFill>
              <w14:schemeClr w14:val="tx1"/>
            </w14:solidFill>
          </w14:textFill>
        </w:rPr>
        <w:t>元）。</w:t>
      </w:r>
    </w:p>
    <w:p w14:paraId="742FDB0A">
      <w:pPr>
        <w:widowControl w:val="0"/>
        <w:numPr>
          <w:ilvl w:val="0"/>
          <w:numId w:val="10"/>
        </w:numPr>
        <w:kinsoku w:val="0"/>
        <w:spacing w:after="0" w:line="360" w:lineRule="auto"/>
        <w:ind w:left="158" w:leftChars="75"/>
        <w:jc w:val="both"/>
        <w:outlineLvl w:val="1"/>
        <w:rPr>
          <w:rFonts w:hint="eastAsia" w:ascii="宋体" w:hAnsi="宋体" w:eastAsia="宋体" w:cs="宋体"/>
          <w:b/>
          <w:color w:val="000000" w:themeColor="text1"/>
          <w:sz w:val="21"/>
          <w:szCs w:val="21"/>
          <w:highlight w:val="none"/>
          <w14:textFill>
            <w14:solidFill>
              <w14:schemeClr w14:val="tx1"/>
            </w14:solidFill>
          </w14:textFill>
        </w:rPr>
      </w:pPr>
      <w:bookmarkStart w:id="1542" w:name="_Toc20599"/>
      <w:bookmarkStart w:id="1543" w:name="_Toc21636"/>
      <w:bookmarkStart w:id="1544" w:name="_Toc13500"/>
      <w:bookmarkStart w:id="1545" w:name="_Toc29281"/>
      <w:bookmarkStart w:id="1546" w:name="_Toc7929"/>
      <w:bookmarkStart w:id="1547" w:name="_Toc16322"/>
      <w:bookmarkStart w:id="1548" w:name="_Toc101963529"/>
      <w:bookmarkStart w:id="1549" w:name="_Toc723"/>
      <w:bookmarkStart w:id="1550" w:name="_Toc669"/>
      <w:bookmarkStart w:id="1551" w:name="_Toc11440"/>
      <w:bookmarkStart w:id="1552" w:name="_Toc15741"/>
      <w:bookmarkStart w:id="1553" w:name="_Toc13157"/>
      <w:bookmarkStart w:id="1554" w:name="_Toc27527"/>
      <w:bookmarkStart w:id="1555" w:name="_Toc101357478"/>
      <w:bookmarkStart w:id="1556" w:name="_Toc25609"/>
      <w:bookmarkStart w:id="1557" w:name="_Toc8344"/>
      <w:bookmarkStart w:id="1558" w:name="_Toc175764464"/>
      <w:bookmarkStart w:id="1559" w:name="_Toc5256"/>
      <w:bookmarkStart w:id="1560" w:name="_Toc25332"/>
      <w:bookmarkStart w:id="1561" w:name="_Toc15918"/>
      <w:bookmarkStart w:id="1562" w:name="_Toc2350"/>
      <w:r>
        <w:rPr>
          <w:rFonts w:hint="eastAsia" w:ascii="宋体" w:hAnsi="宋体" w:eastAsia="宋体" w:cs="宋体"/>
          <w:b/>
          <w:color w:val="000000" w:themeColor="text1"/>
          <w:sz w:val="21"/>
          <w:szCs w:val="21"/>
          <w:highlight w:val="none"/>
          <w:lang w:eastAsia="zh-CN"/>
          <w14:textFill>
            <w14:solidFill>
              <w14:schemeClr w14:val="tx1"/>
            </w14:solidFill>
          </w14:textFill>
        </w:rPr>
        <w:t>缺陷责任与</w:t>
      </w:r>
      <w:r>
        <w:rPr>
          <w:rFonts w:hint="eastAsia" w:ascii="宋体" w:hAnsi="宋体" w:eastAsia="宋体" w:cs="宋体"/>
          <w:b/>
          <w:color w:val="000000" w:themeColor="text1"/>
          <w:sz w:val="21"/>
          <w:szCs w:val="21"/>
          <w:highlight w:val="none"/>
          <w14:textFill>
            <w14:solidFill>
              <w14:schemeClr w14:val="tx1"/>
            </w14:solidFill>
          </w14:textFill>
        </w:rPr>
        <w:t>保修</w:t>
      </w:r>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p>
    <w:p w14:paraId="28945033">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20.1 缺陷责任期：</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24  </w:t>
      </w:r>
      <w:r>
        <w:rPr>
          <w:rFonts w:hint="eastAsia" w:ascii="宋体" w:hAnsi="宋体" w:eastAsia="宋体" w:cs="宋体"/>
          <w:color w:val="000000" w:themeColor="text1"/>
          <w:sz w:val="21"/>
          <w:szCs w:val="21"/>
          <w:highlight w:val="none"/>
          <w:lang w:eastAsia="zh-CN"/>
          <w14:textFill>
            <w14:solidFill>
              <w14:schemeClr w14:val="tx1"/>
            </w14:solidFill>
          </w14:textFill>
        </w:rPr>
        <w:t>个月，缺陷责任期自</w:t>
      </w:r>
      <w:r>
        <w:rPr>
          <w:rFonts w:hint="eastAsia" w:ascii="宋体" w:hAnsi="宋体" w:eastAsia="宋体" w:cs="宋体"/>
          <w:color w:val="000000" w:themeColor="text1"/>
          <w:sz w:val="21"/>
          <w:szCs w:val="21"/>
          <w:highlight w:val="none"/>
          <w:lang w:eastAsia="zh-CN"/>
          <w14:textFill>
            <w14:solidFill>
              <w14:schemeClr w14:val="tx1"/>
            </w14:solidFill>
          </w14:textFill>
        </w:rPr>
        <w:t>甲</w:t>
      </w:r>
      <w:r>
        <w:rPr>
          <w:rFonts w:hint="eastAsia" w:ascii="宋体" w:hAnsi="宋体" w:eastAsia="宋体" w:cs="宋体"/>
          <w:color w:val="000000" w:themeColor="text1"/>
          <w:sz w:val="21"/>
          <w:szCs w:val="21"/>
          <w:highlight w:val="none"/>
          <w:lang w:eastAsia="zh-CN"/>
          <w14:textFill>
            <w14:solidFill>
              <w14:schemeClr w14:val="tx1"/>
            </w14:solidFill>
          </w14:textFill>
        </w:rPr>
        <w:t>方整体工程交工验收合格且总承包工程交接证书中载明的交</w:t>
      </w:r>
      <w:r>
        <w:rPr>
          <w:rFonts w:hint="eastAsia" w:ascii="宋体" w:hAnsi="宋体" w:eastAsia="宋体" w:cs="宋体"/>
          <w:color w:val="000000" w:themeColor="text1"/>
          <w:sz w:val="21"/>
          <w:szCs w:val="21"/>
          <w:highlight w:val="none"/>
          <w:lang w:eastAsia="zh-CN"/>
          <w14:textFill>
            <w14:solidFill>
              <w14:schemeClr w14:val="tx1"/>
            </w14:solidFill>
          </w14:textFill>
        </w:rPr>
        <w:t>接之日起计算。</w:t>
      </w:r>
    </w:p>
    <w:p w14:paraId="6CE95480">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20.2质量保修期：</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kern w:val="10"/>
          <w:sz w:val="21"/>
          <w:szCs w:val="21"/>
          <w:highlight w:val="none"/>
          <w:u w:val="single"/>
          <w:lang w:val="en-US" w:eastAsia="zh-CN"/>
          <w14:textFill>
            <w14:solidFill>
              <w14:schemeClr w14:val="tx1"/>
            </w14:solidFill>
          </w14:textFill>
        </w:rPr>
        <w:t>2</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年，质量保修期</w:t>
      </w:r>
      <w:r>
        <w:rPr>
          <w:rFonts w:hint="eastAsia" w:ascii="宋体" w:hAnsi="宋体" w:eastAsia="宋体" w:cs="宋体"/>
          <w:color w:val="000000" w:themeColor="text1"/>
          <w:sz w:val="21"/>
          <w:szCs w:val="21"/>
          <w:highlight w:val="none"/>
          <w:lang w:eastAsia="zh-CN"/>
          <w14:textFill>
            <w14:solidFill>
              <w14:schemeClr w14:val="tx1"/>
            </w14:solidFill>
          </w14:textFill>
        </w:rPr>
        <w:t>自甲方整体工程交工验收合格且总承包工程交接证书中载明的交接之日起计算</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11599557">
      <w:pPr>
        <w:widowControl w:val="0"/>
        <w:numPr>
          <w:ilvl w:val="0"/>
          <w:numId w:val="10"/>
        </w:numPr>
        <w:kinsoku w:val="0"/>
        <w:spacing w:after="0" w:line="360" w:lineRule="auto"/>
        <w:ind w:left="158" w:leftChars="75"/>
        <w:jc w:val="both"/>
        <w:outlineLvl w:val="1"/>
        <w:rPr>
          <w:rFonts w:hint="eastAsia" w:ascii="宋体" w:hAnsi="宋体" w:eastAsia="宋体" w:cs="宋体"/>
          <w:b/>
          <w:color w:val="000000" w:themeColor="text1"/>
          <w:sz w:val="21"/>
          <w:szCs w:val="21"/>
          <w:highlight w:val="none"/>
          <w14:textFill>
            <w14:solidFill>
              <w14:schemeClr w14:val="tx1"/>
            </w14:solidFill>
          </w14:textFill>
        </w:rPr>
      </w:pPr>
      <w:bookmarkStart w:id="1563" w:name="_Toc101963530"/>
      <w:bookmarkStart w:id="1564" w:name="_Toc26076"/>
      <w:bookmarkStart w:id="1565" w:name="_Toc14158"/>
      <w:bookmarkStart w:id="1566" w:name="_Toc3596"/>
      <w:bookmarkStart w:id="1567" w:name="_Toc7605"/>
      <w:bookmarkStart w:id="1568" w:name="_Toc6172"/>
      <w:bookmarkStart w:id="1569" w:name="_Toc24792"/>
      <w:bookmarkStart w:id="1570" w:name="_Toc21668"/>
      <w:bookmarkStart w:id="1571" w:name="_Toc9484"/>
      <w:bookmarkStart w:id="1572" w:name="_Toc24423"/>
      <w:bookmarkStart w:id="1573" w:name="_Toc30242"/>
      <w:bookmarkStart w:id="1574" w:name="_Toc175764465"/>
      <w:bookmarkStart w:id="1575" w:name="_Toc32301"/>
      <w:bookmarkStart w:id="1576" w:name="_Toc18693"/>
      <w:bookmarkStart w:id="1577" w:name="_Toc15560"/>
      <w:bookmarkStart w:id="1578" w:name="_Toc18145"/>
      <w:bookmarkStart w:id="1579" w:name="_Toc12525"/>
      <w:bookmarkStart w:id="1580" w:name="_Toc101357479"/>
      <w:bookmarkStart w:id="1581" w:name="_Toc26482"/>
      <w:bookmarkStart w:id="1582" w:name="_Toc18945"/>
      <w:bookmarkStart w:id="1583" w:name="_Toc24061"/>
      <w:r>
        <w:rPr>
          <w:rFonts w:hint="eastAsia" w:ascii="宋体" w:hAnsi="宋体" w:eastAsia="宋体" w:cs="宋体"/>
          <w:b/>
          <w:color w:val="000000" w:themeColor="text1"/>
          <w:sz w:val="21"/>
          <w:szCs w:val="21"/>
          <w:highlight w:val="none"/>
          <w14:textFill>
            <w14:solidFill>
              <w14:schemeClr w14:val="tx1"/>
            </w14:solidFill>
          </w14:textFill>
        </w:rPr>
        <w:t>保险</w:t>
      </w:r>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p>
    <w:p w14:paraId="754EC564">
      <w:pPr>
        <w:kinsoku w:val="0"/>
        <w:spacing w:after="0" w:line="360" w:lineRule="auto"/>
        <w:ind w:firstLine="420" w:firstLineChars="200"/>
        <w:jc w:val="both"/>
        <w:rPr>
          <w:rFonts w:hint="eastAsia" w:ascii="宋体" w:hAnsi="宋体" w:eastAsia="宋体" w:cs="宋体"/>
          <w:color w:val="000000" w:themeColor="text1"/>
          <w:sz w:val="21"/>
          <w:szCs w:val="21"/>
          <w:highlight w:val="none"/>
          <w:u w:val="singl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 xml:space="preserve">21.1甲方投保内容：施工人员意外伤害险，从乙方结算价款中扣除，保费扣除金额= </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  </w:t>
      </w:r>
      <w:r>
        <w:rPr>
          <w:rFonts w:hint="eastAsia" w:ascii="宋体" w:hAnsi="宋体" w:eastAsia="宋体" w:cs="宋体"/>
          <w:color w:val="000000" w:themeColor="text1"/>
          <w:sz w:val="21"/>
          <w:szCs w:val="21"/>
          <w:highlight w:val="none"/>
          <w:lang w:eastAsia="zh-CN"/>
          <w14:textFill>
            <w14:solidFill>
              <w14:schemeClr w14:val="tx1"/>
            </w14:solidFill>
          </w14:textFill>
        </w:rPr>
        <w:t>（乙方合同价款）*</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kern w:val="10"/>
          <w:sz w:val="21"/>
          <w:szCs w:val="21"/>
          <w:highlight w:val="none"/>
          <w:u w:val="single"/>
          <w:lang w:val="en-US" w:eastAsia="zh-CN"/>
          <w14:textFill>
            <w14:solidFill>
              <w14:schemeClr w14:val="tx1"/>
            </w14:solidFill>
          </w14:textFill>
        </w:rPr>
        <w:t>0.5‰</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（保费费</w:t>
      </w:r>
      <w:r>
        <w:rPr>
          <w:rFonts w:hint="eastAsia" w:ascii="宋体" w:hAnsi="宋体" w:eastAsia="宋体" w:cs="宋体"/>
          <w:color w:val="000000" w:themeColor="text1"/>
          <w:sz w:val="21"/>
          <w:szCs w:val="21"/>
          <w:highlight w:val="none"/>
          <w:lang w:eastAsia="zh-CN"/>
          <w14:textFill>
            <w14:solidFill>
              <w14:schemeClr w14:val="tx1"/>
            </w14:solidFill>
          </w14:textFill>
        </w:rPr>
        <w:t>率）。</w:t>
      </w:r>
    </w:p>
    <w:p w14:paraId="5ED9F6EF">
      <w:pPr>
        <w:widowControl w:val="0"/>
        <w:numPr>
          <w:ilvl w:val="0"/>
          <w:numId w:val="10"/>
        </w:numPr>
        <w:kinsoku w:val="0"/>
        <w:spacing w:after="0" w:line="360" w:lineRule="auto"/>
        <w:ind w:left="158" w:leftChars="75"/>
        <w:jc w:val="both"/>
        <w:outlineLvl w:val="1"/>
        <w:rPr>
          <w:rFonts w:hint="eastAsia" w:ascii="宋体" w:hAnsi="宋体" w:eastAsia="宋体" w:cs="宋体"/>
          <w:b/>
          <w:color w:val="000000" w:themeColor="text1"/>
          <w:sz w:val="21"/>
          <w:szCs w:val="21"/>
          <w:highlight w:val="none"/>
          <w14:textFill>
            <w14:solidFill>
              <w14:schemeClr w14:val="tx1"/>
            </w14:solidFill>
          </w14:textFill>
        </w:rPr>
      </w:pPr>
      <w:bookmarkStart w:id="1584" w:name="_Toc18600"/>
      <w:bookmarkStart w:id="1585" w:name="_Toc634"/>
      <w:bookmarkStart w:id="1586" w:name="_Toc13977"/>
      <w:bookmarkStart w:id="1587" w:name="_Toc15928"/>
      <w:bookmarkStart w:id="1588" w:name="_Toc7215"/>
      <w:bookmarkStart w:id="1589" w:name="_Toc9356"/>
      <w:bookmarkStart w:id="1590" w:name="_Toc175764466"/>
      <w:bookmarkStart w:id="1591" w:name="_Toc17268"/>
      <w:bookmarkStart w:id="1592" w:name="_Toc22941"/>
      <w:bookmarkStart w:id="1593" w:name="_Toc24557"/>
      <w:bookmarkStart w:id="1594" w:name="_Toc7971"/>
      <w:bookmarkStart w:id="1595" w:name="_Toc3222"/>
      <w:bookmarkStart w:id="1596" w:name="_Toc19476"/>
      <w:bookmarkStart w:id="1597" w:name="_Toc19013"/>
      <w:bookmarkStart w:id="1598" w:name="_Toc26543"/>
      <w:bookmarkStart w:id="1599" w:name="_Toc16794"/>
      <w:bookmarkStart w:id="1600" w:name="_Toc20802"/>
      <w:bookmarkStart w:id="1601" w:name="_Toc101963531"/>
      <w:bookmarkStart w:id="1602" w:name="_Toc101357480"/>
      <w:bookmarkStart w:id="1603" w:name="_Toc28353"/>
      <w:bookmarkStart w:id="1604" w:name="_Toc3384"/>
      <w:r>
        <w:rPr>
          <w:rFonts w:hint="eastAsia" w:ascii="宋体" w:hAnsi="宋体" w:eastAsia="宋体" w:cs="宋体"/>
          <w:b/>
          <w:color w:val="000000" w:themeColor="text1"/>
          <w:sz w:val="21"/>
          <w:szCs w:val="21"/>
          <w:highlight w:val="none"/>
          <w14:textFill>
            <w14:solidFill>
              <w14:schemeClr w14:val="tx1"/>
            </w14:solidFill>
          </w14:textFill>
        </w:rPr>
        <w:t>不可抗力</w:t>
      </w:r>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p>
    <w:p w14:paraId="0F9B6D85">
      <w:pPr>
        <w:kinsoku w:val="0"/>
        <w:spacing w:after="0" w:line="360" w:lineRule="auto"/>
        <w:ind w:firstLine="420" w:firstLineChars="200"/>
        <w:jc w:val="both"/>
        <w:rPr>
          <w:rFonts w:hint="eastAsia" w:ascii="宋体" w:hAnsi="宋体" w:eastAsia="宋体" w:cs="宋体"/>
          <w:color w:val="000000" w:themeColor="text1"/>
          <w:sz w:val="21"/>
          <w:szCs w:val="21"/>
          <w:highlight w:val="none"/>
          <w:u w:val="singl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见通用合同条款。</w:t>
      </w:r>
    </w:p>
    <w:p w14:paraId="0B2F099E">
      <w:pPr>
        <w:widowControl w:val="0"/>
        <w:numPr>
          <w:ilvl w:val="0"/>
          <w:numId w:val="10"/>
        </w:numPr>
        <w:kinsoku w:val="0"/>
        <w:spacing w:after="0" w:line="360" w:lineRule="auto"/>
        <w:ind w:left="158" w:leftChars="75"/>
        <w:jc w:val="both"/>
        <w:outlineLvl w:val="1"/>
        <w:rPr>
          <w:rFonts w:hint="eastAsia" w:ascii="宋体" w:hAnsi="宋体" w:eastAsia="宋体" w:cs="宋体"/>
          <w:b/>
          <w:color w:val="000000" w:themeColor="text1"/>
          <w:sz w:val="21"/>
          <w:szCs w:val="21"/>
          <w:highlight w:val="none"/>
          <w14:textFill>
            <w14:solidFill>
              <w14:schemeClr w14:val="tx1"/>
            </w14:solidFill>
          </w14:textFill>
        </w:rPr>
      </w:pPr>
      <w:bookmarkStart w:id="1605" w:name="_Toc28990"/>
      <w:bookmarkStart w:id="1606" w:name="_Toc10662"/>
      <w:bookmarkStart w:id="1607" w:name="_Toc26578"/>
      <w:bookmarkStart w:id="1608" w:name="_Toc21145"/>
      <w:bookmarkStart w:id="1609" w:name="_Toc11400"/>
      <w:bookmarkStart w:id="1610" w:name="_Toc2628"/>
      <w:bookmarkStart w:id="1611" w:name="_Toc16901"/>
      <w:bookmarkStart w:id="1612" w:name="_Toc20420"/>
      <w:bookmarkStart w:id="1613" w:name="_Toc6999"/>
      <w:bookmarkStart w:id="1614" w:name="_Toc101963532"/>
      <w:bookmarkStart w:id="1615" w:name="_Toc24784"/>
      <w:bookmarkStart w:id="1616" w:name="_Toc175764467"/>
      <w:bookmarkStart w:id="1617" w:name="_Toc12979"/>
      <w:bookmarkStart w:id="1618" w:name="_Toc18426"/>
      <w:bookmarkStart w:id="1619" w:name="_Toc2889"/>
      <w:bookmarkStart w:id="1620" w:name="_Toc5749"/>
      <w:bookmarkStart w:id="1621" w:name="_Toc14862"/>
      <w:bookmarkStart w:id="1622" w:name="_Toc101357481"/>
      <w:bookmarkStart w:id="1623" w:name="_Toc19605"/>
      <w:bookmarkStart w:id="1624" w:name="_Toc30852"/>
      <w:bookmarkStart w:id="1625" w:name="_Toc15121"/>
      <w:r>
        <w:rPr>
          <w:rFonts w:hint="eastAsia" w:ascii="宋体" w:hAnsi="宋体" w:eastAsia="宋体" w:cs="宋体"/>
          <w:b/>
          <w:color w:val="000000" w:themeColor="text1"/>
          <w:sz w:val="21"/>
          <w:szCs w:val="21"/>
          <w:highlight w:val="none"/>
          <w14:textFill>
            <w14:solidFill>
              <w14:schemeClr w14:val="tx1"/>
            </w14:solidFill>
          </w14:textFill>
        </w:rPr>
        <w:t>违约</w:t>
      </w:r>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p>
    <w:p w14:paraId="250D3C26">
      <w:pPr>
        <w:kinsoku w:val="0"/>
        <w:spacing w:after="0" w:line="360" w:lineRule="auto"/>
        <w:ind w:firstLine="420" w:firstLineChars="200"/>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bookmarkStart w:id="1626" w:name="_Toc4860"/>
      <w:bookmarkStart w:id="1627" w:name="_Toc13869"/>
      <w:bookmarkStart w:id="1628" w:name="_Toc30088"/>
      <w:bookmarkStart w:id="1629" w:name="_Toc2136"/>
      <w:bookmarkStart w:id="1630" w:name="_Toc8437"/>
      <w:bookmarkStart w:id="1631" w:name="_Toc16290"/>
      <w:bookmarkStart w:id="1632" w:name="_Toc101963533"/>
      <w:bookmarkStart w:id="1633" w:name="_Toc5986"/>
      <w:bookmarkStart w:id="1634" w:name="_Toc4047"/>
      <w:bookmarkStart w:id="1635" w:name="_Toc31565"/>
      <w:bookmarkStart w:id="1636" w:name="_Toc101357482"/>
      <w:bookmarkStart w:id="1637" w:name="_Toc30012"/>
      <w:bookmarkStart w:id="1638" w:name="_Toc25592"/>
      <w:bookmarkStart w:id="1639" w:name="_Toc4020"/>
      <w:bookmarkStart w:id="1640" w:name="_Toc23242"/>
      <w:bookmarkStart w:id="1641" w:name="_Toc24887"/>
      <w:bookmarkStart w:id="1642" w:name="_Toc12743"/>
      <w:bookmarkStart w:id="1643" w:name="_Toc16061"/>
      <w:bookmarkStart w:id="1644" w:name="_Toc22716"/>
      <w:bookmarkStart w:id="1645" w:name="_Toc27782"/>
      <w:r>
        <w:rPr>
          <w:rFonts w:hint="eastAsia" w:ascii="宋体" w:hAnsi="宋体" w:eastAsia="宋体" w:cs="宋体"/>
          <w:color w:val="000000" w:themeColor="text1"/>
          <w:kern w:val="10"/>
          <w:sz w:val="21"/>
          <w:szCs w:val="21"/>
          <w:highlight w:val="none"/>
          <w:lang w:eastAsia="zh-CN"/>
          <w14:textFill>
            <w14:solidFill>
              <w14:schemeClr w14:val="tx1"/>
            </w14:solidFill>
          </w14:textFill>
        </w:rPr>
        <w:t>23.3乙方转包、挂靠和再分包的，甲方可以单方解除合同，且乙方应承担签约合同价</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20 %</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的惩罚性违约金并赔偿甲方所有的损失（包括但不限于诉讼费、律师费、行政处罚等）</w:t>
      </w:r>
    </w:p>
    <w:p w14:paraId="20DA4297">
      <w:pPr>
        <w:kinsoku w:val="0"/>
        <w:spacing w:after="0" w:line="360" w:lineRule="auto"/>
        <w:ind w:firstLine="420" w:firstLineChars="200"/>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23.6 安全违约</w:t>
      </w:r>
    </w:p>
    <w:p w14:paraId="129720CA">
      <w:pPr>
        <w:kinsoku w:val="0"/>
        <w:spacing w:after="0" w:line="360" w:lineRule="auto"/>
        <w:ind w:firstLine="420" w:firstLineChars="200"/>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23.6.1乙方因违反国家安全质量法规及本合同有关条款约定，出现火灾、坍塌、人员重伤、死亡等生产安全事故，则乙方应承担全部损失，并按相关法规接受行政及法律处罚；如造成甲方及对第三人利益的损害等，该损害赔偿责任均由乙方承担。</w:t>
      </w:r>
    </w:p>
    <w:p w14:paraId="3BC2FD40">
      <w:pPr>
        <w:kinsoku w:val="0"/>
        <w:spacing w:after="0" w:line="360" w:lineRule="auto"/>
        <w:ind w:firstLine="420" w:firstLineChars="200"/>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23.6.2由乙方原因发生的安全事故或</w:t>
      </w:r>
      <w:r>
        <w:rPr>
          <w:rFonts w:hint="eastAsia" w:ascii="宋体" w:hAnsi="宋体" w:eastAsia="宋体" w:cs="宋体"/>
          <w:color w:val="000000" w:themeColor="text1"/>
          <w:sz w:val="21"/>
          <w:szCs w:val="21"/>
          <w:highlight w:val="none"/>
          <w:lang w:eastAsia="zh-CN"/>
          <w14:textFill>
            <w14:solidFill>
              <w14:schemeClr w14:val="tx1"/>
            </w14:solidFill>
          </w14:textFill>
        </w:rPr>
        <w:t>由于乙方原因导致隐患与违章在各级各类监督检查过程中，</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给甲方造成</w:t>
      </w:r>
      <w:r>
        <w:rPr>
          <w:rFonts w:hint="eastAsia" w:ascii="宋体" w:hAnsi="宋体" w:eastAsia="宋体" w:cs="宋体"/>
          <w:color w:val="000000" w:themeColor="text1"/>
          <w:sz w:val="21"/>
          <w:szCs w:val="21"/>
          <w:highlight w:val="none"/>
          <w:lang w:eastAsia="zh-CN"/>
          <w14:textFill>
            <w14:solidFill>
              <w14:schemeClr w14:val="tx1"/>
            </w14:solidFill>
          </w14:textFill>
        </w:rPr>
        <w:t>信誉评价扣分</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、经济损失，</w:t>
      </w:r>
      <w:r>
        <w:rPr>
          <w:rFonts w:hint="eastAsia" w:ascii="宋体" w:hAnsi="宋体" w:eastAsia="宋体" w:cs="宋体"/>
          <w:color w:val="000000" w:themeColor="text1"/>
          <w:sz w:val="21"/>
          <w:szCs w:val="21"/>
          <w:highlight w:val="none"/>
          <w:lang w:eastAsia="zh-CN"/>
          <w14:textFill>
            <w14:solidFill>
              <w14:schemeClr w14:val="tx1"/>
            </w14:solidFill>
          </w14:textFill>
        </w:rPr>
        <w:t>以及停止招投标等市场影响的，所有经济损失由乙方承担，并按甲方公司及项目安全管理规定进行处罚。</w:t>
      </w:r>
    </w:p>
    <w:p w14:paraId="6BFF27B0">
      <w:pPr>
        <w:kinsoku w:val="0"/>
        <w:spacing w:after="0" w:line="360" w:lineRule="auto"/>
        <w:ind w:firstLine="420" w:firstLineChars="200"/>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23.6.3甲方和乙方应对各自施工现场的工作人员进行安全教育，作业前进行安全技术交底。发生重大伤亡事故及其他安全事故后，首先施救、保护现场，第一时间通知甲方，由甲方按政府有关部门要求进行处理，由事故责任方承担责任和相应的费用，伤亡事故的善后处理由乙方负责。</w:t>
      </w:r>
    </w:p>
    <w:p w14:paraId="155CF971">
      <w:pPr>
        <w:kinsoku w:val="0"/>
        <w:spacing w:after="0" w:line="360" w:lineRule="auto"/>
        <w:ind w:firstLine="420" w:firstLineChars="200"/>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23.6.4如乙方违反国家、地方、甲方及本合同关于安全文明施工的规定，但尚未造成生产安全事故，乙方应及时改正行为并赔偿相关方的损失，如未及时整改，</w:t>
      </w:r>
      <w:r>
        <w:rPr>
          <w:rFonts w:hint="eastAsia" w:ascii="宋体" w:hAnsi="宋体" w:eastAsia="宋体" w:cs="宋体"/>
          <w:color w:val="000000" w:themeColor="text1"/>
          <w:sz w:val="21"/>
          <w:szCs w:val="21"/>
          <w:highlight w:val="none"/>
          <w:lang w:eastAsia="zh-CN"/>
          <w14:textFill>
            <w14:solidFill>
              <w14:schemeClr w14:val="tx1"/>
            </w14:solidFill>
          </w14:textFill>
        </w:rPr>
        <w:t>根据甲方公司及项目安全管理制度进行处罚。</w:t>
      </w:r>
      <w:r>
        <w:rPr>
          <w:rFonts w:hint="eastAsia" w:ascii="宋体" w:hAnsi="宋体" w:eastAsia="宋体" w:cs="宋体"/>
          <w:b/>
          <w:bCs/>
          <w:color w:val="000000" w:themeColor="text1"/>
          <w:sz w:val="21"/>
          <w:szCs w:val="21"/>
          <w:highlight w:val="none"/>
          <w:lang w:eastAsia="zh-CN"/>
          <w14:textFill>
            <w14:solidFill>
              <w14:schemeClr w14:val="tx1"/>
            </w14:solidFill>
          </w14:textFill>
        </w:rPr>
        <w:t>因乙方原因未达到本合同约定的安全文明施工标准时，乙方向甲方支付签约合同价</w:t>
      </w:r>
      <w:r>
        <w:rPr>
          <w:rFonts w:hint="eastAsia" w:ascii="宋体" w:hAnsi="宋体" w:eastAsia="宋体" w:cs="宋体"/>
          <w:b/>
          <w:bCs/>
          <w:color w:val="000000" w:themeColor="text1"/>
          <w:sz w:val="21"/>
          <w:szCs w:val="21"/>
          <w:highlight w:val="none"/>
          <w:u w:val="single"/>
          <w:lang w:eastAsia="zh-CN"/>
          <w14:textFill>
            <w14:solidFill>
              <w14:schemeClr w14:val="tx1"/>
            </w14:solidFill>
          </w14:textFill>
        </w:rPr>
        <w:t xml:space="preserve">  5  </w:t>
      </w:r>
      <w:r>
        <w:rPr>
          <w:rFonts w:hint="eastAsia" w:ascii="宋体" w:hAnsi="宋体" w:eastAsia="宋体" w:cs="宋体"/>
          <w:b/>
          <w:bCs/>
          <w:color w:val="000000" w:themeColor="text1"/>
          <w:sz w:val="21"/>
          <w:szCs w:val="21"/>
          <w:highlight w:val="none"/>
          <w:lang w:eastAsia="zh-CN"/>
          <w14:textFill>
            <w14:solidFill>
              <w14:schemeClr w14:val="tx1"/>
            </w14:solidFill>
          </w14:textFill>
        </w:rPr>
        <w:t>%的违约金，并承担因此给甲方造成的全部损失。</w:t>
      </w:r>
      <w:r>
        <w:rPr>
          <w:rFonts w:hint="eastAsia" w:ascii="宋体" w:hAnsi="宋体" w:eastAsia="宋体" w:cs="宋体"/>
          <w:color w:val="000000" w:themeColor="text1"/>
          <w:sz w:val="21"/>
          <w:szCs w:val="21"/>
          <w:highlight w:val="none"/>
          <w:lang w:eastAsia="zh-CN"/>
          <w14:textFill>
            <w14:solidFill>
              <w14:schemeClr w14:val="tx1"/>
            </w14:solidFill>
          </w14:textFill>
        </w:rPr>
        <w:t>安全文明工地建设参照当地主管部门的有关标准验收，用工等费用已包含在乙方报价中。</w:t>
      </w:r>
    </w:p>
    <w:p w14:paraId="4CF16A7D">
      <w:pPr>
        <w:kinsoku w:val="0"/>
        <w:spacing w:after="0" w:line="360" w:lineRule="auto"/>
        <w:ind w:firstLine="420" w:firstLineChars="200"/>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23.6.5乙方必须接受相关方和甲方组织的安全、文明施工的检查，检查中的不合格项目、安全隐患必须在规定的时间内整改完成，否则将</w:t>
      </w:r>
      <w:r>
        <w:rPr>
          <w:rFonts w:hint="eastAsia" w:ascii="宋体" w:hAnsi="宋体" w:eastAsia="宋体" w:cs="宋体"/>
          <w:color w:val="000000" w:themeColor="text1"/>
          <w:sz w:val="21"/>
          <w:szCs w:val="21"/>
          <w:highlight w:val="none"/>
          <w:lang w:eastAsia="zh-CN"/>
          <w14:textFill>
            <w14:solidFill>
              <w14:schemeClr w14:val="tx1"/>
            </w14:solidFill>
          </w14:textFill>
        </w:rPr>
        <w:t>根据甲方公司及项目安全管理制度进行处罚，</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直至整改合格。</w:t>
      </w:r>
    </w:p>
    <w:p w14:paraId="19ADD7CF">
      <w:pPr>
        <w:kinsoku w:val="0"/>
        <w:spacing w:after="0" w:line="360" w:lineRule="auto"/>
        <w:ind w:firstLine="422" w:firstLineChars="200"/>
        <w:jc w:val="both"/>
        <w:rPr>
          <w:rFonts w:hint="eastAsia" w:ascii="宋体" w:hAnsi="宋体" w:eastAsia="宋体" w:cs="宋体"/>
          <w:b/>
          <w:color w:val="000000" w:themeColor="text1"/>
          <w:kern w:val="10"/>
          <w:sz w:val="21"/>
          <w:szCs w:val="21"/>
          <w:highlight w:val="none"/>
          <w:lang w:eastAsia="zh-CN"/>
          <w14:textFill>
            <w14:solidFill>
              <w14:schemeClr w14:val="tx1"/>
            </w14:solidFill>
          </w14:textFill>
        </w:rPr>
      </w:pPr>
      <w:r>
        <w:rPr>
          <w:rFonts w:hint="eastAsia" w:ascii="宋体" w:hAnsi="宋体" w:eastAsia="宋体" w:cs="宋体"/>
          <w:b/>
          <w:color w:val="000000" w:themeColor="text1"/>
          <w:kern w:val="10"/>
          <w:sz w:val="21"/>
          <w:szCs w:val="21"/>
          <w:highlight w:val="none"/>
          <w:lang w:eastAsia="zh-CN"/>
          <w14:textFill>
            <w14:solidFill>
              <w14:schemeClr w14:val="tx1"/>
            </w14:solidFill>
          </w14:textFill>
        </w:rPr>
        <w:t>23.6.6</w:t>
      </w:r>
      <w:r>
        <w:rPr>
          <w:rFonts w:hint="eastAsia" w:ascii="宋体" w:hAnsi="宋体" w:eastAsia="宋体" w:cs="宋体"/>
          <w:b/>
          <w:color w:val="000000" w:themeColor="text1"/>
          <w:sz w:val="21"/>
          <w:szCs w:val="21"/>
          <w:highlight w:val="none"/>
          <w:lang w:eastAsia="zh-CN"/>
          <w14:textFill>
            <w14:solidFill>
              <w14:schemeClr w14:val="tx1"/>
            </w14:solidFill>
          </w14:textFill>
        </w:rPr>
        <w:t>乙方未按法规要求及合同承诺配备专职安全管理人员，乙方应限期整改，若乙方未能在限期内完成整改，每缺少1名专职安全管理人员，乙方向甲方支付</w:t>
      </w:r>
      <w:r>
        <w:rPr>
          <w:rFonts w:hint="eastAsia" w:ascii="宋体" w:hAnsi="宋体" w:eastAsia="宋体" w:cs="宋体"/>
          <w:b/>
          <w:color w:val="000000" w:themeColor="text1"/>
          <w:sz w:val="21"/>
          <w:szCs w:val="21"/>
          <w:highlight w:val="none"/>
          <w:u w:val="single"/>
          <w:lang w:eastAsia="zh-CN"/>
          <w14:textFill>
            <w14:solidFill>
              <w14:schemeClr w14:val="tx1"/>
            </w14:solidFill>
          </w14:textFill>
        </w:rPr>
        <w:t>20000</w:t>
      </w:r>
      <w:r>
        <w:rPr>
          <w:rFonts w:hint="eastAsia" w:ascii="宋体" w:hAnsi="宋体" w:eastAsia="宋体" w:cs="宋体"/>
          <w:b/>
          <w:color w:val="000000" w:themeColor="text1"/>
          <w:sz w:val="21"/>
          <w:szCs w:val="21"/>
          <w:highlight w:val="none"/>
          <w:lang w:eastAsia="zh-CN"/>
          <w14:textFill>
            <w14:solidFill>
              <w14:schemeClr w14:val="tx1"/>
            </w14:solidFill>
          </w14:textFill>
        </w:rPr>
        <w:t>元违约金。</w:t>
      </w:r>
    </w:p>
    <w:p w14:paraId="0C5252F5">
      <w:pPr>
        <w:kinsoku w:val="0"/>
        <w:spacing w:after="0" w:line="360" w:lineRule="auto"/>
        <w:ind w:firstLine="420" w:firstLineChars="200"/>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23.7 质量违约</w:t>
      </w:r>
    </w:p>
    <w:p w14:paraId="03B1EDC4">
      <w:pPr>
        <w:kinsoku w:val="0"/>
        <w:spacing w:after="0" w:line="360" w:lineRule="auto"/>
        <w:ind w:firstLine="420" w:firstLineChars="200"/>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23.7.1因乙方质量原因出现以下情形的，乙方须承担相应违约责任。</w:t>
      </w:r>
    </w:p>
    <w:p w14:paraId="2BC731CE">
      <w:pPr>
        <w:kinsoku w:val="0"/>
        <w:spacing w:after="0" w:line="360" w:lineRule="auto"/>
        <w:ind w:firstLine="420" w:firstLineChars="200"/>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（1）不按图施工，每次乙方向甲方支付违约金人民币</w:t>
      </w:r>
      <w:r>
        <w:rPr>
          <w:rFonts w:hint="eastAsia" w:ascii="宋体" w:hAnsi="宋体" w:eastAsia="宋体" w:cs="宋体"/>
          <w:b/>
          <w:color w:val="000000" w:themeColor="text1"/>
          <w:kern w:val="10"/>
          <w:sz w:val="21"/>
          <w:szCs w:val="21"/>
          <w:highlight w:val="none"/>
          <w:u w:val="single"/>
          <w:lang w:eastAsia="zh-CN"/>
          <w14:textFill>
            <w14:solidFill>
              <w14:schemeClr w14:val="tx1"/>
            </w14:solidFill>
          </w14:textFill>
        </w:rPr>
        <w:t>2000-5000</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元。</w:t>
      </w:r>
    </w:p>
    <w:p w14:paraId="6297B180">
      <w:pPr>
        <w:kinsoku w:val="0"/>
        <w:spacing w:after="0" w:line="360" w:lineRule="auto"/>
        <w:ind w:firstLine="420" w:firstLineChars="200"/>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（2）未进行隐蔽验收，验收不合格强行施工，每次乙方向甲方支付违约金人民币</w:t>
      </w:r>
      <w:r>
        <w:rPr>
          <w:rFonts w:hint="eastAsia" w:ascii="宋体" w:hAnsi="宋体" w:eastAsia="宋体" w:cs="宋体"/>
          <w:b/>
          <w:color w:val="000000" w:themeColor="text1"/>
          <w:kern w:val="10"/>
          <w:sz w:val="21"/>
          <w:szCs w:val="21"/>
          <w:highlight w:val="none"/>
          <w:u w:val="single"/>
          <w:lang w:eastAsia="zh-CN"/>
          <w14:textFill>
            <w14:solidFill>
              <w14:schemeClr w14:val="tx1"/>
            </w14:solidFill>
          </w14:textFill>
        </w:rPr>
        <w:t>2000-5000</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元。</w:t>
      </w:r>
    </w:p>
    <w:p w14:paraId="6F39C672">
      <w:pPr>
        <w:kinsoku w:val="0"/>
        <w:spacing w:after="0" w:line="360" w:lineRule="auto"/>
        <w:ind w:firstLine="420" w:firstLineChars="200"/>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（3）施工质量不符合设计及规范要求，每次乙方向甲方支付违约金人民币</w:t>
      </w:r>
      <w:r>
        <w:rPr>
          <w:rFonts w:hint="eastAsia" w:ascii="宋体" w:hAnsi="宋体" w:eastAsia="宋体" w:cs="宋体"/>
          <w:b/>
          <w:color w:val="000000" w:themeColor="text1"/>
          <w:kern w:val="10"/>
          <w:sz w:val="21"/>
          <w:szCs w:val="21"/>
          <w:highlight w:val="none"/>
          <w:u w:val="single"/>
          <w:lang w:eastAsia="zh-CN"/>
          <w14:textFill>
            <w14:solidFill>
              <w14:schemeClr w14:val="tx1"/>
            </w14:solidFill>
          </w14:textFill>
        </w:rPr>
        <w:t>2000-5000</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元。</w:t>
      </w:r>
    </w:p>
    <w:p w14:paraId="5811D4E3">
      <w:pPr>
        <w:kinsoku w:val="0"/>
        <w:spacing w:after="0" w:line="360" w:lineRule="auto"/>
        <w:ind w:firstLine="420" w:firstLineChars="200"/>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（4）未进行条件验收，条件验收不合格继续施工，或发现质量问题隐患隐瞒不报、未经甲方允许自行处理的，每次乙方向甲方支付违约金人民币</w:t>
      </w:r>
      <w:r>
        <w:rPr>
          <w:rFonts w:hint="eastAsia" w:ascii="宋体" w:hAnsi="宋体" w:eastAsia="宋体" w:cs="宋体"/>
          <w:b/>
          <w:color w:val="000000" w:themeColor="text1"/>
          <w:kern w:val="10"/>
          <w:sz w:val="21"/>
          <w:szCs w:val="21"/>
          <w:highlight w:val="none"/>
          <w:u w:val="single"/>
          <w:lang w:eastAsia="zh-CN"/>
          <w14:textFill>
            <w14:solidFill>
              <w14:schemeClr w14:val="tx1"/>
            </w14:solidFill>
          </w14:textFill>
        </w:rPr>
        <w:t>5000-10000</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元。</w:t>
      </w:r>
    </w:p>
    <w:p w14:paraId="0660B2FC">
      <w:pPr>
        <w:kinsoku w:val="0"/>
        <w:spacing w:after="0" w:line="360" w:lineRule="auto"/>
        <w:ind w:firstLine="420" w:firstLineChars="200"/>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（5）成品防护不到位，施工后出现较大面积破损或污染，每处乙方向甲方支付违约金人民币</w:t>
      </w:r>
      <w:r>
        <w:rPr>
          <w:rFonts w:hint="eastAsia" w:ascii="宋体" w:hAnsi="宋体" w:eastAsia="宋体" w:cs="宋体"/>
          <w:b/>
          <w:color w:val="000000" w:themeColor="text1"/>
          <w:kern w:val="10"/>
          <w:sz w:val="21"/>
          <w:szCs w:val="21"/>
          <w:highlight w:val="none"/>
          <w:u w:val="single"/>
          <w:lang w:eastAsia="zh-CN"/>
          <w14:textFill>
            <w14:solidFill>
              <w14:schemeClr w14:val="tx1"/>
            </w14:solidFill>
          </w14:textFill>
        </w:rPr>
        <w:t>2000-5000</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元。</w:t>
      </w:r>
    </w:p>
    <w:p w14:paraId="0AF1F51A">
      <w:pPr>
        <w:kinsoku w:val="0"/>
        <w:spacing w:after="0" w:line="360" w:lineRule="auto"/>
        <w:ind w:firstLine="420" w:firstLineChars="200"/>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（6）原材料、设备未按国家及行业相关规定进行报验、审批或手续不全，已投入使用；乙方未按要求及时上报主要材料、设备使用计划或不能及时上报审批用相关资料，每次乙方向甲方支付违约金人民币</w:t>
      </w:r>
      <w:r>
        <w:rPr>
          <w:rFonts w:hint="eastAsia" w:ascii="宋体" w:hAnsi="宋体" w:eastAsia="宋体" w:cs="宋体"/>
          <w:b/>
          <w:color w:val="000000" w:themeColor="text1"/>
          <w:kern w:val="10"/>
          <w:sz w:val="21"/>
          <w:szCs w:val="21"/>
          <w:highlight w:val="none"/>
          <w:u w:val="single"/>
          <w:lang w:eastAsia="zh-CN"/>
          <w14:textFill>
            <w14:solidFill>
              <w14:schemeClr w14:val="tx1"/>
            </w14:solidFill>
          </w14:textFill>
        </w:rPr>
        <w:t>2000-5000</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元。如在施工过程中发现材料质量不合格，乙方除负责更换合格材料外，每次乙方向甲方支付违约金人民币</w:t>
      </w:r>
      <w:r>
        <w:rPr>
          <w:rFonts w:hint="eastAsia" w:ascii="宋体" w:hAnsi="宋体" w:eastAsia="宋体" w:cs="宋体"/>
          <w:b/>
          <w:color w:val="000000" w:themeColor="text1"/>
          <w:kern w:val="10"/>
          <w:sz w:val="21"/>
          <w:szCs w:val="21"/>
          <w:highlight w:val="none"/>
          <w:u w:val="single"/>
          <w:lang w:eastAsia="zh-CN"/>
          <w14:textFill>
            <w14:solidFill>
              <w14:schemeClr w14:val="tx1"/>
            </w14:solidFill>
          </w14:textFill>
        </w:rPr>
        <w:t>10000</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元，并承担因此给甲方造成的全部损失。</w:t>
      </w:r>
    </w:p>
    <w:p w14:paraId="6D34F1DF">
      <w:pPr>
        <w:kinsoku w:val="0"/>
        <w:autoSpaceDE w:val="0"/>
        <w:autoSpaceDN w:val="0"/>
        <w:adjustRightInd w:val="0"/>
        <w:spacing w:after="0" w:line="360" w:lineRule="auto"/>
        <w:ind w:firstLine="420" w:firstLineChars="200"/>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7）甲方与建设单位间的隐蔽工程验收、分部分项工程验收以及工程竣工验收表明分包作业质量不合格时，乙方应负责无偿整改，作业期限不予延长，并承担由此导致的甲方的全部损失。若乙方接到甲方整改通知单后</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24小时 </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内未进行整改或整改不合格的，甲方</w:t>
      </w:r>
      <w:r>
        <w:rPr>
          <w:rStyle w:val="38"/>
          <w:rFonts w:hint="eastAsia" w:ascii="宋体" w:hAnsi="宋体" w:eastAsia="宋体" w:cs="宋体"/>
          <w:color w:val="000000" w:themeColor="text1"/>
          <w:highlight w:val="none"/>
          <w:lang w:eastAsia="zh-CN"/>
          <w14:textFill>
            <w14:solidFill>
              <w14:schemeClr w14:val="tx1"/>
            </w14:solidFill>
          </w14:textFill>
        </w:rPr>
        <w:t>可以自行</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委托第三方完成，此部分费用由乙方承担并向甲方支付违约金人民币</w:t>
      </w:r>
      <w:r>
        <w:rPr>
          <w:rFonts w:hint="eastAsia" w:ascii="宋体" w:hAnsi="宋体" w:eastAsia="宋体" w:cs="宋体"/>
          <w:b/>
          <w:color w:val="000000" w:themeColor="text1"/>
          <w:kern w:val="10"/>
          <w:sz w:val="21"/>
          <w:szCs w:val="21"/>
          <w:highlight w:val="none"/>
          <w:u w:val="single"/>
          <w:lang w:eastAsia="zh-CN"/>
          <w14:textFill>
            <w14:solidFill>
              <w14:schemeClr w14:val="tx1"/>
            </w14:solidFill>
          </w14:textFill>
        </w:rPr>
        <w:t>10000</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元。</w:t>
      </w:r>
    </w:p>
    <w:p w14:paraId="4664D400">
      <w:pPr>
        <w:kinsoku w:val="0"/>
        <w:autoSpaceDE w:val="0"/>
        <w:autoSpaceDN w:val="0"/>
        <w:adjustRightInd w:val="0"/>
        <w:spacing w:after="0" w:line="360" w:lineRule="auto"/>
        <w:ind w:firstLine="420" w:firstLineChars="200"/>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（8）如乙方未能按照约定履行维修义务，甲方可在乙方的质保金中扣除相关维修费用，并要求乙方承担维修费用</w:t>
      </w:r>
      <w:r>
        <w:rPr>
          <w:rFonts w:hint="eastAsia" w:ascii="宋体" w:hAnsi="宋体" w:eastAsia="宋体" w:cs="宋体"/>
          <w:b/>
          <w:color w:val="000000" w:themeColor="text1"/>
          <w:kern w:val="10"/>
          <w:sz w:val="21"/>
          <w:szCs w:val="21"/>
          <w:highlight w:val="none"/>
          <w:u w:val="single"/>
          <w:lang w:eastAsia="zh-CN"/>
          <w14:textFill>
            <w14:solidFill>
              <w14:schemeClr w14:val="tx1"/>
            </w14:solidFill>
          </w14:textFill>
        </w:rPr>
        <w:t>20%</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的违约金，不足部分及因乙方拒绝维修导致额外的损失，甲方将继续向乙方追偿。</w:t>
      </w:r>
    </w:p>
    <w:p w14:paraId="4C02EE18">
      <w:pPr>
        <w:pStyle w:val="11"/>
        <w:kinsoku w:val="0"/>
        <w:spacing w:after="0" w:line="360" w:lineRule="auto"/>
        <w:ind w:firstLine="420"/>
        <w:jc w:val="both"/>
        <w:rPr>
          <w:rFonts w:hint="eastAsia"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（9）被建设单位、甲方公司及其上级单位质量检查通报排名倒数后两名的，乙方按照</w:t>
      </w:r>
      <w:r>
        <w:rPr>
          <w:rFonts w:hint="eastAsia" w:ascii="宋体" w:hAnsi="宋体" w:eastAsia="宋体"/>
          <w:b/>
          <w:color w:val="000000" w:themeColor="text1"/>
          <w:sz w:val="21"/>
          <w:szCs w:val="21"/>
          <w:highlight w:val="none"/>
          <w:u w:val="single"/>
          <w14:textFill>
            <w14:solidFill>
              <w14:schemeClr w14:val="tx1"/>
            </w14:solidFill>
          </w14:textFill>
        </w:rPr>
        <w:t>3000～5000</w:t>
      </w:r>
      <w:r>
        <w:rPr>
          <w:rFonts w:hint="eastAsia" w:ascii="宋体" w:hAnsi="宋体" w:eastAsia="宋体"/>
          <w:color w:val="000000" w:themeColor="text1"/>
          <w:sz w:val="21"/>
          <w:szCs w:val="21"/>
          <w:highlight w:val="none"/>
          <w14:textFill>
            <w14:solidFill>
              <w14:schemeClr w14:val="tx1"/>
            </w14:solidFill>
          </w14:textFill>
        </w:rPr>
        <w:t>元/次承担违约金。同一项目，被连续通报倒数后两名的，违约金加倍。</w:t>
      </w:r>
    </w:p>
    <w:p w14:paraId="0C8E2C8A">
      <w:pPr>
        <w:pStyle w:val="11"/>
        <w:kinsoku w:val="0"/>
        <w:spacing w:after="0" w:line="360" w:lineRule="auto"/>
        <w:ind w:firstLine="420"/>
        <w:jc w:val="both"/>
        <w:rPr>
          <w:rFonts w:hint="eastAsia"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（10）被建设单位投诉到甲方公司及其上级单位主管部门的，乙方按照</w:t>
      </w:r>
      <w:r>
        <w:rPr>
          <w:rFonts w:hint="eastAsia" w:ascii="宋体" w:hAnsi="宋体" w:eastAsia="宋体"/>
          <w:b/>
          <w:color w:val="000000" w:themeColor="text1"/>
          <w:sz w:val="21"/>
          <w:szCs w:val="21"/>
          <w:highlight w:val="none"/>
          <w:u w:val="single"/>
          <w14:textFill>
            <w14:solidFill>
              <w14:schemeClr w14:val="tx1"/>
            </w14:solidFill>
          </w14:textFill>
        </w:rPr>
        <w:t>10000～50000</w:t>
      </w:r>
      <w:r>
        <w:rPr>
          <w:rFonts w:hint="eastAsia" w:ascii="宋体" w:hAnsi="宋体" w:eastAsia="宋体"/>
          <w:color w:val="000000" w:themeColor="text1"/>
          <w:sz w:val="21"/>
          <w:szCs w:val="21"/>
          <w:highlight w:val="none"/>
          <w14:textFill>
            <w14:solidFill>
              <w14:schemeClr w14:val="tx1"/>
            </w14:solidFill>
          </w14:textFill>
        </w:rPr>
        <w:t>元/次承担违约金。同一项目，半年期内连续被投诉，违约金加倍。</w:t>
      </w:r>
    </w:p>
    <w:p w14:paraId="5B6411E4">
      <w:pPr>
        <w:pStyle w:val="11"/>
        <w:kinsoku w:val="0"/>
        <w:spacing w:after="0" w:line="360" w:lineRule="auto"/>
        <w:ind w:firstLine="420"/>
        <w:jc w:val="both"/>
        <w:rPr>
          <w:rFonts w:hint="eastAsia"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（11）被新闻媒体曝光的，乙方按照</w:t>
      </w:r>
      <w:r>
        <w:rPr>
          <w:rFonts w:hint="eastAsia" w:ascii="宋体" w:hAnsi="宋体" w:eastAsia="宋体"/>
          <w:b/>
          <w:color w:val="000000" w:themeColor="text1"/>
          <w:sz w:val="21"/>
          <w:szCs w:val="21"/>
          <w:highlight w:val="none"/>
          <w:u w:val="single"/>
          <w14:textFill>
            <w14:solidFill>
              <w14:schemeClr w14:val="tx1"/>
            </w14:solidFill>
          </w14:textFill>
        </w:rPr>
        <w:t>20000～100000</w:t>
      </w:r>
      <w:r>
        <w:rPr>
          <w:rFonts w:hint="eastAsia" w:ascii="宋体" w:hAnsi="宋体" w:eastAsia="宋体"/>
          <w:color w:val="000000" w:themeColor="text1"/>
          <w:sz w:val="21"/>
          <w:szCs w:val="21"/>
          <w:highlight w:val="none"/>
          <w14:textFill>
            <w14:solidFill>
              <w14:schemeClr w14:val="tx1"/>
            </w14:solidFill>
          </w14:textFill>
        </w:rPr>
        <w:t>元/次承担违约金。</w:t>
      </w:r>
    </w:p>
    <w:p w14:paraId="610E43B1">
      <w:pPr>
        <w:pStyle w:val="11"/>
        <w:kinsoku w:val="0"/>
        <w:spacing w:after="0" w:line="360" w:lineRule="auto"/>
        <w:ind w:firstLine="420"/>
        <w:jc w:val="both"/>
        <w:rPr>
          <w:rFonts w:hint="eastAsia"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（12）被政府主管部门行政处罚的，乙方除按处罚金额交款外，另外按照罚款金额的</w:t>
      </w:r>
      <w:r>
        <w:rPr>
          <w:rFonts w:hint="eastAsia" w:ascii="宋体" w:hAnsi="宋体" w:eastAsia="宋体"/>
          <w:b/>
          <w:color w:val="000000" w:themeColor="text1"/>
          <w:sz w:val="21"/>
          <w:szCs w:val="21"/>
          <w:highlight w:val="none"/>
          <w:u w:val="single"/>
          <w14:textFill>
            <w14:solidFill>
              <w14:schemeClr w14:val="tx1"/>
            </w14:solidFill>
          </w14:textFill>
        </w:rPr>
        <w:t>两倍</w:t>
      </w:r>
      <w:r>
        <w:rPr>
          <w:rFonts w:hint="eastAsia" w:ascii="宋体" w:hAnsi="宋体" w:eastAsia="宋体"/>
          <w:color w:val="000000" w:themeColor="text1"/>
          <w:sz w:val="21"/>
          <w:szCs w:val="21"/>
          <w:highlight w:val="none"/>
          <w14:textFill>
            <w14:solidFill>
              <w14:schemeClr w14:val="tx1"/>
            </w14:solidFill>
          </w14:textFill>
        </w:rPr>
        <w:t>承担违约金。</w:t>
      </w:r>
    </w:p>
    <w:p w14:paraId="5210258B">
      <w:pPr>
        <w:pStyle w:val="11"/>
        <w:kinsoku w:val="0"/>
        <w:spacing w:after="0" w:line="360" w:lineRule="auto"/>
        <w:ind w:firstLine="420"/>
        <w:jc w:val="both"/>
        <w:rPr>
          <w:rFonts w:hint="eastAsia"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（13）被政府主管部门责令停工、限制投标以及降低资质的，乙方按照</w:t>
      </w:r>
      <w:r>
        <w:rPr>
          <w:rFonts w:hint="eastAsia" w:ascii="宋体" w:hAnsi="宋体" w:eastAsia="宋体"/>
          <w:b/>
          <w:color w:val="000000" w:themeColor="text1"/>
          <w:sz w:val="21"/>
          <w:szCs w:val="21"/>
          <w:highlight w:val="none"/>
          <w:u w:val="single"/>
          <w14:textFill>
            <w14:solidFill>
              <w14:schemeClr w14:val="tx1"/>
            </w14:solidFill>
          </w14:textFill>
        </w:rPr>
        <w:t>100000～500000</w:t>
      </w:r>
      <w:r>
        <w:rPr>
          <w:rFonts w:hint="eastAsia" w:ascii="宋体" w:hAnsi="宋体" w:eastAsia="宋体"/>
          <w:color w:val="000000" w:themeColor="text1"/>
          <w:sz w:val="21"/>
          <w:szCs w:val="21"/>
          <w:highlight w:val="none"/>
          <w14:textFill>
            <w14:solidFill>
              <w14:schemeClr w14:val="tx1"/>
            </w14:solidFill>
          </w14:textFill>
        </w:rPr>
        <w:t>元/次承担违约金。</w:t>
      </w:r>
    </w:p>
    <w:p w14:paraId="5564F7F4">
      <w:pPr>
        <w:pStyle w:val="11"/>
        <w:kinsoku w:val="0"/>
        <w:spacing w:after="0" w:line="360" w:lineRule="auto"/>
        <w:ind w:firstLine="420"/>
        <w:jc w:val="both"/>
        <w:rPr>
          <w:rFonts w:hint="eastAsia"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（14）被国家、地方政府建设主管部门在执法检查中典型通报，违反国家强制性标准，或质量较差造成恶劣影响的，乙方按照</w:t>
      </w:r>
      <w:r>
        <w:rPr>
          <w:rFonts w:hint="eastAsia" w:ascii="宋体" w:hAnsi="宋体" w:eastAsia="宋体"/>
          <w:b/>
          <w:color w:val="000000" w:themeColor="text1"/>
          <w:sz w:val="21"/>
          <w:szCs w:val="21"/>
          <w:highlight w:val="none"/>
          <w:u w:val="single"/>
          <w14:textFill>
            <w14:solidFill>
              <w14:schemeClr w14:val="tx1"/>
            </w14:solidFill>
          </w14:textFill>
        </w:rPr>
        <w:t>100000～500000</w:t>
      </w:r>
      <w:r>
        <w:rPr>
          <w:rFonts w:hint="eastAsia" w:ascii="宋体" w:hAnsi="宋体" w:eastAsia="宋体"/>
          <w:color w:val="000000" w:themeColor="text1"/>
          <w:sz w:val="21"/>
          <w:szCs w:val="21"/>
          <w:highlight w:val="none"/>
          <w14:textFill>
            <w14:solidFill>
              <w14:schemeClr w14:val="tx1"/>
            </w14:solidFill>
          </w14:textFill>
        </w:rPr>
        <w:t>元/次承担违约金。</w:t>
      </w:r>
    </w:p>
    <w:p w14:paraId="56554A47">
      <w:pPr>
        <w:kinsoku w:val="0"/>
        <w:autoSpaceDE w:val="0"/>
        <w:autoSpaceDN w:val="0"/>
        <w:adjustRightInd w:val="0"/>
        <w:spacing w:after="0" w:line="360" w:lineRule="auto"/>
        <w:ind w:firstLine="420" w:firstLineChars="200"/>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23.7.2发生质量事故的，乙方按照下述承担违约责任。</w:t>
      </w:r>
    </w:p>
    <w:p w14:paraId="084E7081">
      <w:pPr>
        <w:kinsoku w:val="0"/>
        <w:autoSpaceDE w:val="0"/>
        <w:autoSpaceDN w:val="0"/>
        <w:adjustRightInd w:val="0"/>
        <w:spacing w:after="0" w:line="360" w:lineRule="auto"/>
        <w:ind w:firstLine="420" w:firstLineChars="200"/>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（1）特别重大质量事故直接责任人应依法追究其刑事责任及民事责任。乙方按照</w:t>
      </w:r>
      <w:r>
        <w:rPr>
          <w:rFonts w:hint="eastAsia" w:ascii="宋体" w:hAnsi="宋体" w:eastAsia="宋体" w:cs="宋体"/>
          <w:b/>
          <w:color w:val="000000" w:themeColor="text1"/>
          <w:kern w:val="10"/>
          <w:sz w:val="21"/>
          <w:szCs w:val="21"/>
          <w:highlight w:val="none"/>
          <w:u w:val="single"/>
          <w:lang w:eastAsia="zh-CN"/>
          <w14:textFill>
            <w14:solidFill>
              <w14:schemeClr w14:val="tx1"/>
            </w14:solidFill>
          </w14:textFill>
        </w:rPr>
        <w:t>500000～1000000</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元/次承担违约金。</w:t>
      </w:r>
    </w:p>
    <w:p w14:paraId="79C0636F">
      <w:pPr>
        <w:kinsoku w:val="0"/>
        <w:autoSpaceDE w:val="0"/>
        <w:autoSpaceDN w:val="0"/>
        <w:adjustRightInd w:val="0"/>
        <w:spacing w:after="0" w:line="360" w:lineRule="auto"/>
        <w:ind w:firstLine="420" w:firstLineChars="200"/>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（2）</w:t>
      </w:r>
      <w:r>
        <w:rPr>
          <w:rFonts w:hint="eastAsia" w:ascii="宋体" w:hAnsi="宋体" w:eastAsia="宋体" w:cs="宋体"/>
          <w:color w:val="000000" w:themeColor="text1"/>
          <w:sz w:val="21"/>
          <w:szCs w:val="21"/>
          <w:highlight w:val="none"/>
          <w:lang w:eastAsia="zh-CN"/>
          <w14:textFill>
            <w14:solidFill>
              <w14:schemeClr w14:val="tx1"/>
            </w14:solidFill>
          </w14:textFill>
        </w:rPr>
        <w:t>重大质量事故的</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直接责任人应依法追究其刑事责任及民事责任。乙方按照</w:t>
      </w:r>
      <w:r>
        <w:rPr>
          <w:rFonts w:hint="eastAsia" w:ascii="宋体" w:hAnsi="宋体" w:eastAsia="宋体" w:cs="宋体"/>
          <w:b/>
          <w:color w:val="000000" w:themeColor="text1"/>
          <w:kern w:val="10"/>
          <w:sz w:val="21"/>
          <w:szCs w:val="21"/>
          <w:highlight w:val="none"/>
          <w:u w:val="single"/>
          <w:lang w:eastAsia="zh-CN"/>
          <w14:textFill>
            <w14:solidFill>
              <w14:schemeClr w14:val="tx1"/>
            </w14:solidFill>
          </w14:textFill>
        </w:rPr>
        <w:t>100000～200000</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元/次承担违约金。</w:t>
      </w:r>
    </w:p>
    <w:p w14:paraId="3DA2C590">
      <w:pPr>
        <w:kinsoku w:val="0"/>
        <w:autoSpaceDE w:val="0"/>
        <w:autoSpaceDN w:val="0"/>
        <w:adjustRightInd w:val="0"/>
        <w:spacing w:after="0" w:line="360" w:lineRule="auto"/>
        <w:ind w:firstLine="420" w:firstLineChars="200"/>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（3）较大质量事故的直接责任人应依法追究其民事责任，因事故造成人员死亡时应依法追究其刑事责任。乙方按照</w:t>
      </w:r>
      <w:r>
        <w:rPr>
          <w:rFonts w:hint="eastAsia" w:ascii="宋体" w:hAnsi="宋体" w:eastAsia="宋体" w:cs="宋体"/>
          <w:b/>
          <w:color w:val="000000" w:themeColor="text1"/>
          <w:kern w:val="10"/>
          <w:sz w:val="21"/>
          <w:szCs w:val="21"/>
          <w:highlight w:val="none"/>
          <w:u w:val="single"/>
          <w:lang w:eastAsia="zh-CN"/>
          <w14:textFill>
            <w14:solidFill>
              <w14:schemeClr w14:val="tx1"/>
            </w14:solidFill>
          </w14:textFill>
        </w:rPr>
        <w:t>50000～200000</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元/次承担违约金。</w:t>
      </w:r>
    </w:p>
    <w:p w14:paraId="0FF46A0A">
      <w:pPr>
        <w:kinsoku w:val="0"/>
        <w:autoSpaceDE w:val="0"/>
        <w:autoSpaceDN w:val="0"/>
        <w:adjustRightInd w:val="0"/>
        <w:spacing w:after="0" w:line="360" w:lineRule="auto"/>
        <w:ind w:firstLine="420" w:firstLineChars="200"/>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（4）一般质量事故的直接责任人违约金额度不应低于事故直接经济损失的5%，亦不应低于100000元。乙方按照</w:t>
      </w:r>
      <w:r>
        <w:rPr>
          <w:rFonts w:hint="eastAsia" w:ascii="宋体" w:hAnsi="宋体" w:eastAsia="宋体" w:cs="宋体"/>
          <w:b/>
          <w:color w:val="000000" w:themeColor="text1"/>
          <w:kern w:val="10"/>
          <w:sz w:val="21"/>
          <w:szCs w:val="21"/>
          <w:highlight w:val="none"/>
          <w:u w:val="single"/>
          <w:lang w:eastAsia="zh-CN"/>
          <w14:textFill>
            <w14:solidFill>
              <w14:schemeClr w14:val="tx1"/>
            </w14:solidFill>
          </w14:textFill>
        </w:rPr>
        <w:t>10000～50000</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元/次承担违约金。</w:t>
      </w:r>
    </w:p>
    <w:p w14:paraId="564CBE2E">
      <w:pPr>
        <w:kinsoku w:val="0"/>
        <w:spacing w:after="0" w:line="360" w:lineRule="auto"/>
        <w:ind w:firstLine="420" w:firstLineChars="200"/>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23.7.3乙方必须接受相关部门和甲方组织的工程质量检查，检查中发现的不合格项目必须在规定的整改时间内完成。</w:t>
      </w:r>
    </w:p>
    <w:p w14:paraId="2969D56E">
      <w:pPr>
        <w:kinsoku w:val="0"/>
        <w:spacing w:after="0" w:line="360" w:lineRule="auto"/>
        <w:ind w:firstLine="420" w:firstLineChars="200"/>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23.7.4因乙方原因造成本工程质量达不到合同约定质量标准和创优目标的，甲方可采取不办理结算、不支付工程款，乙方承担合同价款10%的违约金，甲方可选择解除合同，乙方承担因此造成的一切经济损失。</w:t>
      </w:r>
    </w:p>
    <w:p w14:paraId="53408C61">
      <w:pPr>
        <w:kinsoku w:val="0"/>
        <w:spacing w:after="0" w:line="360" w:lineRule="auto"/>
        <w:ind w:firstLine="420" w:firstLineChars="200"/>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上述罚款行为视为乙方的违约行为，罚款视为乙方应支付的违约金，23.7.1和23.7.2条款所涉及违约事项由同一行为导致的或发生多项违约行为的，</w:t>
      </w:r>
      <w:r>
        <w:rPr>
          <w:rFonts w:hint="eastAsia" w:ascii="宋体" w:hAnsi="宋体" w:eastAsia="宋体" w:cs="宋体"/>
          <w:b/>
          <w:bCs/>
          <w:color w:val="000000" w:themeColor="text1"/>
          <w:kern w:val="10"/>
          <w:sz w:val="21"/>
          <w:szCs w:val="21"/>
          <w:highlight w:val="none"/>
          <w:lang w:eastAsia="zh-CN"/>
          <w14:textFill>
            <w14:solidFill>
              <w14:schemeClr w14:val="tx1"/>
            </w14:solidFill>
          </w14:textFill>
        </w:rPr>
        <w:t>违约金累加计算</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，甲方可选择在过程结算中扣除，也可在最终结算时扣除。</w:t>
      </w:r>
    </w:p>
    <w:p w14:paraId="7019444A">
      <w:pPr>
        <w:kinsoku w:val="0"/>
        <w:spacing w:after="0" w:line="360" w:lineRule="auto"/>
        <w:ind w:firstLine="420" w:firstLineChars="200"/>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23.8工期违约</w:t>
      </w:r>
    </w:p>
    <w:p w14:paraId="54B1AC0A">
      <w:pPr>
        <w:kinsoku w:val="0"/>
        <w:spacing w:after="0" w:line="360" w:lineRule="auto"/>
        <w:ind w:firstLine="420" w:firstLineChars="200"/>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23.8.1乙方工期节点延误，每延误一天，乙方支付</w:t>
      </w:r>
      <w:r>
        <w:rPr>
          <w:rFonts w:hint="eastAsia" w:ascii="宋体" w:hAnsi="宋体" w:eastAsia="宋体" w:cs="宋体"/>
          <w:b/>
          <w:color w:val="000000" w:themeColor="text1"/>
          <w:kern w:val="10"/>
          <w:sz w:val="21"/>
          <w:szCs w:val="21"/>
          <w:highlight w:val="none"/>
          <w:u w:val="single"/>
          <w:lang w:eastAsia="zh-CN"/>
          <w14:textFill>
            <w14:solidFill>
              <w14:schemeClr w14:val="tx1"/>
            </w14:solidFill>
          </w14:textFill>
        </w:rPr>
        <w:t xml:space="preserve">1000 </w:t>
      </w:r>
      <w:r>
        <w:rPr>
          <w:rFonts w:hint="eastAsia" w:ascii="宋体" w:hAnsi="宋体" w:eastAsia="宋体" w:cs="宋体"/>
          <w:b/>
          <w:color w:val="000000" w:themeColor="text1"/>
          <w:kern w:val="10"/>
          <w:sz w:val="21"/>
          <w:szCs w:val="21"/>
          <w:highlight w:val="none"/>
          <w:lang w:eastAsia="zh-CN"/>
          <w14:textFill>
            <w14:solidFill>
              <w14:schemeClr w14:val="tx1"/>
            </w14:solidFill>
          </w14:textFill>
        </w:rPr>
        <w:t>元</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误期违约赔偿金，最高赔偿金不超过合同价款</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的</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kern w:val="10"/>
          <w:sz w:val="21"/>
          <w:szCs w:val="21"/>
          <w:highlight w:val="none"/>
          <w:u w:val="single"/>
          <w:lang w:val="en-US" w:eastAsia="zh-CN"/>
          <w14:textFill>
            <w14:solidFill>
              <w14:schemeClr w14:val="tx1"/>
            </w14:solidFill>
          </w14:textFill>
        </w:rPr>
        <w:t>2</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ascii="宋体" w:hAnsi="宋体" w:eastAsia="宋体" w:cs="宋体"/>
          <w:b/>
          <w:color w:val="000000" w:themeColor="text1"/>
          <w:kern w:val="10"/>
          <w:sz w:val="21"/>
          <w:szCs w:val="21"/>
          <w:highlight w:val="none"/>
          <w:lang w:eastAsia="zh-CN"/>
          <w14:textFill>
            <w14:solidFill>
              <w14:schemeClr w14:val="tx1"/>
            </w14:solidFill>
          </w14:textFill>
        </w:rPr>
        <w:t>%</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误期违约赔偿金不应解除乙方完成本工程的义务，或合同约定的其可能承担的其他责任、义务或职责。且甲方可以从乙方交纳的履约保证金中直接扣除相应金额抵付违约金。如因乙方延期给甲方造成的经济损失超过该违约金金额的，乙方还应承担赔偿责任。在合同实施过程中，当甲方认为乙方无法保证工期，甲方可以对乙方合同范围的施工任务进行切割，乙方须无条件接受，由此造成的损失由乙方承担全部责任和费用。</w:t>
      </w:r>
    </w:p>
    <w:p w14:paraId="01C2C3B7">
      <w:pPr>
        <w:kinsoku w:val="0"/>
        <w:spacing w:after="0" w:line="360" w:lineRule="auto"/>
        <w:ind w:firstLine="420" w:firstLineChars="200"/>
        <w:jc w:val="both"/>
        <w:rPr>
          <w:rFonts w:hint="eastAsia" w:ascii="宋体" w:hAnsi="宋体" w:eastAsia="宋体" w:cs="宋体"/>
          <w:b/>
          <w:bCs/>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23.8.2如因非甲方原因导致本工程不能按合同约定完工交付，每延期一天乙方向甲方支付违约金</w:t>
      </w:r>
      <w:r>
        <w:rPr>
          <w:rFonts w:hint="eastAsia" w:ascii="宋体" w:hAnsi="宋体" w:eastAsia="宋体" w:cs="宋体"/>
          <w:b/>
          <w:bCs/>
          <w:color w:val="000000" w:themeColor="text1"/>
          <w:kern w:val="10"/>
          <w:sz w:val="21"/>
          <w:szCs w:val="21"/>
          <w:highlight w:val="none"/>
          <w:u w:val="single"/>
          <w:lang w:eastAsia="zh-CN"/>
          <w14:textFill>
            <w14:solidFill>
              <w14:schemeClr w14:val="tx1"/>
            </w14:solidFill>
          </w14:textFill>
        </w:rPr>
        <w:t>10000</w:t>
      </w:r>
      <w:r>
        <w:rPr>
          <w:rFonts w:hint="eastAsia" w:ascii="宋体" w:hAnsi="宋体" w:eastAsia="宋体" w:cs="宋体"/>
          <w:b/>
          <w:bCs/>
          <w:color w:val="000000" w:themeColor="text1"/>
          <w:kern w:val="10"/>
          <w:sz w:val="21"/>
          <w:szCs w:val="21"/>
          <w:highlight w:val="none"/>
          <w:lang w:eastAsia="zh-CN"/>
          <w14:textFill>
            <w14:solidFill>
              <w14:schemeClr w14:val="tx1"/>
            </w14:solidFill>
          </w14:textFill>
        </w:rPr>
        <w:t>元</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，延期违约金最高不得超过合同价款的</w:t>
      </w:r>
      <w:r>
        <w:rPr>
          <w:rFonts w:hint="eastAsia" w:ascii="宋体" w:hAnsi="宋体" w:eastAsia="宋体" w:cs="宋体"/>
          <w:b/>
          <w:bCs/>
          <w:color w:val="000000" w:themeColor="text1"/>
          <w:kern w:val="10"/>
          <w:sz w:val="21"/>
          <w:szCs w:val="21"/>
          <w:highlight w:val="none"/>
          <w:u w:val="single"/>
          <w:lang w:eastAsia="zh-CN"/>
          <w14:textFill>
            <w14:solidFill>
              <w14:schemeClr w14:val="tx1"/>
            </w14:solidFill>
          </w14:textFill>
        </w:rPr>
        <w:t>20</w:t>
      </w:r>
      <w:r>
        <w:rPr>
          <w:rFonts w:hint="eastAsia" w:ascii="宋体" w:hAnsi="宋体" w:eastAsia="宋体" w:cs="宋体"/>
          <w:b/>
          <w:bCs/>
          <w:color w:val="000000" w:themeColor="text1"/>
          <w:kern w:val="10"/>
          <w:sz w:val="21"/>
          <w:szCs w:val="21"/>
          <w:highlight w:val="none"/>
          <w:lang w:eastAsia="zh-CN"/>
          <w14:textFill>
            <w14:solidFill>
              <w14:schemeClr w14:val="tx1"/>
            </w14:solidFill>
          </w14:textFill>
        </w:rPr>
        <w:t>%</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，并赔偿因工期延误造成的连带损失。</w:t>
      </w:r>
    </w:p>
    <w:p w14:paraId="6C164A97">
      <w:pPr>
        <w:kinsoku w:val="0"/>
        <w:spacing w:after="0" w:line="360" w:lineRule="auto"/>
        <w:ind w:firstLine="420" w:firstLineChars="200"/>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23.8.3在施工过程中，若乙方擅自停工，视为乙方违约，除承担停工给甲方造成的损失外，另承担</w:t>
      </w:r>
      <w:r>
        <w:rPr>
          <w:rFonts w:hint="eastAsia" w:ascii="宋体" w:hAnsi="宋体" w:eastAsia="宋体" w:cs="宋体"/>
          <w:b/>
          <w:bCs/>
          <w:color w:val="000000" w:themeColor="text1"/>
          <w:kern w:val="10"/>
          <w:sz w:val="21"/>
          <w:szCs w:val="21"/>
          <w:highlight w:val="none"/>
          <w:u w:val="single"/>
          <w:lang w:eastAsia="zh-CN"/>
          <w14:textFill>
            <w14:solidFill>
              <w14:schemeClr w14:val="tx1"/>
            </w14:solidFill>
          </w14:textFill>
        </w:rPr>
        <w:t>1000</w:t>
      </w:r>
      <w:r>
        <w:rPr>
          <w:rFonts w:hint="eastAsia" w:ascii="宋体" w:hAnsi="宋体" w:eastAsia="宋体" w:cs="宋体"/>
          <w:b/>
          <w:bCs/>
          <w:color w:val="000000" w:themeColor="text1"/>
          <w:kern w:val="10"/>
          <w:sz w:val="21"/>
          <w:szCs w:val="21"/>
          <w:highlight w:val="none"/>
          <w:lang w:eastAsia="zh-CN"/>
          <w14:textFill>
            <w14:solidFill>
              <w14:schemeClr w14:val="tx1"/>
            </w14:solidFill>
          </w14:textFill>
        </w:rPr>
        <w:t>元/天</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的违约金，停工超过</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5 </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天，甲方可单方解除合同，乙方需向甲方承担本合同签约合同价3%的违约金。</w:t>
      </w:r>
    </w:p>
    <w:p w14:paraId="076DFC91">
      <w:pPr>
        <w:kinsoku w:val="0"/>
        <w:spacing w:after="0" w:line="360" w:lineRule="auto"/>
        <w:ind w:firstLine="420" w:firstLineChars="200"/>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23.9环保违约</w:t>
      </w:r>
    </w:p>
    <w:p w14:paraId="6B1D466E">
      <w:pPr>
        <w:kinsoku w:val="0"/>
        <w:spacing w:after="0" w:line="360" w:lineRule="auto"/>
        <w:ind w:firstLine="420" w:firstLineChars="200"/>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23.9.1乙方未按要求开展生态环保、节能减排、水土保持等工作，导致施工现场存在大气、水土、固体废弃物等方面的生态环保隐患的，每发生一起支付违约金人民币</w:t>
      </w:r>
      <w:r>
        <w:rPr>
          <w:rFonts w:hint="eastAsia" w:ascii="宋体" w:hAnsi="宋体" w:eastAsia="宋体" w:cs="宋体"/>
          <w:b/>
          <w:color w:val="000000" w:themeColor="text1"/>
          <w:kern w:val="10"/>
          <w:sz w:val="21"/>
          <w:szCs w:val="21"/>
          <w:highlight w:val="none"/>
          <w:u w:val="single"/>
          <w:lang w:eastAsia="zh-CN"/>
          <w14:textFill>
            <w14:solidFill>
              <w14:schemeClr w14:val="tx1"/>
            </w14:solidFill>
          </w14:textFill>
        </w:rPr>
        <w:t>5000-20000</w:t>
      </w:r>
      <w:r>
        <w:rPr>
          <w:rFonts w:hint="eastAsia" w:ascii="宋体" w:hAnsi="宋体" w:eastAsia="宋体" w:cs="宋体"/>
          <w:b/>
          <w:color w:val="000000" w:themeColor="text1"/>
          <w:kern w:val="10"/>
          <w:sz w:val="21"/>
          <w:szCs w:val="21"/>
          <w:highlight w:val="none"/>
          <w:lang w:eastAsia="zh-CN"/>
          <w14:textFill>
            <w14:solidFill>
              <w14:schemeClr w14:val="tx1"/>
            </w14:solidFill>
          </w14:textFill>
        </w:rPr>
        <w:t>元</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w:t>
      </w:r>
    </w:p>
    <w:p w14:paraId="16F9997C">
      <w:pPr>
        <w:kinsoku w:val="0"/>
        <w:spacing w:after="0" w:line="360" w:lineRule="auto"/>
        <w:ind w:firstLine="420" w:firstLineChars="200"/>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23.9.2因乙方管理不当，致使甲方被属地政府单位或其他国家行政单位进行公示或处以罚款的，乙方需承担甲方全部经济损失，且每发生一起支付违约金人民币</w:t>
      </w:r>
      <w:r>
        <w:rPr>
          <w:rFonts w:hint="eastAsia" w:ascii="宋体" w:hAnsi="宋体" w:eastAsia="宋体" w:cs="宋体"/>
          <w:b/>
          <w:color w:val="000000" w:themeColor="text1"/>
          <w:kern w:val="10"/>
          <w:sz w:val="21"/>
          <w:szCs w:val="21"/>
          <w:highlight w:val="none"/>
          <w:u w:val="single"/>
          <w:lang w:eastAsia="zh-CN"/>
          <w14:textFill>
            <w14:solidFill>
              <w14:schemeClr w14:val="tx1"/>
            </w14:solidFill>
          </w14:textFill>
        </w:rPr>
        <w:t>50000-100000</w:t>
      </w:r>
      <w:r>
        <w:rPr>
          <w:rFonts w:hint="eastAsia" w:ascii="宋体" w:hAnsi="宋体" w:eastAsia="宋体" w:cs="宋体"/>
          <w:b/>
          <w:color w:val="000000" w:themeColor="text1"/>
          <w:kern w:val="10"/>
          <w:sz w:val="21"/>
          <w:szCs w:val="21"/>
          <w:highlight w:val="none"/>
          <w:lang w:eastAsia="zh-CN"/>
          <w14:textFill>
            <w14:solidFill>
              <w14:schemeClr w14:val="tx1"/>
            </w14:solidFill>
          </w14:textFill>
        </w:rPr>
        <w:t>元</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w:t>
      </w:r>
    </w:p>
    <w:p w14:paraId="089998CE">
      <w:pPr>
        <w:kinsoku w:val="0"/>
        <w:spacing w:after="0" w:line="360" w:lineRule="auto"/>
        <w:ind w:firstLine="420" w:firstLineChars="200"/>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23.10用工违约</w:t>
      </w:r>
    </w:p>
    <w:p w14:paraId="17397649">
      <w:pPr>
        <w:kinsoku w:val="0"/>
        <w:spacing w:after="0" w:line="360" w:lineRule="auto"/>
        <w:ind w:firstLine="420" w:firstLineChars="200"/>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23.10.1如经查实乙方未依法办理劳动用工、社会保险手续的，按乙方违约处理，每出现一例，乙方需支付违约金人民币</w:t>
      </w:r>
      <w:r>
        <w:rPr>
          <w:rFonts w:hint="eastAsia" w:ascii="宋体" w:hAnsi="宋体" w:eastAsia="宋体" w:cs="宋体"/>
          <w:b/>
          <w:color w:val="000000" w:themeColor="text1"/>
          <w:kern w:val="10"/>
          <w:sz w:val="21"/>
          <w:szCs w:val="21"/>
          <w:highlight w:val="none"/>
          <w:u w:val="single"/>
          <w:lang w:eastAsia="zh-CN"/>
          <w14:textFill>
            <w14:solidFill>
              <w14:schemeClr w14:val="tx1"/>
            </w14:solidFill>
          </w14:textFill>
        </w:rPr>
        <w:t>2000-5000</w:t>
      </w:r>
      <w:r>
        <w:rPr>
          <w:rFonts w:hint="eastAsia" w:ascii="宋体" w:hAnsi="宋体" w:eastAsia="宋体" w:cs="宋体"/>
          <w:b/>
          <w:color w:val="000000" w:themeColor="text1"/>
          <w:kern w:val="10"/>
          <w:sz w:val="21"/>
          <w:szCs w:val="21"/>
          <w:highlight w:val="none"/>
          <w:lang w:eastAsia="zh-CN"/>
          <w14:textFill>
            <w14:solidFill>
              <w14:schemeClr w14:val="tx1"/>
            </w14:solidFill>
          </w14:textFill>
        </w:rPr>
        <w:t>元/人</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w:t>
      </w:r>
    </w:p>
    <w:p w14:paraId="69AF0014">
      <w:pPr>
        <w:kinsoku w:val="0"/>
        <w:spacing w:after="0" w:line="360" w:lineRule="auto"/>
        <w:ind w:firstLine="420" w:firstLineChars="200"/>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23.10.2在合同履行期间，如经查实乙方拖欠或克扣农民工或劳务工工资，导致劳资纠纷或发生危及公共安全或正常社会秩序的事件的，按乙方违约处理，乙方按拖欠或克扣农民工或劳务工工资的</w:t>
      </w:r>
      <w:r>
        <w:rPr>
          <w:rFonts w:hint="eastAsia" w:ascii="宋体" w:hAnsi="宋体" w:eastAsia="宋体" w:cs="宋体"/>
          <w:b/>
          <w:color w:val="000000" w:themeColor="text1"/>
          <w:kern w:val="10"/>
          <w:sz w:val="21"/>
          <w:szCs w:val="21"/>
          <w:highlight w:val="none"/>
          <w:u w:val="single"/>
          <w:lang w:eastAsia="zh-CN"/>
          <w14:textFill>
            <w14:solidFill>
              <w14:schemeClr w14:val="tx1"/>
            </w14:solidFill>
          </w14:textFill>
        </w:rPr>
        <w:t>3倍</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支付违约金；如甲方先行垫付，甲方有权从欠付乙方工程款或保证金中直接扣除。</w:t>
      </w:r>
    </w:p>
    <w:p w14:paraId="321B3509">
      <w:pPr>
        <w:kinsoku w:val="0"/>
        <w:spacing w:after="0" w:line="360" w:lineRule="auto"/>
        <w:ind w:firstLine="420" w:firstLineChars="200"/>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23.10.3特殊工种未持证上岗每查实一人次，乙方应支付违约金</w:t>
      </w:r>
      <w:r>
        <w:rPr>
          <w:rFonts w:hint="eastAsia" w:ascii="宋体" w:hAnsi="宋体" w:eastAsia="宋体" w:cs="宋体"/>
          <w:b/>
          <w:color w:val="000000" w:themeColor="text1"/>
          <w:kern w:val="10"/>
          <w:sz w:val="21"/>
          <w:szCs w:val="21"/>
          <w:highlight w:val="none"/>
          <w:u w:val="single"/>
          <w:lang w:eastAsia="zh-CN"/>
          <w14:textFill>
            <w14:solidFill>
              <w14:schemeClr w14:val="tx1"/>
            </w14:solidFill>
          </w14:textFill>
        </w:rPr>
        <w:t>2000-5000</w:t>
      </w:r>
      <w:r>
        <w:rPr>
          <w:rFonts w:hint="eastAsia" w:ascii="宋体" w:hAnsi="宋体" w:eastAsia="宋体" w:cs="宋体"/>
          <w:b/>
          <w:color w:val="000000" w:themeColor="text1"/>
          <w:kern w:val="10"/>
          <w:sz w:val="21"/>
          <w:szCs w:val="21"/>
          <w:highlight w:val="none"/>
          <w:lang w:eastAsia="zh-CN"/>
          <w14:textFill>
            <w14:solidFill>
              <w14:schemeClr w14:val="tx1"/>
            </w14:solidFill>
          </w14:textFill>
        </w:rPr>
        <w:t>元/人次</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，该人不得从事本工种。</w:t>
      </w:r>
    </w:p>
    <w:p w14:paraId="63C8EEC2">
      <w:pPr>
        <w:kinsoku w:val="0"/>
        <w:spacing w:after="0" w:line="360" w:lineRule="auto"/>
        <w:ind w:firstLine="420" w:firstLineChars="200"/>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23.10.4项目安全管理人员未持证上岗，乙方应支付违约金</w:t>
      </w:r>
      <w:r>
        <w:rPr>
          <w:rFonts w:hint="eastAsia" w:ascii="宋体" w:hAnsi="宋体" w:eastAsia="宋体" w:cs="宋体"/>
          <w:b/>
          <w:color w:val="000000" w:themeColor="text1"/>
          <w:kern w:val="10"/>
          <w:sz w:val="21"/>
          <w:szCs w:val="21"/>
          <w:highlight w:val="none"/>
          <w:u w:val="single"/>
          <w:lang w:eastAsia="zh-CN"/>
          <w14:textFill>
            <w14:solidFill>
              <w14:schemeClr w14:val="tx1"/>
            </w14:solidFill>
          </w14:textFill>
        </w:rPr>
        <w:t>2000-5000</w:t>
      </w:r>
      <w:r>
        <w:rPr>
          <w:rFonts w:hint="eastAsia" w:ascii="宋体" w:hAnsi="宋体" w:eastAsia="宋体" w:cs="宋体"/>
          <w:b/>
          <w:color w:val="000000" w:themeColor="text1"/>
          <w:kern w:val="10"/>
          <w:sz w:val="21"/>
          <w:szCs w:val="21"/>
          <w:highlight w:val="none"/>
          <w:lang w:eastAsia="zh-CN"/>
          <w14:textFill>
            <w14:solidFill>
              <w14:schemeClr w14:val="tx1"/>
            </w14:solidFill>
          </w14:textFill>
        </w:rPr>
        <w:t>元/人。</w:t>
      </w:r>
    </w:p>
    <w:p w14:paraId="36C8E19B">
      <w:pPr>
        <w:kinsoku w:val="0"/>
        <w:spacing w:after="0" w:line="360" w:lineRule="auto"/>
        <w:ind w:firstLine="420" w:firstLineChars="200"/>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23.11其他违约</w:t>
      </w:r>
    </w:p>
    <w:p w14:paraId="7673BF46">
      <w:pPr>
        <w:kinsoku w:val="0"/>
        <w:spacing w:after="0" w:line="360" w:lineRule="auto"/>
        <w:ind w:firstLine="420" w:firstLineChars="200"/>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23.11.1配备的主要安全管理人员擅离岗位，每次支付违约金</w:t>
      </w:r>
      <w:r>
        <w:rPr>
          <w:rFonts w:hint="eastAsia" w:ascii="宋体" w:hAnsi="宋体" w:eastAsia="宋体" w:cs="宋体"/>
          <w:b/>
          <w:color w:val="000000" w:themeColor="text1"/>
          <w:kern w:val="10"/>
          <w:sz w:val="21"/>
          <w:szCs w:val="21"/>
          <w:highlight w:val="none"/>
          <w:u w:val="single"/>
          <w:lang w:eastAsia="zh-CN"/>
          <w14:textFill>
            <w14:solidFill>
              <w14:schemeClr w14:val="tx1"/>
            </w14:solidFill>
          </w14:textFill>
        </w:rPr>
        <w:t>5000</w:t>
      </w:r>
      <w:r>
        <w:rPr>
          <w:rFonts w:hint="eastAsia" w:ascii="宋体" w:hAnsi="宋体" w:eastAsia="宋体" w:cs="宋体"/>
          <w:b/>
          <w:color w:val="000000" w:themeColor="text1"/>
          <w:kern w:val="10"/>
          <w:sz w:val="21"/>
          <w:szCs w:val="21"/>
          <w:highlight w:val="none"/>
          <w:lang w:eastAsia="zh-CN"/>
          <w14:textFill>
            <w14:solidFill>
              <w14:schemeClr w14:val="tx1"/>
            </w14:solidFill>
          </w14:textFill>
        </w:rPr>
        <w:t>元/人</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w:t>
      </w:r>
    </w:p>
    <w:p w14:paraId="16A9E21D">
      <w:pPr>
        <w:kinsoku w:val="0"/>
        <w:spacing w:after="0" w:line="360" w:lineRule="auto"/>
        <w:ind w:firstLine="420" w:firstLineChars="200"/>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23.11.2未按甲方安全质量通报要求及时上报整改情况，每次支付违约金</w:t>
      </w:r>
      <w:r>
        <w:rPr>
          <w:rFonts w:hint="eastAsia" w:ascii="宋体" w:hAnsi="宋体" w:eastAsia="宋体" w:cs="宋体"/>
          <w:b/>
          <w:color w:val="000000" w:themeColor="text1"/>
          <w:kern w:val="10"/>
          <w:sz w:val="21"/>
          <w:szCs w:val="21"/>
          <w:highlight w:val="none"/>
          <w:u w:val="single"/>
          <w:lang w:eastAsia="zh-CN"/>
          <w14:textFill>
            <w14:solidFill>
              <w14:schemeClr w14:val="tx1"/>
            </w14:solidFill>
          </w14:textFill>
        </w:rPr>
        <w:t>20000-50000</w:t>
      </w:r>
      <w:r>
        <w:rPr>
          <w:rFonts w:hint="eastAsia" w:ascii="宋体" w:hAnsi="宋体" w:eastAsia="宋体" w:cs="宋体"/>
          <w:b/>
          <w:color w:val="000000" w:themeColor="text1"/>
          <w:kern w:val="10"/>
          <w:sz w:val="21"/>
          <w:szCs w:val="21"/>
          <w:highlight w:val="none"/>
          <w:lang w:eastAsia="zh-CN"/>
          <w14:textFill>
            <w14:solidFill>
              <w14:schemeClr w14:val="tx1"/>
            </w14:solidFill>
          </w14:textFill>
        </w:rPr>
        <w:t>元</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人民币。</w:t>
      </w:r>
    </w:p>
    <w:p w14:paraId="7137718E">
      <w:pPr>
        <w:kinsoku w:val="0"/>
        <w:spacing w:after="0" w:line="360" w:lineRule="auto"/>
        <w:ind w:firstLine="422" w:firstLineChars="200"/>
        <w:jc w:val="both"/>
        <w:rPr>
          <w:rFonts w:hint="eastAsia" w:ascii="宋体" w:hAnsi="宋体" w:eastAsia="宋体" w:cs="宋体"/>
          <w:b/>
          <w:bCs/>
          <w:color w:val="000000" w:themeColor="text1"/>
          <w:kern w:val="10"/>
          <w:sz w:val="21"/>
          <w:szCs w:val="21"/>
          <w:highlight w:val="none"/>
          <w:lang w:eastAsia="zh-CN"/>
          <w14:textFill>
            <w14:solidFill>
              <w14:schemeClr w14:val="tx1"/>
            </w14:solidFill>
          </w14:textFill>
        </w:rPr>
      </w:pPr>
      <w:r>
        <w:rPr>
          <w:rFonts w:hint="eastAsia" w:ascii="宋体" w:hAnsi="宋体" w:eastAsia="宋体" w:cs="宋体"/>
          <w:b/>
          <w:bCs/>
          <w:color w:val="000000" w:themeColor="text1"/>
          <w:kern w:val="10"/>
          <w:sz w:val="21"/>
          <w:szCs w:val="21"/>
          <w:highlight w:val="none"/>
          <w:lang w:eastAsia="zh-CN"/>
          <w14:textFill>
            <w14:solidFill>
              <w14:schemeClr w14:val="tx1"/>
            </w14:solidFill>
          </w14:textFill>
        </w:rPr>
        <w:t>23.11.3因乙方自身原因而导致甲方经济损失或使得</w:t>
      </w:r>
      <w:r>
        <w:rPr>
          <w:rFonts w:hint="eastAsia" w:ascii="宋体" w:hAnsi="宋体" w:eastAsia="宋体" w:cs="宋体"/>
          <w:b/>
          <w:bCs/>
          <w:color w:val="000000" w:themeColor="text1"/>
          <w:sz w:val="21"/>
          <w:szCs w:val="21"/>
          <w:highlight w:val="none"/>
          <w:lang w:eastAsia="zh-CN"/>
          <w14:textFill>
            <w14:solidFill>
              <w14:schemeClr w14:val="tx1"/>
            </w14:solidFill>
          </w14:textFill>
        </w:rPr>
        <w:t>建设单位</w:t>
      </w:r>
      <w:r>
        <w:rPr>
          <w:rFonts w:hint="eastAsia" w:ascii="宋体" w:hAnsi="宋体" w:eastAsia="宋体" w:cs="宋体"/>
          <w:b/>
          <w:bCs/>
          <w:color w:val="000000" w:themeColor="text1"/>
          <w:kern w:val="10"/>
          <w:sz w:val="21"/>
          <w:szCs w:val="21"/>
          <w:highlight w:val="none"/>
          <w:lang w:eastAsia="zh-CN"/>
          <w14:textFill>
            <w14:solidFill>
              <w14:schemeClr w14:val="tx1"/>
            </w14:solidFill>
          </w14:textFill>
        </w:rPr>
        <w:t>或其它方对甲方进行罚款的，此经济损失或罚款均由乙方承担。乙方承诺，此经济损失或罚款只要事实清楚、证据确凿，不管乙方签字确认与否，此经济损失或罚款都应由乙方承担，款额甲方将从乙方的应结款或履约担保金中直接扣回。</w:t>
      </w:r>
    </w:p>
    <w:p w14:paraId="48DD2AB6">
      <w:pPr>
        <w:kinsoku w:val="0"/>
        <w:spacing w:after="0" w:line="360" w:lineRule="auto"/>
        <w:ind w:firstLine="422" w:firstLineChars="200"/>
        <w:jc w:val="both"/>
        <w:rPr>
          <w:rFonts w:hint="eastAsia" w:ascii="宋体" w:hAnsi="宋体" w:eastAsia="宋体" w:cs="宋体"/>
          <w:b/>
          <w:bCs/>
          <w:color w:val="000000" w:themeColor="text1"/>
          <w:kern w:val="10"/>
          <w:sz w:val="21"/>
          <w:szCs w:val="21"/>
          <w:highlight w:val="none"/>
          <w:lang w:eastAsia="zh-CN"/>
          <w14:textFill>
            <w14:solidFill>
              <w14:schemeClr w14:val="tx1"/>
            </w14:solidFill>
          </w14:textFill>
        </w:rPr>
      </w:pPr>
      <w:r>
        <w:rPr>
          <w:rFonts w:hint="eastAsia" w:ascii="宋体" w:hAnsi="宋体" w:eastAsia="宋体" w:cs="宋体"/>
          <w:b/>
          <w:bCs/>
          <w:color w:val="000000" w:themeColor="text1"/>
          <w:kern w:val="10"/>
          <w:sz w:val="21"/>
          <w:szCs w:val="21"/>
          <w:highlight w:val="none"/>
          <w:lang w:eastAsia="zh-CN"/>
          <w14:textFill>
            <w14:solidFill>
              <w14:schemeClr w14:val="tx1"/>
            </w14:solidFill>
          </w14:textFill>
        </w:rPr>
        <w:t>23.11.4若乙方及乙方的供货商、员工、下游工人、其他相关方因聚众闹事、恶意讨薪等造成被媒体曝光或政府相关部门通报等负面影响，乙方应承担合同额10%的违约金，且甲方可选择解除合同。</w:t>
      </w:r>
    </w:p>
    <w:p w14:paraId="3EC4C7C8">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23.11.5</w:t>
      </w:r>
      <w:r>
        <w:rPr>
          <w:rFonts w:hint="eastAsia" w:ascii="宋体" w:hAnsi="宋体" w:eastAsia="宋体" w:cs="宋体"/>
          <w:color w:val="000000" w:themeColor="text1"/>
          <w:sz w:val="21"/>
          <w:szCs w:val="21"/>
          <w:highlight w:val="none"/>
          <w:lang w:eastAsia="zh-CN"/>
          <w14:textFill>
            <w14:solidFill>
              <w14:schemeClr w14:val="tx1"/>
            </w14:solidFill>
          </w14:textFill>
        </w:rPr>
        <w:t>乙方与第三人的债务纠纷、诉讼、仲裁纠纷，导致甲方被追索或成为协助义务人，冻结了甲方的账户或造成甲方其他损失的，乙方应承担因此对甲方造成的所有损失并按签约合同价</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1  </w:t>
      </w:r>
      <w:r>
        <w:rPr>
          <w:rFonts w:hint="eastAsia" w:ascii="宋体" w:hAnsi="宋体" w:eastAsia="宋体" w:cs="宋体"/>
          <w:color w:val="000000" w:themeColor="text1"/>
          <w:sz w:val="21"/>
          <w:szCs w:val="21"/>
          <w:highlight w:val="none"/>
          <w:lang w:eastAsia="zh-CN"/>
          <w14:textFill>
            <w14:solidFill>
              <w14:schemeClr w14:val="tx1"/>
            </w14:solidFill>
          </w14:textFill>
        </w:rPr>
        <w:t>%或</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100000</w:t>
      </w:r>
      <w:r>
        <w:rPr>
          <w:rFonts w:hint="eastAsia" w:ascii="宋体" w:hAnsi="宋体" w:eastAsia="宋体" w:cs="宋体"/>
          <w:color w:val="000000" w:themeColor="text1"/>
          <w:sz w:val="21"/>
          <w:szCs w:val="21"/>
          <w:highlight w:val="none"/>
          <w:lang w:eastAsia="zh-CN"/>
          <w14:textFill>
            <w14:solidFill>
              <w14:schemeClr w14:val="tx1"/>
            </w14:solidFill>
          </w14:textFill>
        </w:rPr>
        <w:t>元/次进行赔偿。同时甲方可以解除合同，解除合同通知书达到乙方时，本合同及其补充协议解除。</w:t>
      </w:r>
    </w:p>
    <w:p w14:paraId="49F876EF">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23.11.6</w:t>
      </w:r>
      <w:r>
        <w:rPr>
          <w:rFonts w:hint="eastAsia" w:ascii="宋体" w:hAnsi="宋体" w:eastAsia="宋体" w:cs="宋体"/>
          <w:b/>
          <w:bCs/>
          <w:color w:val="000000" w:themeColor="text1"/>
          <w:kern w:val="10"/>
          <w:sz w:val="21"/>
          <w:szCs w:val="21"/>
          <w:highlight w:val="none"/>
          <w:lang w:eastAsia="zh-CN"/>
          <w14:textFill>
            <w14:solidFill>
              <w14:schemeClr w14:val="tx1"/>
            </w14:solidFill>
          </w14:textFill>
        </w:rPr>
        <w:t>对于在本合同项下产生的或与本合同相关事宜产生的乙方对甲方拥有的债权，乙方承诺不得将其转让给第三方，也不得用于对外提供担保。违反本条款约定，除转让无效和对外提供担保无效外，乙方还应当承担违约责任支付违约金。除非经过甲方的书面同意后方可转让，否则，乙方应在违约转让债权之日起五日内，按照违约转让债权总额的</w:t>
      </w:r>
      <w:r>
        <w:rPr>
          <w:rFonts w:hint="eastAsia" w:ascii="宋体" w:hAnsi="宋体" w:eastAsia="宋体" w:cs="宋体"/>
          <w:b/>
          <w:bCs/>
          <w:color w:val="000000" w:themeColor="text1"/>
          <w:kern w:val="10"/>
          <w:sz w:val="21"/>
          <w:szCs w:val="21"/>
          <w:highlight w:val="none"/>
          <w:u w:val="single"/>
          <w:lang w:eastAsia="zh-CN"/>
          <w14:textFill>
            <w14:solidFill>
              <w14:schemeClr w14:val="tx1"/>
            </w14:solidFill>
          </w14:textFill>
        </w:rPr>
        <w:t xml:space="preserve"> 5 </w:t>
      </w:r>
      <w:r>
        <w:rPr>
          <w:rFonts w:hint="eastAsia" w:ascii="宋体" w:hAnsi="宋体" w:eastAsia="宋体" w:cs="宋体"/>
          <w:b/>
          <w:bCs/>
          <w:color w:val="000000" w:themeColor="text1"/>
          <w:kern w:val="10"/>
          <w:sz w:val="21"/>
          <w:szCs w:val="21"/>
          <w:highlight w:val="none"/>
          <w:lang w:eastAsia="zh-CN"/>
          <w14:textFill>
            <w14:solidFill>
              <w14:schemeClr w14:val="tx1"/>
            </w14:solidFill>
          </w14:textFill>
        </w:rPr>
        <w:t>%向甲方支付违约金，逾期支付并应承担违约付款责任，同时债权转让不发生法律效力。</w:t>
      </w:r>
    </w:p>
    <w:p w14:paraId="189FBCC2">
      <w:pPr>
        <w:kinsoku w:val="0"/>
        <w:spacing w:after="0" w:line="360" w:lineRule="auto"/>
        <w:ind w:firstLine="420" w:firstLineChars="200"/>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23.11.7如乙方泄露或者在本合同以外使用该商业秘密、技术秘密等保密信息，应向甲方支付签约合同价</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5  </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%的违约金，并赔偿甲方因此遭受的全部损失。</w:t>
      </w:r>
    </w:p>
    <w:p w14:paraId="70CCB6F5">
      <w:pPr>
        <w:kinsoku w:val="0"/>
        <w:spacing w:after="0" w:line="360" w:lineRule="auto"/>
        <w:ind w:firstLine="420" w:firstLineChars="200"/>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23.11.8如因乙方原因导致中建集团、中建路桥或其他下属公司、甲方及甲方关联公司或项目部名誉受损的，除应按签约合同价</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 xml:space="preserve"> 3 </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%/次支付违约金外，还应赔偿甲方因此而遭受的全部损失，以及甲方为恢复名誉而支付的差旅费、诉讼费、律师费等，并应在事件发生后</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24小时</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内通过具有全国影响力的主流媒体公开向甲方道歉并澄清相关事实。</w:t>
      </w:r>
    </w:p>
    <w:p w14:paraId="4CC27FB8">
      <w:pPr>
        <w:kinsoku w:val="0"/>
        <w:spacing w:after="0" w:line="360" w:lineRule="auto"/>
        <w:ind w:firstLine="420" w:firstLineChars="200"/>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23.11.9如乙方发生以下不良行为：发生法律诉讼、恶意讨薪、恶意拖欠农民工工资、组织人员恶意“上访”、闹访，围堵政府、甲方单位、项目部的；以讨要农民工工资为由，制造事端或者恶意举报、投诉、诋毁甲方的；以拖欠农民工工资为由，讨要工程款或无据抬高结算额等严重违约、严重不服从监督管理的，乙方应承担合同额10%的违约金，且甲方可选择解除合同，解除合同通知书达到乙方时，本合同及其补充协议解除。同时录入甲方不合格劳务分包商名录，禁入甲方所有工程项目。</w:t>
      </w:r>
    </w:p>
    <w:p w14:paraId="4CFEA984">
      <w:pPr>
        <w:kinsoku w:val="0"/>
        <w:spacing w:after="0" w:line="360" w:lineRule="auto"/>
        <w:ind w:firstLine="420" w:firstLineChars="200"/>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23.11.10乙方因自身原因在合同约定工作未完成前主动退场或因不能满足合同要求而被勒令退场时，甲方将扣除乙方所完工程金额的</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kern w:val="10"/>
          <w:sz w:val="21"/>
          <w:szCs w:val="21"/>
          <w:highlight w:val="none"/>
          <w:u w:val="single"/>
          <w:lang w:val="en-US" w:eastAsia="zh-CN"/>
          <w14:textFill>
            <w14:solidFill>
              <w14:schemeClr w14:val="tx1"/>
            </w14:solidFill>
          </w14:textFill>
        </w:rPr>
        <w:t>3</w:t>
      </w:r>
      <w:r>
        <w:rPr>
          <w:rFonts w:hint="eastAsia" w:ascii="宋体" w:hAnsi="宋体" w:eastAsia="宋体" w:cs="宋体"/>
          <w:color w:val="000000" w:themeColor="text1"/>
          <w:kern w:val="10"/>
          <w:sz w:val="21"/>
          <w:szCs w:val="21"/>
          <w:highlight w:val="none"/>
          <w:u w:val="single"/>
          <w:lang w:eastAsia="zh-CN"/>
          <w14:textFill>
            <w14:solidFill>
              <w14:schemeClr w14:val="tx1"/>
            </w14:solidFill>
          </w14:textFill>
        </w:rPr>
        <w:t xml:space="preserve">  </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%作为违约金，从结算金额中予以扣除。</w:t>
      </w:r>
    </w:p>
    <w:p w14:paraId="25E4B8FD">
      <w:pPr>
        <w:widowControl w:val="0"/>
        <w:numPr>
          <w:ilvl w:val="0"/>
          <w:numId w:val="10"/>
        </w:numPr>
        <w:kinsoku w:val="0"/>
        <w:spacing w:after="0" w:line="360" w:lineRule="auto"/>
        <w:ind w:left="158" w:leftChars="75"/>
        <w:jc w:val="both"/>
        <w:outlineLvl w:val="1"/>
        <w:rPr>
          <w:rFonts w:hint="eastAsia" w:ascii="宋体" w:hAnsi="宋体" w:eastAsia="宋体" w:cs="宋体"/>
          <w:b/>
          <w:color w:val="000000" w:themeColor="text1"/>
          <w:sz w:val="21"/>
          <w:szCs w:val="21"/>
          <w:highlight w:val="none"/>
          <w14:textFill>
            <w14:solidFill>
              <w14:schemeClr w14:val="tx1"/>
            </w14:solidFill>
          </w14:textFill>
        </w:rPr>
      </w:pPr>
      <w:bookmarkStart w:id="1646" w:name="_Toc175764468"/>
      <w:r>
        <w:rPr>
          <w:rFonts w:hint="eastAsia" w:ascii="宋体" w:hAnsi="宋体" w:eastAsia="宋体" w:cs="宋体"/>
          <w:b/>
          <w:color w:val="000000" w:themeColor="text1"/>
          <w:sz w:val="21"/>
          <w:szCs w:val="21"/>
          <w:highlight w:val="none"/>
          <w14:textFill>
            <w14:solidFill>
              <w14:schemeClr w14:val="tx1"/>
            </w14:solidFill>
          </w14:textFill>
        </w:rPr>
        <w:t>争议解决</w:t>
      </w:r>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p>
    <w:p w14:paraId="538BFD48">
      <w:pPr>
        <w:pStyle w:val="11"/>
        <w:kinsoku w:val="0"/>
        <w:spacing w:after="0" w:line="360" w:lineRule="auto"/>
        <w:jc w:val="both"/>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24.1对因本合同引起或与之相关的任何争议、纠纷或权利主张，任何一方如欲通过本条约定的方式解决，则必须在提起本条约定的争议解决方式前，向对方发出书面和解申请书，并告知对方争议、纠纷或权利主张之事实及依据、联系人及联系方式，在对方收到上述通知之日起3个月为双方和解期限。在和解期限内，若双方达成和解协议的，双方的权利义务按照和解协议履行；若未达成和解协议的，任何一方可采取本条第2款约定的争议解决方式。</w:t>
      </w:r>
    </w:p>
    <w:p w14:paraId="60EC112E">
      <w:pPr>
        <w:pStyle w:val="11"/>
        <w:kinsoku w:val="0"/>
        <w:spacing w:after="0" w:line="360" w:lineRule="auto"/>
        <w:jc w:val="both"/>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任何一方若未履行上述和解程序而直接采用第2款约定的争议解决方式的，则需要向对方承担合同总价款3%的违约金；如一方出现上述情形，另一方提起反诉或反请求，则提起反诉或反请求的一方不承担违约金。</w:t>
      </w:r>
    </w:p>
    <w:p w14:paraId="20426172">
      <w:pPr>
        <w:pStyle w:val="11"/>
        <w:kinsoku w:val="0"/>
        <w:spacing w:after="0" w:line="360" w:lineRule="auto"/>
        <w:jc w:val="both"/>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24.2双方和解不成且已超过和解期限的，可向石家庄仲裁委员会申请仲裁，并自行承担本方发生的律师费、差旅费、保函费等相关费用。</w:t>
      </w:r>
    </w:p>
    <w:p w14:paraId="21E855A3">
      <w:pPr>
        <w:pStyle w:val="11"/>
        <w:kinsoku w:val="0"/>
        <w:spacing w:after="0" w:line="360" w:lineRule="auto"/>
        <w:jc w:val="both"/>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24.3</w:t>
      </w:r>
      <w:r>
        <w:rPr>
          <w:rFonts w:hint="eastAsia"/>
          <w:color w:val="000000" w:themeColor="text1"/>
          <w:highlight w:val="none"/>
          <w14:textFill>
            <w14:solidFill>
              <w14:schemeClr w14:val="tx1"/>
            </w14:solidFill>
          </w14:textFill>
        </w:rPr>
        <w:t>本合同中涉及合同、文件、律师函</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不含</w:t>
      </w:r>
      <w:r>
        <w:rPr>
          <w:rFonts w:hint="eastAsia"/>
          <w:color w:val="000000" w:themeColor="text1"/>
          <w:highlight w:val="none"/>
          <w14:textFill>
            <w14:solidFill>
              <w14:schemeClr w14:val="tx1"/>
            </w14:solidFill>
          </w14:textFill>
        </w:rPr>
        <w:t>诉讼</w:t>
      </w:r>
      <w:r>
        <w:rPr>
          <w:rFonts w:hint="eastAsia"/>
          <w:color w:val="000000" w:themeColor="text1"/>
          <w:highlight w:val="none"/>
          <w:lang w:val="en-US" w:eastAsia="zh-CN"/>
          <w14:textFill>
            <w14:solidFill>
              <w14:schemeClr w14:val="tx1"/>
            </w14:solidFill>
          </w14:textFill>
        </w:rPr>
        <w:t>司法</w:t>
      </w:r>
      <w:r>
        <w:rPr>
          <w:rFonts w:hint="eastAsia"/>
          <w:color w:val="000000" w:themeColor="text1"/>
          <w:highlight w:val="none"/>
          <w14:textFill>
            <w14:solidFill>
              <w14:schemeClr w14:val="tx1"/>
            </w14:solidFill>
          </w14:textFill>
        </w:rPr>
        <w:t>文书</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的送达地址或邮箱及法律后果作如下约定：</w:t>
      </w:r>
    </w:p>
    <w:p w14:paraId="1C006E3B">
      <w:pPr>
        <w:pStyle w:val="11"/>
        <w:kinsoku w:val="0"/>
        <w:spacing w:after="0" w:line="360" w:lineRule="auto"/>
        <w:jc w:val="both"/>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甲方确认其有效的送达地址为：河北省石家庄市桥西区新石北路362号中建路桥</w:t>
      </w:r>
      <w:r>
        <w:rPr>
          <w:rFonts w:hint="eastAsia"/>
          <w:color w:val="000000" w:themeColor="text1"/>
          <w:highlight w:val="none"/>
          <w:lang w:eastAsia="zh-CN"/>
          <w14:textFill>
            <w14:solidFill>
              <w14:schemeClr w14:val="tx1"/>
            </w14:solidFill>
          </w14:textFill>
        </w:rPr>
        <w:t>第二工程</w:t>
      </w:r>
      <w:r>
        <w:rPr>
          <w:rFonts w:hint="eastAsia"/>
          <w:color w:val="000000" w:themeColor="text1"/>
          <w:highlight w:val="none"/>
          <w14:textFill>
            <w14:solidFill>
              <w14:schemeClr w14:val="tx1"/>
            </w14:solidFill>
          </w14:textFill>
        </w:rPr>
        <w:t>有限公司；</w:t>
      </w:r>
    </w:p>
    <w:p w14:paraId="3C96CDBD">
      <w:pPr>
        <w:pStyle w:val="11"/>
        <w:kinsoku w:val="0"/>
        <w:spacing w:after="0" w:line="360" w:lineRule="auto"/>
        <w:jc w:val="both"/>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联系人及电话：</w:t>
      </w:r>
      <w:r>
        <w:rPr>
          <w:rFonts w:hint="eastAsia"/>
          <w:color w:val="000000" w:themeColor="text1"/>
          <w:highlight w:val="none"/>
          <w:lang w:val="en-US" w:eastAsia="zh-CN"/>
          <w14:textFill>
            <w14:solidFill>
              <w14:schemeClr w14:val="tx1"/>
            </w14:solidFill>
          </w14:textFill>
        </w:rPr>
        <w:t>孙文特 13501301834</w:t>
      </w:r>
      <w:r>
        <w:rPr>
          <w:rFonts w:hint="eastAsia"/>
          <w:color w:val="000000" w:themeColor="text1"/>
          <w:highlight w:val="none"/>
          <w14:textFill>
            <w14:solidFill>
              <w14:schemeClr w14:val="tx1"/>
            </w14:solidFill>
          </w14:textFill>
        </w:rPr>
        <w:t>；</w:t>
      </w:r>
    </w:p>
    <w:p w14:paraId="345B1A59">
      <w:pPr>
        <w:pStyle w:val="11"/>
        <w:kinsoku w:val="0"/>
        <w:spacing w:after="0" w:line="360" w:lineRule="auto"/>
        <w:jc w:val="both"/>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邮箱：281360988@qq.com；</w:t>
      </w:r>
    </w:p>
    <w:p w14:paraId="07EF21A5">
      <w:pPr>
        <w:pStyle w:val="11"/>
        <w:kinsoku w:val="0"/>
        <w:spacing w:after="0" w:line="360" w:lineRule="auto"/>
        <w:jc w:val="both"/>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乙方确认其有效的送达地址为：</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 xml:space="preserve">  ；</w:t>
      </w:r>
    </w:p>
    <w:p w14:paraId="540B8659">
      <w:pPr>
        <w:pStyle w:val="11"/>
        <w:kinsoku w:val="0"/>
        <w:spacing w:after="0" w:line="360" w:lineRule="auto"/>
        <w:jc w:val="both"/>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联系人及电话：</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 xml:space="preserve"> ；</w:t>
      </w:r>
    </w:p>
    <w:p w14:paraId="111DCF8B">
      <w:pPr>
        <w:pStyle w:val="11"/>
        <w:kinsoku w:val="0"/>
        <w:spacing w:after="0" w:line="360" w:lineRule="auto"/>
        <w:jc w:val="both"/>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邮箱： </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 xml:space="preserve"> ；</w:t>
      </w:r>
    </w:p>
    <w:p w14:paraId="71685A40">
      <w:pPr>
        <w:pStyle w:val="11"/>
        <w:kinsoku w:val="0"/>
        <w:spacing w:after="0" w:line="360" w:lineRule="auto"/>
        <w:jc w:val="both"/>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如资料邮寄至其他地址，视为未送达。</w:t>
      </w:r>
    </w:p>
    <w:p w14:paraId="266F69AE">
      <w:pPr>
        <w:pStyle w:val="11"/>
        <w:kinsoku w:val="0"/>
        <w:spacing w:after="0" w:line="360" w:lineRule="auto"/>
        <w:jc w:val="both"/>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乙方因提供的送达地址或邮箱不准确、变更后未及时书面告知甲方、其指定的接收人拒绝签收等原因，导致法律文书未能被其实际接收的，视为对乙方送达成功：邮寄送达的，以文件退回之日视为送达之日；直接送达的，送达人当场在送达回证上记明情况之日视为送达之日。</w:t>
      </w:r>
    </w:p>
    <w:p w14:paraId="19AC94DA">
      <w:pPr>
        <w:widowControl w:val="0"/>
        <w:numPr>
          <w:ilvl w:val="0"/>
          <w:numId w:val="10"/>
        </w:numPr>
        <w:kinsoku w:val="0"/>
        <w:spacing w:after="0" w:line="360" w:lineRule="auto"/>
        <w:ind w:left="158" w:leftChars="75"/>
        <w:jc w:val="both"/>
        <w:outlineLvl w:val="1"/>
        <w:rPr>
          <w:rFonts w:hint="eastAsia" w:ascii="宋体" w:hAnsi="宋体" w:eastAsia="宋体" w:cs="宋体"/>
          <w:b/>
          <w:color w:val="000000" w:themeColor="text1"/>
          <w:sz w:val="21"/>
          <w:szCs w:val="21"/>
          <w:highlight w:val="none"/>
          <w14:textFill>
            <w14:solidFill>
              <w14:schemeClr w14:val="tx1"/>
            </w14:solidFill>
          </w14:textFill>
        </w:rPr>
      </w:pPr>
      <w:bookmarkStart w:id="1647" w:name="_Toc101357483"/>
      <w:bookmarkStart w:id="1648" w:name="_Toc29653"/>
      <w:bookmarkStart w:id="1649" w:name="_Toc4879"/>
      <w:bookmarkStart w:id="1650" w:name="_Toc25119"/>
      <w:bookmarkStart w:id="1651" w:name="_Toc101963534"/>
      <w:bookmarkStart w:id="1652" w:name="_Toc5739"/>
      <w:bookmarkStart w:id="1653" w:name="_Toc23370"/>
      <w:bookmarkStart w:id="1654" w:name="_Toc26894"/>
      <w:bookmarkStart w:id="1655" w:name="_Toc10401"/>
      <w:bookmarkStart w:id="1656" w:name="_Toc175764469"/>
      <w:bookmarkStart w:id="1657" w:name="_Toc27023"/>
      <w:bookmarkStart w:id="1658" w:name="_Toc7440"/>
      <w:bookmarkStart w:id="1659" w:name="_Toc18492"/>
      <w:bookmarkStart w:id="1660" w:name="_Toc16065"/>
      <w:bookmarkStart w:id="1661" w:name="_Toc31281"/>
      <w:bookmarkStart w:id="1662" w:name="_Toc11232"/>
      <w:bookmarkStart w:id="1663" w:name="_Toc24283"/>
      <w:bookmarkStart w:id="1664" w:name="_Toc17384"/>
      <w:bookmarkStart w:id="1665" w:name="_Toc26863"/>
      <w:bookmarkStart w:id="1666" w:name="_Toc1486"/>
      <w:bookmarkStart w:id="1667" w:name="_Toc22869"/>
      <w:r>
        <w:rPr>
          <w:rFonts w:hint="eastAsia" w:ascii="宋体" w:hAnsi="宋体" w:eastAsia="宋体" w:cs="宋体"/>
          <w:b/>
          <w:color w:val="000000" w:themeColor="text1"/>
          <w:sz w:val="21"/>
          <w:szCs w:val="21"/>
          <w:highlight w:val="none"/>
          <w14:textFill>
            <w14:solidFill>
              <w14:schemeClr w14:val="tx1"/>
            </w14:solidFill>
          </w14:textFill>
        </w:rPr>
        <w:t>合同终止</w:t>
      </w:r>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p>
    <w:p w14:paraId="2BF4E7F7">
      <w:pPr>
        <w:pStyle w:val="11"/>
        <w:kinsoku w:val="0"/>
        <w:spacing w:after="0" w:line="360" w:lineRule="auto"/>
        <w:jc w:val="both"/>
        <w:rPr>
          <w:color w:val="000000" w:themeColor="text1"/>
          <w:kern w:val="10"/>
          <w:highlight w:val="none"/>
          <w14:textFill>
            <w14:solidFill>
              <w14:schemeClr w14:val="tx1"/>
            </w14:solidFill>
          </w14:textFill>
        </w:rPr>
      </w:pPr>
      <w:r>
        <w:rPr>
          <w:rFonts w:hint="eastAsia"/>
          <w:color w:val="000000" w:themeColor="text1"/>
          <w:highlight w:val="none"/>
          <w14:textFill>
            <w14:solidFill>
              <w14:schemeClr w14:val="tx1"/>
            </w14:solidFill>
          </w14:textFill>
        </w:rPr>
        <w:t>25.7如因本合同约定的合同解除情形发生，甲方和乙方应具有以下权利和责任：</w:t>
      </w:r>
    </w:p>
    <w:p w14:paraId="178B9C0C">
      <w:pPr>
        <w:kinsoku w:val="0"/>
        <w:spacing w:after="0" w:line="360" w:lineRule="auto"/>
        <w:ind w:firstLine="420" w:firstLineChars="200"/>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（1）甲方可雇佣其他单位进行并完成分包工程。</w:t>
      </w:r>
    </w:p>
    <w:p w14:paraId="1514867B">
      <w:pPr>
        <w:kinsoku w:val="0"/>
        <w:spacing w:after="0" w:line="360" w:lineRule="auto"/>
        <w:ind w:firstLine="420" w:firstLineChars="200"/>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（2）分包合同解除后（</w:t>
      </w:r>
      <w:r>
        <w:rPr>
          <w:rFonts w:hint="eastAsia" w:ascii="宋体" w:hAnsi="宋体" w:eastAsia="宋体" w:cs="宋体"/>
          <w:color w:val="000000" w:themeColor="text1"/>
          <w:kern w:val="10"/>
          <w:sz w:val="21"/>
          <w:szCs w:val="21"/>
          <w:highlight w:val="none"/>
          <w:u w:val="single"/>
          <w:lang w:val="en-US" w:eastAsia="zh-CN"/>
          <w14:textFill>
            <w14:solidFill>
              <w14:schemeClr w14:val="tx1"/>
            </w14:solidFill>
          </w14:textFill>
        </w:rPr>
        <w:t>7</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）天内，经甲方同意，乙方可将用于本分包工程的任何材料、其它物品的采购供货协议</w:t>
      </w:r>
      <w:r>
        <w:rPr>
          <w:rFonts w:hint="eastAsia" w:ascii="宋体" w:hAnsi="宋体" w:eastAsia="宋体" w:cs="宋体"/>
          <w:color w:val="000000" w:themeColor="text1"/>
          <w:kern w:val="10"/>
          <w:sz w:val="21"/>
          <w:szCs w:val="21"/>
          <w:highlight w:val="none"/>
          <w:lang w:val="en-US" w:eastAsia="zh-CN"/>
          <w14:textFill>
            <w14:solidFill>
              <w14:schemeClr w14:val="tx1"/>
            </w14:solidFill>
          </w14:textFill>
        </w:rPr>
        <w:t>或</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租赁协议和设备</w:t>
      </w:r>
      <w:r>
        <w:rPr>
          <w:rFonts w:hint="eastAsia" w:ascii="宋体" w:hAnsi="宋体" w:eastAsia="宋体" w:cs="宋体"/>
          <w:color w:val="000000" w:themeColor="text1"/>
          <w:kern w:val="10"/>
          <w:sz w:val="21"/>
          <w:szCs w:val="21"/>
          <w:highlight w:val="none"/>
          <w:lang w:val="en-US" w:eastAsia="zh-CN"/>
          <w14:textFill>
            <w14:solidFill>
              <w14:schemeClr w14:val="tx1"/>
            </w14:solidFill>
          </w14:textFill>
        </w:rPr>
        <w:t>的</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采购供货协议等转让给甲方或乙方的继任者。</w:t>
      </w:r>
    </w:p>
    <w:p w14:paraId="334DC839">
      <w:pPr>
        <w:kinsoku w:val="0"/>
        <w:spacing w:after="0" w:line="360" w:lineRule="auto"/>
        <w:ind w:firstLine="420" w:firstLineChars="200"/>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（3）乙方应妥善做好已完工程和已购材料、设备、建筑施工图纸和全部相关资料的保护和移交工作。</w:t>
      </w:r>
    </w:p>
    <w:p w14:paraId="57360FB3">
      <w:pPr>
        <w:kinsoku w:val="0"/>
        <w:spacing w:after="0" w:line="360" w:lineRule="auto"/>
        <w:ind w:firstLine="420" w:firstLineChars="200"/>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（4）当甲方以书面形式通知乙方须从现场拆除或撤出属于乙方的或由其租赁的任何临时工程、材料和货物</w:t>
      </w:r>
      <w:r>
        <w:rPr>
          <w:rFonts w:hint="eastAsia" w:ascii="宋体" w:hAnsi="宋体" w:eastAsia="宋体" w:cs="宋体"/>
          <w:color w:val="000000" w:themeColor="text1"/>
          <w:kern w:val="10"/>
          <w:sz w:val="21"/>
          <w:szCs w:val="21"/>
          <w:highlight w:val="none"/>
          <w:lang w:val="en-US" w:eastAsia="zh-CN"/>
          <w14:textFill>
            <w14:solidFill>
              <w14:schemeClr w14:val="tx1"/>
            </w14:solidFill>
          </w14:textFill>
        </w:rPr>
        <w:t>或乙方的机具设备</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时，乙方应按照要求执行。如乙方未在合理的时间内按照要求执行，甲方可自行拆除（但不对任何损失或损坏负责），并可以变卖或处理任何这些的属于乙方的财产。甲方在扣除因乙方违约造成的工程损失费用及处理此类财产的费用后，将剩余金额返还乙方。</w:t>
      </w:r>
    </w:p>
    <w:p w14:paraId="7F4EFE30">
      <w:pPr>
        <w:kinsoku w:val="0"/>
        <w:spacing w:after="0" w:line="360" w:lineRule="auto"/>
        <w:ind w:firstLine="420" w:firstLineChars="200"/>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（5）分包合同解除后（</w:t>
      </w:r>
      <w:r>
        <w:rPr>
          <w:rFonts w:hint="eastAsia" w:ascii="宋体" w:hAnsi="宋体" w:eastAsia="宋体" w:cs="宋体"/>
          <w:color w:val="000000" w:themeColor="text1"/>
          <w:kern w:val="10"/>
          <w:sz w:val="21"/>
          <w:szCs w:val="21"/>
          <w:highlight w:val="none"/>
          <w:u w:val="single"/>
          <w:lang w:val="en-US" w:eastAsia="zh-CN"/>
          <w14:textFill>
            <w14:solidFill>
              <w14:schemeClr w14:val="tx1"/>
            </w14:solidFill>
          </w14:textFill>
        </w:rPr>
        <w:t>7</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）日内，乙方自身的劳务人员或其劳务分包的全体人员应退场，未撤场人员发生的费用均由乙方承担。</w:t>
      </w:r>
    </w:p>
    <w:p w14:paraId="5E96303F">
      <w:pPr>
        <w:kinsoku w:val="0"/>
        <w:spacing w:after="0" w:line="360" w:lineRule="auto"/>
        <w:ind w:firstLine="420" w:firstLineChars="200"/>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（6）乙方应补偿甲方因分包合同解除给甲方带来的任何损失和损害。</w:t>
      </w:r>
    </w:p>
    <w:p w14:paraId="32FEAB34">
      <w:pPr>
        <w:kinsoku w:val="0"/>
        <w:spacing w:after="0" w:line="360" w:lineRule="auto"/>
        <w:ind w:firstLine="420" w:firstLineChars="200"/>
        <w:jc w:val="both"/>
        <w:rPr>
          <w:rFonts w:hint="eastAsia" w:ascii="宋体" w:hAnsi="宋体" w:eastAsia="宋体" w:cs="宋体"/>
          <w:color w:val="000000" w:themeColor="text1"/>
          <w:kern w:val="10"/>
          <w:sz w:val="21"/>
          <w:szCs w:val="21"/>
          <w:highlight w:val="none"/>
          <w:lang w:eastAsia="zh-CN"/>
          <w14:textFill>
            <w14:solidFill>
              <w14:schemeClr w14:val="tx1"/>
            </w14:solidFill>
          </w14:textFill>
        </w:rPr>
      </w:pPr>
      <w:r>
        <w:rPr>
          <w:rFonts w:hint="eastAsia" w:ascii="宋体" w:hAnsi="宋体" w:eastAsia="宋体" w:cs="宋体"/>
          <w:color w:val="000000" w:themeColor="text1"/>
          <w:kern w:val="10"/>
          <w:sz w:val="21"/>
          <w:szCs w:val="21"/>
          <w:highlight w:val="none"/>
          <w:lang w:eastAsia="zh-CN"/>
          <w14:textFill>
            <w14:solidFill>
              <w14:schemeClr w14:val="tx1"/>
            </w14:solidFill>
          </w14:textFill>
        </w:rPr>
        <w:t>（7）分包合同解除后（</w:t>
      </w:r>
      <w:r>
        <w:rPr>
          <w:rFonts w:hint="eastAsia" w:ascii="宋体" w:hAnsi="宋体" w:eastAsia="宋体" w:cs="宋体"/>
          <w:color w:val="000000" w:themeColor="text1"/>
          <w:kern w:val="10"/>
          <w:sz w:val="21"/>
          <w:szCs w:val="21"/>
          <w:highlight w:val="none"/>
          <w:u w:val="single"/>
          <w:lang w:val="en-US" w:eastAsia="zh-CN"/>
          <w14:textFill>
            <w14:solidFill>
              <w14:schemeClr w14:val="tx1"/>
            </w14:solidFill>
          </w14:textFill>
        </w:rPr>
        <w:t>7</w:t>
      </w:r>
      <w:r>
        <w:rPr>
          <w:rFonts w:hint="eastAsia" w:ascii="宋体" w:hAnsi="宋体" w:eastAsia="宋体" w:cs="宋体"/>
          <w:color w:val="000000" w:themeColor="text1"/>
          <w:kern w:val="10"/>
          <w:sz w:val="21"/>
          <w:szCs w:val="21"/>
          <w:highlight w:val="none"/>
          <w:lang w:eastAsia="zh-CN"/>
          <w14:textFill>
            <w14:solidFill>
              <w14:schemeClr w14:val="tx1"/>
            </w14:solidFill>
          </w14:textFill>
        </w:rPr>
        <w:t>）日内，乙方应向甲方提交结算报告和结算协议供甲方审核，结算应根据甲方签字确认的已完工程量和工程量清单中确定的单价进行计算，计算时间应截至分包合同解除之日。一旦工程竣工并在甲方对工程结算核准后的合理时间内，甲方应确认因乙方原因导致分包合同解除而给总包工程带来任何直接、间接损失和损害的费用金额。如果此金额加上在分包合同解除前已付给乙方的金额超过在分包合同解除时应付而未付给乙方的工程款额时，其差额作为乙方对甲方的负债，由甲方从乙方提交的履约保函、预付款保函中予以扣回，不足时，仍可索赔；如果此金额未超过甲方应支付给乙方的工程款额时，其差额应由甲方按分包合同付款条件支付给乙方。</w:t>
      </w:r>
    </w:p>
    <w:p w14:paraId="0E93EA53">
      <w:pPr>
        <w:widowControl w:val="0"/>
        <w:numPr>
          <w:ilvl w:val="0"/>
          <w:numId w:val="10"/>
        </w:numPr>
        <w:kinsoku w:val="0"/>
        <w:spacing w:after="0" w:line="360" w:lineRule="auto"/>
        <w:ind w:left="158" w:leftChars="75"/>
        <w:jc w:val="both"/>
        <w:outlineLvl w:val="1"/>
        <w:rPr>
          <w:rFonts w:hint="eastAsia" w:ascii="宋体" w:hAnsi="宋体" w:eastAsia="宋体" w:cs="宋体"/>
          <w:b/>
          <w:color w:val="000000" w:themeColor="text1"/>
          <w:sz w:val="21"/>
          <w:szCs w:val="21"/>
          <w:highlight w:val="none"/>
          <w14:textFill>
            <w14:solidFill>
              <w14:schemeClr w14:val="tx1"/>
            </w14:solidFill>
          </w14:textFill>
        </w:rPr>
      </w:pPr>
      <w:bookmarkStart w:id="1668" w:name="_Toc24897"/>
      <w:bookmarkStart w:id="1669" w:name="_Toc24167"/>
      <w:bookmarkStart w:id="1670" w:name="_Toc101963535"/>
      <w:bookmarkStart w:id="1671" w:name="_Toc28952"/>
      <w:bookmarkStart w:id="1672" w:name="_Toc2158"/>
      <w:bookmarkStart w:id="1673" w:name="_Toc31549"/>
      <w:bookmarkStart w:id="1674" w:name="_Toc10738"/>
      <w:bookmarkStart w:id="1675" w:name="_Toc6048"/>
      <w:bookmarkStart w:id="1676" w:name="_Toc6396"/>
      <w:bookmarkStart w:id="1677" w:name="_Toc101357484"/>
      <w:bookmarkStart w:id="1678" w:name="_Toc21424"/>
      <w:bookmarkStart w:id="1679" w:name="_Toc175764470"/>
      <w:bookmarkStart w:id="1680" w:name="_Toc8410"/>
      <w:bookmarkStart w:id="1681" w:name="_Toc31576"/>
      <w:bookmarkStart w:id="1682" w:name="_Toc26100"/>
      <w:bookmarkStart w:id="1683" w:name="_Toc27942"/>
      <w:bookmarkStart w:id="1684" w:name="_Toc20289"/>
      <w:bookmarkStart w:id="1685" w:name="_Toc6031"/>
      <w:bookmarkStart w:id="1686" w:name="_Toc16676"/>
      <w:bookmarkStart w:id="1687" w:name="_Toc4980"/>
      <w:bookmarkStart w:id="1688" w:name="_Toc16417"/>
      <w:r>
        <w:rPr>
          <w:rFonts w:hint="eastAsia" w:ascii="宋体" w:hAnsi="宋体" w:eastAsia="宋体" w:cs="宋体"/>
          <w:b/>
          <w:color w:val="000000" w:themeColor="text1"/>
          <w:sz w:val="21"/>
          <w:szCs w:val="21"/>
          <w:highlight w:val="none"/>
          <w14:textFill>
            <w14:solidFill>
              <w14:schemeClr w14:val="tx1"/>
            </w14:solidFill>
          </w14:textFill>
        </w:rPr>
        <w:t>合同附件</w:t>
      </w:r>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p>
    <w:p w14:paraId="7162C331">
      <w:pPr>
        <w:kinsoku w:val="0"/>
        <w:spacing w:after="0" w:line="360" w:lineRule="auto"/>
        <w:ind w:firstLine="420" w:firstLineChars="200"/>
        <w:outlineLvl w:val="0"/>
        <w:rPr>
          <w:rFonts w:hint="eastAsia" w:ascii="宋体" w:hAnsi="宋体" w:eastAsia="宋体" w:cs="宋体"/>
          <w:color w:val="000000" w:themeColor="text1"/>
          <w:sz w:val="21"/>
          <w:szCs w:val="21"/>
          <w:highlight w:val="none"/>
          <w:lang w:eastAsia="zh-CN"/>
          <w14:textFill>
            <w14:solidFill>
              <w14:schemeClr w14:val="tx1"/>
            </w14:solidFill>
          </w14:textFill>
        </w:rPr>
      </w:pPr>
      <w:bookmarkStart w:id="1689" w:name="_Toc175764471"/>
      <w:r>
        <w:rPr>
          <w:rFonts w:hint="eastAsia" w:ascii="宋体" w:hAnsi="宋体" w:eastAsia="宋体" w:cs="宋体"/>
          <w:color w:val="000000" w:themeColor="text1"/>
          <w:sz w:val="21"/>
          <w:szCs w:val="21"/>
          <w:highlight w:val="none"/>
          <w:lang w:eastAsia="zh-CN"/>
          <w14:textFill>
            <w14:solidFill>
              <w14:schemeClr w14:val="tx1"/>
            </w14:solidFill>
          </w14:textFill>
        </w:rPr>
        <w:t>附件1.工程量清单</w:t>
      </w:r>
      <w:bookmarkEnd w:id="1689"/>
    </w:p>
    <w:p w14:paraId="555F59BE">
      <w:pPr>
        <w:kinsoku w:val="0"/>
        <w:spacing w:after="0" w:line="360" w:lineRule="auto"/>
        <w:ind w:firstLine="420" w:firstLineChars="200"/>
        <w:outlineLvl w:val="0"/>
        <w:rPr>
          <w:rFonts w:hint="eastAsia" w:ascii="宋体" w:hAnsi="宋体" w:eastAsia="宋体" w:cs="宋体"/>
          <w:color w:val="000000" w:themeColor="text1"/>
          <w:sz w:val="21"/>
          <w:szCs w:val="21"/>
          <w:highlight w:val="none"/>
          <w:lang w:eastAsia="zh-CN"/>
          <w14:textFill>
            <w14:solidFill>
              <w14:schemeClr w14:val="tx1"/>
            </w14:solidFill>
          </w14:textFill>
        </w:rPr>
      </w:pPr>
      <w:bookmarkStart w:id="1690" w:name="_Toc175764472"/>
      <w:r>
        <w:rPr>
          <w:rFonts w:hint="eastAsia" w:ascii="宋体" w:hAnsi="宋体" w:eastAsia="宋体" w:cs="宋体"/>
          <w:color w:val="000000" w:themeColor="text1"/>
          <w:sz w:val="21"/>
          <w:szCs w:val="21"/>
          <w:highlight w:val="none"/>
          <w:lang w:eastAsia="zh-CN"/>
          <w14:textFill>
            <w14:solidFill>
              <w14:schemeClr w14:val="tx1"/>
            </w14:solidFill>
          </w14:textFill>
        </w:rPr>
        <w:t>附件2.甲供材料、机械设备明细表</w:t>
      </w:r>
      <w:bookmarkEnd w:id="1690"/>
    </w:p>
    <w:p w14:paraId="46715EF1">
      <w:pPr>
        <w:kinsoku w:val="0"/>
        <w:spacing w:after="0" w:line="360" w:lineRule="auto"/>
        <w:ind w:firstLine="420" w:firstLineChars="200"/>
        <w:outlineLvl w:val="0"/>
        <w:rPr>
          <w:rFonts w:hint="eastAsia" w:ascii="宋体" w:hAnsi="宋体" w:eastAsia="宋体" w:cs="宋体"/>
          <w:color w:val="000000" w:themeColor="text1"/>
          <w:sz w:val="21"/>
          <w:szCs w:val="21"/>
          <w:highlight w:val="none"/>
          <w:lang w:eastAsia="zh-CN"/>
          <w14:textFill>
            <w14:solidFill>
              <w14:schemeClr w14:val="tx1"/>
            </w14:solidFill>
          </w14:textFill>
        </w:rPr>
      </w:pPr>
      <w:bookmarkStart w:id="1691" w:name="_Toc175764473"/>
      <w:r>
        <w:rPr>
          <w:rFonts w:hint="eastAsia" w:ascii="宋体" w:hAnsi="宋体" w:eastAsia="宋体" w:cs="宋体"/>
          <w:color w:val="000000" w:themeColor="text1"/>
          <w:sz w:val="21"/>
          <w:szCs w:val="21"/>
          <w:highlight w:val="none"/>
          <w:lang w:eastAsia="zh-CN"/>
          <w14:textFill>
            <w14:solidFill>
              <w14:schemeClr w14:val="tx1"/>
            </w14:solidFill>
          </w14:textFill>
        </w:rPr>
        <w:t>附件3.拟投入本合同工程主要人员汇总表</w:t>
      </w:r>
      <w:bookmarkEnd w:id="1691"/>
    </w:p>
    <w:p w14:paraId="59B82A82">
      <w:pPr>
        <w:kinsoku w:val="0"/>
        <w:spacing w:after="0" w:line="360" w:lineRule="auto"/>
        <w:ind w:firstLine="420" w:firstLineChars="200"/>
        <w:outlineLvl w:val="0"/>
        <w:rPr>
          <w:rFonts w:hint="eastAsia" w:ascii="宋体" w:hAnsi="宋体" w:eastAsia="宋体" w:cs="宋体"/>
          <w:color w:val="000000" w:themeColor="text1"/>
          <w:sz w:val="21"/>
          <w:szCs w:val="21"/>
          <w:highlight w:val="none"/>
          <w:lang w:eastAsia="zh-CN"/>
          <w14:textFill>
            <w14:solidFill>
              <w14:schemeClr w14:val="tx1"/>
            </w14:solidFill>
          </w14:textFill>
        </w:rPr>
      </w:pPr>
      <w:bookmarkStart w:id="1692" w:name="_Toc175764474"/>
      <w:r>
        <w:rPr>
          <w:rFonts w:hint="eastAsia" w:ascii="宋体" w:hAnsi="宋体" w:eastAsia="宋体" w:cs="宋体"/>
          <w:color w:val="000000" w:themeColor="text1"/>
          <w:sz w:val="21"/>
          <w:szCs w:val="21"/>
          <w:highlight w:val="none"/>
          <w:lang w:eastAsia="zh-CN"/>
          <w14:textFill>
            <w14:solidFill>
              <w14:schemeClr w14:val="tx1"/>
            </w14:solidFill>
          </w14:textFill>
        </w:rPr>
        <w:t>附件4.拟进场机械设备一览表</w:t>
      </w:r>
      <w:bookmarkEnd w:id="1692"/>
    </w:p>
    <w:p w14:paraId="78D729CA">
      <w:pPr>
        <w:kinsoku w:val="0"/>
        <w:spacing w:after="0" w:line="360" w:lineRule="auto"/>
        <w:ind w:firstLine="420" w:firstLineChars="200"/>
        <w:outlineLvl w:val="0"/>
        <w:rPr>
          <w:rFonts w:hint="eastAsia" w:ascii="宋体" w:hAnsi="宋体" w:eastAsia="宋体" w:cs="宋体"/>
          <w:color w:val="000000" w:themeColor="text1"/>
          <w:sz w:val="21"/>
          <w:szCs w:val="21"/>
          <w:highlight w:val="none"/>
          <w:lang w:eastAsia="zh-CN"/>
          <w14:textFill>
            <w14:solidFill>
              <w14:schemeClr w14:val="tx1"/>
            </w14:solidFill>
          </w14:textFill>
        </w:rPr>
      </w:pPr>
      <w:bookmarkStart w:id="1693" w:name="_Toc175764475"/>
      <w:r>
        <w:rPr>
          <w:rFonts w:hint="eastAsia" w:ascii="宋体" w:hAnsi="宋体" w:eastAsia="宋体" w:cs="宋体"/>
          <w:color w:val="000000" w:themeColor="text1"/>
          <w:sz w:val="21"/>
          <w:szCs w:val="21"/>
          <w:highlight w:val="none"/>
          <w:lang w:eastAsia="zh-CN"/>
          <w14:textFill>
            <w14:solidFill>
              <w14:schemeClr w14:val="tx1"/>
            </w14:solidFill>
          </w14:textFill>
        </w:rPr>
        <w:t>附件5.安全管理协议书</w:t>
      </w:r>
      <w:bookmarkEnd w:id="1693"/>
    </w:p>
    <w:p w14:paraId="0DBA3592">
      <w:pPr>
        <w:kinsoku w:val="0"/>
        <w:spacing w:after="0" w:line="360" w:lineRule="auto"/>
        <w:ind w:firstLine="420" w:firstLineChars="200"/>
        <w:outlineLvl w:val="0"/>
        <w:rPr>
          <w:rFonts w:hint="eastAsia" w:ascii="宋体" w:hAnsi="宋体" w:eastAsia="宋体" w:cs="宋体"/>
          <w:color w:val="000000" w:themeColor="text1"/>
          <w:sz w:val="21"/>
          <w:szCs w:val="21"/>
          <w:highlight w:val="none"/>
          <w:lang w:eastAsia="zh-CN"/>
          <w14:textFill>
            <w14:solidFill>
              <w14:schemeClr w14:val="tx1"/>
            </w14:solidFill>
          </w14:textFill>
        </w:rPr>
      </w:pPr>
      <w:bookmarkStart w:id="1694" w:name="_Toc175764476"/>
      <w:r>
        <w:rPr>
          <w:rFonts w:hint="eastAsia" w:ascii="宋体" w:hAnsi="宋体" w:eastAsia="宋体" w:cs="宋体"/>
          <w:color w:val="000000" w:themeColor="text1"/>
          <w:sz w:val="21"/>
          <w:szCs w:val="21"/>
          <w:highlight w:val="none"/>
          <w:lang w:eastAsia="zh-CN"/>
          <w14:textFill>
            <w14:solidFill>
              <w14:schemeClr w14:val="tx1"/>
            </w14:solidFill>
          </w14:textFill>
        </w:rPr>
        <w:t>附件6.廉政合同</w:t>
      </w:r>
      <w:bookmarkEnd w:id="1694"/>
    </w:p>
    <w:p w14:paraId="61A65B19">
      <w:pPr>
        <w:kinsoku w:val="0"/>
        <w:spacing w:after="0" w:line="360" w:lineRule="auto"/>
        <w:ind w:firstLine="420" w:firstLineChars="200"/>
        <w:outlineLvl w:val="0"/>
        <w:rPr>
          <w:rFonts w:hint="eastAsia" w:ascii="宋体" w:hAnsi="宋体" w:eastAsia="宋体" w:cs="宋体"/>
          <w:color w:val="000000" w:themeColor="text1"/>
          <w:sz w:val="21"/>
          <w:szCs w:val="21"/>
          <w:highlight w:val="none"/>
          <w:lang w:eastAsia="zh-CN"/>
          <w14:textFill>
            <w14:solidFill>
              <w14:schemeClr w14:val="tx1"/>
            </w14:solidFill>
          </w14:textFill>
        </w:rPr>
      </w:pPr>
      <w:bookmarkStart w:id="1695" w:name="_Toc175764477"/>
      <w:r>
        <w:rPr>
          <w:rFonts w:hint="eastAsia" w:ascii="宋体" w:hAnsi="宋体" w:eastAsia="宋体" w:cs="宋体"/>
          <w:color w:val="000000" w:themeColor="text1"/>
          <w:sz w:val="21"/>
          <w:szCs w:val="21"/>
          <w:highlight w:val="none"/>
          <w:lang w:eastAsia="zh-CN"/>
          <w14:textFill>
            <w14:solidFill>
              <w14:schemeClr w14:val="tx1"/>
            </w14:solidFill>
          </w14:textFill>
        </w:rPr>
        <w:t>附件7.履约授权管理协议</w:t>
      </w:r>
      <w:bookmarkEnd w:id="1695"/>
    </w:p>
    <w:p w14:paraId="73012C46">
      <w:pPr>
        <w:kinsoku w:val="0"/>
        <w:spacing w:after="0" w:line="360" w:lineRule="auto"/>
        <w:ind w:firstLine="420" w:firstLineChars="200"/>
        <w:outlineLvl w:val="0"/>
        <w:rPr>
          <w:rFonts w:hint="eastAsia" w:ascii="宋体" w:hAnsi="宋体" w:eastAsia="宋体" w:cs="宋体"/>
          <w:color w:val="000000" w:themeColor="text1"/>
          <w:sz w:val="21"/>
          <w:szCs w:val="21"/>
          <w:highlight w:val="none"/>
          <w:lang w:eastAsia="zh-CN"/>
          <w14:textFill>
            <w14:solidFill>
              <w14:schemeClr w14:val="tx1"/>
            </w14:solidFill>
          </w14:textFill>
        </w:rPr>
      </w:pPr>
      <w:bookmarkStart w:id="1696" w:name="_Toc175764478"/>
      <w:r>
        <w:rPr>
          <w:rFonts w:hint="eastAsia" w:ascii="宋体" w:hAnsi="宋体" w:eastAsia="宋体" w:cs="宋体"/>
          <w:color w:val="000000" w:themeColor="text1"/>
          <w:sz w:val="21"/>
          <w:szCs w:val="21"/>
          <w:highlight w:val="none"/>
          <w:lang w:eastAsia="zh-CN"/>
          <w14:textFill>
            <w14:solidFill>
              <w14:schemeClr w14:val="tx1"/>
            </w14:solidFill>
          </w14:textFill>
        </w:rPr>
        <w:t>附件8.工程项目施工质量管理协议书</w:t>
      </w:r>
      <w:bookmarkEnd w:id="1696"/>
    </w:p>
    <w:p w14:paraId="2458E259">
      <w:pPr>
        <w:kinsoku w:val="0"/>
        <w:spacing w:after="0" w:line="360" w:lineRule="auto"/>
        <w:ind w:firstLine="420" w:firstLineChars="200"/>
        <w:outlineLvl w:val="0"/>
        <w:rPr>
          <w:rFonts w:hint="eastAsia" w:ascii="宋体" w:hAnsi="宋体" w:eastAsia="宋体" w:cs="宋体"/>
          <w:color w:val="000000" w:themeColor="text1"/>
          <w:sz w:val="21"/>
          <w:szCs w:val="21"/>
          <w:highlight w:val="none"/>
          <w:lang w:eastAsia="zh-CN"/>
          <w14:textFill>
            <w14:solidFill>
              <w14:schemeClr w14:val="tx1"/>
            </w14:solidFill>
          </w14:textFill>
        </w:rPr>
      </w:pPr>
      <w:bookmarkStart w:id="1697" w:name="_Toc175764479"/>
      <w:r>
        <w:rPr>
          <w:rFonts w:hint="eastAsia" w:ascii="宋体" w:hAnsi="宋体" w:eastAsia="宋体" w:cs="宋体"/>
          <w:color w:val="000000" w:themeColor="text1"/>
          <w:sz w:val="21"/>
          <w:szCs w:val="21"/>
          <w:highlight w:val="none"/>
          <w:lang w:eastAsia="zh-CN"/>
          <w14:textFill>
            <w14:solidFill>
              <w14:schemeClr w14:val="tx1"/>
            </w14:solidFill>
          </w14:textFill>
        </w:rPr>
        <w:t>附件9.质量保修书</w:t>
      </w:r>
      <w:bookmarkEnd w:id="1697"/>
    </w:p>
    <w:p w14:paraId="76D90C0E">
      <w:pPr>
        <w:kinsoku w:val="0"/>
        <w:spacing w:after="0" w:line="360" w:lineRule="auto"/>
        <w:ind w:firstLine="420" w:firstLineChars="200"/>
        <w:outlineLvl w:val="0"/>
        <w:rPr>
          <w:rFonts w:hint="eastAsia" w:ascii="宋体" w:hAnsi="宋体" w:eastAsia="宋体" w:cs="宋体"/>
          <w:color w:val="000000" w:themeColor="text1"/>
          <w:sz w:val="21"/>
          <w:szCs w:val="21"/>
          <w:highlight w:val="none"/>
          <w:lang w:eastAsia="zh-CN"/>
          <w14:textFill>
            <w14:solidFill>
              <w14:schemeClr w14:val="tx1"/>
            </w14:solidFill>
          </w14:textFill>
        </w:rPr>
      </w:pPr>
      <w:bookmarkStart w:id="1698" w:name="_Toc175764480"/>
      <w:r>
        <w:rPr>
          <w:rFonts w:hint="eastAsia" w:ascii="宋体" w:hAnsi="宋体" w:eastAsia="宋体" w:cs="宋体"/>
          <w:color w:val="000000" w:themeColor="text1"/>
          <w:sz w:val="21"/>
          <w:szCs w:val="21"/>
          <w:highlight w:val="none"/>
          <w:lang w:eastAsia="zh-CN"/>
          <w14:textFill>
            <w14:solidFill>
              <w14:schemeClr w14:val="tx1"/>
            </w14:solidFill>
          </w14:textFill>
        </w:rPr>
        <w:t>附件10.农民工工资管理协议</w:t>
      </w:r>
      <w:bookmarkEnd w:id="1698"/>
    </w:p>
    <w:p w14:paraId="37C4C539">
      <w:pPr>
        <w:kinsoku w:val="0"/>
        <w:spacing w:after="0" w:line="360" w:lineRule="auto"/>
        <w:ind w:firstLine="420" w:firstLineChars="200"/>
        <w:outlineLvl w:val="0"/>
        <w:rPr>
          <w:rFonts w:hint="eastAsia" w:ascii="宋体" w:hAnsi="宋体" w:eastAsia="宋体" w:cs="宋体"/>
          <w:color w:val="000000" w:themeColor="text1"/>
          <w:sz w:val="21"/>
          <w:szCs w:val="21"/>
          <w:highlight w:val="none"/>
          <w:lang w:eastAsia="zh-CN"/>
          <w14:textFill>
            <w14:solidFill>
              <w14:schemeClr w14:val="tx1"/>
            </w14:solidFill>
          </w14:textFill>
        </w:rPr>
      </w:pPr>
      <w:bookmarkStart w:id="1699" w:name="_Toc175764481"/>
      <w:r>
        <w:rPr>
          <w:rFonts w:hint="eastAsia" w:ascii="宋体" w:hAnsi="宋体" w:eastAsia="宋体" w:cs="宋体"/>
          <w:color w:val="000000" w:themeColor="text1"/>
          <w:sz w:val="21"/>
          <w:szCs w:val="21"/>
          <w:highlight w:val="none"/>
          <w:lang w:eastAsia="zh-CN"/>
          <w14:textFill>
            <w14:solidFill>
              <w14:schemeClr w14:val="tx1"/>
            </w14:solidFill>
          </w14:textFill>
        </w:rPr>
        <w:t>附件11.项目部合规权限告知书</w:t>
      </w:r>
      <w:bookmarkEnd w:id="1699"/>
    </w:p>
    <w:p w14:paraId="0DFA1811">
      <w:pPr>
        <w:kinsoku w:val="0"/>
        <w:spacing w:after="0" w:line="360" w:lineRule="auto"/>
        <w:ind w:firstLine="420" w:firstLineChars="200"/>
        <w:outlineLvl w:val="0"/>
        <w:rPr>
          <w:rFonts w:hint="eastAsia" w:ascii="宋体" w:hAnsi="宋体" w:eastAsia="宋体" w:cs="宋体"/>
          <w:color w:val="000000" w:themeColor="text1"/>
          <w:sz w:val="21"/>
          <w:szCs w:val="21"/>
          <w:highlight w:val="none"/>
          <w:lang w:eastAsia="zh-CN"/>
          <w14:textFill>
            <w14:solidFill>
              <w14:schemeClr w14:val="tx1"/>
            </w14:solidFill>
          </w14:textFill>
        </w:rPr>
      </w:pPr>
      <w:bookmarkStart w:id="1700" w:name="_Toc175764482"/>
      <w:r>
        <w:rPr>
          <w:rFonts w:hint="eastAsia" w:ascii="宋体" w:hAnsi="宋体" w:eastAsia="宋体" w:cs="宋体"/>
          <w:color w:val="000000" w:themeColor="text1"/>
          <w:sz w:val="21"/>
          <w:szCs w:val="21"/>
          <w:highlight w:val="none"/>
          <w:lang w:eastAsia="zh-CN"/>
          <w14:textFill>
            <w14:solidFill>
              <w14:schemeClr w14:val="tx1"/>
            </w14:solidFill>
          </w14:textFill>
        </w:rPr>
        <w:t>附件12.授权委托书（分包方）</w:t>
      </w:r>
      <w:bookmarkEnd w:id="1700"/>
    </w:p>
    <w:p w14:paraId="6F7D8FC0">
      <w:pPr>
        <w:kinsoku w:val="0"/>
        <w:spacing w:after="0" w:line="360" w:lineRule="auto"/>
        <w:ind w:firstLine="420" w:firstLineChars="200"/>
        <w:outlineLvl w:val="0"/>
        <w:rPr>
          <w:rFonts w:hint="eastAsia" w:ascii="宋体" w:hAnsi="宋体" w:eastAsia="宋体" w:cs="宋体"/>
          <w:color w:val="000000" w:themeColor="text1"/>
          <w:sz w:val="21"/>
          <w:szCs w:val="21"/>
          <w:highlight w:val="none"/>
          <w:lang w:eastAsia="zh-CN"/>
          <w14:textFill>
            <w14:solidFill>
              <w14:schemeClr w14:val="tx1"/>
            </w14:solidFill>
          </w14:textFill>
        </w:rPr>
      </w:pPr>
      <w:bookmarkStart w:id="1701" w:name="_Toc175764483"/>
      <w:r>
        <w:rPr>
          <w:rFonts w:hint="eastAsia" w:ascii="宋体" w:hAnsi="宋体" w:eastAsia="宋体" w:cs="宋体"/>
          <w:color w:val="000000" w:themeColor="text1"/>
          <w:sz w:val="21"/>
          <w:szCs w:val="21"/>
          <w:highlight w:val="none"/>
          <w:lang w:eastAsia="zh-CN"/>
          <w14:textFill>
            <w14:solidFill>
              <w14:schemeClr w14:val="tx1"/>
            </w14:solidFill>
          </w14:textFill>
        </w:rPr>
        <w:t>附件13.农民工工资代发授权委托书</w:t>
      </w:r>
      <w:bookmarkEnd w:id="1701"/>
    </w:p>
    <w:p w14:paraId="3633B222">
      <w:pPr>
        <w:kinsoku w:val="0"/>
        <w:spacing w:after="0" w:line="360" w:lineRule="auto"/>
        <w:ind w:firstLine="420" w:firstLineChars="200"/>
        <w:outlineLvl w:val="0"/>
        <w:rPr>
          <w:rFonts w:hint="eastAsia" w:ascii="宋体" w:hAnsi="宋体" w:eastAsia="宋体" w:cs="宋体"/>
          <w:color w:val="000000" w:themeColor="text1"/>
          <w:sz w:val="21"/>
          <w:szCs w:val="21"/>
          <w:highlight w:val="none"/>
          <w:lang w:eastAsia="zh-CN"/>
          <w14:textFill>
            <w14:solidFill>
              <w14:schemeClr w14:val="tx1"/>
            </w14:solidFill>
          </w14:textFill>
        </w:rPr>
      </w:pPr>
      <w:bookmarkStart w:id="1702" w:name="_Toc175764484"/>
      <w:r>
        <w:rPr>
          <w:rFonts w:hint="eastAsia" w:ascii="宋体" w:hAnsi="宋体" w:eastAsia="宋体" w:cs="宋体"/>
          <w:color w:val="000000" w:themeColor="text1"/>
          <w:sz w:val="21"/>
          <w:szCs w:val="21"/>
          <w:highlight w:val="none"/>
          <w:lang w:eastAsia="zh-CN"/>
          <w14:textFill>
            <w14:solidFill>
              <w14:schemeClr w14:val="tx1"/>
            </w14:solidFill>
          </w14:textFill>
        </w:rPr>
        <w:t>附件14.农民工当期工资支付完毕声明书</w:t>
      </w:r>
      <w:bookmarkEnd w:id="1702"/>
    </w:p>
    <w:p w14:paraId="04131083">
      <w:pPr>
        <w:kinsoku w:val="0"/>
        <w:spacing w:after="0" w:line="360" w:lineRule="auto"/>
        <w:ind w:firstLine="420" w:firstLineChars="200"/>
        <w:outlineLvl w:val="0"/>
        <w:rPr>
          <w:rFonts w:hint="eastAsia" w:ascii="宋体" w:hAnsi="宋体" w:eastAsia="宋体" w:cs="宋体"/>
          <w:color w:val="000000" w:themeColor="text1"/>
          <w:sz w:val="21"/>
          <w:szCs w:val="21"/>
          <w:highlight w:val="none"/>
          <w:lang w:eastAsia="zh-CN"/>
          <w14:textFill>
            <w14:solidFill>
              <w14:schemeClr w14:val="tx1"/>
            </w14:solidFill>
          </w14:textFill>
        </w:rPr>
      </w:pPr>
      <w:bookmarkStart w:id="1703" w:name="_Toc175764485"/>
      <w:r>
        <w:rPr>
          <w:rFonts w:hint="eastAsia" w:ascii="宋体" w:hAnsi="宋体" w:eastAsia="宋体" w:cs="宋体"/>
          <w:color w:val="000000" w:themeColor="text1"/>
          <w:sz w:val="21"/>
          <w:szCs w:val="21"/>
          <w:highlight w:val="none"/>
          <w:lang w:eastAsia="zh-CN"/>
          <w14:textFill>
            <w14:solidFill>
              <w14:schemeClr w14:val="tx1"/>
            </w14:solidFill>
          </w14:textFill>
        </w:rPr>
        <w:t>附件15.违约金扣款通知单</w:t>
      </w:r>
      <w:bookmarkEnd w:id="1703"/>
    </w:p>
    <w:p w14:paraId="4115A354">
      <w:pPr>
        <w:kinsoku w:val="0"/>
        <w:spacing w:after="0" w:line="360" w:lineRule="auto"/>
        <w:ind w:firstLine="420" w:firstLineChars="200"/>
        <w:outlineLvl w:val="0"/>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bookmarkStart w:id="1704" w:name="_Toc30284"/>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附件16.签证工作内容记录单</w:t>
      </w:r>
      <w:bookmarkEnd w:id="1704"/>
    </w:p>
    <w:p w14:paraId="58EEC70D">
      <w:pPr>
        <w:kinsoku w:val="0"/>
        <w:spacing w:after="0" w:line="360" w:lineRule="auto"/>
        <w:ind w:firstLine="420" w:firstLineChars="200"/>
        <w:outlineLvl w:val="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bookmarkStart w:id="1705" w:name="_Toc19670"/>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附件17：临时用电安全管理协议</w:t>
      </w:r>
      <w:bookmarkEnd w:id="1705"/>
    </w:p>
    <w:p w14:paraId="4C57B3CC">
      <w:pPr>
        <w:kinsoku w:val="0"/>
        <w:spacing w:after="0" w:line="360" w:lineRule="auto"/>
        <w:ind w:firstLine="420" w:firstLineChars="200"/>
        <w:outlineLvl w:val="0"/>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bookmarkStart w:id="1706" w:name="_Toc23735"/>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附件18：消防安全管理协议</w:t>
      </w:r>
      <w:bookmarkEnd w:id="1706"/>
    </w:p>
    <w:p w14:paraId="1A04865C">
      <w:pPr>
        <w:kinsoku w:val="0"/>
        <w:spacing w:after="0" w:line="360" w:lineRule="auto"/>
        <w:ind w:firstLine="420" w:firstLineChars="200"/>
        <w:outlineLvl w:val="0"/>
        <w:rPr>
          <w:rFonts w:hint="eastAsia" w:ascii="宋体" w:hAnsi="宋体" w:eastAsia="宋体" w:cs="宋体"/>
          <w:color w:val="000000" w:themeColor="text1"/>
          <w:sz w:val="21"/>
          <w:szCs w:val="21"/>
          <w:highlight w:val="none"/>
          <w:lang w:eastAsia="zh-CN"/>
          <w14:textFill>
            <w14:solidFill>
              <w14:schemeClr w14:val="tx1"/>
            </w14:solidFill>
          </w14:textFill>
        </w:rPr>
      </w:pPr>
      <w:bookmarkStart w:id="1707" w:name="_Toc3910"/>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附件19：保密义务告知书</w:t>
      </w:r>
      <w:bookmarkEnd w:id="1707"/>
    </w:p>
    <w:p w14:paraId="730BF077">
      <w:pPr>
        <w:spacing w:line="360" w:lineRule="auto"/>
        <w:ind w:firstLine="562" w:firstLineChars="200"/>
        <w:jc w:val="center"/>
        <w:rPr>
          <w:b/>
          <w:color w:val="000000" w:themeColor="text1"/>
          <w:sz w:val="28"/>
          <w:szCs w:val="28"/>
          <w:highlight w:val="none"/>
          <w14:textFill>
            <w14:solidFill>
              <w14:schemeClr w14:val="tx1"/>
            </w14:solidFill>
          </w14:textFill>
        </w:rPr>
        <w:sectPr>
          <w:pgSz w:w="11907" w:h="16840"/>
          <w:pgMar w:top="1417" w:right="1701" w:bottom="1417" w:left="1701" w:header="850" w:footer="1134" w:gutter="0"/>
          <w:pgNumType w:fmt="decimal"/>
          <w:cols w:space="0" w:num="1"/>
          <w:rtlGutter w:val="0"/>
          <w:docGrid w:linePitch="312" w:charSpace="0"/>
        </w:sectPr>
      </w:pPr>
    </w:p>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p w14:paraId="3033C78C">
      <w:pPr>
        <w:pStyle w:val="2"/>
        <w:rPr>
          <w:color w:val="000000" w:themeColor="text1"/>
          <w:highlight w:val="none"/>
          <w14:textFill>
            <w14:solidFill>
              <w14:schemeClr w14:val="tx1"/>
            </w14:solidFill>
          </w14:textFill>
        </w:rPr>
      </w:pPr>
      <w:bookmarkStart w:id="1708" w:name="_Toc54291520"/>
      <w:bookmarkStart w:id="1709" w:name="_Toc145426866"/>
      <w:bookmarkStart w:id="1710" w:name="_Toc53949154"/>
      <w:bookmarkStart w:id="1711" w:name="_Toc53948733"/>
      <w:bookmarkStart w:id="1712" w:name="_Toc54280338"/>
      <w:bookmarkStart w:id="1713" w:name="_Toc284135616"/>
      <w:bookmarkStart w:id="1714" w:name="_Toc54281190"/>
      <w:bookmarkStart w:id="1715" w:name="_Toc53946178"/>
      <w:bookmarkStart w:id="1716" w:name="_Toc54280764"/>
      <w:bookmarkStart w:id="1717" w:name="_Toc53949575"/>
      <w:bookmarkStart w:id="1718" w:name="_Toc145499828"/>
      <w:bookmarkStart w:id="1719" w:name="_Toc54278955"/>
      <w:bookmarkStart w:id="1720" w:name="_Toc144872174"/>
      <w:bookmarkStart w:id="1721" w:name="_Toc54281616"/>
      <w:bookmarkStart w:id="1722" w:name="_Toc18209292"/>
      <w:bookmarkStart w:id="1723" w:name="_Toc16353853"/>
      <w:r>
        <w:rPr>
          <w:color w:val="000000" w:themeColor="text1"/>
          <w:highlight w:val="none"/>
          <w14:textFill>
            <w14:solidFill>
              <w14:schemeClr w14:val="tx1"/>
            </w14:solidFill>
          </w14:textFill>
        </w:rPr>
        <w:t>第</w:t>
      </w:r>
      <w:r>
        <w:rPr>
          <w:rFonts w:hint="eastAsia"/>
          <w:color w:val="000000" w:themeColor="text1"/>
          <w:highlight w:val="none"/>
          <w14:textFill>
            <w14:solidFill>
              <w14:schemeClr w14:val="tx1"/>
            </w14:solidFill>
          </w14:textFill>
        </w:rPr>
        <w:t>四</w:t>
      </w:r>
      <w:r>
        <w:rPr>
          <w:color w:val="000000" w:themeColor="text1"/>
          <w:highlight w:val="none"/>
          <w14:textFill>
            <w14:solidFill>
              <w14:schemeClr w14:val="tx1"/>
            </w14:solidFill>
          </w14:textFill>
        </w:rPr>
        <w:t>篇  图纸</w:t>
      </w:r>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p>
    <w:p w14:paraId="4D7B052C">
      <w:pPr>
        <w:rPr>
          <w:color w:val="000000" w:themeColor="text1"/>
          <w:highlight w:val="none"/>
          <w14:textFill>
            <w14:solidFill>
              <w14:schemeClr w14:val="tx1"/>
            </w14:solidFill>
          </w14:textFill>
        </w:rPr>
      </w:pPr>
    </w:p>
    <w:p w14:paraId="3A162A1F">
      <w:pPr>
        <w:jc w:val="center"/>
        <w:rPr>
          <w:color w:val="000000" w:themeColor="text1"/>
          <w:highlight w:val="none"/>
          <w14:textFill>
            <w14:solidFill>
              <w14:schemeClr w14:val="tx1"/>
            </w14:solidFill>
          </w14:textFill>
        </w:rPr>
      </w:pPr>
    </w:p>
    <w:p w14:paraId="59106435">
      <w:pPr>
        <w:jc w:val="center"/>
        <w:rPr>
          <w:rFonts w:hint="eastAsia"/>
          <w:b/>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图纸目录</w:t>
      </w:r>
    </w:p>
    <w:p w14:paraId="73E5B162">
      <w:pPr>
        <w:jc w:val="center"/>
        <w:rPr>
          <w:rFonts w:hint="eastAsia"/>
          <w:b/>
          <w:color w:val="000000" w:themeColor="text1"/>
          <w:sz w:val="24"/>
          <w:highlight w:val="none"/>
          <w14:textFill>
            <w14:solidFill>
              <w14:schemeClr w14:val="tx1"/>
            </w14:solidFill>
          </w14:textFill>
        </w:rPr>
      </w:pPr>
    </w:p>
    <w:tbl>
      <w:tblPr>
        <w:tblStyle w:val="31"/>
        <w:tblW w:w="8670" w:type="dxa"/>
        <w:tblInd w:w="153"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95"/>
        <w:gridCol w:w="6510"/>
        <w:gridCol w:w="1365"/>
      </w:tblGrid>
      <w:tr w14:paraId="104A47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795" w:type="dxa"/>
            <w:vAlign w:val="center"/>
          </w:tcPr>
          <w:p w14:paraId="64E13CEA">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序号</w:t>
            </w:r>
          </w:p>
        </w:tc>
        <w:tc>
          <w:tcPr>
            <w:tcW w:w="6510" w:type="dxa"/>
            <w:vAlign w:val="center"/>
          </w:tcPr>
          <w:p w14:paraId="2FEAB9EC">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图纸名称</w:t>
            </w:r>
          </w:p>
        </w:tc>
        <w:tc>
          <w:tcPr>
            <w:tcW w:w="1365" w:type="dxa"/>
            <w:vAlign w:val="center"/>
          </w:tcPr>
          <w:p w14:paraId="5AEB4F33">
            <w:pPr>
              <w:jc w:val="center"/>
              <w:rPr>
                <w:color w:val="000000" w:themeColor="text1"/>
                <w:szCs w:val="21"/>
                <w:highlight w:val="none"/>
                <w14:textFill>
                  <w14:solidFill>
                    <w14:schemeClr w14:val="tx1"/>
                  </w14:solidFill>
                </w14:textFill>
              </w:rPr>
            </w:pPr>
            <w:r>
              <w:rPr>
                <w:rFonts w:hint="eastAsia" w:ascii="宋体" w:hAnsi="宋体" w:cs="宋体"/>
                <w:color w:val="000000" w:themeColor="text1"/>
                <w:kern w:val="0"/>
                <w:sz w:val="20"/>
                <w:szCs w:val="20"/>
                <w:highlight w:val="none"/>
                <w14:textFill>
                  <w14:solidFill>
                    <w14:schemeClr w14:val="tx1"/>
                  </w14:solidFill>
                </w14:textFill>
              </w:rPr>
              <w:t>日期</w:t>
            </w:r>
          </w:p>
        </w:tc>
      </w:tr>
      <w:tr w14:paraId="2F5EF9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795" w:type="dxa"/>
            <w:vAlign w:val="center"/>
          </w:tcPr>
          <w:p w14:paraId="0CB02E28">
            <w:pPr>
              <w:numPr>
                <w:ilvl w:val="0"/>
                <w:numId w:val="13"/>
              </w:numPr>
              <w:jc w:val="center"/>
              <w:rPr>
                <w:color w:val="000000" w:themeColor="text1"/>
                <w:szCs w:val="21"/>
                <w:highlight w:val="none"/>
                <w14:textFill>
                  <w14:solidFill>
                    <w14:schemeClr w14:val="tx1"/>
                  </w14:solidFill>
                </w14:textFill>
              </w:rPr>
            </w:pPr>
          </w:p>
        </w:tc>
        <w:tc>
          <w:tcPr>
            <w:tcW w:w="6510" w:type="dxa"/>
            <w:vAlign w:val="center"/>
          </w:tcPr>
          <w:p w14:paraId="5DE762FC">
            <w:pPr>
              <w:jc w:val="left"/>
              <w:rPr>
                <w:rFonts w:hint="default" w:eastAsia="宋体"/>
                <w:color w:val="000000" w:themeColor="text1"/>
                <w:szCs w:val="21"/>
                <w:highlight w:val="none"/>
                <w:lang w:val="en-US" w:eastAsia="zh-CN"/>
                <w14:textFill>
                  <w14:solidFill>
                    <w14:schemeClr w14:val="tx1"/>
                  </w14:solidFill>
                </w14:textFill>
              </w:rPr>
            </w:pPr>
            <w:r>
              <w:rPr>
                <w:rFonts w:hint="eastAsia"/>
                <w:color w:val="000000" w:themeColor="text1"/>
                <w:szCs w:val="21"/>
                <w:highlight w:val="none"/>
                <w:lang w:val="en-US" w:eastAsia="zh-CN"/>
                <w14:textFill>
                  <w14:solidFill>
                    <w14:schemeClr w14:val="tx1"/>
                  </w14:solidFill>
                </w14:textFill>
              </w:rPr>
              <w:t>海兴盐场特大桥施工图纸</w:t>
            </w:r>
          </w:p>
        </w:tc>
        <w:tc>
          <w:tcPr>
            <w:tcW w:w="1365" w:type="dxa"/>
            <w:vAlign w:val="center"/>
          </w:tcPr>
          <w:p w14:paraId="10CD4F11">
            <w:pPr>
              <w:jc w:val="center"/>
              <w:rPr>
                <w:color w:val="000000" w:themeColor="text1"/>
                <w:szCs w:val="21"/>
                <w:highlight w:val="none"/>
                <w14:textFill>
                  <w14:solidFill>
                    <w14:schemeClr w14:val="tx1"/>
                  </w14:solidFill>
                </w14:textFill>
              </w:rPr>
            </w:pPr>
          </w:p>
        </w:tc>
      </w:tr>
      <w:tr w14:paraId="468986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795" w:type="dxa"/>
            <w:vAlign w:val="center"/>
          </w:tcPr>
          <w:p w14:paraId="69A0D60D">
            <w:pPr>
              <w:numPr>
                <w:ilvl w:val="0"/>
                <w:numId w:val="13"/>
              </w:numPr>
              <w:jc w:val="center"/>
              <w:rPr>
                <w:color w:val="000000" w:themeColor="text1"/>
                <w:szCs w:val="21"/>
                <w:highlight w:val="none"/>
                <w14:textFill>
                  <w14:solidFill>
                    <w14:schemeClr w14:val="tx1"/>
                  </w14:solidFill>
                </w14:textFill>
              </w:rPr>
            </w:pPr>
          </w:p>
        </w:tc>
        <w:tc>
          <w:tcPr>
            <w:tcW w:w="6510" w:type="dxa"/>
            <w:vAlign w:val="center"/>
          </w:tcPr>
          <w:p w14:paraId="5A40A89B">
            <w:pPr>
              <w:jc w:val="left"/>
              <w:rPr>
                <w:color w:val="000000" w:themeColor="text1"/>
                <w:szCs w:val="21"/>
                <w:highlight w:val="none"/>
                <w14:textFill>
                  <w14:solidFill>
                    <w14:schemeClr w14:val="tx1"/>
                  </w14:solidFill>
                </w14:textFill>
              </w:rPr>
            </w:pPr>
          </w:p>
        </w:tc>
        <w:tc>
          <w:tcPr>
            <w:tcW w:w="1365" w:type="dxa"/>
            <w:vAlign w:val="center"/>
          </w:tcPr>
          <w:p w14:paraId="7D91341F">
            <w:pPr>
              <w:jc w:val="center"/>
              <w:rPr>
                <w:color w:val="000000" w:themeColor="text1"/>
                <w:szCs w:val="21"/>
                <w:highlight w:val="none"/>
                <w14:textFill>
                  <w14:solidFill>
                    <w14:schemeClr w14:val="tx1"/>
                  </w14:solidFill>
                </w14:textFill>
              </w:rPr>
            </w:pPr>
          </w:p>
        </w:tc>
      </w:tr>
      <w:tr w14:paraId="7B9F2E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795" w:type="dxa"/>
            <w:vAlign w:val="center"/>
          </w:tcPr>
          <w:p w14:paraId="24EA11E0">
            <w:pPr>
              <w:numPr>
                <w:ilvl w:val="0"/>
                <w:numId w:val="13"/>
              </w:numPr>
              <w:jc w:val="center"/>
              <w:rPr>
                <w:color w:val="000000" w:themeColor="text1"/>
                <w:szCs w:val="21"/>
                <w:highlight w:val="none"/>
                <w14:textFill>
                  <w14:solidFill>
                    <w14:schemeClr w14:val="tx1"/>
                  </w14:solidFill>
                </w14:textFill>
              </w:rPr>
            </w:pPr>
          </w:p>
        </w:tc>
        <w:tc>
          <w:tcPr>
            <w:tcW w:w="6510" w:type="dxa"/>
            <w:vAlign w:val="center"/>
          </w:tcPr>
          <w:p w14:paraId="42BC78F8">
            <w:pPr>
              <w:jc w:val="left"/>
              <w:rPr>
                <w:color w:val="000000" w:themeColor="text1"/>
                <w:szCs w:val="21"/>
                <w:highlight w:val="none"/>
                <w14:textFill>
                  <w14:solidFill>
                    <w14:schemeClr w14:val="tx1"/>
                  </w14:solidFill>
                </w14:textFill>
              </w:rPr>
            </w:pPr>
          </w:p>
        </w:tc>
        <w:tc>
          <w:tcPr>
            <w:tcW w:w="1365" w:type="dxa"/>
            <w:vAlign w:val="center"/>
          </w:tcPr>
          <w:p w14:paraId="53799D95">
            <w:pPr>
              <w:jc w:val="center"/>
              <w:rPr>
                <w:color w:val="000000" w:themeColor="text1"/>
                <w:szCs w:val="21"/>
                <w:highlight w:val="none"/>
                <w14:textFill>
                  <w14:solidFill>
                    <w14:schemeClr w14:val="tx1"/>
                  </w14:solidFill>
                </w14:textFill>
              </w:rPr>
            </w:pPr>
          </w:p>
        </w:tc>
      </w:tr>
      <w:tr w14:paraId="45F6FF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795" w:type="dxa"/>
            <w:vAlign w:val="center"/>
          </w:tcPr>
          <w:p w14:paraId="24CD881F">
            <w:pPr>
              <w:numPr>
                <w:ilvl w:val="0"/>
                <w:numId w:val="13"/>
              </w:numPr>
              <w:jc w:val="center"/>
              <w:rPr>
                <w:color w:val="000000" w:themeColor="text1"/>
                <w:szCs w:val="21"/>
                <w:highlight w:val="none"/>
                <w14:textFill>
                  <w14:solidFill>
                    <w14:schemeClr w14:val="tx1"/>
                  </w14:solidFill>
                </w14:textFill>
              </w:rPr>
            </w:pPr>
          </w:p>
        </w:tc>
        <w:tc>
          <w:tcPr>
            <w:tcW w:w="6510" w:type="dxa"/>
            <w:vAlign w:val="center"/>
          </w:tcPr>
          <w:p w14:paraId="7BEBE3CD">
            <w:pPr>
              <w:jc w:val="left"/>
              <w:rPr>
                <w:color w:val="000000" w:themeColor="text1"/>
                <w:szCs w:val="21"/>
                <w:highlight w:val="none"/>
                <w14:textFill>
                  <w14:solidFill>
                    <w14:schemeClr w14:val="tx1"/>
                  </w14:solidFill>
                </w14:textFill>
              </w:rPr>
            </w:pPr>
          </w:p>
        </w:tc>
        <w:tc>
          <w:tcPr>
            <w:tcW w:w="1365" w:type="dxa"/>
            <w:vAlign w:val="center"/>
          </w:tcPr>
          <w:p w14:paraId="238F27CF">
            <w:pPr>
              <w:jc w:val="center"/>
              <w:rPr>
                <w:color w:val="000000" w:themeColor="text1"/>
                <w:szCs w:val="21"/>
                <w:highlight w:val="none"/>
                <w14:textFill>
                  <w14:solidFill>
                    <w14:schemeClr w14:val="tx1"/>
                  </w14:solidFill>
                </w14:textFill>
              </w:rPr>
            </w:pPr>
          </w:p>
        </w:tc>
      </w:tr>
    </w:tbl>
    <w:p w14:paraId="2FAB05EE">
      <w:pPr>
        <w:spacing w:line="360" w:lineRule="auto"/>
        <w:rPr>
          <w:rFonts w:hint="eastAsia" w:ascii="宋体" w:hAnsi="宋体" w:cs="宋体"/>
          <w:b/>
          <w:bCs/>
          <w:color w:val="000000" w:themeColor="text1"/>
          <w:kern w:val="0"/>
          <w:sz w:val="22"/>
          <w:szCs w:val="22"/>
          <w:highlight w:val="none"/>
          <w14:textFill>
            <w14:solidFill>
              <w14:schemeClr w14:val="tx1"/>
            </w14:solidFill>
          </w14:textFill>
        </w:rPr>
      </w:pPr>
    </w:p>
    <w:p w14:paraId="4F0F4078">
      <w:pPr>
        <w:spacing w:line="360" w:lineRule="auto"/>
        <w:rPr>
          <w:color w:val="000000" w:themeColor="text1"/>
          <w:highlight w:val="none"/>
          <w14:textFill>
            <w14:solidFill>
              <w14:schemeClr w14:val="tx1"/>
            </w14:solidFill>
          </w14:textFill>
        </w:rPr>
      </w:pPr>
    </w:p>
    <w:p w14:paraId="109EB26A">
      <w:pPr>
        <w:spacing w:line="360" w:lineRule="auto"/>
        <w:rPr>
          <w:color w:val="000000" w:themeColor="text1"/>
          <w:highlight w:val="none"/>
          <w14:textFill>
            <w14:solidFill>
              <w14:schemeClr w14:val="tx1"/>
            </w14:solidFill>
          </w14:textFill>
        </w:rPr>
        <w:sectPr>
          <w:headerReference r:id="rId14" w:type="default"/>
          <w:pgSz w:w="11907" w:h="16840"/>
          <w:pgMar w:top="1417" w:right="1701" w:bottom="1417" w:left="1701" w:header="850" w:footer="1134" w:gutter="0"/>
          <w:pgNumType w:fmt="decimal"/>
          <w:cols w:space="0" w:num="1"/>
          <w:rtlGutter w:val="0"/>
          <w:docGrid w:linePitch="312" w:charSpace="0"/>
        </w:sectPr>
      </w:pPr>
    </w:p>
    <w:p w14:paraId="1FD461BB">
      <w:pPr>
        <w:pStyle w:val="2"/>
        <w:rPr>
          <w:color w:val="000000" w:themeColor="text1"/>
          <w:highlight w:val="none"/>
          <w14:textFill>
            <w14:solidFill>
              <w14:schemeClr w14:val="tx1"/>
            </w14:solidFill>
          </w14:textFill>
        </w:rPr>
      </w:pPr>
      <w:bookmarkStart w:id="1724" w:name="_Toc284135617"/>
      <w:r>
        <w:rPr>
          <w:color w:val="000000" w:themeColor="text1"/>
          <w:highlight w:val="none"/>
          <w14:textFill>
            <w14:solidFill>
              <w14:schemeClr w14:val="tx1"/>
            </w14:solidFill>
          </w14:textFill>
        </w:rPr>
        <w:t>第</w:t>
      </w:r>
      <w:r>
        <w:rPr>
          <w:rFonts w:hint="eastAsia"/>
          <w:color w:val="000000" w:themeColor="text1"/>
          <w:highlight w:val="none"/>
          <w14:textFill>
            <w14:solidFill>
              <w14:schemeClr w14:val="tx1"/>
            </w14:solidFill>
          </w14:textFill>
        </w:rPr>
        <w:t>五</w:t>
      </w:r>
      <w:r>
        <w:rPr>
          <w:color w:val="000000" w:themeColor="text1"/>
          <w:highlight w:val="none"/>
          <w14:textFill>
            <w14:solidFill>
              <w14:schemeClr w14:val="tx1"/>
            </w14:solidFill>
          </w14:textFill>
        </w:rPr>
        <w:t>篇  工程量清单</w:t>
      </w:r>
      <w:bookmarkEnd w:id="1724"/>
    </w:p>
    <w:p w14:paraId="31B5F5BC">
      <w:pPr>
        <w:pStyle w:val="3"/>
        <w:spacing w:before="240" w:beforeLines="100" w:after="120" w:afterLines="50" w:line="360" w:lineRule="auto"/>
        <w:jc w:val="center"/>
        <w:rPr>
          <w:rStyle w:val="46"/>
          <w:rFonts w:ascii="Times New Roman" w:hAnsi="Times New Roman" w:eastAsia="宋体"/>
          <w:b/>
          <w:bCs w:val="0"/>
          <w:color w:val="000000" w:themeColor="text1"/>
          <w:sz w:val="32"/>
          <w:highlight w:val="none"/>
          <w14:textFill>
            <w14:solidFill>
              <w14:schemeClr w14:val="tx1"/>
            </w14:solidFill>
          </w14:textFill>
        </w:rPr>
      </w:pPr>
      <w:bookmarkStart w:id="1725" w:name="_Toc20578214"/>
      <w:bookmarkStart w:id="1726" w:name="_Toc53946163"/>
      <w:bookmarkStart w:id="1727" w:name="_Toc144872159"/>
      <w:bookmarkStart w:id="1728" w:name="_Toc53949560"/>
      <w:bookmarkStart w:id="1729" w:name="_Toc145499813"/>
      <w:bookmarkStart w:id="1730" w:name="_Toc53948718"/>
      <w:bookmarkStart w:id="1731" w:name="_Toc54281175"/>
      <w:bookmarkStart w:id="1732" w:name="_Toc53949139"/>
      <w:bookmarkStart w:id="1733" w:name="_Toc54280749"/>
      <w:bookmarkStart w:id="1734" w:name="_Toc54278940"/>
      <w:bookmarkStart w:id="1735" w:name="_Toc284135618"/>
      <w:bookmarkStart w:id="1736" w:name="_Toc54280323"/>
      <w:bookmarkStart w:id="1737" w:name="_Toc54281601"/>
      <w:bookmarkStart w:id="1738" w:name="_Toc54291505"/>
      <w:r>
        <w:rPr>
          <w:rStyle w:val="46"/>
          <w:rFonts w:ascii="Times New Roman" w:hAnsi="Times New Roman" w:eastAsia="宋体"/>
          <w:b/>
          <w:bCs w:val="0"/>
          <w:color w:val="000000" w:themeColor="text1"/>
          <w:sz w:val="32"/>
          <w:highlight w:val="none"/>
          <w14:textFill>
            <w14:solidFill>
              <w14:schemeClr w14:val="tx1"/>
            </w14:solidFill>
          </w14:textFill>
        </w:rPr>
        <w:t>第一章  工程量清单一般要求</w:t>
      </w:r>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p>
    <w:p w14:paraId="2CA10CFB">
      <w:pPr>
        <w:pStyle w:val="53"/>
        <w:spacing w:before="120"/>
        <w:rPr>
          <w:rStyle w:val="46"/>
          <w:rFonts w:ascii="Times New Roman" w:hAnsi="Times New Roman" w:eastAsia="宋体" w:cs="Times New Roman"/>
          <w:b/>
          <w:bCs w:val="0"/>
          <w:color w:val="000000" w:themeColor="text1"/>
          <w:szCs w:val="24"/>
          <w:highlight w:val="none"/>
          <w14:textFill>
            <w14:solidFill>
              <w14:schemeClr w14:val="tx1"/>
            </w14:solidFill>
          </w14:textFill>
        </w:rPr>
      </w:pPr>
      <w:bookmarkStart w:id="1739" w:name="_Toc145499814"/>
      <w:bookmarkStart w:id="1740" w:name="_Toc53948719"/>
      <w:bookmarkStart w:id="1741" w:name="_Toc53916580"/>
      <w:bookmarkStart w:id="1742" w:name="_Toc53919178"/>
      <w:bookmarkStart w:id="1743" w:name="_Toc53939961"/>
      <w:bookmarkStart w:id="1744" w:name="_Toc53949561"/>
      <w:bookmarkStart w:id="1745" w:name="_Toc144872160"/>
      <w:bookmarkStart w:id="1746" w:name="_Toc53936890"/>
      <w:bookmarkStart w:id="1747" w:name="_Toc54281176"/>
      <w:bookmarkStart w:id="1748" w:name="_Toc54280324"/>
      <w:bookmarkStart w:id="1749" w:name="_Toc54291506"/>
      <w:bookmarkStart w:id="1750" w:name="_Toc54280750"/>
      <w:bookmarkStart w:id="1751" w:name="_Toc20578215"/>
      <w:bookmarkStart w:id="1752" w:name="_Toc54281602"/>
      <w:bookmarkStart w:id="1753" w:name="_Toc53946164"/>
      <w:bookmarkStart w:id="1754" w:name="_Toc53949140"/>
      <w:bookmarkStart w:id="1755" w:name="_Toc54278941"/>
      <w:r>
        <w:rPr>
          <w:rStyle w:val="46"/>
          <w:rFonts w:ascii="Times New Roman" w:hAnsi="Times New Roman" w:eastAsia="宋体" w:cs="Times New Roman"/>
          <w:b/>
          <w:bCs w:val="0"/>
          <w:color w:val="000000" w:themeColor="text1"/>
          <w:szCs w:val="24"/>
          <w:highlight w:val="none"/>
          <w14:textFill>
            <w14:solidFill>
              <w14:schemeClr w14:val="tx1"/>
            </w14:solidFill>
          </w14:textFill>
        </w:rPr>
        <w:t>1.设置范围</w:t>
      </w:r>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p>
    <w:p w14:paraId="397BD14D">
      <w:pPr>
        <w:spacing w:line="360" w:lineRule="auto"/>
        <w:ind w:left="735" w:leftChars="200" w:hanging="315" w:hangingChars="15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1.1工程量清单</w:t>
      </w:r>
      <w:r>
        <w:rPr>
          <w:rFonts w:hint="eastAsia"/>
          <w:color w:val="000000" w:themeColor="text1"/>
          <w:szCs w:val="21"/>
          <w:highlight w:val="none"/>
          <w14:textFill>
            <w14:solidFill>
              <w14:schemeClr w14:val="tx1"/>
            </w14:solidFill>
          </w14:textFill>
        </w:rPr>
        <w:t>依据现行国家、行业规范标准，按照图纸和工程情况进行编制</w:t>
      </w:r>
      <w:r>
        <w:rPr>
          <w:color w:val="000000" w:themeColor="text1"/>
          <w:szCs w:val="21"/>
          <w:highlight w:val="none"/>
          <w14:textFill>
            <w14:solidFill>
              <w14:schemeClr w14:val="tx1"/>
            </w14:solidFill>
          </w14:textFill>
        </w:rPr>
        <w:t>。</w:t>
      </w:r>
    </w:p>
    <w:p w14:paraId="5E1941D3">
      <w:pPr>
        <w:spacing w:line="360" w:lineRule="auto"/>
        <w:ind w:left="735" w:leftChars="200" w:hanging="315" w:hangingChars="15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w:t>
      </w:r>
      <w:r>
        <w:rPr>
          <w:rFonts w:hint="eastAsia"/>
          <w:color w:val="000000" w:themeColor="text1"/>
          <w:szCs w:val="21"/>
          <w:highlight w:val="none"/>
          <w14:textFill>
            <w14:solidFill>
              <w14:schemeClr w14:val="tx1"/>
            </w14:solidFill>
          </w14:textFill>
        </w:rPr>
        <w:t>2</w:t>
      </w:r>
      <w:r>
        <w:rPr>
          <w:color w:val="000000" w:themeColor="text1"/>
          <w:szCs w:val="21"/>
          <w:highlight w:val="none"/>
          <w14:textFill>
            <w14:solidFill>
              <w14:schemeClr w14:val="tx1"/>
            </w14:solidFill>
          </w14:textFill>
        </w:rPr>
        <w:t>本合同分部分项工程量清单各细目所报单价除非合同另有规定，均应包括了为实施和完成合同工程所需的</w:t>
      </w:r>
      <w:r>
        <w:rPr>
          <w:rFonts w:hint="eastAsia"/>
          <w:color w:val="000000" w:themeColor="text1"/>
          <w:szCs w:val="21"/>
          <w:highlight w:val="none"/>
          <w14:textFill>
            <w14:solidFill>
              <w14:schemeClr w14:val="tx1"/>
            </w14:solidFill>
          </w14:textFill>
        </w:rPr>
        <w:t>劳务、材料、机械、措施、检测、质检、安装、缺陷修复、资料、保险、管理费、利润、规费、税金等费用、以及采购文件明示或暗示的所有责任、义务和合同约定的风险。</w:t>
      </w:r>
    </w:p>
    <w:p w14:paraId="09FF271A">
      <w:pPr>
        <w:spacing w:line="360" w:lineRule="auto"/>
        <w:ind w:left="735" w:leftChars="200" w:hanging="315" w:hangingChars="15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1.3</w:t>
      </w:r>
      <w:r>
        <w:rPr>
          <w:color w:val="000000" w:themeColor="text1"/>
          <w:szCs w:val="21"/>
          <w:highlight w:val="none"/>
          <w14:textFill>
            <w14:solidFill>
              <w14:schemeClr w14:val="tx1"/>
            </w14:solidFill>
          </w14:textFill>
        </w:rPr>
        <w:t>安全防护、文明施工措施费</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包括环境保护、文明施工、安全施工、临时设施</w:t>
      </w:r>
      <w:r>
        <w:rPr>
          <w:rFonts w:hint="eastAsia"/>
          <w:color w:val="000000" w:themeColor="text1"/>
          <w:szCs w:val="21"/>
          <w:highlight w:val="none"/>
          <w14:textFill>
            <w14:solidFill>
              <w14:schemeClr w14:val="tx1"/>
            </w14:solidFill>
          </w14:textFill>
        </w:rPr>
        <w:t>和施工围挡共五项</w:t>
      </w:r>
      <w:r>
        <w:rPr>
          <w:color w:val="000000" w:themeColor="text1"/>
          <w:szCs w:val="21"/>
          <w:highlight w:val="none"/>
          <w14:textFill>
            <w14:solidFill>
              <w14:schemeClr w14:val="tx1"/>
            </w14:solidFill>
          </w14:textFill>
        </w:rPr>
        <w:t>措施</w:t>
      </w:r>
      <w:r>
        <w:rPr>
          <w:rFonts w:hint="eastAsia"/>
          <w:color w:val="000000" w:themeColor="text1"/>
          <w:szCs w:val="21"/>
          <w:highlight w:val="none"/>
          <w14:textFill>
            <w14:solidFill>
              <w14:schemeClr w14:val="tx1"/>
            </w14:solidFill>
          </w14:textFill>
        </w:rPr>
        <w:t>）是乙方根据施工情况投入到本工程的安全生产、环保及文明施工费用，以完成工作量的</w:t>
      </w:r>
      <w:r>
        <w:rPr>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u w:val="single"/>
          <w:lang w:val="en-US" w:eastAsia="zh-CN"/>
          <w14:textFill>
            <w14:solidFill>
              <w14:schemeClr w14:val="tx1"/>
            </w14:solidFill>
          </w14:textFill>
        </w:rPr>
        <w:t>1.5</w:t>
      </w:r>
      <w:r>
        <w:rPr>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作为最高限计算，具体计量以采购人安全部与合约部共同确定的方法为准。</w:t>
      </w:r>
    </w:p>
    <w:p w14:paraId="1C8BD60E">
      <w:pPr>
        <w:pStyle w:val="53"/>
        <w:spacing w:before="120"/>
        <w:rPr>
          <w:rStyle w:val="46"/>
          <w:rFonts w:ascii="Times New Roman" w:hAnsi="Times New Roman" w:eastAsia="宋体" w:cs="Times New Roman"/>
          <w:b/>
          <w:bCs w:val="0"/>
          <w:color w:val="000000" w:themeColor="text1"/>
          <w:szCs w:val="24"/>
          <w:highlight w:val="none"/>
          <w14:textFill>
            <w14:solidFill>
              <w14:schemeClr w14:val="tx1"/>
            </w14:solidFill>
          </w14:textFill>
        </w:rPr>
      </w:pPr>
      <w:bookmarkStart w:id="1756" w:name="_Toc53949563"/>
      <w:bookmarkStart w:id="1757" w:name="_Toc53939963"/>
      <w:bookmarkStart w:id="1758" w:name="_Toc54281178"/>
      <w:bookmarkStart w:id="1759" w:name="_Toc144872162"/>
      <w:bookmarkStart w:id="1760" w:name="_Toc20578217"/>
      <w:bookmarkStart w:id="1761" w:name="_Toc53916582"/>
      <w:bookmarkStart w:id="1762" w:name="_Toc54280752"/>
      <w:bookmarkStart w:id="1763" w:name="_Toc145499816"/>
      <w:bookmarkStart w:id="1764" w:name="_Toc53919180"/>
      <w:bookmarkStart w:id="1765" w:name="_Toc53948721"/>
      <w:bookmarkStart w:id="1766" w:name="_Toc54280326"/>
      <w:bookmarkStart w:id="1767" w:name="_Toc54291508"/>
      <w:bookmarkStart w:id="1768" w:name="_Toc53946166"/>
      <w:bookmarkStart w:id="1769" w:name="_Toc54281604"/>
      <w:bookmarkStart w:id="1770" w:name="_Toc54278943"/>
      <w:bookmarkStart w:id="1771" w:name="_Toc53936892"/>
      <w:bookmarkStart w:id="1772" w:name="_Toc53949142"/>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2</w:t>
      </w:r>
      <w:r>
        <w:rPr>
          <w:rStyle w:val="46"/>
          <w:rFonts w:ascii="Times New Roman" w:hAnsi="Times New Roman" w:eastAsia="宋体" w:cs="Times New Roman"/>
          <w:b/>
          <w:bCs w:val="0"/>
          <w:color w:val="000000" w:themeColor="text1"/>
          <w:szCs w:val="24"/>
          <w:highlight w:val="none"/>
          <w14:textFill>
            <w14:solidFill>
              <w14:schemeClr w14:val="tx1"/>
            </w14:solidFill>
          </w14:textFill>
        </w:rPr>
        <w:t>.工程量的确定</w:t>
      </w:r>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p>
    <w:p w14:paraId="3B9FA71C">
      <w:pPr>
        <w:spacing w:line="360" w:lineRule="auto"/>
        <w:ind w:left="735" w:leftChars="200" w:hanging="315" w:hangingChars="15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2.1工程量清单中所列工程数量</w:t>
      </w:r>
      <w:r>
        <w:rPr>
          <w:rFonts w:hint="eastAsia"/>
          <w:color w:val="000000" w:themeColor="text1"/>
          <w:szCs w:val="21"/>
          <w:highlight w:val="none"/>
          <w14:textFill>
            <w14:solidFill>
              <w14:schemeClr w14:val="tx1"/>
            </w14:solidFill>
          </w14:textFill>
        </w:rPr>
        <w:t>为暂估量</w:t>
      </w:r>
      <w:r>
        <w:rPr>
          <w:color w:val="000000" w:themeColor="text1"/>
          <w:szCs w:val="21"/>
          <w:highlight w:val="none"/>
          <w14:textFill>
            <w14:solidFill>
              <w14:schemeClr w14:val="tx1"/>
            </w14:solidFill>
          </w14:textFill>
        </w:rPr>
        <w:t>，仅作为</w:t>
      </w:r>
      <w:r>
        <w:rPr>
          <w:rFonts w:hint="eastAsia"/>
          <w:color w:val="000000" w:themeColor="text1"/>
          <w:szCs w:val="21"/>
          <w:highlight w:val="none"/>
          <w14:textFill>
            <w14:solidFill>
              <w14:schemeClr w14:val="tx1"/>
            </w14:solidFill>
          </w14:textFill>
        </w:rPr>
        <w:t>报价</w:t>
      </w:r>
      <w:r>
        <w:rPr>
          <w:color w:val="000000" w:themeColor="text1"/>
          <w:szCs w:val="21"/>
          <w:highlight w:val="none"/>
          <w14:textFill>
            <w14:solidFill>
              <w14:schemeClr w14:val="tx1"/>
            </w14:solidFill>
          </w14:textFill>
        </w:rPr>
        <w:t>的共同基础，不作为最终结算与支付的依据。</w:t>
      </w:r>
    </w:p>
    <w:p w14:paraId="76DAB6B5">
      <w:pPr>
        <w:spacing w:line="360" w:lineRule="auto"/>
        <w:ind w:left="735" w:leftChars="200" w:hanging="315" w:hangingChars="15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w:t>
      </w:r>
      <w:r>
        <w:rPr>
          <w:color w:val="000000" w:themeColor="text1"/>
          <w:szCs w:val="21"/>
          <w:highlight w:val="none"/>
          <w14:textFill>
            <w14:solidFill>
              <w14:schemeClr w14:val="tx1"/>
            </w14:solidFill>
          </w14:textFill>
        </w:rPr>
        <w:t>.2实际支付应</w:t>
      </w:r>
      <w:r>
        <w:rPr>
          <w:rFonts w:hint="eastAsia"/>
          <w:color w:val="000000" w:themeColor="text1"/>
          <w:szCs w:val="21"/>
          <w:highlight w:val="none"/>
          <w14:textFill>
            <w14:solidFill>
              <w14:schemeClr w14:val="tx1"/>
            </w14:solidFill>
          </w14:textFill>
        </w:rPr>
        <w:t>以</w:t>
      </w:r>
      <w:r>
        <w:rPr>
          <w:color w:val="000000" w:themeColor="text1"/>
          <w:szCs w:val="21"/>
          <w:highlight w:val="none"/>
          <w14:textFill>
            <w14:solidFill>
              <w14:schemeClr w14:val="tx1"/>
            </w14:solidFill>
          </w14:textFill>
        </w:rPr>
        <w:t>承包人实际完成的工程量，按合同约定的计量方法和计量规则，经</w:t>
      </w:r>
      <w:r>
        <w:rPr>
          <w:rFonts w:hint="eastAsia"/>
          <w:color w:val="000000" w:themeColor="text1"/>
          <w:szCs w:val="21"/>
          <w:highlight w:val="none"/>
          <w14:textFill>
            <w14:solidFill>
              <w14:schemeClr w14:val="tx1"/>
            </w14:solidFill>
          </w14:textFill>
        </w:rPr>
        <w:t>采购</w:t>
      </w:r>
      <w:r>
        <w:rPr>
          <w:color w:val="000000" w:themeColor="text1"/>
          <w:szCs w:val="21"/>
          <w:highlight w:val="none"/>
          <w14:textFill>
            <w14:solidFill>
              <w14:schemeClr w14:val="tx1"/>
            </w14:solidFill>
          </w14:textFill>
        </w:rPr>
        <w:t>人认可或同意为准。</w:t>
      </w:r>
    </w:p>
    <w:p w14:paraId="3FA04048">
      <w:pPr>
        <w:pStyle w:val="53"/>
        <w:spacing w:before="120"/>
        <w:rPr>
          <w:rStyle w:val="46"/>
          <w:rFonts w:ascii="Times New Roman" w:hAnsi="Times New Roman" w:eastAsia="宋体" w:cs="Times New Roman"/>
          <w:b/>
          <w:bCs w:val="0"/>
          <w:color w:val="000000" w:themeColor="text1"/>
          <w:szCs w:val="24"/>
          <w:highlight w:val="none"/>
          <w14:textFill>
            <w14:solidFill>
              <w14:schemeClr w14:val="tx1"/>
            </w14:solidFill>
          </w14:textFill>
        </w:rPr>
      </w:pPr>
      <w:bookmarkStart w:id="1773" w:name="_Toc54291509"/>
      <w:bookmarkStart w:id="1774" w:name="_Toc53936893"/>
      <w:bookmarkStart w:id="1775" w:name="_Toc54280327"/>
      <w:bookmarkStart w:id="1776" w:name="_Toc54278944"/>
      <w:bookmarkStart w:id="1777" w:name="_Toc53939964"/>
      <w:bookmarkStart w:id="1778" w:name="_Toc145499817"/>
      <w:bookmarkStart w:id="1779" w:name="_Toc54281179"/>
      <w:bookmarkStart w:id="1780" w:name="_Toc54281605"/>
      <w:bookmarkStart w:id="1781" w:name="_Toc20578218"/>
      <w:bookmarkStart w:id="1782" w:name="_Toc53916583"/>
      <w:bookmarkStart w:id="1783" w:name="_Toc54280753"/>
      <w:bookmarkStart w:id="1784" w:name="_Toc53919181"/>
      <w:bookmarkStart w:id="1785" w:name="_Toc53946167"/>
      <w:bookmarkStart w:id="1786" w:name="_Toc53948722"/>
      <w:bookmarkStart w:id="1787" w:name="_Toc144872163"/>
      <w:bookmarkStart w:id="1788" w:name="_Toc53949564"/>
      <w:bookmarkStart w:id="1789" w:name="_Toc53949143"/>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3</w:t>
      </w:r>
      <w:r>
        <w:rPr>
          <w:rStyle w:val="46"/>
          <w:rFonts w:ascii="Times New Roman" w:hAnsi="Times New Roman" w:eastAsia="宋体" w:cs="Times New Roman"/>
          <w:b/>
          <w:bCs w:val="0"/>
          <w:color w:val="000000" w:themeColor="text1"/>
          <w:szCs w:val="24"/>
          <w:highlight w:val="none"/>
          <w14:textFill>
            <w14:solidFill>
              <w14:schemeClr w14:val="tx1"/>
            </w14:solidFill>
          </w14:textFill>
        </w:rPr>
        <w:t>.计量规则</w:t>
      </w:r>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p>
    <w:p w14:paraId="01CECDD2">
      <w:pPr>
        <w:spacing w:line="360" w:lineRule="auto"/>
        <w:ind w:left="735" w:leftChars="200" w:hanging="315" w:hangingChars="150"/>
        <w:rPr>
          <w:color w:val="000000" w:themeColor="text1"/>
          <w:szCs w:val="21"/>
          <w:highlight w:val="none"/>
          <w14:textFill>
            <w14:solidFill>
              <w14:schemeClr w14:val="tx1"/>
            </w14:solidFill>
          </w14:textFill>
        </w:rPr>
      </w:pPr>
      <w:bookmarkStart w:id="1790" w:name="_Toc38359629"/>
      <w:bookmarkStart w:id="1791" w:name="_Toc41820523"/>
      <w:bookmarkStart w:id="1792" w:name="_Toc53916584"/>
      <w:bookmarkStart w:id="1793" w:name="_Toc53919182"/>
      <w:bookmarkStart w:id="1794" w:name="_Toc53939965"/>
      <w:bookmarkStart w:id="1795" w:name="_Toc53936894"/>
      <w:bookmarkStart w:id="1796" w:name="_Toc20578219"/>
      <w:r>
        <w:rPr>
          <w:rFonts w:hint="eastAsia"/>
          <w:color w:val="000000" w:themeColor="text1"/>
          <w:szCs w:val="21"/>
          <w:highlight w:val="none"/>
          <w14:textFill>
            <w14:solidFill>
              <w14:schemeClr w14:val="tx1"/>
            </w14:solidFill>
          </w14:textFill>
        </w:rPr>
        <w:t>3</w:t>
      </w:r>
      <w:r>
        <w:rPr>
          <w:color w:val="000000" w:themeColor="text1"/>
          <w:szCs w:val="21"/>
          <w:highlight w:val="none"/>
          <w14:textFill>
            <w14:solidFill>
              <w14:schemeClr w14:val="tx1"/>
            </w14:solidFill>
          </w14:textFill>
        </w:rPr>
        <w:t>.1计量工作应按合同条款约定的程序进行，所计量的分部分项工程质量必须达到合同约定及国家现行规范要求。</w:t>
      </w:r>
    </w:p>
    <w:p w14:paraId="75BAA596">
      <w:pPr>
        <w:spacing w:line="360" w:lineRule="auto"/>
        <w:ind w:left="735" w:leftChars="200" w:hanging="315" w:hangingChars="15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w:t>
      </w:r>
      <w:r>
        <w:rPr>
          <w:color w:val="000000" w:themeColor="text1"/>
          <w:szCs w:val="21"/>
          <w:highlight w:val="none"/>
          <w14:textFill>
            <w14:solidFill>
              <w14:schemeClr w14:val="tx1"/>
            </w14:solidFill>
          </w14:textFill>
        </w:rPr>
        <w:t>.2各工程项目中已包括的所有材料</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包括钢筋搭接</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及工作损耗均不单独计量</w:t>
      </w:r>
      <w:r>
        <w:rPr>
          <w:rFonts w:hint="eastAsia"/>
          <w:color w:val="000000" w:themeColor="text1"/>
          <w:szCs w:val="21"/>
          <w:highlight w:val="none"/>
          <w14:textFill>
            <w14:solidFill>
              <w14:schemeClr w14:val="tx1"/>
            </w14:solidFill>
          </w14:textFill>
        </w:rPr>
        <w:t>，应综合考虑在报价的单价中</w:t>
      </w:r>
      <w:r>
        <w:rPr>
          <w:color w:val="000000" w:themeColor="text1"/>
          <w:szCs w:val="21"/>
          <w:highlight w:val="none"/>
          <w14:textFill>
            <w14:solidFill>
              <w14:schemeClr w14:val="tx1"/>
            </w14:solidFill>
          </w14:textFill>
        </w:rPr>
        <w:t>。</w:t>
      </w:r>
    </w:p>
    <w:bookmarkEnd w:id="1790"/>
    <w:bookmarkEnd w:id="1791"/>
    <w:p w14:paraId="146F6375">
      <w:pPr>
        <w:pStyle w:val="53"/>
        <w:spacing w:before="120"/>
        <w:rPr>
          <w:rStyle w:val="46"/>
          <w:rFonts w:ascii="Times New Roman" w:hAnsi="Times New Roman" w:eastAsia="宋体" w:cs="Times New Roman"/>
          <w:b/>
          <w:bCs w:val="0"/>
          <w:color w:val="000000" w:themeColor="text1"/>
          <w:szCs w:val="24"/>
          <w:highlight w:val="none"/>
          <w14:textFill>
            <w14:solidFill>
              <w14:schemeClr w14:val="tx1"/>
            </w14:solidFill>
          </w14:textFill>
        </w:rPr>
      </w:pPr>
      <w:bookmarkStart w:id="1797" w:name="_Toc54281606"/>
      <w:bookmarkStart w:id="1798" w:name="_Toc145499818"/>
      <w:bookmarkStart w:id="1799" w:name="_Toc54281180"/>
      <w:bookmarkStart w:id="1800" w:name="_Toc54291510"/>
      <w:bookmarkStart w:id="1801" w:name="_Toc144872164"/>
      <w:bookmarkStart w:id="1802" w:name="_Toc53949144"/>
      <w:bookmarkStart w:id="1803" w:name="_Toc54280754"/>
      <w:bookmarkStart w:id="1804" w:name="_Toc54280328"/>
      <w:bookmarkStart w:id="1805" w:name="_Toc53949565"/>
      <w:bookmarkStart w:id="1806" w:name="_Toc53946168"/>
      <w:bookmarkStart w:id="1807" w:name="_Toc53948723"/>
      <w:bookmarkStart w:id="1808" w:name="_Toc54278945"/>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4</w:t>
      </w:r>
      <w:r>
        <w:rPr>
          <w:rStyle w:val="46"/>
          <w:rFonts w:ascii="Times New Roman" w:hAnsi="Times New Roman" w:eastAsia="宋体" w:cs="Times New Roman"/>
          <w:b/>
          <w:bCs w:val="0"/>
          <w:color w:val="000000" w:themeColor="text1"/>
          <w:szCs w:val="24"/>
          <w:highlight w:val="none"/>
          <w14:textFill>
            <w14:solidFill>
              <w14:schemeClr w14:val="tx1"/>
            </w14:solidFill>
          </w14:textFill>
        </w:rPr>
        <w:t>.计量精度</w:t>
      </w:r>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p>
    <w:p w14:paraId="10474291">
      <w:pPr>
        <w:spacing w:line="360" w:lineRule="auto"/>
        <w:ind w:left="735" w:leftChars="200" w:hanging="315" w:hangingChars="15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1</w:t>
      </w:r>
      <w:r>
        <w:rPr>
          <w:color w:val="000000" w:themeColor="text1"/>
          <w:szCs w:val="21"/>
          <w:highlight w:val="none"/>
          <w14:textFill>
            <w14:solidFill>
              <w14:schemeClr w14:val="tx1"/>
            </w14:solidFill>
          </w14:textFill>
        </w:rPr>
        <w:t>单价精确到人民币“分”。</w:t>
      </w:r>
    </w:p>
    <w:p w14:paraId="18D17DF5">
      <w:pPr>
        <w:spacing w:line="360" w:lineRule="auto"/>
        <w:ind w:left="735" w:leftChars="200" w:hanging="315" w:hangingChars="15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2</w:t>
      </w:r>
      <w:r>
        <w:rPr>
          <w:color w:val="000000" w:themeColor="text1"/>
          <w:szCs w:val="21"/>
          <w:highlight w:val="none"/>
          <w14:textFill>
            <w14:solidFill>
              <w14:schemeClr w14:val="tx1"/>
            </w14:solidFill>
          </w14:textFill>
        </w:rPr>
        <w:t>合价</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工程数量与单价的乘积</w:t>
      </w: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精确到人民币“元”。</w:t>
      </w:r>
    </w:p>
    <w:p w14:paraId="17CA8889">
      <w:pPr>
        <w:pStyle w:val="3"/>
        <w:spacing w:before="240" w:beforeLines="100" w:after="120" w:afterLines="50" w:line="360" w:lineRule="auto"/>
        <w:jc w:val="center"/>
        <w:rPr>
          <w:rStyle w:val="46"/>
          <w:rFonts w:ascii="Times New Roman" w:hAnsi="Times New Roman" w:eastAsia="宋体"/>
          <w:b/>
          <w:bCs/>
          <w:color w:val="000000" w:themeColor="text1"/>
          <w:sz w:val="28"/>
          <w:szCs w:val="28"/>
          <w:highlight w:val="none"/>
          <w14:textFill>
            <w14:solidFill>
              <w14:schemeClr w14:val="tx1"/>
            </w14:solidFill>
          </w14:textFill>
        </w:rPr>
        <w:sectPr>
          <w:headerReference r:id="rId15" w:type="default"/>
          <w:pgSz w:w="11907" w:h="16840"/>
          <w:pgMar w:top="1417" w:right="1701" w:bottom="1417" w:left="1701" w:header="850" w:footer="1134" w:gutter="0"/>
          <w:pgNumType w:fmt="decimal"/>
          <w:cols w:space="0" w:num="1"/>
          <w:rtlGutter w:val="0"/>
          <w:docGrid w:linePitch="312" w:charSpace="0"/>
        </w:sectPr>
      </w:pPr>
      <w:bookmarkStart w:id="1809" w:name="_Toc284135619"/>
    </w:p>
    <w:p w14:paraId="3E477CAE">
      <w:pPr>
        <w:pStyle w:val="3"/>
        <w:spacing w:before="240" w:beforeLines="100" w:after="120" w:afterLines="50" w:line="360" w:lineRule="auto"/>
        <w:jc w:val="center"/>
        <w:rPr>
          <w:rStyle w:val="46"/>
          <w:rFonts w:ascii="Times New Roman" w:hAnsi="Times New Roman" w:eastAsia="宋体"/>
          <w:b/>
          <w:bCs w:val="0"/>
          <w:color w:val="000000" w:themeColor="text1"/>
          <w:sz w:val="32"/>
          <w:highlight w:val="none"/>
          <w14:textFill>
            <w14:solidFill>
              <w14:schemeClr w14:val="tx1"/>
            </w14:solidFill>
          </w14:textFill>
        </w:rPr>
      </w:pPr>
      <w:r>
        <w:rPr>
          <w:rStyle w:val="46"/>
          <w:rFonts w:ascii="Times New Roman" w:hAnsi="Times New Roman" w:eastAsia="宋体"/>
          <w:b/>
          <w:bCs w:val="0"/>
          <w:color w:val="000000" w:themeColor="text1"/>
          <w:sz w:val="32"/>
          <w:highlight w:val="none"/>
          <w14:textFill>
            <w14:solidFill>
              <w14:schemeClr w14:val="tx1"/>
            </w14:solidFill>
          </w14:textFill>
        </w:rPr>
        <w:t>第</w:t>
      </w:r>
      <w:r>
        <w:rPr>
          <w:rStyle w:val="46"/>
          <w:rFonts w:hint="eastAsia" w:ascii="Times New Roman" w:hAnsi="Times New Roman" w:eastAsia="宋体"/>
          <w:b/>
          <w:bCs w:val="0"/>
          <w:color w:val="000000" w:themeColor="text1"/>
          <w:sz w:val="32"/>
          <w:highlight w:val="none"/>
          <w14:textFill>
            <w14:solidFill>
              <w14:schemeClr w14:val="tx1"/>
            </w14:solidFill>
          </w14:textFill>
        </w:rPr>
        <w:t>二</w:t>
      </w:r>
      <w:r>
        <w:rPr>
          <w:rStyle w:val="46"/>
          <w:rFonts w:ascii="Times New Roman" w:hAnsi="Times New Roman" w:eastAsia="宋体"/>
          <w:b/>
          <w:bCs w:val="0"/>
          <w:color w:val="000000" w:themeColor="text1"/>
          <w:sz w:val="32"/>
          <w:highlight w:val="none"/>
          <w14:textFill>
            <w14:solidFill>
              <w14:schemeClr w14:val="tx1"/>
            </w14:solidFill>
          </w14:textFill>
        </w:rPr>
        <w:t>章  工程量清单</w:t>
      </w:r>
      <w:bookmarkEnd w:id="1809"/>
    </w:p>
    <w:p w14:paraId="5786E75E">
      <w:pPr>
        <w:pStyle w:val="3"/>
        <w:spacing w:before="240" w:beforeLines="100" w:after="120" w:afterLines="50" w:line="360" w:lineRule="auto"/>
        <w:rPr>
          <w:rStyle w:val="46"/>
          <w:rFonts w:ascii="Times New Roman" w:hAnsi="Times New Roman" w:eastAsia="宋体"/>
          <w:b w:val="0"/>
          <w:bCs w:val="0"/>
          <w:color w:val="000000" w:themeColor="text1"/>
          <w:szCs w:val="24"/>
          <w:highlight w:val="none"/>
          <w14:textFill>
            <w14:solidFill>
              <w14:schemeClr w14:val="tx1"/>
            </w14:solidFill>
          </w14:textFill>
        </w:rPr>
      </w:pPr>
      <w:bookmarkStart w:id="1810" w:name="OLE_LINK3"/>
      <w:r>
        <w:rPr>
          <w:rStyle w:val="46"/>
          <w:rFonts w:hint="eastAsia" w:ascii="Times New Roman" w:hAnsi="Times New Roman" w:eastAsia="宋体"/>
          <w:b/>
          <w:bCs w:val="0"/>
          <w:color w:val="000000" w:themeColor="text1"/>
          <w:szCs w:val="24"/>
          <w:highlight w:val="none"/>
          <w14:textFill>
            <w14:solidFill>
              <w14:schemeClr w14:val="tx1"/>
            </w14:solidFill>
          </w14:textFill>
        </w:rPr>
        <w:t>5</w:t>
      </w:r>
      <w:r>
        <w:rPr>
          <w:rStyle w:val="46"/>
          <w:rFonts w:ascii="Times New Roman" w:hAnsi="Times New Roman" w:eastAsia="宋体"/>
          <w:b/>
          <w:bCs w:val="0"/>
          <w:color w:val="000000" w:themeColor="text1"/>
          <w:szCs w:val="24"/>
          <w:highlight w:val="none"/>
          <w14:textFill>
            <w14:solidFill>
              <w14:schemeClr w14:val="tx1"/>
            </w14:solidFill>
          </w14:textFill>
        </w:rPr>
        <w:t>.工程量清单</w:t>
      </w:r>
      <w:r>
        <w:rPr>
          <w:rStyle w:val="46"/>
          <w:rFonts w:hint="eastAsia" w:ascii="Times New Roman" w:hAnsi="Times New Roman" w:eastAsia="宋体"/>
          <w:b w:val="0"/>
          <w:bCs w:val="0"/>
          <w:color w:val="000000" w:themeColor="text1"/>
          <w:szCs w:val="24"/>
          <w:highlight w:val="none"/>
          <w14:textFill>
            <w14:solidFill>
              <w14:schemeClr w14:val="tx1"/>
            </w14:solidFill>
          </w14:textFill>
        </w:rPr>
        <w:t>（各项目按此格式编制，必须为excel格式）</w:t>
      </w:r>
    </w:p>
    <w:p w14:paraId="6D66D7EA">
      <w:pPr>
        <w:spacing w:line="360" w:lineRule="auto"/>
        <w:ind w:left="422" w:hanging="422" w:hangingChars="150"/>
        <w:jc w:val="center"/>
        <w:rPr>
          <w:b/>
          <w:bCs/>
          <w:color w:val="000000" w:themeColor="text1"/>
          <w:sz w:val="28"/>
          <w:szCs w:val="28"/>
          <w:highlight w:val="none"/>
          <w14:textFill>
            <w14:solidFill>
              <w14:schemeClr w14:val="tx1"/>
            </w14:solidFill>
          </w14:textFill>
        </w:rPr>
      </w:pPr>
      <w:r>
        <w:rPr>
          <w:rFonts w:hint="eastAsia"/>
          <w:b/>
          <w:bCs/>
          <w:color w:val="000000" w:themeColor="text1"/>
          <w:sz w:val="28"/>
          <w:szCs w:val="28"/>
          <w:highlight w:val="none"/>
          <w14:textFill>
            <w14:solidFill>
              <w14:schemeClr w14:val="tx1"/>
            </w14:solidFill>
          </w14:textFill>
        </w:rPr>
        <w:t>XX工程量清单</w:t>
      </w:r>
    </w:p>
    <w:p w14:paraId="1D7612E3">
      <w:pPr>
        <w:spacing w:line="360" w:lineRule="auto"/>
        <w:rPr>
          <w:b/>
          <w:bCs/>
          <w:color w:val="000000" w:themeColor="text1"/>
          <w:szCs w:val="21"/>
          <w:highlight w:val="none"/>
          <w14:textFill>
            <w14:solidFill>
              <w14:schemeClr w14:val="tx1"/>
            </w14:solidFill>
          </w14:textFill>
        </w:rPr>
      </w:pPr>
      <w:r>
        <w:rPr>
          <w:rFonts w:hint="eastAsia"/>
          <w:b/>
          <w:bCs/>
          <w:color w:val="000000" w:themeColor="text1"/>
          <w:szCs w:val="21"/>
          <w:highlight w:val="none"/>
          <w14:textFill>
            <w14:solidFill>
              <w14:schemeClr w14:val="tx1"/>
            </w14:solidFill>
          </w14:textFill>
        </w:rPr>
        <w:t>工程名称：</w:t>
      </w:r>
    </w:p>
    <w:bookmarkEnd w:id="1810"/>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8"/>
        <w:gridCol w:w="546"/>
        <w:gridCol w:w="603"/>
        <w:gridCol w:w="546"/>
        <w:gridCol w:w="409"/>
        <w:gridCol w:w="409"/>
        <w:gridCol w:w="603"/>
        <w:gridCol w:w="796"/>
        <w:gridCol w:w="409"/>
        <w:gridCol w:w="409"/>
        <w:gridCol w:w="796"/>
        <w:gridCol w:w="796"/>
        <w:gridCol w:w="603"/>
        <w:gridCol w:w="603"/>
        <w:gridCol w:w="559"/>
      </w:tblGrid>
      <w:tr w14:paraId="18625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 w:type="pct"/>
            <w:vMerge w:val="restart"/>
            <w:vAlign w:val="center"/>
          </w:tcPr>
          <w:p w14:paraId="55BF5113">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序号</w:t>
            </w:r>
          </w:p>
        </w:tc>
        <w:tc>
          <w:tcPr>
            <w:tcW w:w="365" w:type="pct"/>
            <w:vMerge w:val="restart"/>
            <w:vAlign w:val="center"/>
          </w:tcPr>
          <w:p w14:paraId="2796321A">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清单项目</w:t>
            </w:r>
          </w:p>
        </w:tc>
        <w:tc>
          <w:tcPr>
            <w:tcW w:w="470" w:type="pct"/>
            <w:vMerge w:val="restart"/>
            <w:vAlign w:val="center"/>
          </w:tcPr>
          <w:p w14:paraId="480CCE03">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项目特征（按需填写）</w:t>
            </w:r>
          </w:p>
        </w:tc>
        <w:tc>
          <w:tcPr>
            <w:tcW w:w="472" w:type="pct"/>
            <w:vMerge w:val="restart"/>
            <w:vAlign w:val="center"/>
          </w:tcPr>
          <w:p w14:paraId="2E481644">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工作内容</w:t>
            </w:r>
          </w:p>
        </w:tc>
        <w:tc>
          <w:tcPr>
            <w:tcW w:w="280" w:type="pct"/>
            <w:vMerge w:val="restart"/>
            <w:vAlign w:val="center"/>
          </w:tcPr>
          <w:p w14:paraId="1E8B0BFE">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工程量计算规则</w:t>
            </w:r>
          </w:p>
        </w:tc>
        <w:tc>
          <w:tcPr>
            <w:tcW w:w="233" w:type="pct"/>
            <w:vMerge w:val="restart"/>
            <w:vAlign w:val="center"/>
          </w:tcPr>
          <w:p w14:paraId="5757C838">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计量单位</w:t>
            </w:r>
          </w:p>
        </w:tc>
        <w:tc>
          <w:tcPr>
            <w:tcW w:w="277" w:type="pct"/>
            <w:vMerge w:val="restart"/>
            <w:vAlign w:val="center"/>
          </w:tcPr>
          <w:p w14:paraId="5DA8E7FB">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工程量</w:t>
            </w:r>
          </w:p>
          <w:p w14:paraId="33D867A5">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（暂估）</w:t>
            </w:r>
          </w:p>
        </w:tc>
        <w:tc>
          <w:tcPr>
            <w:tcW w:w="778" w:type="pct"/>
            <w:gridSpan w:val="3"/>
            <w:vAlign w:val="center"/>
          </w:tcPr>
          <w:p w14:paraId="100CE828">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单价</w:t>
            </w:r>
          </w:p>
        </w:tc>
        <w:tc>
          <w:tcPr>
            <w:tcW w:w="299" w:type="pct"/>
            <w:vMerge w:val="restart"/>
            <w:vAlign w:val="center"/>
          </w:tcPr>
          <w:p w14:paraId="5A32F762">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不含增值税合价</w:t>
            </w:r>
          </w:p>
          <w:p w14:paraId="704954EC">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（元）</w:t>
            </w:r>
          </w:p>
        </w:tc>
        <w:tc>
          <w:tcPr>
            <w:tcW w:w="314" w:type="pct"/>
            <w:vMerge w:val="restart"/>
            <w:vAlign w:val="center"/>
          </w:tcPr>
          <w:p w14:paraId="484BD845">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含增值税合价</w:t>
            </w:r>
          </w:p>
          <w:p w14:paraId="20B4B6B2">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（元）</w:t>
            </w:r>
          </w:p>
        </w:tc>
        <w:tc>
          <w:tcPr>
            <w:tcW w:w="431" w:type="pct"/>
            <w:vMerge w:val="restart"/>
            <w:vAlign w:val="center"/>
          </w:tcPr>
          <w:p w14:paraId="4FD18628">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其中人工费单价（含税）</w:t>
            </w:r>
          </w:p>
        </w:tc>
        <w:tc>
          <w:tcPr>
            <w:tcW w:w="431" w:type="pct"/>
            <w:vMerge w:val="restart"/>
            <w:vAlign w:val="center"/>
          </w:tcPr>
          <w:p w14:paraId="34148EEA">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其中人工费合价（含税）</w:t>
            </w:r>
          </w:p>
        </w:tc>
        <w:tc>
          <w:tcPr>
            <w:tcW w:w="458" w:type="pct"/>
            <w:vMerge w:val="restart"/>
            <w:vAlign w:val="center"/>
          </w:tcPr>
          <w:p w14:paraId="13BB6D72">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备注</w:t>
            </w:r>
          </w:p>
        </w:tc>
      </w:tr>
      <w:tr w14:paraId="1931A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93" w:type="pct"/>
            <w:vMerge w:val="continue"/>
            <w:vAlign w:val="center"/>
          </w:tcPr>
          <w:p w14:paraId="0FD6CA93">
            <w:pPr>
              <w:jc w:val="center"/>
              <w:rPr>
                <w:color w:val="000000" w:themeColor="text1"/>
                <w:szCs w:val="21"/>
                <w:highlight w:val="none"/>
                <w14:textFill>
                  <w14:solidFill>
                    <w14:schemeClr w14:val="tx1"/>
                  </w14:solidFill>
                </w14:textFill>
              </w:rPr>
            </w:pPr>
          </w:p>
        </w:tc>
        <w:tc>
          <w:tcPr>
            <w:tcW w:w="365" w:type="pct"/>
            <w:vMerge w:val="continue"/>
            <w:vAlign w:val="center"/>
          </w:tcPr>
          <w:p w14:paraId="3E262353">
            <w:pPr>
              <w:jc w:val="center"/>
              <w:rPr>
                <w:color w:val="000000" w:themeColor="text1"/>
                <w:szCs w:val="21"/>
                <w:highlight w:val="none"/>
                <w14:textFill>
                  <w14:solidFill>
                    <w14:schemeClr w14:val="tx1"/>
                  </w14:solidFill>
                </w14:textFill>
              </w:rPr>
            </w:pPr>
          </w:p>
        </w:tc>
        <w:tc>
          <w:tcPr>
            <w:tcW w:w="470" w:type="pct"/>
            <w:vMerge w:val="continue"/>
            <w:vAlign w:val="center"/>
          </w:tcPr>
          <w:p w14:paraId="5825EA49">
            <w:pPr>
              <w:jc w:val="center"/>
              <w:rPr>
                <w:color w:val="000000" w:themeColor="text1"/>
                <w:szCs w:val="21"/>
                <w:highlight w:val="none"/>
                <w14:textFill>
                  <w14:solidFill>
                    <w14:schemeClr w14:val="tx1"/>
                  </w14:solidFill>
                </w14:textFill>
              </w:rPr>
            </w:pPr>
          </w:p>
        </w:tc>
        <w:tc>
          <w:tcPr>
            <w:tcW w:w="472" w:type="pct"/>
            <w:vMerge w:val="continue"/>
            <w:vAlign w:val="center"/>
          </w:tcPr>
          <w:p w14:paraId="4199E922">
            <w:pPr>
              <w:jc w:val="center"/>
              <w:rPr>
                <w:color w:val="000000" w:themeColor="text1"/>
                <w:szCs w:val="21"/>
                <w:highlight w:val="none"/>
                <w14:textFill>
                  <w14:solidFill>
                    <w14:schemeClr w14:val="tx1"/>
                  </w14:solidFill>
                </w14:textFill>
              </w:rPr>
            </w:pPr>
          </w:p>
        </w:tc>
        <w:tc>
          <w:tcPr>
            <w:tcW w:w="280" w:type="pct"/>
            <w:vMerge w:val="continue"/>
          </w:tcPr>
          <w:p w14:paraId="4891856F">
            <w:pPr>
              <w:jc w:val="center"/>
              <w:rPr>
                <w:color w:val="000000" w:themeColor="text1"/>
                <w:szCs w:val="21"/>
                <w:highlight w:val="none"/>
                <w14:textFill>
                  <w14:solidFill>
                    <w14:schemeClr w14:val="tx1"/>
                  </w14:solidFill>
                </w14:textFill>
              </w:rPr>
            </w:pPr>
          </w:p>
        </w:tc>
        <w:tc>
          <w:tcPr>
            <w:tcW w:w="233" w:type="pct"/>
            <w:vMerge w:val="continue"/>
            <w:vAlign w:val="center"/>
          </w:tcPr>
          <w:p w14:paraId="11B8C320">
            <w:pPr>
              <w:jc w:val="center"/>
              <w:rPr>
                <w:color w:val="000000" w:themeColor="text1"/>
                <w:szCs w:val="21"/>
                <w:highlight w:val="none"/>
                <w14:textFill>
                  <w14:solidFill>
                    <w14:schemeClr w14:val="tx1"/>
                  </w14:solidFill>
                </w14:textFill>
              </w:rPr>
            </w:pPr>
          </w:p>
        </w:tc>
        <w:tc>
          <w:tcPr>
            <w:tcW w:w="277" w:type="pct"/>
            <w:vMerge w:val="continue"/>
            <w:vAlign w:val="center"/>
          </w:tcPr>
          <w:p w14:paraId="78226742">
            <w:pPr>
              <w:jc w:val="center"/>
              <w:rPr>
                <w:color w:val="000000" w:themeColor="text1"/>
                <w:szCs w:val="21"/>
                <w:highlight w:val="none"/>
                <w14:textFill>
                  <w14:solidFill>
                    <w14:schemeClr w14:val="tx1"/>
                  </w14:solidFill>
                </w14:textFill>
              </w:rPr>
            </w:pPr>
          </w:p>
        </w:tc>
        <w:tc>
          <w:tcPr>
            <w:tcW w:w="333" w:type="pct"/>
            <w:vAlign w:val="center"/>
          </w:tcPr>
          <w:p w14:paraId="5AE03780">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不含增值税单价</w:t>
            </w:r>
          </w:p>
          <w:p w14:paraId="66BE1253">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（元）</w:t>
            </w:r>
          </w:p>
        </w:tc>
        <w:tc>
          <w:tcPr>
            <w:tcW w:w="212" w:type="pct"/>
            <w:vAlign w:val="center"/>
          </w:tcPr>
          <w:p w14:paraId="24D1D86A">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增值税</w:t>
            </w:r>
          </w:p>
        </w:tc>
        <w:tc>
          <w:tcPr>
            <w:tcW w:w="233" w:type="pct"/>
            <w:vAlign w:val="center"/>
          </w:tcPr>
          <w:p w14:paraId="21682151">
            <w:pPr>
              <w:widowControl/>
              <w:jc w:val="left"/>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合计</w:t>
            </w:r>
          </w:p>
        </w:tc>
        <w:tc>
          <w:tcPr>
            <w:tcW w:w="299" w:type="pct"/>
            <w:vMerge w:val="continue"/>
            <w:vAlign w:val="center"/>
          </w:tcPr>
          <w:p w14:paraId="32D2ECDB">
            <w:pPr>
              <w:jc w:val="center"/>
              <w:rPr>
                <w:color w:val="000000" w:themeColor="text1"/>
                <w:szCs w:val="21"/>
                <w:highlight w:val="none"/>
                <w14:textFill>
                  <w14:solidFill>
                    <w14:schemeClr w14:val="tx1"/>
                  </w14:solidFill>
                </w14:textFill>
              </w:rPr>
            </w:pPr>
          </w:p>
        </w:tc>
        <w:tc>
          <w:tcPr>
            <w:tcW w:w="314" w:type="pct"/>
            <w:vMerge w:val="continue"/>
            <w:vAlign w:val="center"/>
          </w:tcPr>
          <w:p w14:paraId="60D54B86">
            <w:pPr>
              <w:jc w:val="center"/>
              <w:rPr>
                <w:color w:val="000000" w:themeColor="text1"/>
                <w:szCs w:val="21"/>
                <w:highlight w:val="none"/>
                <w14:textFill>
                  <w14:solidFill>
                    <w14:schemeClr w14:val="tx1"/>
                  </w14:solidFill>
                </w14:textFill>
              </w:rPr>
            </w:pPr>
          </w:p>
        </w:tc>
        <w:tc>
          <w:tcPr>
            <w:tcW w:w="431" w:type="pct"/>
            <w:vMerge w:val="continue"/>
            <w:vAlign w:val="center"/>
          </w:tcPr>
          <w:p w14:paraId="71BF35D5">
            <w:pPr>
              <w:jc w:val="center"/>
              <w:rPr>
                <w:color w:val="000000" w:themeColor="text1"/>
                <w:szCs w:val="21"/>
                <w:highlight w:val="none"/>
                <w14:textFill>
                  <w14:solidFill>
                    <w14:schemeClr w14:val="tx1"/>
                  </w14:solidFill>
                </w14:textFill>
              </w:rPr>
            </w:pPr>
          </w:p>
        </w:tc>
        <w:tc>
          <w:tcPr>
            <w:tcW w:w="431" w:type="pct"/>
            <w:vMerge w:val="continue"/>
          </w:tcPr>
          <w:p w14:paraId="4F812AA2">
            <w:pPr>
              <w:jc w:val="center"/>
              <w:rPr>
                <w:color w:val="000000" w:themeColor="text1"/>
                <w:szCs w:val="21"/>
                <w:highlight w:val="none"/>
                <w14:textFill>
                  <w14:solidFill>
                    <w14:schemeClr w14:val="tx1"/>
                  </w14:solidFill>
                </w14:textFill>
              </w:rPr>
            </w:pPr>
          </w:p>
        </w:tc>
        <w:tc>
          <w:tcPr>
            <w:tcW w:w="458" w:type="pct"/>
            <w:vMerge w:val="continue"/>
            <w:vAlign w:val="center"/>
          </w:tcPr>
          <w:p w14:paraId="294D653D">
            <w:pPr>
              <w:jc w:val="center"/>
              <w:rPr>
                <w:color w:val="000000" w:themeColor="text1"/>
                <w:szCs w:val="21"/>
                <w:highlight w:val="none"/>
                <w14:textFill>
                  <w14:solidFill>
                    <w14:schemeClr w14:val="tx1"/>
                  </w14:solidFill>
                </w14:textFill>
              </w:rPr>
            </w:pPr>
          </w:p>
        </w:tc>
      </w:tr>
      <w:tr w14:paraId="3689B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93" w:type="pct"/>
            <w:vAlign w:val="center"/>
          </w:tcPr>
          <w:p w14:paraId="21DCC722">
            <w:pPr>
              <w:jc w:val="center"/>
              <w:rPr>
                <w:color w:val="000000" w:themeColor="text1"/>
                <w:szCs w:val="21"/>
                <w:highlight w:val="none"/>
                <w14:textFill>
                  <w14:solidFill>
                    <w14:schemeClr w14:val="tx1"/>
                  </w14:solidFill>
                </w14:textFill>
              </w:rPr>
            </w:pPr>
          </w:p>
        </w:tc>
        <w:tc>
          <w:tcPr>
            <w:tcW w:w="365" w:type="pct"/>
            <w:vAlign w:val="center"/>
          </w:tcPr>
          <w:p w14:paraId="2DD017F4">
            <w:pPr>
              <w:jc w:val="center"/>
              <w:rPr>
                <w:color w:val="000000" w:themeColor="text1"/>
                <w:szCs w:val="21"/>
                <w:highlight w:val="none"/>
                <w14:textFill>
                  <w14:solidFill>
                    <w14:schemeClr w14:val="tx1"/>
                  </w14:solidFill>
                </w14:textFill>
              </w:rPr>
            </w:pPr>
          </w:p>
        </w:tc>
        <w:tc>
          <w:tcPr>
            <w:tcW w:w="470" w:type="pct"/>
          </w:tcPr>
          <w:p w14:paraId="2333B2C0">
            <w:pPr>
              <w:jc w:val="center"/>
              <w:rPr>
                <w:color w:val="000000" w:themeColor="text1"/>
                <w:szCs w:val="21"/>
                <w:highlight w:val="none"/>
                <w14:textFill>
                  <w14:solidFill>
                    <w14:schemeClr w14:val="tx1"/>
                  </w14:solidFill>
                </w14:textFill>
              </w:rPr>
            </w:pPr>
          </w:p>
        </w:tc>
        <w:tc>
          <w:tcPr>
            <w:tcW w:w="472" w:type="pct"/>
            <w:vAlign w:val="center"/>
          </w:tcPr>
          <w:p w14:paraId="115D31B1">
            <w:pPr>
              <w:jc w:val="center"/>
              <w:rPr>
                <w:color w:val="000000" w:themeColor="text1"/>
                <w:szCs w:val="21"/>
                <w:highlight w:val="none"/>
                <w14:textFill>
                  <w14:solidFill>
                    <w14:schemeClr w14:val="tx1"/>
                  </w14:solidFill>
                </w14:textFill>
              </w:rPr>
            </w:pPr>
          </w:p>
        </w:tc>
        <w:tc>
          <w:tcPr>
            <w:tcW w:w="280" w:type="pct"/>
          </w:tcPr>
          <w:p w14:paraId="3F4800C8">
            <w:pPr>
              <w:jc w:val="center"/>
              <w:rPr>
                <w:color w:val="000000" w:themeColor="text1"/>
                <w:szCs w:val="21"/>
                <w:highlight w:val="none"/>
                <w14:textFill>
                  <w14:solidFill>
                    <w14:schemeClr w14:val="tx1"/>
                  </w14:solidFill>
                </w14:textFill>
              </w:rPr>
            </w:pPr>
          </w:p>
        </w:tc>
        <w:tc>
          <w:tcPr>
            <w:tcW w:w="233" w:type="pct"/>
            <w:vAlign w:val="center"/>
          </w:tcPr>
          <w:p w14:paraId="4852DC50">
            <w:pPr>
              <w:jc w:val="center"/>
              <w:rPr>
                <w:color w:val="000000" w:themeColor="text1"/>
                <w:szCs w:val="21"/>
                <w:highlight w:val="none"/>
                <w14:textFill>
                  <w14:solidFill>
                    <w14:schemeClr w14:val="tx1"/>
                  </w14:solidFill>
                </w14:textFill>
              </w:rPr>
            </w:pPr>
          </w:p>
        </w:tc>
        <w:tc>
          <w:tcPr>
            <w:tcW w:w="277" w:type="pct"/>
            <w:vAlign w:val="center"/>
          </w:tcPr>
          <w:p w14:paraId="2DDAB2DE">
            <w:pPr>
              <w:jc w:val="center"/>
              <w:rPr>
                <w:color w:val="000000" w:themeColor="text1"/>
                <w:szCs w:val="21"/>
                <w:highlight w:val="none"/>
                <w14:textFill>
                  <w14:solidFill>
                    <w14:schemeClr w14:val="tx1"/>
                  </w14:solidFill>
                </w14:textFill>
              </w:rPr>
            </w:pPr>
          </w:p>
        </w:tc>
        <w:tc>
          <w:tcPr>
            <w:tcW w:w="333" w:type="pct"/>
            <w:vAlign w:val="center"/>
          </w:tcPr>
          <w:p w14:paraId="3A0CC544">
            <w:pPr>
              <w:jc w:val="center"/>
              <w:rPr>
                <w:color w:val="000000" w:themeColor="text1"/>
                <w:szCs w:val="21"/>
                <w:highlight w:val="none"/>
                <w14:textFill>
                  <w14:solidFill>
                    <w14:schemeClr w14:val="tx1"/>
                  </w14:solidFill>
                </w14:textFill>
              </w:rPr>
            </w:pPr>
          </w:p>
        </w:tc>
        <w:tc>
          <w:tcPr>
            <w:tcW w:w="212" w:type="pct"/>
            <w:vAlign w:val="center"/>
          </w:tcPr>
          <w:p w14:paraId="16F89AA5">
            <w:pPr>
              <w:jc w:val="center"/>
              <w:rPr>
                <w:color w:val="000000" w:themeColor="text1"/>
                <w:szCs w:val="21"/>
                <w:highlight w:val="none"/>
                <w14:textFill>
                  <w14:solidFill>
                    <w14:schemeClr w14:val="tx1"/>
                  </w14:solidFill>
                </w14:textFill>
              </w:rPr>
            </w:pPr>
          </w:p>
        </w:tc>
        <w:tc>
          <w:tcPr>
            <w:tcW w:w="233" w:type="pct"/>
            <w:vAlign w:val="center"/>
          </w:tcPr>
          <w:p w14:paraId="5A5176B8">
            <w:pPr>
              <w:jc w:val="center"/>
              <w:rPr>
                <w:color w:val="000000" w:themeColor="text1"/>
                <w:szCs w:val="21"/>
                <w:highlight w:val="none"/>
                <w14:textFill>
                  <w14:solidFill>
                    <w14:schemeClr w14:val="tx1"/>
                  </w14:solidFill>
                </w14:textFill>
              </w:rPr>
            </w:pPr>
          </w:p>
        </w:tc>
        <w:tc>
          <w:tcPr>
            <w:tcW w:w="299" w:type="pct"/>
            <w:vAlign w:val="center"/>
          </w:tcPr>
          <w:p w14:paraId="02445554">
            <w:pPr>
              <w:jc w:val="center"/>
              <w:rPr>
                <w:color w:val="000000" w:themeColor="text1"/>
                <w:szCs w:val="21"/>
                <w:highlight w:val="none"/>
                <w14:textFill>
                  <w14:solidFill>
                    <w14:schemeClr w14:val="tx1"/>
                  </w14:solidFill>
                </w14:textFill>
              </w:rPr>
            </w:pPr>
          </w:p>
        </w:tc>
        <w:tc>
          <w:tcPr>
            <w:tcW w:w="314" w:type="pct"/>
            <w:vAlign w:val="center"/>
          </w:tcPr>
          <w:p w14:paraId="128A1AE3">
            <w:pPr>
              <w:jc w:val="center"/>
              <w:rPr>
                <w:color w:val="000000" w:themeColor="text1"/>
                <w:szCs w:val="21"/>
                <w:highlight w:val="none"/>
                <w14:textFill>
                  <w14:solidFill>
                    <w14:schemeClr w14:val="tx1"/>
                  </w14:solidFill>
                </w14:textFill>
              </w:rPr>
            </w:pPr>
          </w:p>
        </w:tc>
        <w:tc>
          <w:tcPr>
            <w:tcW w:w="431" w:type="pct"/>
          </w:tcPr>
          <w:p w14:paraId="57361FC0">
            <w:pPr>
              <w:jc w:val="center"/>
              <w:rPr>
                <w:color w:val="000000" w:themeColor="text1"/>
                <w:szCs w:val="21"/>
                <w:highlight w:val="none"/>
                <w14:textFill>
                  <w14:solidFill>
                    <w14:schemeClr w14:val="tx1"/>
                  </w14:solidFill>
                </w14:textFill>
              </w:rPr>
            </w:pPr>
          </w:p>
        </w:tc>
        <w:tc>
          <w:tcPr>
            <w:tcW w:w="431" w:type="pct"/>
          </w:tcPr>
          <w:p w14:paraId="526CFCD0">
            <w:pPr>
              <w:jc w:val="center"/>
              <w:rPr>
                <w:color w:val="000000" w:themeColor="text1"/>
                <w:szCs w:val="21"/>
                <w:highlight w:val="none"/>
                <w14:textFill>
                  <w14:solidFill>
                    <w14:schemeClr w14:val="tx1"/>
                  </w14:solidFill>
                </w14:textFill>
              </w:rPr>
            </w:pPr>
          </w:p>
        </w:tc>
        <w:tc>
          <w:tcPr>
            <w:tcW w:w="458" w:type="pct"/>
            <w:vAlign w:val="center"/>
          </w:tcPr>
          <w:p w14:paraId="3A2B9F44">
            <w:pPr>
              <w:jc w:val="center"/>
              <w:rPr>
                <w:color w:val="000000" w:themeColor="text1"/>
                <w:szCs w:val="21"/>
                <w:highlight w:val="none"/>
                <w14:textFill>
                  <w14:solidFill>
                    <w14:schemeClr w14:val="tx1"/>
                  </w14:solidFill>
                </w14:textFill>
              </w:rPr>
            </w:pPr>
          </w:p>
        </w:tc>
      </w:tr>
      <w:tr w14:paraId="6AFAF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93" w:type="pct"/>
            <w:vAlign w:val="center"/>
          </w:tcPr>
          <w:p w14:paraId="5C1E4784">
            <w:pPr>
              <w:jc w:val="center"/>
              <w:rPr>
                <w:color w:val="000000" w:themeColor="text1"/>
                <w:szCs w:val="21"/>
                <w:highlight w:val="none"/>
                <w14:textFill>
                  <w14:solidFill>
                    <w14:schemeClr w14:val="tx1"/>
                  </w14:solidFill>
                </w14:textFill>
              </w:rPr>
            </w:pPr>
          </w:p>
        </w:tc>
        <w:tc>
          <w:tcPr>
            <w:tcW w:w="365" w:type="pct"/>
            <w:vAlign w:val="center"/>
          </w:tcPr>
          <w:p w14:paraId="10AA8020">
            <w:pPr>
              <w:jc w:val="center"/>
              <w:rPr>
                <w:color w:val="000000" w:themeColor="text1"/>
                <w:szCs w:val="21"/>
                <w:highlight w:val="none"/>
                <w14:textFill>
                  <w14:solidFill>
                    <w14:schemeClr w14:val="tx1"/>
                  </w14:solidFill>
                </w14:textFill>
              </w:rPr>
            </w:pPr>
          </w:p>
        </w:tc>
        <w:tc>
          <w:tcPr>
            <w:tcW w:w="470" w:type="pct"/>
          </w:tcPr>
          <w:p w14:paraId="7802180C">
            <w:pPr>
              <w:jc w:val="center"/>
              <w:rPr>
                <w:color w:val="000000" w:themeColor="text1"/>
                <w:szCs w:val="21"/>
                <w:highlight w:val="none"/>
                <w14:textFill>
                  <w14:solidFill>
                    <w14:schemeClr w14:val="tx1"/>
                  </w14:solidFill>
                </w14:textFill>
              </w:rPr>
            </w:pPr>
          </w:p>
        </w:tc>
        <w:tc>
          <w:tcPr>
            <w:tcW w:w="472" w:type="pct"/>
            <w:vAlign w:val="center"/>
          </w:tcPr>
          <w:p w14:paraId="03618F0E">
            <w:pPr>
              <w:jc w:val="center"/>
              <w:rPr>
                <w:color w:val="000000" w:themeColor="text1"/>
                <w:szCs w:val="21"/>
                <w:highlight w:val="none"/>
                <w14:textFill>
                  <w14:solidFill>
                    <w14:schemeClr w14:val="tx1"/>
                  </w14:solidFill>
                </w14:textFill>
              </w:rPr>
            </w:pPr>
          </w:p>
        </w:tc>
        <w:tc>
          <w:tcPr>
            <w:tcW w:w="280" w:type="pct"/>
          </w:tcPr>
          <w:p w14:paraId="50B9C7F4">
            <w:pPr>
              <w:jc w:val="center"/>
              <w:rPr>
                <w:color w:val="000000" w:themeColor="text1"/>
                <w:szCs w:val="21"/>
                <w:highlight w:val="none"/>
                <w14:textFill>
                  <w14:solidFill>
                    <w14:schemeClr w14:val="tx1"/>
                  </w14:solidFill>
                </w14:textFill>
              </w:rPr>
            </w:pPr>
          </w:p>
        </w:tc>
        <w:tc>
          <w:tcPr>
            <w:tcW w:w="233" w:type="pct"/>
            <w:vAlign w:val="center"/>
          </w:tcPr>
          <w:p w14:paraId="0238BA81">
            <w:pPr>
              <w:jc w:val="center"/>
              <w:rPr>
                <w:color w:val="000000" w:themeColor="text1"/>
                <w:szCs w:val="21"/>
                <w:highlight w:val="none"/>
                <w14:textFill>
                  <w14:solidFill>
                    <w14:schemeClr w14:val="tx1"/>
                  </w14:solidFill>
                </w14:textFill>
              </w:rPr>
            </w:pPr>
          </w:p>
        </w:tc>
        <w:tc>
          <w:tcPr>
            <w:tcW w:w="277" w:type="pct"/>
            <w:vAlign w:val="center"/>
          </w:tcPr>
          <w:p w14:paraId="555798B1">
            <w:pPr>
              <w:jc w:val="center"/>
              <w:rPr>
                <w:color w:val="000000" w:themeColor="text1"/>
                <w:szCs w:val="21"/>
                <w:highlight w:val="none"/>
                <w14:textFill>
                  <w14:solidFill>
                    <w14:schemeClr w14:val="tx1"/>
                  </w14:solidFill>
                </w14:textFill>
              </w:rPr>
            </w:pPr>
          </w:p>
        </w:tc>
        <w:tc>
          <w:tcPr>
            <w:tcW w:w="333" w:type="pct"/>
            <w:vAlign w:val="center"/>
          </w:tcPr>
          <w:p w14:paraId="1C899021">
            <w:pPr>
              <w:jc w:val="center"/>
              <w:rPr>
                <w:color w:val="000000" w:themeColor="text1"/>
                <w:szCs w:val="21"/>
                <w:highlight w:val="none"/>
                <w14:textFill>
                  <w14:solidFill>
                    <w14:schemeClr w14:val="tx1"/>
                  </w14:solidFill>
                </w14:textFill>
              </w:rPr>
            </w:pPr>
          </w:p>
        </w:tc>
        <w:tc>
          <w:tcPr>
            <w:tcW w:w="212" w:type="pct"/>
            <w:vAlign w:val="center"/>
          </w:tcPr>
          <w:p w14:paraId="646AF397">
            <w:pPr>
              <w:jc w:val="center"/>
              <w:rPr>
                <w:color w:val="000000" w:themeColor="text1"/>
                <w:szCs w:val="21"/>
                <w:highlight w:val="none"/>
                <w14:textFill>
                  <w14:solidFill>
                    <w14:schemeClr w14:val="tx1"/>
                  </w14:solidFill>
                </w14:textFill>
              </w:rPr>
            </w:pPr>
          </w:p>
        </w:tc>
        <w:tc>
          <w:tcPr>
            <w:tcW w:w="233" w:type="pct"/>
            <w:vAlign w:val="center"/>
          </w:tcPr>
          <w:p w14:paraId="760FCB22">
            <w:pPr>
              <w:jc w:val="center"/>
              <w:rPr>
                <w:color w:val="000000" w:themeColor="text1"/>
                <w:szCs w:val="21"/>
                <w:highlight w:val="none"/>
                <w14:textFill>
                  <w14:solidFill>
                    <w14:schemeClr w14:val="tx1"/>
                  </w14:solidFill>
                </w14:textFill>
              </w:rPr>
            </w:pPr>
          </w:p>
        </w:tc>
        <w:tc>
          <w:tcPr>
            <w:tcW w:w="299" w:type="pct"/>
            <w:vAlign w:val="center"/>
          </w:tcPr>
          <w:p w14:paraId="56F0CB0A">
            <w:pPr>
              <w:jc w:val="center"/>
              <w:rPr>
                <w:color w:val="000000" w:themeColor="text1"/>
                <w:szCs w:val="21"/>
                <w:highlight w:val="none"/>
                <w14:textFill>
                  <w14:solidFill>
                    <w14:schemeClr w14:val="tx1"/>
                  </w14:solidFill>
                </w14:textFill>
              </w:rPr>
            </w:pPr>
          </w:p>
        </w:tc>
        <w:tc>
          <w:tcPr>
            <w:tcW w:w="314" w:type="pct"/>
            <w:vAlign w:val="center"/>
          </w:tcPr>
          <w:p w14:paraId="6EAA29DA">
            <w:pPr>
              <w:jc w:val="center"/>
              <w:rPr>
                <w:color w:val="000000" w:themeColor="text1"/>
                <w:szCs w:val="21"/>
                <w:highlight w:val="none"/>
                <w14:textFill>
                  <w14:solidFill>
                    <w14:schemeClr w14:val="tx1"/>
                  </w14:solidFill>
                </w14:textFill>
              </w:rPr>
            </w:pPr>
          </w:p>
        </w:tc>
        <w:tc>
          <w:tcPr>
            <w:tcW w:w="431" w:type="pct"/>
          </w:tcPr>
          <w:p w14:paraId="11148DA1">
            <w:pPr>
              <w:jc w:val="center"/>
              <w:rPr>
                <w:color w:val="000000" w:themeColor="text1"/>
                <w:szCs w:val="21"/>
                <w:highlight w:val="none"/>
                <w14:textFill>
                  <w14:solidFill>
                    <w14:schemeClr w14:val="tx1"/>
                  </w14:solidFill>
                </w14:textFill>
              </w:rPr>
            </w:pPr>
          </w:p>
        </w:tc>
        <w:tc>
          <w:tcPr>
            <w:tcW w:w="431" w:type="pct"/>
          </w:tcPr>
          <w:p w14:paraId="5C8A0FA9">
            <w:pPr>
              <w:jc w:val="center"/>
              <w:rPr>
                <w:color w:val="000000" w:themeColor="text1"/>
                <w:szCs w:val="21"/>
                <w:highlight w:val="none"/>
                <w14:textFill>
                  <w14:solidFill>
                    <w14:schemeClr w14:val="tx1"/>
                  </w14:solidFill>
                </w14:textFill>
              </w:rPr>
            </w:pPr>
          </w:p>
        </w:tc>
        <w:tc>
          <w:tcPr>
            <w:tcW w:w="458" w:type="pct"/>
            <w:vAlign w:val="center"/>
          </w:tcPr>
          <w:p w14:paraId="3787ACBF">
            <w:pPr>
              <w:jc w:val="center"/>
              <w:rPr>
                <w:color w:val="000000" w:themeColor="text1"/>
                <w:szCs w:val="21"/>
                <w:highlight w:val="none"/>
                <w14:textFill>
                  <w14:solidFill>
                    <w14:schemeClr w14:val="tx1"/>
                  </w14:solidFill>
                </w14:textFill>
              </w:rPr>
            </w:pPr>
          </w:p>
        </w:tc>
      </w:tr>
      <w:tr w14:paraId="5D7B5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3" w:type="pct"/>
            <w:vAlign w:val="center"/>
          </w:tcPr>
          <w:p w14:paraId="3950BBBA">
            <w:pPr>
              <w:jc w:val="center"/>
              <w:rPr>
                <w:color w:val="000000" w:themeColor="text1"/>
                <w:szCs w:val="21"/>
                <w:highlight w:val="none"/>
                <w14:textFill>
                  <w14:solidFill>
                    <w14:schemeClr w14:val="tx1"/>
                  </w14:solidFill>
                </w14:textFill>
              </w:rPr>
            </w:pPr>
          </w:p>
        </w:tc>
        <w:tc>
          <w:tcPr>
            <w:tcW w:w="365" w:type="pct"/>
            <w:vAlign w:val="center"/>
          </w:tcPr>
          <w:p w14:paraId="693E8EA2">
            <w:pPr>
              <w:jc w:val="center"/>
              <w:rPr>
                <w:color w:val="000000" w:themeColor="text1"/>
                <w:sz w:val="18"/>
                <w:szCs w:val="18"/>
                <w:highlight w:val="none"/>
                <w14:textFill>
                  <w14:solidFill>
                    <w14:schemeClr w14:val="tx1"/>
                  </w14:solidFill>
                </w14:textFill>
              </w:rPr>
            </w:pPr>
            <w:r>
              <w:rPr>
                <w:color w:val="000000" w:themeColor="text1"/>
                <w:sz w:val="18"/>
                <w:szCs w:val="18"/>
                <w:highlight w:val="none"/>
                <w14:textFill>
                  <w14:solidFill>
                    <w14:schemeClr w14:val="tx1"/>
                  </w14:solidFill>
                </w14:textFill>
              </w:rPr>
              <w:t>安全防护、文明施工措施费</w:t>
            </w:r>
          </w:p>
        </w:tc>
        <w:tc>
          <w:tcPr>
            <w:tcW w:w="470" w:type="pct"/>
          </w:tcPr>
          <w:p w14:paraId="1FF2C24F">
            <w:pPr>
              <w:jc w:val="center"/>
              <w:rPr>
                <w:color w:val="000000" w:themeColor="text1"/>
                <w:sz w:val="18"/>
                <w:szCs w:val="18"/>
                <w:highlight w:val="none"/>
                <w14:textFill>
                  <w14:solidFill>
                    <w14:schemeClr w14:val="tx1"/>
                  </w14:solidFill>
                </w14:textFill>
              </w:rPr>
            </w:pPr>
          </w:p>
        </w:tc>
        <w:tc>
          <w:tcPr>
            <w:tcW w:w="472" w:type="pct"/>
            <w:vAlign w:val="center"/>
          </w:tcPr>
          <w:p w14:paraId="3F1501ED">
            <w:pPr>
              <w:jc w:val="center"/>
              <w:rPr>
                <w:color w:val="000000" w:themeColor="text1"/>
                <w:sz w:val="18"/>
                <w:szCs w:val="18"/>
                <w:highlight w:val="none"/>
                <w14:textFill>
                  <w14:solidFill>
                    <w14:schemeClr w14:val="tx1"/>
                  </w14:solidFill>
                </w14:textFill>
              </w:rPr>
            </w:pPr>
            <w:r>
              <w:rPr>
                <w:color w:val="000000" w:themeColor="text1"/>
                <w:sz w:val="18"/>
                <w:szCs w:val="18"/>
                <w:highlight w:val="none"/>
                <w14:textFill>
                  <w14:solidFill>
                    <w14:schemeClr w14:val="tx1"/>
                  </w14:solidFill>
                </w14:textFill>
              </w:rPr>
              <w:t>环境保护、文明施工、安全施工、临时设施</w:t>
            </w:r>
            <w:r>
              <w:rPr>
                <w:rFonts w:hint="eastAsia"/>
                <w:color w:val="000000" w:themeColor="text1"/>
                <w:sz w:val="18"/>
                <w:szCs w:val="18"/>
                <w:highlight w:val="none"/>
                <w14:textFill>
                  <w14:solidFill>
                    <w14:schemeClr w14:val="tx1"/>
                  </w14:solidFill>
                </w14:textFill>
              </w:rPr>
              <w:t>和施工围挡</w:t>
            </w:r>
          </w:p>
        </w:tc>
        <w:tc>
          <w:tcPr>
            <w:tcW w:w="280" w:type="pct"/>
          </w:tcPr>
          <w:p w14:paraId="23F7C7E7">
            <w:pPr>
              <w:jc w:val="center"/>
              <w:rPr>
                <w:color w:val="000000" w:themeColor="text1"/>
                <w:szCs w:val="21"/>
                <w:highlight w:val="none"/>
                <w14:textFill>
                  <w14:solidFill>
                    <w14:schemeClr w14:val="tx1"/>
                  </w14:solidFill>
                </w14:textFill>
              </w:rPr>
            </w:pPr>
          </w:p>
        </w:tc>
        <w:tc>
          <w:tcPr>
            <w:tcW w:w="233" w:type="pct"/>
            <w:vAlign w:val="center"/>
          </w:tcPr>
          <w:p w14:paraId="73BCA47C">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总额</w:t>
            </w:r>
          </w:p>
        </w:tc>
        <w:tc>
          <w:tcPr>
            <w:tcW w:w="277" w:type="pct"/>
            <w:vAlign w:val="center"/>
          </w:tcPr>
          <w:p w14:paraId="26FF1266">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w:t>
            </w:r>
          </w:p>
        </w:tc>
        <w:tc>
          <w:tcPr>
            <w:tcW w:w="333" w:type="pct"/>
            <w:vAlign w:val="center"/>
          </w:tcPr>
          <w:p w14:paraId="22719585">
            <w:pPr>
              <w:jc w:val="center"/>
              <w:rPr>
                <w:color w:val="000000" w:themeColor="text1"/>
                <w:szCs w:val="21"/>
                <w:highlight w:val="none"/>
                <w14:textFill>
                  <w14:solidFill>
                    <w14:schemeClr w14:val="tx1"/>
                  </w14:solidFill>
                </w14:textFill>
              </w:rPr>
            </w:pPr>
          </w:p>
        </w:tc>
        <w:tc>
          <w:tcPr>
            <w:tcW w:w="212" w:type="pct"/>
            <w:vAlign w:val="center"/>
          </w:tcPr>
          <w:p w14:paraId="7A81C736">
            <w:pPr>
              <w:jc w:val="center"/>
              <w:rPr>
                <w:color w:val="000000" w:themeColor="text1"/>
                <w:szCs w:val="21"/>
                <w:highlight w:val="none"/>
                <w14:textFill>
                  <w14:solidFill>
                    <w14:schemeClr w14:val="tx1"/>
                  </w14:solidFill>
                </w14:textFill>
              </w:rPr>
            </w:pPr>
          </w:p>
        </w:tc>
        <w:tc>
          <w:tcPr>
            <w:tcW w:w="233" w:type="pct"/>
            <w:vAlign w:val="center"/>
          </w:tcPr>
          <w:p w14:paraId="5FC44FC9">
            <w:pPr>
              <w:jc w:val="center"/>
              <w:rPr>
                <w:color w:val="000000" w:themeColor="text1"/>
                <w:szCs w:val="21"/>
                <w:highlight w:val="none"/>
                <w14:textFill>
                  <w14:solidFill>
                    <w14:schemeClr w14:val="tx1"/>
                  </w14:solidFill>
                </w14:textFill>
              </w:rPr>
            </w:pPr>
          </w:p>
        </w:tc>
        <w:tc>
          <w:tcPr>
            <w:tcW w:w="299" w:type="pct"/>
            <w:vAlign w:val="center"/>
          </w:tcPr>
          <w:p w14:paraId="0935C4E3">
            <w:pPr>
              <w:jc w:val="center"/>
              <w:rPr>
                <w:color w:val="000000" w:themeColor="text1"/>
                <w:szCs w:val="21"/>
                <w:highlight w:val="none"/>
                <w14:textFill>
                  <w14:solidFill>
                    <w14:schemeClr w14:val="tx1"/>
                  </w14:solidFill>
                </w14:textFill>
              </w:rPr>
            </w:pPr>
          </w:p>
        </w:tc>
        <w:tc>
          <w:tcPr>
            <w:tcW w:w="314" w:type="pct"/>
            <w:vAlign w:val="center"/>
          </w:tcPr>
          <w:p w14:paraId="6ECEFD65">
            <w:pPr>
              <w:jc w:val="center"/>
              <w:rPr>
                <w:color w:val="000000" w:themeColor="text1"/>
                <w:szCs w:val="21"/>
                <w:highlight w:val="none"/>
                <w14:textFill>
                  <w14:solidFill>
                    <w14:schemeClr w14:val="tx1"/>
                  </w14:solidFill>
                </w14:textFill>
              </w:rPr>
            </w:pPr>
          </w:p>
        </w:tc>
        <w:tc>
          <w:tcPr>
            <w:tcW w:w="431" w:type="pct"/>
          </w:tcPr>
          <w:p w14:paraId="15DC1018">
            <w:pPr>
              <w:jc w:val="center"/>
              <w:rPr>
                <w:color w:val="000000" w:themeColor="text1"/>
                <w:szCs w:val="21"/>
                <w:highlight w:val="none"/>
                <w14:textFill>
                  <w14:solidFill>
                    <w14:schemeClr w14:val="tx1"/>
                  </w14:solidFill>
                </w14:textFill>
              </w:rPr>
            </w:pPr>
          </w:p>
        </w:tc>
        <w:tc>
          <w:tcPr>
            <w:tcW w:w="431" w:type="pct"/>
          </w:tcPr>
          <w:p w14:paraId="36621AB2">
            <w:pPr>
              <w:jc w:val="center"/>
              <w:rPr>
                <w:color w:val="000000" w:themeColor="text1"/>
                <w:szCs w:val="21"/>
                <w:highlight w:val="none"/>
                <w14:textFill>
                  <w14:solidFill>
                    <w14:schemeClr w14:val="tx1"/>
                  </w14:solidFill>
                </w14:textFill>
              </w:rPr>
            </w:pPr>
          </w:p>
        </w:tc>
        <w:tc>
          <w:tcPr>
            <w:tcW w:w="458" w:type="pct"/>
            <w:vAlign w:val="center"/>
          </w:tcPr>
          <w:p w14:paraId="6CA6FE6C">
            <w:pPr>
              <w:jc w:val="center"/>
              <w:rPr>
                <w:color w:val="000000" w:themeColor="text1"/>
                <w:sz w:val="18"/>
                <w:szCs w:val="18"/>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以完成工作量的</w:t>
            </w:r>
            <w:r>
              <w:rPr>
                <w:rFonts w:hint="eastAsia"/>
                <w:color w:val="000000" w:themeColor="text1"/>
                <w:sz w:val="18"/>
                <w:szCs w:val="18"/>
                <w:highlight w:val="none"/>
                <w:u w:val="single"/>
                <w:lang w:val="en-US" w:eastAsia="zh-CN"/>
                <w14:textFill>
                  <w14:solidFill>
                    <w14:schemeClr w14:val="tx1"/>
                  </w14:solidFill>
                </w14:textFill>
              </w:rPr>
              <w:t>1.5%作为</w:t>
            </w:r>
            <w:r>
              <w:rPr>
                <w:rFonts w:hint="eastAsia"/>
                <w:color w:val="000000" w:themeColor="text1"/>
                <w:sz w:val="18"/>
                <w:szCs w:val="18"/>
                <w:highlight w:val="none"/>
                <w14:textFill>
                  <w14:solidFill>
                    <w14:schemeClr w14:val="tx1"/>
                  </w14:solidFill>
                </w14:textFill>
              </w:rPr>
              <w:t>最高限计算</w:t>
            </w:r>
          </w:p>
        </w:tc>
      </w:tr>
      <w:tr w14:paraId="02610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3" w:type="pct"/>
            <w:vAlign w:val="center"/>
          </w:tcPr>
          <w:p w14:paraId="5F5E9498">
            <w:pPr>
              <w:jc w:val="center"/>
              <w:rPr>
                <w:color w:val="000000" w:themeColor="text1"/>
                <w:szCs w:val="21"/>
                <w:highlight w:val="none"/>
                <w14:textFill>
                  <w14:solidFill>
                    <w14:schemeClr w14:val="tx1"/>
                  </w14:solidFill>
                </w14:textFill>
              </w:rPr>
            </w:pPr>
          </w:p>
        </w:tc>
        <w:tc>
          <w:tcPr>
            <w:tcW w:w="365" w:type="pct"/>
          </w:tcPr>
          <w:p w14:paraId="4A777E02">
            <w:pPr>
              <w:jc w:val="center"/>
              <w:rPr>
                <w:b/>
                <w:color w:val="000000" w:themeColor="text1"/>
                <w:szCs w:val="21"/>
                <w:highlight w:val="none"/>
                <w14:textFill>
                  <w14:solidFill>
                    <w14:schemeClr w14:val="tx1"/>
                  </w14:solidFill>
                </w14:textFill>
              </w:rPr>
            </w:pPr>
          </w:p>
        </w:tc>
        <w:tc>
          <w:tcPr>
            <w:tcW w:w="941" w:type="pct"/>
            <w:gridSpan w:val="2"/>
            <w:vAlign w:val="center"/>
          </w:tcPr>
          <w:p w14:paraId="6529F70E">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不含增值税造价</w:t>
            </w:r>
          </w:p>
        </w:tc>
        <w:tc>
          <w:tcPr>
            <w:tcW w:w="280" w:type="pct"/>
            <w:vAlign w:val="center"/>
          </w:tcPr>
          <w:p w14:paraId="15F7B63F">
            <w:pPr>
              <w:jc w:val="center"/>
              <w:rPr>
                <w:b/>
                <w:color w:val="000000" w:themeColor="text1"/>
                <w:szCs w:val="21"/>
                <w:highlight w:val="none"/>
                <w14:textFill>
                  <w14:solidFill>
                    <w14:schemeClr w14:val="tx1"/>
                  </w14:solidFill>
                </w14:textFill>
              </w:rPr>
            </w:pPr>
          </w:p>
        </w:tc>
        <w:tc>
          <w:tcPr>
            <w:tcW w:w="233" w:type="pct"/>
            <w:vAlign w:val="center"/>
          </w:tcPr>
          <w:p w14:paraId="5B17406A">
            <w:pPr>
              <w:jc w:val="center"/>
              <w:rPr>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元</w:t>
            </w:r>
          </w:p>
        </w:tc>
        <w:tc>
          <w:tcPr>
            <w:tcW w:w="1668" w:type="pct"/>
            <w:gridSpan w:val="6"/>
            <w:vAlign w:val="center"/>
          </w:tcPr>
          <w:p w14:paraId="260EFED2">
            <w:pPr>
              <w:jc w:val="center"/>
              <w:rPr>
                <w:color w:val="000000" w:themeColor="text1"/>
                <w:szCs w:val="21"/>
                <w:highlight w:val="none"/>
                <w14:textFill>
                  <w14:solidFill>
                    <w14:schemeClr w14:val="tx1"/>
                  </w14:solidFill>
                </w14:textFill>
              </w:rPr>
            </w:pPr>
          </w:p>
        </w:tc>
        <w:tc>
          <w:tcPr>
            <w:tcW w:w="1320" w:type="pct"/>
            <w:gridSpan w:val="3"/>
            <w:vAlign w:val="center"/>
          </w:tcPr>
          <w:p w14:paraId="28528FBD">
            <w:pPr>
              <w:jc w:val="center"/>
              <w:rPr>
                <w:color w:val="000000" w:themeColor="text1"/>
                <w:szCs w:val="21"/>
                <w:highlight w:val="none"/>
                <w14:textFill>
                  <w14:solidFill>
                    <w14:schemeClr w14:val="tx1"/>
                  </w14:solidFill>
                </w14:textFill>
              </w:rPr>
            </w:pPr>
          </w:p>
        </w:tc>
      </w:tr>
      <w:tr w14:paraId="066CD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3" w:type="pct"/>
            <w:vAlign w:val="center"/>
          </w:tcPr>
          <w:p w14:paraId="5FCF0807">
            <w:pPr>
              <w:jc w:val="center"/>
              <w:rPr>
                <w:color w:val="000000" w:themeColor="text1"/>
                <w:szCs w:val="21"/>
                <w:highlight w:val="none"/>
                <w14:textFill>
                  <w14:solidFill>
                    <w14:schemeClr w14:val="tx1"/>
                  </w14:solidFill>
                </w14:textFill>
              </w:rPr>
            </w:pPr>
          </w:p>
        </w:tc>
        <w:tc>
          <w:tcPr>
            <w:tcW w:w="365" w:type="pct"/>
          </w:tcPr>
          <w:p w14:paraId="2473E58A">
            <w:pPr>
              <w:jc w:val="center"/>
              <w:rPr>
                <w:b/>
                <w:color w:val="000000" w:themeColor="text1"/>
                <w:szCs w:val="21"/>
                <w:highlight w:val="none"/>
                <w14:textFill>
                  <w14:solidFill>
                    <w14:schemeClr w14:val="tx1"/>
                  </w14:solidFill>
                </w14:textFill>
              </w:rPr>
            </w:pPr>
          </w:p>
        </w:tc>
        <w:tc>
          <w:tcPr>
            <w:tcW w:w="941" w:type="pct"/>
            <w:gridSpan w:val="2"/>
            <w:vAlign w:val="center"/>
          </w:tcPr>
          <w:p w14:paraId="0D39A651">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增值税</w:t>
            </w:r>
          </w:p>
        </w:tc>
        <w:tc>
          <w:tcPr>
            <w:tcW w:w="280" w:type="pct"/>
            <w:vAlign w:val="center"/>
          </w:tcPr>
          <w:p w14:paraId="77AE3A54">
            <w:pPr>
              <w:jc w:val="center"/>
              <w:rPr>
                <w:b/>
                <w:color w:val="000000" w:themeColor="text1"/>
                <w:szCs w:val="21"/>
                <w:highlight w:val="none"/>
                <w14:textFill>
                  <w14:solidFill>
                    <w14:schemeClr w14:val="tx1"/>
                  </w14:solidFill>
                </w14:textFill>
              </w:rPr>
            </w:pPr>
          </w:p>
        </w:tc>
        <w:tc>
          <w:tcPr>
            <w:tcW w:w="233" w:type="pct"/>
            <w:vAlign w:val="center"/>
          </w:tcPr>
          <w:p w14:paraId="72009E9A">
            <w:pPr>
              <w:jc w:val="center"/>
              <w:rPr>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元</w:t>
            </w:r>
          </w:p>
        </w:tc>
        <w:tc>
          <w:tcPr>
            <w:tcW w:w="1670" w:type="pct"/>
            <w:gridSpan w:val="6"/>
            <w:vAlign w:val="center"/>
          </w:tcPr>
          <w:p w14:paraId="1CD15DFA">
            <w:pPr>
              <w:jc w:val="center"/>
              <w:rPr>
                <w:color w:val="000000" w:themeColor="text1"/>
                <w:szCs w:val="21"/>
                <w:highlight w:val="none"/>
                <w14:textFill>
                  <w14:solidFill>
                    <w14:schemeClr w14:val="tx1"/>
                  </w14:solidFill>
                </w14:textFill>
              </w:rPr>
            </w:pPr>
          </w:p>
        </w:tc>
        <w:tc>
          <w:tcPr>
            <w:tcW w:w="1318" w:type="pct"/>
            <w:gridSpan w:val="3"/>
            <w:vAlign w:val="center"/>
          </w:tcPr>
          <w:p w14:paraId="270F062E">
            <w:pPr>
              <w:jc w:val="center"/>
              <w:rPr>
                <w:color w:val="000000" w:themeColor="text1"/>
                <w:szCs w:val="21"/>
                <w:highlight w:val="none"/>
                <w14:textFill>
                  <w14:solidFill>
                    <w14:schemeClr w14:val="tx1"/>
                  </w14:solidFill>
                </w14:textFill>
              </w:rPr>
            </w:pPr>
          </w:p>
        </w:tc>
      </w:tr>
      <w:tr w14:paraId="34C7F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3" w:type="pct"/>
            <w:vAlign w:val="center"/>
          </w:tcPr>
          <w:p w14:paraId="1934EBFF">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w:t>
            </w:r>
          </w:p>
        </w:tc>
        <w:tc>
          <w:tcPr>
            <w:tcW w:w="365" w:type="pct"/>
          </w:tcPr>
          <w:p w14:paraId="1E4E4F2F">
            <w:pPr>
              <w:jc w:val="center"/>
              <w:rPr>
                <w:b/>
                <w:color w:val="000000" w:themeColor="text1"/>
                <w:szCs w:val="21"/>
                <w:highlight w:val="none"/>
                <w14:textFill>
                  <w14:solidFill>
                    <w14:schemeClr w14:val="tx1"/>
                  </w14:solidFill>
                </w14:textFill>
              </w:rPr>
            </w:pPr>
          </w:p>
        </w:tc>
        <w:tc>
          <w:tcPr>
            <w:tcW w:w="941" w:type="pct"/>
            <w:gridSpan w:val="2"/>
            <w:vAlign w:val="center"/>
          </w:tcPr>
          <w:p w14:paraId="3D4084BB">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合计</w:t>
            </w:r>
          </w:p>
        </w:tc>
        <w:tc>
          <w:tcPr>
            <w:tcW w:w="280" w:type="pct"/>
            <w:vAlign w:val="center"/>
          </w:tcPr>
          <w:p w14:paraId="6F30DEC9">
            <w:pPr>
              <w:jc w:val="center"/>
              <w:rPr>
                <w:b/>
                <w:color w:val="000000" w:themeColor="text1"/>
                <w:szCs w:val="21"/>
                <w:highlight w:val="none"/>
                <w14:textFill>
                  <w14:solidFill>
                    <w14:schemeClr w14:val="tx1"/>
                  </w14:solidFill>
                </w14:textFill>
              </w:rPr>
            </w:pPr>
          </w:p>
        </w:tc>
        <w:tc>
          <w:tcPr>
            <w:tcW w:w="233" w:type="pct"/>
            <w:vAlign w:val="center"/>
          </w:tcPr>
          <w:p w14:paraId="40DFB197">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元</w:t>
            </w:r>
          </w:p>
        </w:tc>
        <w:tc>
          <w:tcPr>
            <w:tcW w:w="1670" w:type="pct"/>
            <w:gridSpan w:val="6"/>
            <w:vAlign w:val="center"/>
          </w:tcPr>
          <w:p w14:paraId="60ACCF56">
            <w:pPr>
              <w:jc w:val="center"/>
              <w:rPr>
                <w:b/>
                <w:color w:val="000000" w:themeColor="text1"/>
                <w:szCs w:val="21"/>
                <w:highlight w:val="none"/>
                <w14:textFill>
                  <w14:solidFill>
                    <w14:schemeClr w14:val="tx1"/>
                  </w14:solidFill>
                </w14:textFill>
              </w:rPr>
            </w:pPr>
          </w:p>
        </w:tc>
        <w:tc>
          <w:tcPr>
            <w:tcW w:w="1318" w:type="pct"/>
            <w:gridSpan w:val="3"/>
            <w:vAlign w:val="center"/>
          </w:tcPr>
          <w:p w14:paraId="609AFC25">
            <w:pPr>
              <w:jc w:val="center"/>
              <w:rPr>
                <w:b/>
                <w:color w:val="000000" w:themeColor="text1"/>
                <w:szCs w:val="21"/>
                <w:highlight w:val="none"/>
                <w14:textFill>
                  <w14:solidFill>
                    <w14:schemeClr w14:val="tx1"/>
                  </w14:solidFill>
                </w14:textFill>
              </w:rPr>
            </w:pPr>
          </w:p>
        </w:tc>
      </w:tr>
    </w:tbl>
    <w:p w14:paraId="75AE26C2">
      <w:pPr>
        <w:spacing w:line="360" w:lineRule="auto"/>
        <w:rPr>
          <w:color w:val="000000" w:themeColor="text1"/>
          <w:szCs w:val="21"/>
          <w:highlight w:val="none"/>
          <w14:textFill>
            <w14:solidFill>
              <w14:schemeClr w14:val="tx1"/>
            </w14:solidFill>
          </w14:textFill>
        </w:rPr>
      </w:pPr>
    </w:p>
    <w:p w14:paraId="391B408B">
      <w:pPr>
        <w:pStyle w:val="53"/>
        <w:spacing w:before="120"/>
        <w:rPr>
          <w:rStyle w:val="46"/>
          <w:rFonts w:ascii="Times New Roman" w:hAnsi="Times New Roman" w:eastAsia="宋体" w:cs="Times New Roman"/>
          <w:b/>
          <w:bCs/>
          <w:color w:val="000000" w:themeColor="text1"/>
          <w:szCs w:val="24"/>
          <w:highlight w:val="none"/>
          <w14:textFill>
            <w14:solidFill>
              <w14:schemeClr w14:val="tx1"/>
            </w14:solidFill>
          </w14:textFill>
        </w:rPr>
        <w:sectPr>
          <w:pgSz w:w="11907" w:h="16840"/>
          <w:pgMar w:top="1417" w:right="1701" w:bottom="1417" w:left="1701" w:header="850" w:footer="1134" w:gutter="0"/>
          <w:pgNumType w:fmt="decimal"/>
          <w:cols w:space="0" w:num="1"/>
          <w:rtlGutter w:val="0"/>
          <w:docGrid w:linePitch="312" w:charSpace="0"/>
        </w:sectPr>
      </w:pPr>
      <w:bookmarkStart w:id="1811" w:name="_Toc284135594"/>
    </w:p>
    <w:p w14:paraId="05B23554">
      <w:pPr>
        <w:pStyle w:val="53"/>
        <w:spacing w:before="120"/>
        <w:rPr>
          <w:rStyle w:val="46"/>
          <w:rFonts w:ascii="Times New Roman" w:hAnsi="Times New Roman" w:eastAsia="宋体" w:cs="Times New Roman"/>
          <w:b/>
          <w:bCs w:val="0"/>
          <w:color w:val="000000" w:themeColor="text1"/>
          <w:szCs w:val="24"/>
          <w:highlight w:val="none"/>
          <w14:textFill>
            <w14:solidFill>
              <w14:schemeClr w14:val="tx1"/>
            </w14:solidFill>
          </w14:textFill>
        </w:rPr>
      </w:pPr>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6.综合单价分析表</w:t>
      </w:r>
    </w:p>
    <w:p w14:paraId="20B49842">
      <w:pPr>
        <w:spacing w:line="360" w:lineRule="auto"/>
        <w:ind w:left="842" w:leftChars="200" w:hanging="422" w:hangingChars="150"/>
        <w:jc w:val="center"/>
        <w:rPr>
          <w:b/>
          <w:bCs/>
          <w:color w:val="000000" w:themeColor="text1"/>
          <w:sz w:val="28"/>
          <w:szCs w:val="28"/>
          <w:highlight w:val="none"/>
          <w14:textFill>
            <w14:solidFill>
              <w14:schemeClr w14:val="tx1"/>
            </w14:solidFill>
          </w14:textFill>
        </w:rPr>
      </w:pPr>
    </w:p>
    <w:p w14:paraId="4B41CD0E">
      <w:pPr>
        <w:spacing w:line="360" w:lineRule="auto"/>
        <w:ind w:left="842" w:leftChars="200" w:hanging="422" w:hangingChars="150"/>
        <w:jc w:val="center"/>
        <w:rPr>
          <w:b/>
          <w:bCs/>
          <w:color w:val="000000" w:themeColor="text1"/>
          <w:sz w:val="28"/>
          <w:szCs w:val="28"/>
          <w:highlight w:val="none"/>
          <w14:textFill>
            <w14:solidFill>
              <w14:schemeClr w14:val="tx1"/>
            </w14:solidFill>
          </w14:textFill>
        </w:rPr>
      </w:pPr>
      <w:r>
        <w:rPr>
          <w:rFonts w:hint="eastAsia"/>
          <w:b/>
          <w:bCs/>
          <w:color w:val="000000" w:themeColor="text1"/>
          <w:sz w:val="28"/>
          <w:szCs w:val="28"/>
          <w:highlight w:val="none"/>
          <w14:textFill>
            <w14:solidFill>
              <w14:schemeClr w14:val="tx1"/>
            </w14:solidFill>
          </w14:textFill>
        </w:rPr>
        <w:t>XX不含增值税综合单价分析表</w:t>
      </w:r>
    </w:p>
    <w:p w14:paraId="36646AF4">
      <w:pPr>
        <w:spacing w:line="360" w:lineRule="auto"/>
        <w:rPr>
          <w:b/>
          <w:bCs/>
          <w:color w:val="000000" w:themeColor="text1"/>
          <w:szCs w:val="21"/>
          <w:highlight w:val="none"/>
          <w14:textFill>
            <w14:solidFill>
              <w14:schemeClr w14:val="tx1"/>
            </w14:solidFill>
          </w14:textFill>
        </w:rPr>
      </w:pPr>
      <w:r>
        <w:rPr>
          <w:rFonts w:hint="eastAsia"/>
          <w:b/>
          <w:bCs/>
          <w:color w:val="000000" w:themeColor="text1"/>
          <w:szCs w:val="21"/>
          <w:highlight w:val="none"/>
          <w14:textFill>
            <w14:solidFill>
              <w14:schemeClr w14:val="tx1"/>
            </w14:solidFill>
          </w14:textFill>
        </w:rPr>
        <w:t>工程名称：</w:t>
      </w:r>
    </w:p>
    <w:tbl>
      <w:tblPr>
        <w:tblStyle w:val="3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4"/>
        <w:gridCol w:w="1417"/>
        <w:gridCol w:w="829"/>
        <w:gridCol w:w="829"/>
        <w:gridCol w:w="829"/>
        <w:gridCol w:w="1104"/>
        <w:gridCol w:w="787"/>
        <w:gridCol w:w="931"/>
        <w:gridCol w:w="935"/>
      </w:tblGrid>
      <w:tr w14:paraId="45B1D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pct"/>
            <w:vMerge w:val="restart"/>
            <w:vAlign w:val="center"/>
          </w:tcPr>
          <w:p w14:paraId="4567D673">
            <w:pPr>
              <w:jc w:val="center"/>
              <w:rPr>
                <w:b/>
                <w:bCs/>
                <w:color w:val="000000" w:themeColor="text1"/>
                <w:szCs w:val="21"/>
                <w:highlight w:val="none"/>
                <w14:textFill>
                  <w14:solidFill>
                    <w14:schemeClr w14:val="tx1"/>
                  </w14:solidFill>
                </w14:textFill>
              </w:rPr>
            </w:pPr>
            <w:r>
              <w:rPr>
                <w:rFonts w:hint="eastAsia"/>
                <w:b/>
                <w:bCs/>
                <w:color w:val="000000" w:themeColor="text1"/>
                <w:szCs w:val="21"/>
                <w:highlight w:val="none"/>
                <w14:textFill>
                  <w14:solidFill>
                    <w14:schemeClr w14:val="tx1"/>
                  </w14:solidFill>
                </w14:textFill>
              </w:rPr>
              <w:t>序号</w:t>
            </w:r>
          </w:p>
        </w:tc>
        <w:tc>
          <w:tcPr>
            <w:tcW w:w="834" w:type="pct"/>
            <w:vMerge w:val="restart"/>
            <w:vAlign w:val="center"/>
          </w:tcPr>
          <w:p w14:paraId="3B9AE261">
            <w:pPr>
              <w:jc w:val="center"/>
              <w:rPr>
                <w:b/>
                <w:bCs/>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清单项目</w:t>
            </w:r>
          </w:p>
        </w:tc>
        <w:tc>
          <w:tcPr>
            <w:tcW w:w="3675" w:type="pct"/>
            <w:gridSpan w:val="7"/>
            <w:vAlign w:val="center"/>
          </w:tcPr>
          <w:p w14:paraId="3FEB6C98">
            <w:pPr>
              <w:jc w:val="center"/>
              <w:rPr>
                <w:b/>
                <w:bCs/>
                <w:color w:val="000000" w:themeColor="text1"/>
                <w:szCs w:val="21"/>
                <w:highlight w:val="none"/>
                <w14:textFill>
                  <w14:solidFill>
                    <w14:schemeClr w14:val="tx1"/>
                  </w14:solidFill>
                </w14:textFill>
              </w:rPr>
            </w:pPr>
            <w:r>
              <w:rPr>
                <w:rFonts w:hint="eastAsia"/>
                <w:b/>
                <w:bCs/>
                <w:color w:val="000000" w:themeColor="text1"/>
                <w:szCs w:val="21"/>
                <w:highlight w:val="none"/>
                <w14:textFill>
                  <w14:solidFill>
                    <w14:schemeClr w14:val="tx1"/>
                  </w14:solidFill>
                </w14:textFill>
              </w:rPr>
              <w:t>不含增值税综合单价（元）</w:t>
            </w:r>
          </w:p>
        </w:tc>
      </w:tr>
      <w:tr w14:paraId="22A22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pct"/>
            <w:vMerge w:val="continue"/>
            <w:vAlign w:val="center"/>
          </w:tcPr>
          <w:p w14:paraId="527A85A1">
            <w:pPr>
              <w:jc w:val="center"/>
              <w:rPr>
                <w:bCs/>
                <w:color w:val="000000" w:themeColor="text1"/>
                <w:szCs w:val="21"/>
                <w:highlight w:val="none"/>
                <w14:textFill>
                  <w14:solidFill>
                    <w14:schemeClr w14:val="tx1"/>
                  </w14:solidFill>
                </w14:textFill>
              </w:rPr>
            </w:pPr>
          </w:p>
        </w:tc>
        <w:tc>
          <w:tcPr>
            <w:tcW w:w="834" w:type="pct"/>
            <w:vMerge w:val="continue"/>
            <w:vAlign w:val="center"/>
          </w:tcPr>
          <w:p w14:paraId="41656062">
            <w:pPr>
              <w:jc w:val="center"/>
              <w:rPr>
                <w:bCs/>
                <w:color w:val="000000" w:themeColor="text1"/>
                <w:szCs w:val="21"/>
                <w:highlight w:val="none"/>
                <w14:textFill>
                  <w14:solidFill>
                    <w14:schemeClr w14:val="tx1"/>
                  </w14:solidFill>
                </w14:textFill>
              </w:rPr>
            </w:pPr>
          </w:p>
        </w:tc>
        <w:tc>
          <w:tcPr>
            <w:tcW w:w="488" w:type="pct"/>
            <w:vAlign w:val="center"/>
          </w:tcPr>
          <w:p w14:paraId="692F62D8">
            <w:pPr>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人工</w:t>
            </w:r>
          </w:p>
        </w:tc>
        <w:tc>
          <w:tcPr>
            <w:tcW w:w="488" w:type="pct"/>
            <w:vAlign w:val="center"/>
          </w:tcPr>
          <w:p w14:paraId="59EFF11A">
            <w:pPr>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材料</w:t>
            </w:r>
          </w:p>
        </w:tc>
        <w:tc>
          <w:tcPr>
            <w:tcW w:w="488" w:type="pct"/>
            <w:vAlign w:val="center"/>
          </w:tcPr>
          <w:p w14:paraId="65015D37">
            <w:pPr>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机械</w:t>
            </w:r>
          </w:p>
        </w:tc>
        <w:tc>
          <w:tcPr>
            <w:tcW w:w="650" w:type="pct"/>
            <w:vAlign w:val="center"/>
          </w:tcPr>
          <w:p w14:paraId="006200F8">
            <w:pPr>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管理费</w:t>
            </w:r>
          </w:p>
        </w:tc>
        <w:tc>
          <w:tcPr>
            <w:tcW w:w="463" w:type="pct"/>
            <w:vAlign w:val="center"/>
          </w:tcPr>
          <w:p w14:paraId="4ACBD27B">
            <w:pPr>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利润</w:t>
            </w:r>
          </w:p>
        </w:tc>
        <w:tc>
          <w:tcPr>
            <w:tcW w:w="548" w:type="pct"/>
            <w:vAlign w:val="center"/>
          </w:tcPr>
          <w:p w14:paraId="08568EDB">
            <w:pPr>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规费</w:t>
            </w:r>
          </w:p>
        </w:tc>
        <w:tc>
          <w:tcPr>
            <w:tcW w:w="550" w:type="pct"/>
            <w:vAlign w:val="center"/>
          </w:tcPr>
          <w:p w14:paraId="7BB32512">
            <w:pPr>
              <w:jc w:val="center"/>
              <w:rPr>
                <w:bCs/>
                <w:color w:val="000000" w:themeColor="text1"/>
                <w:szCs w:val="21"/>
                <w:highlight w:val="none"/>
                <w14:textFill>
                  <w14:solidFill>
                    <w14:schemeClr w14:val="tx1"/>
                  </w14:solidFill>
                </w14:textFill>
              </w:rPr>
            </w:pPr>
            <w:r>
              <w:rPr>
                <w:rFonts w:hint="eastAsia"/>
                <w:bCs/>
                <w:color w:val="000000" w:themeColor="text1"/>
                <w:szCs w:val="21"/>
                <w:highlight w:val="none"/>
                <w14:textFill>
                  <w14:solidFill>
                    <w14:schemeClr w14:val="tx1"/>
                  </w14:solidFill>
                </w14:textFill>
              </w:rPr>
              <w:t>小计</w:t>
            </w:r>
          </w:p>
        </w:tc>
      </w:tr>
      <w:tr w14:paraId="01D80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491" w:type="pct"/>
            <w:vAlign w:val="center"/>
          </w:tcPr>
          <w:p w14:paraId="41FCD94A">
            <w:pPr>
              <w:jc w:val="center"/>
              <w:rPr>
                <w:bCs/>
                <w:color w:val="000000" w:themeColor="text1"/>
                <w:szCs w:val="21"/>
                <w:highlight w:val="none"/>
                <w14:textFill>
                  <w14:solidFill>
                    <w14:schemeClr w14:val="tx1"/>
                  </w14:solidFill>
                </w14:textFill>
              </w:rPr>
            </w:pPr>
          </w:p>
        </w:tc>
        <w:tc>
          <w:tcPr>
            <w:tcW w:w="834" w:type="pct"/>
            <w:vAlign w:val="center"/>
          </w:tcPr>
          <w:p w14:paraId="1C28C5F3">
            <w:pPr>
              <w:jc w:val="center"/>
              <w:rPr>
                <w:bCs/>
                <w:color w:val="000000" w:themeColor="text1"/>
                <w:szCs w:val="21"/>
                <w:highlight w:val="none"/>
                <w14:textFill>
                  <w14:solidFill>
                    <w14:schemeClr w14:val="tx1"/>
                  </w14:solidFill>
                </w14:textFill>
              </w:rPr>
            </w:pPr>
          </w:p>
        </w:tc>
        <w:tc>
          <w:tcPr>
            <w:tcW w:w="488" w:type="pct"/>
            <w:vAlign w:val="center"/>
          </w:tcPr>
          <w:p w14:paraId="633EBB7D">
            <w:pPr>
              <w:jc w:val="center"/>
              <w:rPr>
                <w:bCs/>
                <w:color w:val="000000" w:themeColor="text1"/>
                <w:szCs w:val="21"/>
                <w:highlight w:val="none"/>
                <w14:textFill>
                  <w14:solidFill>
                    <w14:schemeClr w14:val="tx1"/>
                  </w14:solidFill>
                </w14:textFill>
              </w:rPr>
            </w:pPr>
          </w:p>
        </w:tc>
        <w:tc>
          <w:tcPr>
            <w:tcW w:w="488" w:type="pct"/>
            <w:vAlign w:val="center"/>
          </w:tcPr>
          <w:p w14:paraId="78AB9DCC">
            <w:pPr>
              <w:jc w:val="center"/>
              <w:rPr>
                <w:bCs/>
                <w:color w:val="000000" w:themeColor="text1"/>
                <w:szCs w:val="21"/>
                <w:highlight w:val="none"/>
                <w14:textFill>
                  <w14:solidFill>
                    <w14:schemeClr w14:val="tx1"/>
                  </w14:solidFill>
                </w14:textFill>
              </w:rPr>
            </w:pPr>
          </w:p>
        </w:tc>
        <w:tc>
          <w:tcPr>
            <w:tcW w:w="488" w:type="pct"/>
            <w:vAlign w:val="center"/>
          </w:tcPr>
          <w:p w14:paraId="6AD190D2">
            <w:pPr>
              <w:jc w:val="center"/>
              <w:rPr>
                <w:bCs/>
                <w:color w:val="000000" w:themeColor="text1"/>
                <w:szCs w:val="21"/>
                <w:highlight w:val="none"/>
                <w14:textFill>
                  <w14:solidFill>
                    <w14:schemeClr w14:val="tx1"/>
                  </w14:solidFill>
                </w14:textFill>
              </w:rPr>
            </w:pPr>
          </w:p>
        </w:tc>
        <w:tc>
          <w:tcPr>
            <w:tcW w:w="650" w:type="pct"/>
            <w:vAlign w:val="center"/>
          </w:tcPr>
          <w:p w14:paraId="04ADAFEB">
            <w:pPr>
              <w:jc w:val="center"/>
              <w:rPr>
                <w:bCs/>
                <w:color w:val="000000" w:themeColor="text1"/>
                <w:szCs w:val="21"/>
                <w:highlight w:val="none"/>
                <w14:textFill>
                  <w14:solidFill>
                    <w14:schemeClr w14:val="tx1"/>
                  </w14:solidFill>
                </w14:textFill>
              </w:rPr>
            </w:pPr>
          </w:p>
        </w:tc>
        <w:tc>
          <w:tcPr>
            <w:tcW w:w="463" w:type="pct"/>
            <w:vAlign w:val="center"/>
          </w:tcPr>
          <w:p w14:paraId="164285F1">
            <w:pPr>
              <w:jc w:val="center"/>
              <w:rPr>
                <w:bCs/>
                <w:color w:val="000000" w:themeColor="text1"/>
                <w:szCs w:val="21"/>
                <w:highlight w:val="none"/>
                <w14:textFill>
                  <w14:solidFill>
                    <w14:schemeClr w14:val="tx1"/>
                  </w14:solidFill>
                </w14:textFill>
              </w:rPr>
            </w:pPr>
          </w:p>
        </w:tc>
        <w:tc>
          <w:tcPr>
            <w:tcW w:w="548" w:type="pct"/>
            <w:vAlign w:val="center"/>
          </w:tcPr>
          <w:p w14:paraId="1119318A">
            <w:pPr>
              <w:jc w:val="center"/>
              <w:rPr>
                <w:bCs/>
                <w:color w:val="000000" w:themeColor="text1"/>
                <w:szCs w:val="21"/>
                <w:highlight w:val="none"/>
                <w14:textFill>
                  <w14:solidFill>
                    <w14:schemeClr w14:val="tx1"/>
                  </w14:solidFill>
                </w14:textFill>
              </w:rPr>
            </w:pPr>
          </w:p>
        </w:tc>
        <w:tc>
          <w:tcPr>
            <w:tcW w:w="550" w:type="pct"/>
            <w:vAlign w:val="center"/>
          </w:tcPr>
          <w:p w14:paraId="0E8E3D73">
            <w:pPr>
              <w:jc w:val="center"/>
              <w:rPr>
                <w:bCs/>
                <w:color w:val="000000" w:themeColor="text1"/>
                <w:szCs w:val="21"/>
                <w:highlight w:val="none"/>
                <w14:textFill>
                  <w14:solidFill>
                    <w14:schemeClr w14:val="tx1"/>
                  </w14:solidFill>
                </w14:textFill>
              </w:rPr>
            </w:pPr>
          </w:p>
        </w:tc>
      </w:tr>
      <w:tr w14:paraId="2C390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491" w:type="pct"/>
            <w:vAlign w:val="center"/>
          </w:tcPr>
          <w:p w14:paraId="58BA37B5">
            <w:pPr>
              <w:jc w:val="center"/>
              <w:rPr>
                <w:bCs/>
                <w:color w:val="000000" w:themeColor="text1"/>
                <w:szCs w:val="21"/>
                <w:highlight w:val="none"/>
                <w14:textFill>
                  <w14:solidFill>
                    <w14:schemeClr w14:val="tx1"/>
                  </w14:solidFill>
                </w14:textFill>
              </w:rPr>
            </w:pPr>
          </w:p>
        </w:tc>
        <w:tc>
          <w:tcPr>
            <w:tcW w:w="834" w:type="pct"/>
            <w:vAlign w:val="center"/>
          </w:tcPr>
          <w:p w14:paraId="7AF80CCB">
            <w:pPr>
              <w:jc w:val="center"/>
              <w:rPr>
                <w:bCs/>
                <w:color w:val="000000" w:themeColor="text1"/>
                <w:szCs w:val="21"/>
                <w:highlight w:val="none"/>
                <w14:textFill>
                  <w14:solidFill>
                    <w14:schemeClr w14:val="tx1"/>
                  </w14:solidFill>
                </w14:textFill>
              </w:rPr>
            </w:pPr>
          </w:p>
        </w:tc>
        <w:tc>
          <w:tcPr>
            <w:tcW w:w="488" w:type="pct"/>
            <w:vAlign w:val="center"/>
          </w:tcPr>
          <w:p w14:paraId="190FCA20">
            <w:pPr>
              <w:jc w:val="center"/>
              <w:rPr>
                <w:bCs/>
                <w:color w:val="000000" w:themeColor="text1"/>
                <w:szCs w:val="21"/>
                <w:highlight w:val="none"/>
                <w14:textFill>
                  <w14:solidFill>
                    <w14:schemeClr w14:val="tx1"/>
                  </w14:solidFill>
                </w14:textFill>
              </w:rPr>
            </w:pPr>
          </w:p>
        </w:tc>
        <w:tc>
          <w:tcPr>
            <w:tcW w:w="488" w:type="pct"/>
            <w:vAlign w:val="center"/>
          </w:tcPr>
          <w:p w14:paraId="0DC9E334">
            <w:pPr>
              <w:jc w:val="center"/>
              <w:rPr>
                <w:bCs/>
                <w:color w:val="000000" w:themeColor="text1"/>
                <w:szCs w:val="21"/>
                <w:highlight w:val="none"/>
                <w14:textFill>
                  <w14:solidFill>
                    <w14:schemeClr w14:val="tx1"/>
                  </w14:solidFill>
                </w14:textFill>
              </w:rPr>
            </w:pPr>
          </w:p>
        </w:tc>
        <w:tc>
          <w:tcPr>
            <w:tcW w:w="488" w:type="pct"/>
            <w:vAlign w:val="center"/>
          </w:tcPr>
          <w:p w14:paraId="151DF080">
            <w:pPr>
              <w:jc w:val="center"/>
              <w:rPr>
                <w:bCs/>
                <w:color w:val="000000" w:themeColor="text1"/>
                <w:szCs w:val="21"/>
                <w:highlight w:val="none"/>
                <w14:textFill>
                  <w14:solidFill>
                    <w14:schemeClr w14:val="tx1"/>
                  </w14:solidFill>
                </w14:textFill>
              </w:rPr>
            </w:pPr>
          </w:p>
        </w:tc>
        <w:tc>
          <w:tcPr>
            <w:tcW w:w="650" w:type="pct"/>
            <w:vAlign w:val="center"/>
          </w:tcPr>
          <w:p w14:paraId="38A0113A">
            <w:pPr>
              <w:jc w:val="center"/>
              <w:rPr>
                <w:bCs/>
                <w:color w:val="000000" w:themeColor="text1"/>
                <w:szCs w:val="21"/>
                <w:highlight w:val="none"/>
                <w14:textFill>
                  <w14:solidFill>
                    <w14:schemeClr w14:val="tx1"/>
                  </w14:solidFill>
                </w14:textFill>
              </w:rPr>
            </w:pPr>
          </w:p>
        </w:tc>
        <w:tc>
          <w:tcPr>
            <w:tcW w:w="463" w:type="pct"/>
            <w:vAlign w:val="center"/>
          </w:tcPr>
          <w:p w14:paraId="6FC1B6C8">
            <w:pPr>
              <w:jc w:val="center"/>
              <w:rPr>
                <w:bCs/>
                <w:color w:val="000000" w:themeColor="text1"/>
                <w:szCs w:val="21"/>
                <w:highlight w:val="none"/>
                <w14:textFill>
                  <w14:solidFill>
                    <w14:schemeClr w14:val="tx1"/>
                  </w14:solidFill>
                </w14:textFill>
              </w:rPr>
            </w:pPr>
          </w:p>
        </w:tc>
        <w:tc>
          <w:tcPr>
            <w:tcW w:w="548" w:type="pct"/>
            <w:vAlign w:val="center"/>
          </w:tcPr>
          <w:p w14:paraId="758E1941">
            <w:pPr>
              <w:jc w:val="center"/>
              <w:rPr>
                <w:bCs/>
                <w:color w:val="000000" w:themeColor="text1"/>
                <w:szCs w:val="21"/>
                <w:highlight w:val="none"/>
                <w14:textFill>
                  <w14:solidFill>
                    <w14:schemeClr w14:val="tx1"/>
                  </w14:solidFill>
                </w14:textFill>
              </w:rPr>
            </w:pPr>
          </w:p>
        </w:tc>
        <w:tc>
          <w:tcPr>
            <w:tcW w:w="550" w:type="pct"/>
            <w:vAlign w:val="center"/>
          </w:tcPr>
          <w:p w14:paraId="676BC387">
            <w:pPr>
              <w:jc w:val="center"/>
              <w:rPr>
                <w:bCs/>
                <w:color w:val="000000" w:themeColor="text1"/>
                <w:szCs w:val="21"/>
                <w:highlight w:val="none"/>
                <w14:textFill>
                  <w14:solidFill>
                    <w14:schemeClr w14:val="tx1"/>
                  </w14:solidFill>
                </w14:textFill>
              </w:rPr>
            </w:pPr>
          </w:p>
        </w:tc>
      </w:tr>
      <w:tr w14:paraId="44C2D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491" w:type="pct"/>
            <w:vAlign w:val="center"/>
          </w:tcPr>
          <w:p w14:paraId="22F6DE26">
            <w:pPr>
              <w:jc w:val="center"/>
              <w:rPr>
                <w:bCs/>
                <w:color w:val="000000" w:themeColor="text1"/>
                <w:szCs w:val="21"/>
                <w:highlight w:val="none"/>
                <w14:textFill>
                  <w14:solidFill>
                    <w14:schemeClr w14:val="tx1"/>
                  </w14:solidFill>
                </w14:textFill>
              </w:rPr>
            </w:pPr>
          </w:p>
        </w:tc>
        <w:tc>
          <w:tcPr>
            <w:tcW w:w="834" w:type="pct"/>
            <w:vAlign w:val="center"/>
          </w:tcPr>
          <w:p w14:paraId="73B52235">
            <w:pPr>
              <w:jc w:val="center"/>
              <w:rPr>
                <w:bCs/>
                <w:color w:val="000000" w:themeColor="text1"/>
                <w:szCs w:val="21"/>
                <w:highlight w:val="none"/>
                <w14:textFill>
                  <w14:solidFill>
                    <w14:schemeClr w14:val="tx1"/>
                  </w14:solidFill>
                </w14:textFill>
              </w:rPr>
            </w:pPr>
          </w:p>
        </w:tc>
        <w:tc>
          <w:tcPr>
            <w:tcW w:w="488" w:type="pct"/>
            <w:vAlign w:val="center"/>
          </w:tcPr>
          <w:p w14:paraId="06EE3342">
            <w:pPr>
              <w:jc w:val="center"/>
              <w:rPr>
                <w:bCs/>
                <w:color w:val="000000" w:themeColor="text1"/>
                <w:szCs w:val="21"/>
                <w:highlight w:val="none"/>
                <w14:textFill>
                  <w14:solidFill>
                    <w14:schemeClr w14:val="tx1"/>
                  </w14:solidFill>
                </w14:textFill>
              </w:rPr>
            </w:pPr>
          </w:p>
        </w:tc>
        <w:tc>
          <w:tcPr>
            <w:tcW w:w="488" w:type="pct"/>
            <w:vAlign w:val="center"/>
          </w:tcPr>
          <w:p w14:paraId="7B3122F2">
            <w:pPr>
              <w:jc w:val="center"/>
              <w:rPr>
                <w:bCs/>
                <w:color w:val="000000" w:themeColor="text1"/>
                <w:szCs w:val="21"/>
                <w:highlight w:val="none"/>
                <w14:textFill>
                  <w14:solidFill>
                    <w14:schemeClr w14:val="tx1"/>
                  </w14:solidFill>
                </w14:textFill>
              </w:rPr>
            </w:pPr>
          </w:p>
        </w:tc>
        <w:tc>
          <w:tcPr>
            <w:tcW w:w="488" w:type="pct"/>
            <w:vAlign w:val="center"/>
          </w:tcPr>
          <w:p w14:paraId="2716920E">
            <w:pPr>
              <w:jc w:val="center"/>
              <w:rPr>
                <w:bCs/>
                <w:color w:val="000000" w:themeColor="text1"/>
                <w:szCs w:val="21"/>
                <w:highlight w:val="none"/>
                <w14:textFill>
                  <w14:solidFill>
                    <w14:schemeClr w14:val="tx1"/>
                  </w14:solidFill>
                </w14:textFill>
              </w:rPr>
            </w:pPr>
          </w:p>
        </w:tc>
        <w:tc>
          <w:tcPr>
            <w:tcW w:w="650" w:type="pct"/>
            <w:vAlign w:val="center"/>
          </w:tcPr>
          <w:p w14:paraId="27EDEB8B">
            <w:pPr>
              <w:jc w:val="center"/>
              <w:rPr>
                <w:bCs/>
                <w:color w:val="000000" w:themeColor="text1"/>
                <w:szCs w:val="21"/>
                <w:highlight w:val="none"/>
                <w14:textFill>
                  <w14:solidFill>
                    <w14:schemeClr w14:val="tx1"/>
                  </w14:solidFill>
                </w14:textFill>
              </w:rPr>
            </w:pPr>
          </w:p>
        </w:tc>
        <w:tc>
          <w:tcPr>
            <w:tcW w:w="463" w:type="pct"/>
            <w:vAlign w:val="center"/>
          </w:tcPr>
          <w:p w14:paraId="6D71FFC5">
            <w:pPr>
              <w:jc w:val="center"/>
              <w:rPr>
                <w:bCs/>
                <w:color w:val="000000" w:themeColor="text1"/>
                <w:szCs w:val="21"/>
                <w:highlight w:val="none"/>
                <w14:textFill>
                  <w14:solidFill>
                    <w14:schemeClr w14:val="tx1"/>
                  </w14:solidFill>
                </w14:textFill>
              </w:rPr>
            </w:pPr>
          </w:p>
        </w:tc>
        <w:tc>
          <w:tcPr>
            <w:tcW w:w="548" w:type="pct"/>
            <w:vAlign w:val="center"/>
          </w:tcPr>
          <w:p w14:paraId="496E2552">
            <w:pPr>
              <w:jc w:val="center"/>
              <w:rPr>
                <w:bCs/>
                <w:color w:val="000000" w:themeColor="text1"/>
                <w:szCs w:val="21"/>
                <w:highlight w:val="none"/>
                <w14:textFill>
                  <w14:solidFill>
                    <w14:schemeClr w14:val="tx1"/>
                  </w14:solidFill>
                </w14:textFill>
              </w:rPr>
            </w:pPr>
          </w:p>
        </w:tc>
        <w:tc>
          <w:tcPr>
            <w:tcW w:w="550" w:type="pct"/>
            <w:vAlign w:val="center"/>
          </w:tcPr>
          <w:p w14:paraId="219AA544">
            <w:pPr>
              <w:jc w:val="center"/>
              <w:rPr>
                <w:bCs/>
                <w:color w:val="000000" w:themeColor="text1"/>
                <w:szCs w:val="21"/>
                <w:highlight w:val="none"/>
                <w14:textFill>
                  <w14:solidFill>
                    <w14:schemeClr w14:val="tx1"/>
                  </w14:solidFill>
                </w14:textFill>
              </w:rPr>
            </w:pPr>
          </w:p>
        </w:tc>
      </w:tr>
      <w:tr w14:paraId="12EEE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021CF004">
            <w:pPr>
              <w:jc w:val="center"/>
              <w:rPr>
                <w:bCs/>
                <w:color w:val="000000" w:themeColor="text1"/>
                <w:szCs w:val="21"/>
                <w:highlight w:val="none"/>
                <w14:textFill>
                  <w14:solidFill>
                    <w14:schemeClr w14:val="tx1"/>
                  </w14:solidFill>
                </w14:textFill>
              </w:rPr>
            </w:pPr>
          </w:p>
        </w:tc>
        <w:tc>
          <w:tcPr>
            <w:tcW w:w="834" w:type="pct"/>
            <w:vAlign w:val="center"/>
          </w:tcPr>
          <w:p w14:paraId="2B3077C3">
            <w:pPr>
              <w:jc w:val="center"/>
              <w:rPr>
                <w:bCs/>
                <w:color w:val="000000" w:themeColor="text1"/>
                <w:szCs w:val="21"/>
                <w:highlight w:val="none"/>
                <w14:textFill>
                  <w14:solidFill>
                    <w14:schemeClr w14:val="tx1"/>
                  </w14:solidFill>
                </w14:textFill>
              </w:rPr>
            </w:pPr>
          </w:p>
        </w:tc>
        <w:tc>
          <w:tcPr>
            <w:tcW w:w="488" w:type="pct"/>
            <w:vAlign w:val="center"/>
          </w:tcPr>
          <w:p w14:paraId="7D6F310E">
            <w:pPr>
              <w:jc w:val="center"/>
              <w:rPr>
                <w:bCs/>
                <w:color w:val="000000" w:themeColor="text1"/>
                <w:szCs w:val="21"/>
                <w:highlight w:val="none"/>
                <w14:textFill>
                  <w14:solidFill>
                    <w14:schemeClr w14:val="tx1"/>
                  </w14:solidFill>
                </w14:textFill>
              </w:rPr>
            </w:pPr>
          </w:p>
        </w:tc>
        <w:tc>
          <w:tcPr>
            <w:tcW w:w="488" w:type="pct"/>
            <w:vAlign w:val="center"/>
          </w:tcPr>
          <w:p w14:paraId="2DB9E64A">
            <w:pPr>
              <w:jc w:val="center"/>
              <w:rPr>
                <w:bCs/>
                <w:color w:val="000000" w:themeColor="text1"/>
                <w:szCs w:val="21"/>
                <w:highlight w:val="none"/>
                <w14:textFill>
                  <w14:solidFill>
                    <w14:schemeClr w14:val="tx1"/>
                  </w14:solidFill>
                </w14:textFill>
              </w:rPr>
            </w:pPr>
          </w:p>
        </w:tc>
        <w:tc>
          <w:tcPr>
            <w:tcW w:w="488" w:type="pct"/>
            <w:vAlign w:val="center"/>
          </w:tcPr>
          <w:p w14:paraId="4FC476A1">
            <w:pPr>
              <w:jc w:val="center"/>
              <w:rPr>
                <w:bCs/>
                <w:color w:val="000000" w:themeColor="text1"/>
                <w:szCs w:val="21"/>
                <w:highlight w:val="none"/>
                <w14:textFill>
                  <w14:solidFill>
                    <w14:schemeClr w14:val="tx1"/>
                  </w14:solidFill>
                </w14:textFill>
              </w:rPr>
            </w:pPr>
          </w:p>
        </w:tc>
        <w:tc>
          <w:tcPr>
            <w:tcW w:w="650" w:type="pct"/>
            <w:vAlign w:val="center"/>
          </w:tcPr>
          <w:p w14:paraId="3F07DED9">
            <w:pPr>
              <w:jc w:val="center"/>
              <w:rPr>
                <w:bCs/>
                <w:color w:val="000000" w:themeColor="text1"/>
                <w:szCs w:val="21"/>
                <w:highlight w:val="none"/>
                <w14:textFill>
                  <w14:solidFill>
                    <w14:schemeClr w14:val="tx1"/>
                  </w14:solidFill>
                </w14:textFill>
              </w:rPr>
            </w:pPr>
          </w:p>
        </w:tc>
        <w:tc>
          <w:tcPr>
            <w:tcW w:w="463" w:type="pct"/>
            <w:vAlign w:val="center"/>
          </w:tcPr>
          <w:p w14:paraId="2BFCF4F0">
            <w:pPr>
              <w:jc w:val="center"/>
              <w:rPr>
                <w:bCs/>
                <w:color w:val="000000" w:themeColor="text1"/>
                <w:szCs w:val="21"/>
                <w:highlight w:val="none"/>
                <w14:textFill>
                  <w14:solidFill>
                    <w14:schemeClr w14:val="tx1"/>
                  </w14:solidFill>
                </w14:textFill>
              </w:rPr>
            </w:pPr>
          </w:p>
        </w:tc>
        <w:tc>
          <w:tcPr>
            <w:tcW w:w="548" w:type="pct"/>
            <w:vAlign w:val="center"/>
          </w:tcPr>
          <w:p w14:paraId="224D6751">
            <w:pPr>
              <w:jc w:val="center"/>
              <w:rPr>
                <w:bCs/>
                <w:color w:val="000000" w:themeColor="text1"/>
                <w:szCs w:val="21"/>
                <w:highlight w:val="none"/>
                <w14:textFill>
                  <w14:solidFill>
                    <w14:schemeClr w14:val="tx1"/>
                  </w14:solidFill>
                </w14:textFill>
              </w:rPr>
            </w:pPr>
          </w:p>
        </w:tc>
        <w:tc>
          <w:tcPr>
            <w:tcW w:w="550" w:type="pct"/>
            <w:vAlign w:val="center"/>
          </w:tcPr>
          <w:p w14:paraId="0E8156E3">
            <w:pPr>
              <w:jc w:val="center"/>
              <w:rPr>
                <w:bCs/>
                <w:color w:val="000000" w:themeColor="text1"/>
                <w:szCs w:val="21"/>
                <w:highlight w:val="none"/>
                <w14:textFill>
                  <w14:solidFill>
                    <w14:schemeClr w14:val="tx1"/>
                  </w14:solidFill>
                </w14:textFill>
              </w:rPr>
            </w:pPr>
          </w:p>
        </w:tc>
      </w:tr>
      <w:tr w14:paraId="792A6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7255A7A1">
            <w:pPr>
              <w:jc w:val="center"/>
              <w:rPr>
                <w:bCs/>
                <w:color w:val="000000" w:themeColor="text1"/>
                <w:szCs w:val="21"/>
                <w:highlight w:val="none"/>
                <w14:textFill>
                  <w14:solidFill>
                    <w14:schemeClr w14:val="tx1"/>
                  </w14:solidFill>
                </w14:textFill>
              </w:rPr>
            </w:pPr>
          </w:p>
        </w:tc>
        <w:tc>
          <w:tcPr>
            <w:tcW w:w="834" w:type="pct"/>
            <w:vAlign w:val="center"/>
          </w:tcPr>
          <w:p w14:paraId="5B0CB5E3">
            <w:pPr>
              <w:jc w:val="center"/>
              <w:rPr>
                <w:bCs/>
                <w:color w:val="000000" w:themeColor="text1"/>
                <w:szCs w:val="21"/>
                <w:highlight w:val="none"/>
                <w14:textFill>
                  <w14:solidFill>
                    <w14:schemeClr w14:val="tx1"/>
                  </w14:solidFill>
                </w14:textFill>
              </w:rPr>
            </w:pPr>
          </w:p>
        </w:tc>
        <w:tc>
          <w:tcPr>
            <w:tcW w:w="488" w:type="pct"/>
            <w:vAlign w:val="center"/>
          </w:tcPr>
          <w:p w14:paraId="11AA9C9C">
            <w:pPr>
              <w:jc w:val="center"/>
              <w:rPr>
                <w:bCs/>
                <w:color w:val="000000" w:themeColor="text1"/>
                <w:szCs w:val="21"/>
                <w:highlight w:val="none"/>
                <w14:textFill>
                  <w14:solidFill>
                    <w14:schemeClr w14:val="tx1"/>
                  </w14:solidFill>
                </w14:textFill>
              </w:rPr>
            </w:pPr>
          </w:p>
        </w:tc>
        <w:tc>
          <w:tcPr>
            <w:tcW w:w="488" w:type="pct"/>
            <w:vAlign w:val="center"/>
          </w:tcPr>
          <w:p w14:paraId="5946C9AA">
            <w:pPr>
              <w:jc w:val="center"/>
              <w:rPr>
                <w:bCs/>
                <w:color w:val="000000" w:themeColor="text1"/>
                <w:szCs w:val="21"/>
                <w:highlight w:val="none"/>
                <w14:textFill>
                  <w14:solidFill>
                    <w14:schemeClr w14:val="tx1"/>
                  </w14:solidFill>
                </w14:textFill>
              </w:rPr>
            </w:pPr>
          </w:p>
        </w:tc>
        <w:tc>
          <w:tcPr>
            <w:tcW w:w="488" w:type="pct"/>
            <w:vAlign w:val="center"/>
          </w:tcPr>
          <w:p w14:paraId="0BB3530E">
            <w:pPr>
              <w:jc w:val="center"/>
              <w:rPr>
                <w:bCs/>
                <w:color w:val="000000" w:themeColor="text1"/>
                <w:szCs w:val="21"/>
                <w:highlight w:val="none"/>
                <w14:textFill>
                  <w14:solidFill>
                    <w14:schemeClr w14:val="tx1"/>
                  </w14:solidFill>
                </w14:textFill>
              </w:rPr>
            </w:pPr>
          </w:p>
        </w:tc>
        <w:tc>
          <w:tcPr>
            <w:tcW w:w="650" w:type="pct"/>
            <w:vAlign w:val="center"/>
          </w:tcPr>
          <w:p w14:paraId="798600D2">
            <w:pPr>
              <w:jc w:val="center"/>
              <w:rPr>
                <w:bCs/>
                <w:color w:val="000000" w:themeColor="text1"/>
                <w:szCs w:val="21"/>
                <w:highlight w:val="none"/>
                <w14:textFill>
                  <w14:solidFill>
                    <w14:schemeClr w14:val="tx1"/>
                  </w14:solidFill>
                </w14:textFill>
              </w:rPr>
            </w:pPr>
          </w:p>
        </w:tc>
        <w:tc>
          <w:tcPr>
            <w:tcW w:w="463" w:type="pct"/>
            <w:vAlign w:val="center"/>
          </w:tcPr>
          <w:p w14:paraId="24DA7618">
            <w:pPr>
              <w:jc w:val="center"/>
              <w:rPr>
                <w:bCs/>
                <w:color w:val="000000" w:themeColor="text1"/>
                <w:szCs w:val="21"/>
                <w:highlight w:val="none"/>
                <w14:textFill>
                  <w14:solidFill>
                    <w14:schemeClr w14:val="tx1"/>
                  </w14:solidFill>
                </w14:textFill>
              </w:rPr>
            </w:pPr>
          </w:p>
        </w:tc>
        <w:tc>
          <w:tcPr>
            <w:tcW w:w="548" w:type="pct"/>
            <w:vAlign w:val="center"/>
          </w:tcPr>
          <w:p w14:paraId="6BF14FA8">
            <w:pPr>
              <w:jc w:val="center"/>
              <w:rPr>
                <w:bCs/>
                <w:color w:val="000000" w:themeColor="text1"/>
                <w:szCs w:val="21"/>
                <w:highlight w:val="none"/>
                <w14:textFill>
                  <w14:solidFill>
                    <w14:schemeClr w14:val="tx1"/>
                  </w14:solidFill>
                </w14:textFill>
              </w:rPr>
            </w:pPr>
          </w:p>
        </w:tc>
        <w:tc>
          <w:tcPr>
            <w:tcW w:w="550" w:type="pct"/>
            <w:vAlign w:val="center"/>
          </w:tcPr>
          <w:p w14:paraId="2389D12D">
            <w:pPr>
              <w:jc w:val="center"/>
              <w:rPr>
                <w:bCs/>
                <w:color w:val="000000" w:themeColor="text1"/>
                <w:szCs w:val="21"/>
                <w:highlight w:val="none"/>
                <w14:textFill>
                  <w14:solidFill>
                    <w14:schemeClr w14:val="tx1"/>
                  </w14:solidFill>
                </w14:textFill>
              </w:rPr>
            </w:pPr>
          </w:p>
        </w:tc>
      </w:tr>
      <w:tr w14:paraId="71FA0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6B2283B3">
            <w:pPr>
              <w:jc w:val="center"/>
              <w:rPr>
                <w:bCs/>
                <w:color w:val="000000" w:themeColor="text1"/>
                <w:szCs w:val="21"/>
                <w:highlight w:val="none"/>
                <w14:textFill>
                  <w14:solidFill>
                    <w14:schemeClr w14:val="tx1"/>
                  </w14:solidFill>
                </w14:textFill>
              </w:rPr>
            </w:pPr>
          </w:p>
        </w:tc>
        <w:tc>
          <w:tcPr>
            <w:tcW w:w="834" w:type="pct"/>
            <w:vAlign w:val="center"/>
          </w:tcPr>
          <w:p w14:paraId="262357F3">
            <w:pPr>
              <w:jc w:val="center"/>
              <w:rPr>
                <w:bCs/>
                <w:color w:val="000000" w:themeColor="text1"/>
                <w:szCs w:val="21"/>
                <w:highlight w:val="none"/>
                <w14:textFill>
                  <w14:solidFill>
                    <w14:schemeClr w14:val="tx1"/>
                  </w14:solidFill>
                </w14:textFill>
              </w:rPr>
            </w:pPr>
          </w:p>
        </w:tc>
        <w:tc>
          <w:tcPr>
            <w:tcW w:w="488" w:type="pct"/>
            <w:vAlign w:val="center"/>
          </w:tcPr>
          <w:p w14:paraId="34F1CABD">
            <w:pPr>
              <w:jc w:val="center"/>
              <w:rPr>
                <w:bCs/>
                <w:color w:val="000000" w:themeColor="text1"/>
                <w:szCs w:val="21"/>
                <w:highlight w:val="none"/>
                <w14:textFill>
                  <w14:solidFill>
                    <w14:schemeClr w14:val="tx1"/>
                  </w14:solidFill>
                </w14:textFill>
              </w:rPr>
            </w:pPr>
          </w:p>
        </w:tc>
        <w:tc>
          <w:tcPr>
            <w:tcW w:w="488" w:type="pct"/>
            <w:vAlign w:val="center"/>
          </w:tcPr>
          <w:p w14:paraId="3AFB76BF">
            <w:pPr>
              <w:jc w:val="center"/>
              <w:rPr>
                <w:bCs/>
                <w:color w:val="000000" w:themeColor="text1"/>
                <w:szCs w:val="21"/>
                <w:highlight w:val="none"/>
                <w14:textFill>
                  <w14:solidFill>
                    <w14:schemeClr w14:val="tx1"/>
                  </w14:solidFill>
                </w14:textFill>
              </w:rPr>
            </w:pPr>
          </w:p>
        </w:tc>
        <w:tc>
          <w:tcPr>
            <w:tcW w:w="488" w:type="pct"/>
            <w:vAlign w:val="center"/>
          </w:tcPr>
          <w:p w14:paraId="5C075F2B">
            <w:pPr>
              <w:jc w:val="center"/>
              <w:rPr>
                <w:bCs/>
                <w:color w:val="000000" w:themeColor="text1"/>
                <w:szCs w:val="21"/>
                <w:highlight w:val="none"/>
                <w14:textFill>
                  <w14:solidFill>
                    <w14:schemeClr w14:val="tx1"/>
                  </w14:solidFill>
                </w14:textFill>
              </w:rPr>
            </w:pPr>
          </w:p>
        </w:tc>
        <w:tc>
          <w:tcPr>
            <w:tcW w:w="650" w:type="pct"/>
            <w:vAlign w:val="center"/>
          </w:tcPr>
          <w:p w14:paraId="21DAD009">
            <w:pPr>
              <w:jc w:val="center"/>
              <w:rPr>
                <w:bCs/>
                <w:color w:val="000000" w:themeColor="text1"/>
                <w:szCs w:val="21"/>
                <w:highlight w:val="none"/>
                <w14:textFill>
                  <w14:solidFill>
                    <w14:schemeClr w14:val="tx1"/>
                  </w14:solidFill>
                </w14:textFill>
              </w:rPr>
            </w:pPr>
          </w:p>
        </w:tc>
        <w:tc>
          <w:tcPr>
            <w:tcW w:w="463" w:type="pct"/>
            <w:vAlign w:val="center"/>
          </w:tcPr>
          <w:p w14:paraId="626BB3D2">
            <w:pPr>
              <w:jc w:val="center"/>
              <w:rPr>
                <w:bCs/>
                <w:color w:val="000000" w:themeColor="text1"/>
                <w:szCs w:val="21"/>
                <w:highlight w:val="none"/>
                <w14:textFill>
                  <w14:solidFill>
                    <w14:schemeClr w14:val="tx1"/>
                  </w14:solidFill>
                </w14:textFill>
              </w:rPr>
            </w:pPr>
          </w:p>
        </w:tc>
        <w:tc>
          <w:tcPr>
            <w:tcW w:w="548" w:type="pct"/>
            <w:vAlign w:val="center"/>
          </w:tcPr>
          <w:p w14:paraId="58DE753A">
            <w:pPr>
              <w:jc w:val="center"/>
              <w:rPr>
                <w:bCs/>
                <w:color w:val="000000" w:themeColor="text1"/>
                <w:szCs w:val="21"/>
                <w:highlight w:val="none"/>
                <w14:textFill>
                  <w14:solidFill>
                    <w14:schemeClr w14:val="tx1"/>
                  </w14:solidFill>
                </w14:textFill>
              </w:rPr>
            </w:pPr>
          </w:p>
        </w:tc>
        <w:tc>
          <w:tcPr>
            <w:tcW w:w="550" w:type="pct"/>
            <w:vAlign w:val="center"/>
          </w:tcPr>
          <w:p w14:paraId="69440829">
            <w:pPr>
              <w:jc w:val="center"/>
              <w:rPr>
                <w:bCs/>
                <w:color w:val="000000" w:themeColor="text1"/>
                <w:szCs w:val="21"/>
                <w:highlight w:val="none"/>
                <w14:textFill>
                  <w14:solidFill>
                    <w14:schemeClr w14:val="tx1"/>
                  </w14:solidFill>
                </w14:textFill>
              </w:rPr>
            </w:pPr>
          </w:p>
        </w:tc>
      </w:tr>
      <w:tr w14:paraId="5DF30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1F233D49">
            <w:pPr>
              <w:jc w:val="center"/>
              <w:rPr>
                <w:bCs/>
                <w:color w:val="000000" w:themeColor="text1"/>
                <w:szCs w:val="21"/>
                <w:highlight w:val="none"/>
                <w14:textFill>
                  <w14:solidFill>
                    <w14:schemeClr w14:val="tx1"/>
                  </w14:solidFill>
                </w14:textFill>
              </w:rPr>
            </w:pPr>
          </w:p>
        </w:tc>
        <w:tc>
          <w:tcPr>
            <w:tcW w:w="834" w:type="pct"/>
            <w:vAlign w:val="center"/>
          </w:tcPr>
          <w:p w14:paraId="25F2D517">
            <w:pPr>
              <w:jc w:val="center"/>
              <w:rPr>
                <w:bCs/>
                <w:color w:val="000000" w:themeColor="text1"/>
                <w:szCs w:val="21"/>
                <w:highlight w:val="none"/>
                <w14:textFill>
                  <w14:solidFill>
                    <w14:schemeClr w14:val="tx1"/>
                  </w14:solidFill>
                </w14:textFill>
              </w:rPr>
            </w:pPr>
          </w:p>
        </w:tc>
        <w:tc>
          <w:tcPr>
            <w:tcW w:w="488" w:type="pct"/>
            <w:vAlign w:val="center"/>
          </w:tcPr>
          <w:p w14:paraId="6FE59657">
            <w:pPr>
              <w:jc w:val="center"/>
              <w:rPr>
                <w:bCs/>
                <w:color w:val="000000" w:themeColor="text1"/>
                <w:szCs w:val="21"/>
                <w:highlight w:val="none"/>
                <w14:textFill>
                  <w14:solidFill>
                    <w14:schemeClr w14:val="tx1"/>
                  </w14:solidFill>
                </w14:textFill>
              </w:rPr>
            </w:pPr>
          </w:p>
        </w:tc>
        <w:tc>
          <w:tcPr>
            <w:tcW w:w="488" w:type="pct"/>
            <w:vAlign w:val="center"/>
          </w:tcPr>
          <w:p w14:paraId="55C57047">
            <w:pPr>
              <w:jc w:val="center"/>
              <w:rPr>
                <w:bCs/>
                <w:color w:val="000000" w:themeColor="text1"/>
                <w:szCs w:val="21"/>
                <w:highlight w:val="none"/>
                <w14:textFill>
                  <w14:solidFill>
                    <w14:schemeClr w14:val="tx1"/>
                  </w14:solidFill>
                </w14:textFill>
              </w:rPr>
            </w:pPr>
          </w:p>
        </w:tc>
        <w:tc>
          <w:tcPr>
            <w:tcW w:w="488" w:type="pct"/>
            <w:vAlign w:val="center"/>
          </w:tcPr>
          <w:p w14:paraId="12714A8F">
            <w:pPr>
              <w:jc w:val="center"/>
              <w:rPr>
                <w:bCs/>
                <w:color w:val="000000" w:themeColor="text1"/>
                <w:szCs w:val="21"/>
                <w:highlight w:val="none"/>
                <w14:textFill>
                  <w14:solidFill>
                    <w14:schemeClr w14:val="tx1"/>
                  </w14:solidFill>
                </w14:textFill>
              </w:rPr>
            </w:pPr>
          </w:p>
        </w:tc>
        <w:tc>
          <w:tcPr>
            <w:tcW w:w="650" w:type="pct"/>
            <w:vAlign w:val="center"/>
          </w:tcPr>
          <w:p w14:paraId="1F45FF9B">
            <w:pPr>
              <w:jc w:val="center"/>
              <w:rPr>
                <w:bCs/>
                <w:color w:val="000000" w:themeColor="text1"/>
                <w:szCs w:val="21"/>
                <w:highlight w:val="none"/>
                <w14:textFill>
                  <w14:solidFill>
                    <w14:schemeClr w14:val="tx1"/>
                  </w14:solidFill>
                </w14:textFill>
              </w:rPr>
            </w:pPr>
          </w:p>
        </w:tc>
        <w:tc>
          <w:tcPr>
            <w:tcW w:w="463" w:type="pct"/>
            <w:vAlign w:val="center"/>
          </w:tcPr>
          <w:p w14:paraId="5B6BA4DD">
            <w:pPr>
              <w:jc w:val="center"/>
              <w:rPr>
                <w:bCs/>
                <w:color w:val="000000" w:themeColor="text1"/>
                <w:szCs w:val="21"/>
                <w:highlight w:val="none"/>
                <w14:textFill>
                  <w14:solidFill>
                    <w14:schemeClr w14:val="tx1"/>
                  </w14:solidFill>
                </w14:textFill>
              </w:rPr>
            </w:pPr>
          </w:p>
        </w:tc>
        <w:tc>
          <w:tcPr>
            <w:tcW w:w="548" w:type="pct"/>
            <w:vAlign w:val="center"/>
          </w:tcPr>
          <w:p w14:paraId="4BA09E08">
            <w:pPr>
              <w:jc w:val="center"/>
              <w:rPr>
                <w:bCs/>
                <w:color w:val="000000" w:themeColor="text1"/>
                <w:szCs w:val="21"/>
                <w:highlight w:val="none"/>
                <w14:textFill>
                  <w14:solidFill>
                    <w14:schemeClr w14:val="tx1"/>
                  </w14:solidFill>
                </w14:textFill>
              </w:rPr>
            </w:pPr>
          </w:p>
        </w:tc>
        <w:tc>
          <w:tcPr>
            <w:tcW w:w="550" w:type="pct"/>
            <w:vAlign w:val="center"/>
          </w:tcPr>
          <w:p w14:paraId="6BDB7A63">
            <w:pPr>
              <w:jc w:val="center"/>
              <w:rPr>
                <w:bCs/>
                <w:color w:val="000000" w:themeColor="text1"/>
                <w:szCs w:val="21"/>
                <w:highlight w:val="none"/>
                <w14:textFill>
                  <w14:solidFill>
                    <w14:schemeClr w14:val="tx1"/>
                  </w14:solidFill>
                </w14:textFill>
              </w:rPr>
            </w:pPr>
          </w:p>
        </w:tc>
      </w:tr>
      <w:tr w14:paraId="0BA08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5067D8B0">
            <w:pPr>
              <w:jc w:val="center"/>
              <w:rPr>
                <w:bCs/>
                <w:color w:val="000000" w:themeColor="text1"/>
                <w:szCs w:val="21"/>
                <w:highlight w:val="none"/>
                <w14:textFill>
                  <w14:solidFill>
                    <w14:schemeClr w14:val="tx1"/>
                  </w14:solidFill>
                </w14:textFill>
              </w:rPr>
            </w:pPr>
          </w:p>
        </w:tc>
        <w:tc>
          <w:tcPr>
            <w:tcW w:w="834" w:type="pct"/>
            <w:vAlign w:val="center"/>
          </w:tcPr>
          <w:p w14:paraId="3AF0A603">
            <w:pPr>
              <w:jc w:val="center"/>
              <w:rPr>
                <w:bCs/>
                <w:color w:val="000000" w:themeColor="text1"/>
                <w:szCs w:val="21"/>
                <w:highlight w:val="none"/>
                <w14:textFill>
                  <w14:solidFill>
                    <w14:schemeClr w14:val="tx1"/>
                  </w14:solidFill>
                </w14:textFill>
              </w:rPr>
            </w:pPr>
          </w:p>
        </w:tc>
        <w:tc>
          <w:tcPr>
            <w:tcW w:w="488" w:type="pct"/>
            <w:vAlign w:val="center"/>
          </w:tcPr>
          <w:p w14:paraId="3D1DA545">
            <w:pPr>
              <w:jc w:val="center"/>
              <w:rPr>
                <w:bCs/>
                <w:color w:val="000000" w:themeColor="text1"/>
                <w:szCs w:val="21"/>
                <w:highlight w:val="none"/>
                <w14:textFill>
                  <w14:solidFill>
                    <w14:schemeClr w14:val="tx1"/>
                  </w14:solidFill>
                </w14:textFill>
              </w:rPr>
            </w:pPr>
          </w:p>
        </w:tc>
        <w:tc>
          <w:tcPr>
            <w:tcW w:w="488" w:type="pct"/>
            <w:vAlign w:val="center"/>
          </w:tcPr>
          <w:p w14:paraId="355A1C49">
            <w:pPr>
              <w:jc w:val="center"/>
              <w:rPr>
                <w:bCs/>
                <w:color w:val="000000" w:themeColor="text1"/>
                <w:szCs w:val="21"/>
                <w:highlight w:val="none"/>
                <w14:textFill>
                  <w14:solidFill>
                    <w14:schemeClr w14:val="tx1"/>
                  </w14:solidFill>
                </w14:textFill>
              </w:rPr>
            </w:pPr>
          </w:p>
        </w:tc>
        <w:tc>
          <w:tcPr>
            <w:tcW w:w="488" w:type="pct"/>
            <w:vAlign w:val="center"/>
          </w:tcPr>
          <w:p w14:paraId="5CFBFCA7">
            <w:pPr>
              <w:jc w:val="center"/>
              <w:rPr>
                <w:bCs/>
                <w:color w:val="000000" w:themeColor="text1"/>
                <w:szCs w:val="21"/>
                <w:highlight w:val="none"/>
                <w14:textFill>
                  <w14:solidFill>
                    <w14:schemeClr w14:val="tx1"/>
                  </w14:solidFill>
                </w14:textFill>
              </w:rPr>
            </w:pPr>
          </w:p>
        </w:tc>
        <w:tc>
          <w:tcPr>
            <w:tcW w:w="650" w:type="pct"/>
            <w:vAlign w:val="center"/>
          </w:tcPr>
          <w:p w14:paraId="4A186E3B">
            <w:pPr>
              <w:jc w:val="center"/>
              <w:rPr>
                <w:bCs/>
                <w:color w:val="000000" w:themeColor="text1"/>
                <w:szCs w:val="21"/>
                <w:highlight w:val="none"/>
                <w14:textFill>
                  <w14:solidFill>
                    <w14:schemeClr w14:val="tx1"/>
                  </w14:solidFill>
                </w14:textFill>
              </w:rPr>
            </w:pPr>
          </w:p>
        </w:tc>
        <w:tc>
          <w:tcPr>
            <w:tcW w:w="463" w:type="pct"/>
            <w:vAlign w:val="center"/>
          </w:tcPr>
          <w:p w14:paraId="2649A5ED">
            <w:pPr>
              <w:jc w:val="center"/>
              <w:rPr>
                <w:bCs/>
                <w:color w:val="000000" w:themeColor="text1"/>
                <w:szCs w:val="21"/>
                <w:highlight w:val="none"/>
                <w14:textFill>
                  <w14:solidFill>
                    <w14:schemeClr w14:val="tx1"/>
                  </w14:solidFill>
                </w14:textFill>
              </w:rPr>
            </w:pPr>
          </w:p>
        </w:tc>
        <w:tc>
          <w:tcPr>
            <w:tcW w:w="548" w:type="pct"/>
            <w:vAlign w:val="center"/>
          </w:tcPr>
          <w:p w14:paraId="726F3C6D">
            <w:pPr>
              <w:jc w:val="center"/>
              <w:rPr>
                <w:bCs/>
                <w:color w:val="000000" w:themeColor="text1"/>
                <w:szCs w:val="21"/>
                <w:highlight w:val="none"/>
                <w14:textFill>
                  <w14:solidFill>
                    <w14:schemeClr w14:val="tx1"/>
                  </w14:solidFill>
                </w14:textFill>
              </w:rPr>
            </w:pPr>
          </w:p>
        </w:tc>
        <w:tc>
          <w:tcPr>
            <w:tcW w:w="550" w:type="pct"/>
            <w:vAlign w:val="center"/>
          </w:tcPr>
          <w:p w14:paraId="306E1ECE">
            <w:pPr>
              <w:jc w:val="center"/>
              <w:rPr>
                <w:bCs/>
                <w:color w:val="000000" w:themeColor="text1"/>
                <w:szCs w:val="21"/>
                <w:highlight w:val="none"/>
                <w14:textFill>
                  <w14:solidFill>
                    <w14:schemeClr w14:val="tx1"/>
                  </w14:solidFill>
                </w14:textFill>
              </w:rPr>
            </w:pPr>
          </w:p>
        </w:tc>
      </w:tr>
      <w:tr w14:paraId="1CE9C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2936C414">
            <w:pPr>
              <w:jc w:val="center"/>
              <w:rPr>
                <w:bCs/>
                <w:color w:val="000000" w:themeColor="text1"/>
                <w:szCs w:val="21"/>
                <w:highlight w:val="none"/>
                <w14:textFill>
                  <w14:solidFill>
                    <w14:schemeClr w14:val="tx1"/>
                  </w14:solidFill>
                </w14:textFill>
              </w:rPr>
            </w:pPr>
          </w:p>
        </w:tc>
        <w:tc>
          <w:tcPr>
            <w:tcW w:w="834" w:type="pct"/>
            <w:vAlign w:val="center"/>
          </w:tcPr>
          <w:p w14:paraId="350CEE63">
            <w:pPr>
              <w:jc w:val="center"/>
              <w:rPr>
                <w:bCs/>
                <w:color w:val="000000" w:themeColor="text1"/>
                <w:szCs w:val="21"/>
                <w:highlight w:val="none"/>
                <w14:textFill>
                  <w14:solidFill>
                    <w14:schemeClr w14:val="tx1"/>
                  </w14:solidFill>
                </w14:textFill>
              </w:rPr>
            </w:pPr>
          </w:p>
        </w:tc>
        <w:tc>
          <w:tcPr>
            <w:tcW w:w="488" w:type="pct"/>
            <w:vAlign w:val="center"/>
          </w:tcPr>
          <w:p w14:paraId="4C220B81">
            <w:pPr>
              <w:jc w:val="center"/>
              <w:rPr>
                <w:bCs/>
                <w:color w:val="000000" w:themeColor="text1"/>
                <w:szCs w:val="21"/>
                <w:highlight w:val="none"/>
                <w14:textFill>
                  <w14:solidFill>
                    <w14:schemeClr w14:val="tx1"/>
                  </w14:solidFill>
                </w14:textFill>
              </w:rPr>
            </w:pPr>
          </w:p>
        </w:tc>
        <w:tc>
          <w:tcPr>
            <w:tcW w:w="488" w:type="pct"/>
            <w:vAlign w:val="center"/>
          </w:tcPr>
          <w:p w14:paraId="51202EE7">
            <w:pPr>
              <w:jc w:val="center"/>
              <w:rPr>
                <w:bCs/>
                <w:color w:val="000000" w:themeColor="text1"/>
                <w:szCs w:val="21"/>
                <w:highlight w:val="none"/>
                <w14:textFill>
                  <w14:solidFill>
                    <w14:schemeClr w14:val="tx1"/>
                  </w14:solidFill>
                </w14:textFill>
              </w:rPr>
            </w:pPr>
          </w:p>
        </w:tc>
        <w:tc>
          <w:tcPr>
            <w:tcW w:w="488" w:type="pct"/>
            <w:vAlign w:val="center"/>
          </w:tcPr>
          <w:p w14:paraId="5AB421FE">
            <w:pPr>
              <w:jc w:val="center"/>
              <w:rPr>
                <w:bCs/>
                <w:color w:val="000000" w:themeColor="text1"/>
                <w:szCs w:val="21"/>
                <w:highlight w:val="none"/>
                <w14:textFill>
                  <w14:solidFill>
                    <w14:schemeClr w14:val="tx1"/>
                  </w14:solidFill>
                </w14:textFill>
              </w:rPr>
            </w:pPr>
          </w:p>
        </w:tc>
        <w:tc>
          <w:tcPr>
            <w:tcW w:w="650" w:type="pct"/>
            <w:vAlign w:val="center"/>
          </w:tcPr>
          <w:p w14:paraId="4B88F174">
            <w:pPr>
              <w:jc w:val="center"/>
              <w:rPr>
                <w:bCs/>
                <w:color w:val="000000" w:themeColor="text1"/>
                <w:szCs w:val="21"/>
                <w:highlight w:val="none"/>
                <w14:textFill>
                  <w14:solidFill>
                    <w14:schemeClr w14:val="tx1"/>
                  </w14:solidFill>
                </w14:textFill>
              </w:rPr>
            </w:pPr>
          </w:p>
        </w:tc>
        <w:tc>
          <w:tcPr>
            <w:tcW w:w="463" w:type="pct"/>
            <w:vAlign w:val="center"/>
          </w:tcPr>
          <w:p w14:paraId="5FA3C35C">
            <w:pPr>
              <w:jc w:val="center"/>
              <w:rPr>
                <w:bCs/>
                <w:color w:val="000000" w:themeColor="text1"/>
                <w:szCs w:val="21"/>
                <w:highlight w:val="none"/>
                <w14:textFill>
                  <w14:solidFill>
                    <w14:schemeClr w14:val="tx1"/>
                  </w14:solidFill>
                </w14:textFill>
              </w:rPr>
            </w:pPr>
          </w:p>
        </w:tc>
        <w:tc>
          <w:tcPr>
            <w:tcW w:w="548" w:type="pct"/>
            <w:vAlign w:val="center"/>
          </w:tcPr>
          <w:p w14:paraId="288A808E">
            <w:pPr>
              <w:jc w:val="center"/>
              <w:rPr>
                <w:bCs/>
                <w:color w:val="000000" w:themeColor="text1"/>
                <w:szCs w:val="21"/>
                <w:highlight w:val="none"/>
                <w14:textFill>
                  <w14:solidFill>
                    <w14:schemeClr w14:val="tx1"/>
                  </w14:solidFill>
                </w14:textFill>
              </w:rPr>
            </w:pPr>
          </w:p>
        </w:tc>
        <w:tc>
          <w:tcPr>
            <w:tcW w:w="550" w:type="pct"/>
            <w:vAlign w:val="center"/>
          </w:tcPr>
          <w:p w14:paraId="6472A325">
            <w:pPr>
              <w:jc w:val="center"/>
              <w:rPr>
                <w:bCs/>
                <w:color w:val="000000" w:themeColor="text1"/>
                <w:szCs w:val="21"/>
                <w:highlight w:val="none"/>
                <w14:textFill>
                  <w14:solidFill>
                    <w14:schemeClr w14:val="tx1"/>
                  </w14:solidFill>
                </w14:textFill>
              </w:rPr>
            </w:pPr>
          </w:p>
        </w:tc>
      </w:tr>
      <w:tr w14:paraId="2EA99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4EA947F1">
            <w:pPr>
              <w:jc w:val="center"/>
              <w:rPr>
                <w:bCs/>
                <w:color w:val="000000" w:themeColor="text1"/>
                <w:szCs w:val="21"/>
                <w:highlight w:val="none"/>
                <w14:textFill>
                  <w14:solidFill>
                    <w14:schemeClr w14:val="tx1"/>
                  </w14:solidFill>
                </w14:textFill>
              </w:rPr>
            </w:pPr>
          </w:p>
        </w:tc>
        <w:tc>
          <w:tcPr>
            <w:tcW w:w="834" w:type="pct"/>
            <w:vAlign w:val="center"/>
          </w:tcPr>
          <w:p w14:paraId="4F39BF64">
            <w:pPr>
              <w:jc w:val="center"/>
              <w:rPr>
                <w:bCs/>
                <w:color w:val="000000" w:themeColor="text1"/>
                <w:szCs w:val="21"/>
                <w:highlight w:val="none"/>
                <w14:textFill>
                  <w14:solidFill>
                    <w14:schemeClr w14:val="tx1"/>
                  </w14:solidFill>
                </w14:textFill>
              </w:rPr>
            </w:pPr>
          </w:p>
        </w:tc>
        <w:tc>
          <w:tcPr>
            <w:tcW w:w="488" w:type="pct"/>
            <w:vAlign w:val="center"/>
          </w:tcPr>
          <w:p w14:paraId="75704D2C">
            <w:pPr>
              <w:jc w:val="center"/>
              <w:rPr>
                <w:bCs/>
                <w:color w:val="000000" w:themeColor="text1"/>
                <w:szCs w:val="21"/>
                <w:highlight w:val="none"/>
                <w14:textFill>
                  <w14:solidFill>
                    <w14:schemeClr w14:val="tx1"/>
                  </w14:solidFill>
                </w14:textFill>
              </w:rPr>
            </w:pPr>
          </w:p>
        </w:tc>
        <w:tc>
          <w:tcPr>
            <w:tcW w:w="488" w:type="pct"/>
            <w:vAlign w:val="center"/>
          </w:tcPr>
          <w:p w14:paraId="704D75C3">
            <w:pPr>
              <w:jc w:val="center"/>
              <w:rPr>
                <w:bCs/>
                <w:color w:val="000000" w:themeColor="text1"/>
                <w:szCs w:val="21"/>
                <w:highlight w:val="none"/>
                <w14:textFill>
                  <w14:solidFill>
                    <w14:schemeClr w14:val="tx1"/>
                  </w14:solidFill>
                </w14:textFill>
              </w:rPr>
            </w:pPr>
          </w:p>
        </w:tc>
        <w:tc>
          <w:tcPr>
            <w:tcW w:w="488" w:type="pct"/>
            <w:vAlign w:val="center"/>
          </w:tcPr>
          <w:p w14:paraId="66AB9F84">
            <w:pPr>
              <w:jc w:val="center"/>
              <w:rPr>
                <w:bCs/>
                <w:color w:val="000000" w:themeColor="text1"/>
                <w:szCs w:val="21"/>
                <w:highlight w:val="none"/>
                <w14:textFill>
                  <w14:solidFill>
                    <w14:schemeClr w14:val="tx1"/>
                  </w14:solidFill>
                </w14:textFill>
              </w:rPr>
            </w:pPr>
          </w:p>
        </w:tc>
        <w:tc>
          <w:tcPr>
            <w:tcW w:w="650" w:type="pct"/>
            <w:vAlign w:val="center"/>
          </w:tcPr>
          <w:p w14:paraId="61137786">
            <w:pPr>
              <w:jc w:val="center"/>
              <w:rPr>
                <w:bCs/>
                <w:color w:val="000000" w:themeColor="text1"/>
                <w:szCs w:val="21"/>
                <w:highlight w:val="none"/>
                <w14:textFill>
                  <w14:solidFill>
                    <w14:schemeClr w14:val="tx1"/>
                  </w14:solidFill>
                </w14:textFill>
              </w:rPr>
            </w:pPr>
          </w:p>
        </w:tc>
        <w:tc>
          <w:tcPr>
            <w:tcW w:w="463" w:type="pct"/>
            <w:vAlign w:val="center"/>
          </w:tcPr>
          <w:p w14:paraId="42DD3116">
            <w:pPr>
              <w:jc w:val="center"/>
              <w:rPr>
                <w:bCs/>
                <w:color w:val="000000" w:themeColor="text1"/>
                <w:szCs w:val="21"/>
                <w:highlight w:val="none"/>
                <w14:textFill>
                  <w14:solidFill>
                    <w14:schemeClr w14:val="tx1"/>
                  </w14:solidFill>
                </w14:textFill>
              </w:rPr>
            </w:pPr>
          </w:p>
        </w:tc>
        <w:tc>
          <w:tcPr>
            <w:tcW w:w="548" w:type="pct"/>
            <w:vAlign w:val="center"/>
          </w:tcPr>
          <w:p w14:paraId="3AB0F7ED">
            <w:pPr>
              <w:jc w:val="center"/>
              <w:rPr>
                <w:bCs/>
                <w:color w:val="000000" w:themeColor="text1"/>
                <w:szCs w:val="21"/>
                <w:highlight w:val="none"/>
                <w14:textFill>
                  <w14:solidFill>
                    <w14:schemeClr w14:val="tx1"/>
                  </w14:solidFill>
                </w14:textFill>
              </w:rPr>
            </w:pPr>
          </w:p>
        </w:tc>
        <w:tc>
          <w:tcPr>
            <w:tcW w:w="550" w:type="pct"/>
            <w:vAlign w:val="center"/>
          </w:tcPr>
          <w:p w14:paraId="32241E42">
            <w:pPr>
              <w:jc w:val="center"/>
              <w:rPr>
                <w:bCs/>
                <w:color w:val="000000" w:themeColor="text1"/>
                <w:szCs w:val="21"/>
                <w:highlight w:val="none"/>
                <w14:textFill>
                  <w14:solidFill>
                    <w14:schemeClr w14:val="tx1"/>
                  </w14:solidFill>
                </w14:textFill>
              </w:rPr>
            </w:pPr>
          </w:p>
        </w:tc>
      </w:tr>
      <w:tr w14:paraId="5632D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3B2CAF8D">
            <w:pPr>
              <w:jc w:val="center"/>
              <w:rPr>
                <w:bCs/>
                <w:color w:val="000000" w:themeColor="text1"/>
                <w:szCs w:val="21"/>
                <w:highlight w:val="none"/>
                <w14:textFill>
                  <w14:solidFill>
                    <w14:schemeClr w14:val="tx1"/>
                  </w14:solidFill>
                </w14:textFill>
              </w:rPr>
            </w:pPr>
          </w:p>
        </w:tc>
        <w:tc>
          <w:tcPr>
            <w:tcW w:w="834" w:type="pct"/>
            <w:vAlign w:val="center"/>
          </w:tcPr>
          <w:p w14:paraId="3C5776AF">
            <w:pPr>
              <w:jc w:val="center"/>
              <w:rPr>
                <w:bCs/>
                <w:color w:val="000000" w:themeColor="text1"/>
                <w:szCs w:val="21"/>
                <w:highlight w:val="none"/>
                <w14:textFill>
                  <w14:solidFill>
                    <w14:schemeClr w14:val="tx1"/>
                  </w14:solidFill>
                </w14:textFill>
              </w:rPr>
            </w:pPr>
          </w:p>
        </w:tc>
        <w:tc>
          <w:tcPr>
            <w:tcW w:w="488" w:type="pct"/>
            <w:vAlign w:val="center"/>
          </w:tcPr>
          <w:p w14:paraId="0270F5D7">
            <w:pPr>
              <w:jc w:val="center"/>
              <w:rPr>
                <w:bCs/>
                <w:color w:val="000000" w:themeColor="text1"/>
                <w:szCs w:val="21"/>
                <w:highlight w:val="none"/>
                <w14:textFill>
                  <w14:solidFill>
                    <w14:schemeClr w14:val="tx1"/>
                  </w14:solidFill>
                </w14:textFill>
              </w:rPr>
            </w:pPr>
          </w:p>
        </w:tc>
        <w:tc>
          <w:tcPr>
            <w:tcW w:w="488" w:type="pct"/>
            <w:vAlign w:val="center"/>
          </w:tcPr>
          <w:p w14:paraId="4293D98D">
            <w:pPr>
              <w:jc w:val="center"/>
              <w:rPr>
                <w:bCs/>
                <w:color w:val="000000" w:themeColor="text1"/>
                <w:szCs w:val="21"/>
                <w:highlight w:val="none"/>
                <w14:textFill>
                  <w14:solidFill>
                    <w14:schemeClr w14:val="tx1"/>
                  </w14:solidFill>
                </w14:textFill>
              </w:rPr>
            </w:pPr>
          </w:p>
        </w:tc>
        <w:tc>
          <w:tcPr>
            <w:tcW w:w="488" w:type="pct"/>
            <w:vAlign w:val="center"/>
          </w:tcPr>
          <w:p w14:paraId="3D0DC2A7">
            <w:pPr>
              <w:jc w:val="center"/>
              <w:rPr>
                <w:bCs/>
                <w:color w:val="000000" w:themeColor="text1"/>
                <w:szCs w:val="21"/>
                <w:highlight w:val="none"/>
                <w14:textFill>
                  <w14:solidFill>
                    <w14:schemeClr w14:val="tx1"/>
                  </w14:solidFill>
                </w14:textFill>
              </w:rPr>
            </w:pPr>
          </w:p>
        </w:tc>
        <w:tc>
          <w:tcPr>
            <w:tcW w:w="650" w:type="pct"/>
            <w:vAlign w:val="center"/>
          </w:tcPr>
          <w:p w14:paraId="53F155A3">
            <w:pPr>
              <w:jc w:val="center"/>
              <w:rPr>
                <w:bCs/>
                <w:color w:val="000000" w:themeColor="text1"/>
                <w:szCs w:val="21"/>
                <w:highlight w:val="none"/>
                <w14:textFill>
                  <w14:solidFill>
                    <w14:schemeClr w14:val="tx1"/>
                  </w14:solidFill>
                </w14:textFill>
              </w:rPr>
            </w:pPr>
          </w:p>
        </w:tc>
        <w:tc>
          <w:tcPr>
            <w:tcW w:w="463" w:type="pct"/>
            <w:vAlign w:val="center"/>
          </w:tcPr>
          <w:p w14:paraId="6C6F274D">
            <w:pPr>
              <w:jc w:val="center"/>
              <w:rPr>
                <w:bCs/>
                <w:color w:val="000000" w:themeColor="text1"/>
                <w:szCs w:val="21"/>
                <w:highlight w:val="none"/>
                <w14:textFill>
                  <w14:solidFill>
                    <w14:schemeClr w14:val="tx1"/>
                  </w14:solidFill>
                </w14:textFill>
              </w:rPr>
            </w:pPr>
          </w:p>
        </w:tc>
        <w:tc>
          <w:tcPr>
            <w:tcW w:w="548" w:type="pct"/>
            <w:vAlign w:val="center"/>
          </w:tcPr>
          <w:p w14:paraId="7F43B40C">
            <w:pPr>
              <w:jc w:val="center"/>
              <w:rPr>
                <w:bCs/>
                <w:color w:val="000000" w:themeColor="text1"/>
                <w:szCs w:val="21"/>
                <w:highlight w:val="none"/>
                <w14:textFill>
                  <w14:solidFill>
                    <w14:schemeClr w14:val="tx1"/>
                  </w14:solidFill>
                </w14:textFill>
              </w:rPr>
            </w:pPr>
          </w:p>
        </w:tc>
        <w:tc>
          <w:tcPr>
            <w:tcW w:w="550" w:type="pct"/>
            <w:vAlign w:val="center"/>
          </w:tcPr>
          <w:p w14:paraId="635F32F5">
            <w:pPr>
              <w:jc w:val="center"/>
              <w:rPr>
                <w:bCs/>
                <w:color w:val="000000" w:themeColor="text1"/>
                <w:szCs w:val="21"/>
                <w:highlight w:val="none"/>
                <w14:textFill>
                  <w14:solidFill>
                    <w14:schemeClr w14:val="tx1"/>
                  </w14:solidFill>
                </w14:textFill>
              </w:rPr>
            </w:pPr>
          </w:p>
        </w:tc>
      </w:tr>
      <w:tr w14:paraId="2BE3B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76AC1A4E">
            <w:pPr>
              <w:jc w:val="center"/>
              <w:rPr>
                <w:bCs/>
                <w:color w:val="000000" w:themeColor="text1"/>
                <w:szCs w:val="21"/>
                <w:highlight w:val="none"/>
                <w14:textFill>
                  <w14:solidFill>
                    <w14:schemeClr w14:val="tx1"/>
                  </w14:solidFill>
                </w14:textFill>
              </w:rPr>
            </w:pPr>
          </w:p>
        </w:tc>
        <w:tc>
          <w:tcPr>
            <w:tcW w:w="834" w:type="pct"/>
            <w:vAlign w:val="center"/>
          </w:tcPr>
          <w:p w14:paraId="437A1ECB">
            <w:pPr>
              <w:jc w:val="center"/>
              <w:rPr>
                <w:bCs/>
                <w:color w:val="000000" w:themeColor="text1"/>
                <w:szCs w:val="21"/>
                <w:highlight w:val="none"/>
                <w14:textFill>
                  <w14:solidFill>
                    <w14:schemeClr w14:val="tx1"/>
                  </w14:solidFill>
                </w14:textFill>
              </w:rPr>
            </w:pPr>
          </w:p>
        </w:tc>
        <w:tc>
          <w:tcPr>
            <w:tcW w:w="488" w:type="pct"/>
            <w:vAlign w:val="center"/>
          </w:tcPr>
          <w:p w14:paraId="3EFC2059">
            <w:pPr>
              <w:jc w:val="center"/>
              <w:rPr>
                <w:bCs/>
                <w:color w:val="000000" w:themeColor="text1"/>
                <w:szCs w:val="21"/>
                <w:highlight w:val="none"/>
                <w14:textFill>
                  <w14:solidFill>
                    <w14:schemeClr w14:val="tx1"/>
                  </w14:solidFill>
                </w14:textFill>
              </w:rPr>
            </w:pPr>
          </w:p>
        </w:tc>
        <w:tc>
          <w:tcPr>
            <w:tcW w:w="488" w:type="pct"/>
            <w:vAlign w:val="center"/>
          </w:tcPr>
          <w:p w14:paraId="6971BE90">
            <w:pPr>
              <w:jc w:val="center"/>
              <w:rPr>
                <w:bCs/>
                <w:color w:val="000000" w:themeColor="text1"/>
                <w:szCs w:val="21"/>
                <w:highlight w:val="none"/>
                <w14:textFill>
                  <w14:solidFill>
                    <w14:schemeClr w14:val="tx1"/>
                  </w14:solidFill>
                </w14:textFill>
              </w:rPr>
            </w:pPr>
          </w:p>
        </w:tc>
        <w:tc>
          <w:tcPr>
            <w:tcW w:w="488" w:type="pct"/>
            <w:vAlign w:val="center"/>
          </w:tcPr>
          <w:p w14:paraId="4BA8780C">
            <w:pPr>
              <w:jc w:val="center"/>
              <w:rPr>
                <w:bCs/>
                <w:color w:val="000000" w:themeColor="text1"/>
                <w:szCs w:val="21"/>
                <w:highlight w:val="none"/>
                <w14:textFill>
                  <w14:solidFill>
                    <w14:schemeClr w14:val="tx1"/>
                  </w14:solidFill>
                </w14:textFill>
              </w:rPr>
            </w:pPr>
          </w:p>
        </w:tc>
        <w:tc>
          <w:tcPr>
            <w:tcW w:w="650" w:type="pct"/>
            <w:vAlign w:val="center"/>
          </w:tcPr>
          <w:p w14:paraId="1912471E">
            <w:pPr>
              <w:jc w:val="center"/>
              <w:rPr>
                <w:bCs/>
                <w:color w:val="000000" w:themeColor="text1"/>
                <w:szCs w:val="21"/>
                <w:highlight w:val="none"/>
                <w14:textFill>
                  <w14:solidFill>
                    <w14:schemeClr w14:val="tx1"/>
                  </w14:solidFill>
                </w14:textFill>
              </w:rPr>
            </w:pPr>
          </w:p>
        </w:tc>
        <w:tc>
          <w:tcPr>
            <w:tcW w:w="463" w:type="pct"/>
            <w:vAlign w:val="center"/>
          </w:tcPr>
          <w:p w14:paraId="6D3F0CCF">
            <w:pPr>
              <w:jc w:val="center"/>
              <w:rPr>
                <w:bCs/>
                <w:color w:val="000000" w:themeColor="text1"/>
                <w:szCs w:val="21"/>
                <w:highlight w:val="none"/>
                <w14:textFill>
                  <w14:solidFill>
                    <w14:schemeClr w14:val="tx1"/>
                  </w14:solidFill>
                </w14:textFill>
              </w:rPr>
            </w:pPr>
          </w:p>
        </w:tc>
        <w:tc>
          <w:tcPr>
            <w:tcW w:w="548" w:type="pct"/>
            <w:vAlign w:val="center"/>
          </w:tcPr>
          <w:p w14:paraId="26DB42E8">
            <w:pPr>
              <w:jc w:val="center"/>
              <w:rPr>
                <w:bCs/>
                <w:color w:val="000000" w:themeColor="text1"/>
                <w:szCs w:val="21"/>
                <w:highlight w:val="none"/>
                <w14:textFill>
                  <w14:solidFill>
                    <w14:schemeClr w14:val="tx1"/>
                  </w14:solidFill>
                </w14:textFill>
              </w:rPr>
            </w:pPr>
          </w:p>
        </w:tc>
        <w:tc>
          <w:tcPr>
            <w:tcW w:w="550" w:type="pct"/>
            <w:vAlign w:val="center"/>
          </w:tcPr>
          <w:p w14:paraId="44A292BA">
            <w:pPr>
              <w:jc w:val="center"/>
              <w:rPr>
                <w:bCs/>
                <w:color w:val="000000" w:themeColor="text1"/>
                <w:szCs w:val="21"/>
                <w:highlight w:val="none"/>
                <w14:textFill>
                  <w14:solidFill>
                    <w14:schemeClr w14:val="tx1"/>
                  </w14:solidFill>
                </w14:textFill>
              </w:rPr>
            </w:pPr>
          </w:p>
        </w:tc>
      </w:tr>
      <w:tr w14:paraId="54004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5A201816">
            <w:pPr>
              <w:jc w:val="center"/>
              <w:rPr>
                <w:bCs/>
                <w:color w:val="000000" w:themeColor="text1"/>
                <w:szCs w:val="21"/>
                <w:highlight w:val="none"/>
                <w14:textFill>
                  <w14:solidFill>
                    <w14:schemeClr w14:val="tx1"/>
                  </w14:solidFill>
                </w14:textFill>
              </w:rPr>
            </w:pPr>
          </w:p>
        </w:tc>
        <w:tc>
          <w:tcPr>
            <w:tcW w:w="834" w:type="pct"/>
            <w:vAlign w:val="center"/>
          </w:tcPr>
          <w:p w14:paraId="1C48DD9C">
            <w:pPr>
              <w:jc w:val="center"/>
              <w:rPr>
                <w:bCs/>
                <w:color w:val="000000" w:themeColor="text1"/>
                <w:szCs w:val="21"/>
                <w:highlight w:val="none"/>
                <w14:textFill>
                  <w14:solidFill>
                    <w14:schemeClr w14:val="tx1"/>
                  </w14:solidFill>
                </w14:textFill>
              </w:rPr>
            </w:pPr>
          </w:p>
        </w:tc>
        <w:tc>
          <w:tcPr>
            <w:tcW w:w="488" w:type="pct"/>
            <w:vAlign w:val="center"/>
          </w:tcPr>
          <w:p w14:paraId="326A6671">
            <w:pPr>
              <w:jc w:val="center"/>
              <w:rPr>
                <w:bCs/>
                <w:color w:val="000000" w:themeColor="text1"/>
                <w:szCs w:val="21"/>
                <w:highlight w:val="none"/>
                <w14:textFill>
                  <w14:solidFill>
                    <w14:schemeClr w14:val="tx1"/>
                  </w14:solidFill>
                </w14:textFill>
              </w:rPr>
            </w:pPr>
          </w:p>
        </w:tc>
        <w:tc>
          <w:tcPr>
            <w:tcW w:w="488" w:type="pct"/>
            <w:vAlign w:val="center"/>
          </w:tcPr>
          <w:p w14:paraId="36E8BC71">
            <w:pPr>
              <w:jc w:val="center"/>
              <w:rPr>
                <w:bCs/>
                <w:color w:val="000000" w:themeColor="text1"/>
                <w:szCs w:val="21"/>
                <w:highlight w:val="none"/>
                <w14:textFill>
                  <w14:solidFill>
                    <w14:schemeClr w14:val="tx1"/>
                  </w14:solidFill>
                </w14:textFill>
              </w:rPr>
            </w:pPr>
          </w:p>
        </w:tc>
        <w:tc>
          <w:tcPr>
            <w:tcW w:w="488" w:type="pct"/>
            <w:vAlign w:val="center"/>
          </w:tcPr>
          <w:p w14:paraId="19920828">
            <w:pPr>
              <w:jc w:val="center"/>
              <w:rPr>
                <w:bCs/>
                <w:color w:val="000000" w:themeColor="text1"/>
                <w:szCs w:val="21"/>
                <w:highlight w:val="none"/>
                <w14:textFill>
                  <w14:solidFill>
                    <w14:schemeClr w14:val="tx1"/>
                  </w14:solidFill>
                </w14:textFill>
              </w:rPr>
            </w:pPr>
          </w:p>
        </w:tc>
        <w:tc>
          <w:tcPr>
            <w:tcW w:w="650" w:type="pct"/>
            <w:vAlign w:val="center"/>
          </w:tcPr>
          <w:p w14:paraId="124F967D">
            <w:pPr>
              <w:jc w:val="center"/>
              <w:rPr>
                <w:bCs/>
                <w:color w:val="000000" w:themeColor="text1"/>
                <w:szCs w:val="21"/>
                <w:highlight w:val="none"/>
                <w14:textFill>
                  <w14:solidFill>
                    <w14:schemeClr w14:val="tx1"/>
                  </w14:solidFill>
                </w14:textFill>
              </w:rPr>
            </w:pPr>
          </w:p>
        </w:tc>
        <w:tc>
          <w:tcPr>
            <w:tcW w:w="463" w:type="pct"/>
            <w:vAlign w:val="center"/>
          </w:tcPr>
          <w:p w14:paraId="124CF67B">
            <w:pPr>
              <w:jc w:val="center"/>
              <w:rPr>
                <w:bCs/>
                <w:color w:val="000000" w:themeColor="text1"/>
                <w:szCs w:val="21"/>
                <w:highlight w:val="none"/>
                <w14:textFill>
                  <w14:solidFill>
                    <w14:schemeClr w14:val="tx1"/>
                  </w14:solidFill>
                </w14:textFill>
              </w:rPr>
            </w:pPr>
          </w:p>
        </w:tc>
        <w:tc>
          <w:tcPr>
            <w:tcW w:w="548" w:type="pct"/>
            <w:vAlign w:val="center"/>
          </w:tcPr>
          <w:p w14:paraId="2D988196">
            <w:pPr>
              <w:jc w:val="center"/>
              <w:rPr>
                <w:bCs/>
                <w:color w:val="000000" w:themeColor="text1"/>
                <w:szCs w:val="21"/>
                <w:highlight w:val="none"/>
                <w14:textFill>
                  <w14:solidFill>
                    <w14:schemeClr w14:val="tx1"/>
                  </w14:solidFill>
                </w14:textFill>
              </w:rPr>
            </w:pPr>
          </w:p>
        </w:tc>
        <w:tc>
          <w:tcPr>
            <w:tcW w:w="550" w:type="pct"/>
            <w:vAlign w:val="center"/>
          </w:tcPr>
          <w:p w14:paraId="4EB0141C">
            <w:pPr>
              <w:jc w:val="center"/>
              <w:rPr>
                <w:bCs/>
                <w:color w:val="000000" w:themeColor="text1"/>
                <w:szCs w:val="21"/>
                <w:highlight w:val="none"/>
                <w14:textFill>
                  <w14:solidFill>
                    <w14:schemeClr w14:val="tx1"/>
                  </w14:solidFill>
                </w14:textFill>
              </w:rPr>
            </w:pPr>
          </w:p>
        </w:tc>
      </w:tr>
      <w:tr w14:paraId="27B56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1" w:type="pct"/>
            <w:vAlign w:val="center"/>
          </w:tcPr>
          <w:p w14:paraId="2ABCB841">
            <w:pPr>
              <w:jc w:val="center"/>
              <w:rPr>
                <w:bCs/>
                <w:color w:val="000000" w:themeColor="text1"/>
                <w:szCs w:val="21"/>
                <w:highlight w:val="none"/>
                <w14:textFill>
                  <w14:solidFill>
                    <w14:schemeClr w14:val="tx1"/>
                  </w14:solidFill>
                </w14:textFill>
              </w:rPr>
            </w:pPr>
          </w:p>
        </w:tc>
        <w:tc>
          <w:tcPr>
            <w:tcW w:w="834" w:type="pct"/>
            <w:vAlign w:val="center"/>
          </w:tcPr>
          <w:p w14:paraId="24F56B2F">
            <w:pPr>
              <w:jc w:val="center"/>
              <w:rPr>
                <w:bCs/>
                <w:color w:val="000000" w:themeColor="text1"/>
                <w:szCs w:val="21"/>
                <w:highlight w:val="none"/>
                <w14:textFill>
                  <w14:solidFill>
                    <w14:schemeClr w14:val="tx1"/>
                  </w14:solidFill>
                </w14:textFill>
              </w:rPr>
            </w:pPr>
          </w:p>
        </w:tc>
        <w:tc>
          <w:tcPr>
            <w:tcW w:w="488" w:type="pct"/>
            <w:vAlign w:val="center"/>
          </w:tcPr>
          <w:p w14:paraId="761DAE2E">
            <w:pPr>
              <w:jc w:val="center"/>
              <w:rPr>
                <w:bCs/>
                <w:color w:val="000000" w:themeColor="text1"/>
                <w:szCs w:val="21"/>
                <w:highlight w:val="none"/>
                <w14:textFill>
                  <w14:solidFill>
                    <w14:schemeClr w14:val="tx1"/>
                  </w14:solidFill>
                </w14:textFill>
              </w:rPr>
            </w:pPr>
          </w:p>
        </w:tc>
        <w:tc>
          <w:tcPr>
            <w:tcW w:w="488" w:type="pct"/>
            <w:vAlign w:val="center"/>
          </w:tcPr>
          <w:p w14:paraId="6BB01F2F">
            <w:pPr>
              <w:jc w:val="center"/>
              <w:rPr>
                <w:bCs/>
                <w:color w:val="000000" w:themeColor="text1"/>
                <w:szCs w:val="21"/>
                <w:highlight w:val="none"/>
                <w14:textFill>
                  <w14:solidFill>
                    <w14:schemeClr w14:val="tx1"/>
                  </w14:solidFill>
                </w14:textFill>
              </w:rPr>
            </w:pPr>
          </w:p>
        </w:tc>
        <w:tc>
          <w:tcPr>
            <w:tcW w:w="488" w:type="pct"/>
            <w:vAlign w:val="center"/>
          </w:tcPr>
          <w:p w14:paraId="5EA92D4E">
            <w:pPr>
              <w:jc w:val="center"/>
              <w:rPr>
                <w:bCs/>
                <w:color w:val="000000" w:themeColor="text1"/>
                <w:szCs w:val="21"/>
                <w:highlight w:val="none"/>
                <w14:textFill>
                  <w14:solidFill>
                    <w14:schemeClr w14:val="tx1"/>
                  </w14:solidFill>
                </w14:textFill>
              </w:rPr>
            </w:pPr>
          </w:p>
        </w:tc>
        <w:tc>
          <w:tcPr>
            <w:tcW w:w="650" w:type="pct"/>
            <w:vAlign w:val="center"/>
          </w:tcPr>
          <w:p w14:paraId="1B3C0472">
            <w:pPr>
              <w:jc w:val="center"/>
              <w:rPr>
                <w:bCs/>
                <w:color w:val="000000" w:themeColor="text1"/>
                <w:szCs w:val="21"/>
                <w:highlight w:val="none"/>
                <w14:textFill>
                  <w14:solidFill>
                    <w14:schemeClr w14:val="tx1"/>
                  </w14:solidFill>
                </w14:textFill>
              </w:rPr>
            </w:pPr>
          </w:p>
        </w:tc>
        <w:tc>
          <w:tcPr>
            <w:tcW w:w="463" w:type="pct"/>
            <w:vAlign w:val="center"/>
          </w:tcPr>
          <w:p w14:paraId="68834D99">
            <w:pPr>
              <w:jc w:val="center"/>
              <w:rPr>
                <w:bCs/>
                <w:color w:val="000000" w:themeColor="text1"/>
                <w:szCs w:val="21"/>
                <w:highlight w:val="none"/>
                <w14:textFill>
                  <w14:solidFill>
                    <w14:schemeClr w14:val="tx1"/>
                  </w14:solidFill>
                </w14:textFill>
              </w:rPr>
            </w:pPr>
          </w:p>
        </w:tc>
        <w:tc>
          <w:tcPr>
            <w:tcW w:w="548" w:type="pct"/>
            <w:vAlign w:val="center"/>
          </w:tcPr>
          <w:p w14:paraId="1044CBAA">
            <w:pPr>
              <w:jc w:val="center"/>
              <w:rPr>
                <w:bCs/>
                <w:color w:val="000000" w:themeColor="text1"/>
                <w:szCs w:val="21"/>
                <w:highlight w:val="none"/>
                <w14:textFill>
                  <w14:solidFill>
                    <w14:schemeClr w14:val="tx1"/>
                  </w14:solidFill>
                </w14:textFill>
              </w:rPr>
            </w:pPr>
          </w:p>
        </w:tc>
        <w:tc>
          <w:tcPr>
            <w:tcW w:w="550" w:type="pct"/>
            <w:vAlign w:val="center"/>
          </w:tcPr>
          <w:p w14:paraId="3A45ED82">
            <w:pPr>
              <w:jc w:val="center"/>
              <w:rPr>
                <w:bCs/>
                <w:color w:val="000000" w:themeColor="text1"/>
                <w:szCs w:val="21"/>
                <w:highlight w:val="none"/>
                <w14:textFill>
                  <w14:solidFill>
                    <w14:schemeClr w14:val="tx1"/>
                  </w14:solidFill>
                </w14:textFill>
              </w:rPr>
            </w:pPr>
          </w:p>
        </w:tc>
      </w:tr>
    </w:tbl>
    <w:p w14:paraId="75945C1F">
      <w:pPr>
        <w:spacing w:line="360" w:lineRule="auto"/>
        <w:ind w:left="735" w:leftChars="200" w:hanging="315" w:hangingChars="150"/>
        <w:rPr>
          <w:bCs/>
          <w:color w:val="000000" w:themeColor="text1"/>
          <w:szCs w:val="21"/>
          <w:highlight w:val="none"/>
          <w14:textFill>
            <w14:solidFill>
              <w14:schemeClr w14:val="tx1"/>
            </w14:solidFill>
          </w14:textFill>
        </w:rPr>
      </w:pPr>
    </w:p>
    <w:bookmarkEnd w:id="1811"/>
    <w:p w14:paraId="579F0C38">
      <w:pPr>
        <w:spacing w:line="360" w:lineRule="auto"/>
        <w:ind w:left="735" w:leftChars="200" w:hanging="315" w:hangingChars="150"/>
        <w:rPr>
          <w:bCs/>
          <w:color w:val="000000" w:themeColor="text1"/>
          <w:szCs w:val="21"/>
          <w:highlight w:val="none"/>
          <w14:textFill>
            <w14:solidFill>
              <w14:schemeClr w14:val="tx1"/>
            </w14:solidFill>
          </w14:textFill>
        </w:rPr>
      </w:pPr>
    </w:p>
    <w:p w14:paraId="7D06B0DB">
      <w:pPr>
        <w:spacing w:line="360" w:lineRule="auto"/>
        <w:ind w:left="735" w:leftChars="200" w:hanging="315" w:hangingChars="150"/>
        <w:rPr>
          <w:color w:val="000000" w:themeColor="text1"/>
          <w:szCs w:val="21"/>
          <w:highlight w:val="none"/>
          <w14:textFill>
            <w14:solidFill>
              <w14:schemeClr w14:val="tx1"/>
            </w14:solidFill>
          </w14:textFill>
        </w:rPr>
        <w:sectPr>
          <w:pgSz w:w="11907" w:h="16840"/>
          <w:pgMar w:top="1417" w:right="1701" w:bottom="1417" w:left="1701" w:header="850" w:footer="1134" w:gutter="0"/>
          <w:pgNumType w:fmt="decimal"/>
          <w:cols w:space="0" w:num="1"/>
          <w:rtlGutter w:val="0"/>
          <w:docGrid w:linePitch="312" w:charSpace="0"/>
        </w:sectPr>
      </w:pPr>
    </w:p>
    <w:p w14:paraId="452909D5">
      <w:pPr>
        <w:pStyle w:val="53"/>
        <w:spacing w:before="120"/>
        <w:rPr>
          <w:rStyle w:val="46"/>
          <w:rFonts w:ascii="Times New Roman" w:hAnsi="Times New Roman" w:eastAsia="宋体" w:cs="Times New Roman"/>
          <w:b/>
          <w:bCs w:val="0"/>
          <w:color w:val="000000" w:themeColor="text1"/>
          <w:szCs w:val="24"/>
          <w:highlight w:val="none"/>
          <w14:textFill>
            <w14:solidFill>
              <w14:schemeClr w14:val="tx1"/>
            </w14:solidFill>
          </w14:textFill>
        </w:rPr>
      </w:pPr>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7.</w:t>
      </w:r>
      <w:r>
        <w:rPr>
          <w:color w:val="000000" w:themeColor="text1"/>
          <w:sz w:val="21"/>
          <w:szCs w:val="21"/>
          <w:highlight w:val="none"/>
          <w14:textFill>
            <w14:solidFill>
              <w14:schemeClr w14:val="tx1"/>
            </w14:solidFill>
          </w14:textFill>
        </w:rPr>
        <w:t xml:space="preserve"> </w:t>
      </w:r>
      <w:r>
        <w:rPr>
          <w:rStyle w:val="46"/>
          <w:rFonts w:ascii="Times New Roman" w:hAnsi="Times New Roman" w:eastAsia="宋体" w:cs="Times New Roman"/>
          <w:b/>
          <w:bCs w:val="0"/>
          <w:color w:val="000000" w:themeColor="text1"/>
          <w:szCs w:val="24"/>
          <w:highlight w:val="none"/>
          <w14:textFill>
            <w14:solidFill>
              <w14:schemeClr w14:val="tx1"/>
            </w14:solidFill>
          </w14:textFill>
        </w:rPr>
        <w:t>甲供材料、构件</w:t>
      </w:r>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、设备</w:t>
      </w:r>
      <w:r>
        <w:rPr>
          <w:rStyle w:val="46"/>
          <w:rFonts w:ascii="Times New Roman" w:hAnsi="Times New Roman" w:eastAsia="宋体" w:cs="Times New Roman"/>
          <w:b/>
          <w:bCs w:val="0"/>
          <w:color w:val="000000" w:themeColor="text1"/>
          <w:szCs w:val="24"/>
          <w:highlight w:val="none"/>
          <w14:textFill>
            <w14:solidFill>
              <w14:schemeClr w14:val="tx1"/>
            </w14:solidFill>
          </w14:textFill>
        </w:rPr>
        <w:t>清单</w:t>
      </w:r>
    </w:p>
    <w:p w14:paraId="526B069F">
      <w:pPr>
        <w:spacing w:line="360" w:lineRule="auto"/>
        <w:jc w:val="center"/>
        <w:rPr>
          <w:b/>
          <w:color w:val="000000" w:themeColor="text1"/>
          <w:szCs w:val="21"/>
          <w:highlight w:val="none"/>
          <w14:textFill>
            <w14:solidFill>
              <w14:schemeClr w14:val="tx1"/>
            </w14:solidFill>
          </w14:textFill>
        </w:rPr>
      </w:pPr>
    </w:p>
    <w:p w14:paraId="6EE9DE38">
      <w:pPr>
        <w:spacing w:line="360" w:lineRule="auto"/>
        <w:jc w:val="center"/>
        <w:rPr>
          <w:b/>
          <w:color w:val="000000" w:themeColor="text1"/>
          <w:sz w:val="28"/>
          <w:szCs w:val="28"/>
          <w:highlight w:val="none"/>
          <w14:textFill>
            <w14:solidFill>
              <w14:schemeClr w14:val="tx1"/>
            </w14:solidFill>
          </w14:textFill>
        </w:rPr>
      </w:pPr>
      <w:r>
        <w:rPr>
          <w:b/>
          <w:color w:val="000000" w:themeColor="text1"/>
          <w:sz w:val="28"/>
          <w:szCs w:val="28"/>
          <w:highlight w:val="none"/>
          <w14:textFill>
            <w14:solidFill>
              <w14:schemeClr w14:val="tx1"/>
            </w14:solidFill>
          </w14:textFill>
        </w:rPr>
        <w:t>甲供材料、构件</w:t>
      </w:r>
      <w:r>
        <w:rPr>
          <w:rFonts w:hint="eastAsia"/>
          <w:b/>
          <w:color w:val="000000" w:themeColor="text1"/>
          <w:sz w:val="28"/>
          <w:szCs w:val="28"/>
          <w:highlight w:val="none"/>
          <w14:textFill>
            <w14:solidFill>
              <w14:schemeClr w14:val="tx1"/>
            </w14:solidFill>
          </w14:textFill>
        </w:rPr>
        <w:t>、设备</w:t>
      </w:r>
      <w:r>
        <w:rPr>
          <w:b/>
          <w:color w:val="000000" w:themeColor="text1"/>
          <w:sz w:val="28"/>
          <w:szCs w:val="28"/>
          <w:highlight w:val="none"/>
          <w14:textFill>
            <w14:solidFill>
              <w14:schemeClr w14:val="tx1"/>
            </w14:solidFill>
          </w14:textFill>
        </w:rPr>
        <w:t>清单</w:t>
      </w:r>
    </w:p>
    <w:tbl>
      <w:tblPr>
        <w:tblStyle w:val="31"/>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42"/>
        <w:gridCol w:w="1768"/>
        <w:gridCol w:w="1759"/>
        <w:gridCol w:w="834"/>
        <w:gridCol w:w="1568"/>
        <w:gridCol w:w="1904"/>
      </w:tblGrid>
      <w:tr w14:paraId="067DE6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5" w:hRule="atLeast"/>
          <w:tblHeader/>
          <w:jc w:val="center"/>
        </w:trPr>
        <w:tc>
          <w:tcPr>
            <w:tcW w:w="458" w:type="pct"/>
            <w:vAlign w:val="center"/>
          </w:tcPr>
          <w:p w14:paraId="1CFF1018">
            <w:pPr>
              <w:widowControl/>
              <w:jc w:val="center"/>
              <w:rPr>
                <w:b/>
                <w:color w:val="000000" w:themeColor="text1"/>
                <w:kern w:val="0"/>
                <w:szCs w:val="21"/>
                <w:highlight w:val="none"/>
                <w14:textFill>
                  <w14:solidFill>
                    <w14:schemeClr w14:val="tx1"/>
                  </w14:solidFill>
                </w14:textFill>
              </w:rPr>
            </w:pPr>
            <w:r>
              <w:rPr>
                <w:rFonts w:hAnsi="宋体"/>
                <w:b/>
                <w:color w:val="000000" w:themeColor="text1"/>
                <w:kern w:val="0"/>
                <w:szCs w:val="21"/>
                <w:highlight w:val="none"/>
                <w14:textFill>
                  <w14:solidFill>
                    <w14:schemeClr w14:val="tx1"/>
                  </w14:solidFill>
                </w14:textFill>
              </w:rPr>
              <w:t>序号</w:t>
            </w:r>
          </w:p>
        </w:tc>
        <w:tc>
          <w:tcPr>
            <w:tcW w:w="1122" w:type="pct"/>
            <w:vAlign w:val="center"/>
          </w:tcPr>
          <w:p w14:paraId="0019250A">
            <w:pPr>
              <w:widowControl/>
              <w:jc w:val="center"/>
              <w:rPr>
                <w:b/>
                <w:color w:val="000000" w:themeColor="text1"/>
                <w:kern w:val="0"/>
                <w:szCs w:val="21"/>
                <w:highlight w:val="none"/>
                <w14:textFill>
                  <w14:solidFill>
                    <w14:schemeClr w14:val="tx1"/>
                  </w14:solidFill>
                </w14:textFill>
              </w:rPr>
            </w:pPr>
            <w:r>
              <w:rPr>
                <w:rFonts w:hAnsi="宋体"/>
                <w:b/>
                <w:color w:val="000000" w:themeColor="text1"/>
                <w:kern w:val="0"/>
                <w:szCs w:val="21"/>
                <w:highlight w:val="none"/>
                <w14:textFill>
                  <w14:solidFill>
                    <w14:schemeClr w14:val="tx1"/>
                  </w14:solidFill>
                </w14:textFill>
              </w:rPr>
              <w:t>材料名称</w:t>
            </w:r>
          </w:p>
        </w:tc>
        <w:tc>
          <w:tcPr>
            <w:tcW w:w="1008" w:type="pct"/>
            <w:noWrap/>
            <w:vAlign w:val="center"/>
          </w:tcPr>
          <w:p w14:paraId="5FAEAC93">
            <w:pPr>
              <w:widowControl/>
              <w:jc w:val="center"/>
              <w:rPr>
                <w:b/>
                <w:color w:val="000000" w:themeColor="text1"/>
                <w:kern w:val="0"/>
                <w:szCs w:val="21"/>
                <w:highlight w:val="none"/>
                <w14:textFill>
                  <w14:solidFill>
                    <w14:schemeClr w14:val="tx1"/>
                  </w14:solidFill>
                </w14:textFill>
              </w:rPr>
            </w:pPr>
            <w:r>
              <w:rPr>
                <w:rFonts w:hAnsi="宋体"/>
                <w:b/>
                <w:color w:val="000000" w:themeColor="text1"/>
                <w:kern w:val="0"/>
                <w:szCs w:val="21"/>
                <w:highlight w:val="none"/>
                <w14:textFill>
                  <w14:solidFill>
                    <w14:schemeClr w14:val="tx1"/>
                  </w14:solidFill>
                </w14:textFill>
              </w:rPr>
              <w:t>规格</w:t>
            </w:r>
            <w:r>
              <w:rPr>
                <w:b/>
                <w:color w:val="000000" w:themeColor="text1"/>
                <w:kern w:val="0"/>
                <w:szCs w:val="21"/>
                <w:highlight w:val="none"/>
                <w14:textFill>
                  <w14:solidFill>
                    <w14:schemeClr w14:val="tx1"/>
                  </w14:solidFill>
                </w14:textFill>
              </w:rPr>
              <w:t xml:space="preserve"> / </w:t>
            </w:r>
            <w:r>
              <w:rPr>
                <w:rFonts w:hAnsi="宋体"/>
                <w:b/>
                <w:color w:val="000000" w:themeColor="text1"/>
                <w:kern w:val="0"/>
                <w:szCs w:val="21"/>
                <w:highlight w:val="none"/>
                <w14:textFill>
                  <w14:solidFill>
                    <w14:schemeClr w14:val="tx1"/>
                  </w14:solidFill>
                </w14:textFill>
              </w:rPr>
              <w:t>型号</w:t>
            </w:r>
          </w:p>
        </w:tc>
        <w:tc>
          <w:tcPr>
            <w:tcW w:w="478" w:type="pct"/>
            <w:noWrap/>
            <w:vAlign w:val="center"/>
          </w:tcPr>
          <w:p w14:paraId="4B1F693B">
            <w:pPr>
              <w:widowControl/>
              <w:jc w:val="center"/>
              <w:rPr>
                <w:b/>
                <w:color w:val="000000" w:themeColor="text1"/>
                <w:kern w:val="0"/>
                <w:szCs w:val="21"/>
                <w:highlight w:val="none"/>
                <w14:textFill>
                  <w14:solidFill>
                    <w14:schemeClr w14:val="tx1"/>
                  </w14:solidFill>
                </w14:textFill>
              </w:rPr>
            </w:pPr>
            <w:r>
              <w:rPr>
                <w:rFonts w:hAnsi="宋体"/>
                <w:b/>
                <w:color w:val="000000" w:themeColor="text1"/>
                <w:kern w:val="0"/>
                <w:szCs w:val="21"/>
                <w:highlight w:val="none"/>
                <w14:textFill>
                  <w14:solidFill>
                    <w14:schemeClr w14:val="tx1"/>
                  </w14:solidFill>
                </w14:textFill>
              </w:rPr>
              <w:t>单位</w:t>
            </w:r>
          </w:p>
        </w:tc>
        <w:tc>
          <w:tcPr>
            <w:tcW w:w="1004" w:type="pct"/>
            <w:vAlign w:val="center"/>
          </w:tcPr>
          <w:p w14:paraId="0F14DE25">
            <w:pPr>
              <w:widowControl/>
              <w:rPr>
                <w:b/>
                <w:color w:val="000000" w:themeColor="text1"/>
                <w:kern w:val="0"/>
                <w:szCs w:val="21"/>
                <w:highlight w:val="none"/>
                <w14:textFill>
                  <w14:solidFill>
                    <w14:schemeClr w14:val="tx1"/>
                  </w14:solidFill>
                </w14:textFill>
              </w:rPr>
            </w:pPr>
            <w:r>
              <w:rPr>
                <w:rFonts w:hint="eastAsia" w:hAnsi="宋体"/>
                <w:b/>
                <w:color w:val="000000" w:themeColor="text1"/>
                <w:kern w:val="0"/>
                <w:szCs w:val="21"/>
                <w:highlight w:val="none"/>
                <w14:textFill>
                  <w14:solidFill>
                    <w14:schemeClr w14:val="tx1"/>
                  </w14:solidFill>
                </w14:textFill>
              </w:rPr>
              <w:t>暂定</w:t>
            </w:r>
            <w:r>
              <w:rPr>
                <w:rFonts w:hAnsi="宋体"/>
                <w:b/>
                <w:color w:val="000000" w:themeColor="text1"/>
                <w:kern w:val="0"/>
                <w:szCs w:val="21"/>
                <w:highlight w:val="none"/>
                <w14:textFill>
                  <w14:solidFill>
                    <w14:schemeClr w14:val="tx1"/>
                  </w14:solidFill>
                </w14:textFill>
              </w:rPr>
              <w:t>单价（元）</w:t>
            </w:r>
          </w:p>
        </w:tc>
        <w:tc>
          <w:tcPr>
            <w:tcW w:w="929" w:type="pct"/>
            <w:noWrap/>
            <w:vAlign w:val="center"/>
          </w:tcPr>
          <w:p w14:paraId="2E9ADF86">
            <w:pPr>
              <w:widowControl/>
              <w:jc w:val="center"/>
              <w:rPr>
                <w:rFonts w:hint="eastAsia" w:eastAsia="宋体"/>
                <w:b/>
                <w:color w:val="000000" w:themeColor="text1"/>
                <w:kern w:val="0"/>
                <w:szCs w:val="21"/>
                <w:highlight w:val="none"/>
                <w:lang w:eastAsia="zh-CN"/>
                <w14:textFill>
                  <w14:solidFill>
                    <w14:schemeClr w14:val="tx1"/>
                  </w14:solidFill>
                </w14:textFill>
              </w:rPr>
            </w:pPr>
            <w:r>
              <w:rPr>
                <w:rFonts w:hAnsi="宋体"/>
                <w:b/>
                <w:color w:val="000000" w:themeColor="text1"/>
                <w:kern w:val="0"/>
                <w:szCs w:val="21"/>
                <w:highlight w:val="none"/>
                <w14:textFill>
                  <w14:solidFill>
                    <w14:schemeClr w14:val="tx1"/>
                  </w14:solidFill>
                </w14:textFill>
              </w:rPr>
              <w:t>备注</w:t>
            </w:r>
            <w:r>
              <w:rPr>
                <w:rFonts w:hint="eastAsia" w:hAnsi="宋体"/>
                <w:b/>
                <w:color w:val="000000" w:themeColor="text1"/>
                <w:kern w:val="0"/>
                <w:szCs w:val="21"/>
                <w:highlight w:val="none"/>
                <w:lang w:eastAsia="zh-CN"/>
                <w14:textFill>
                  <w14:solidFill>
                    <w14:schemeClr w14:val="tx1"/>
                  </w14:solidFill>
                </w14:textFill>
              </w:rPr>
              <w:t>（</w:t>
            </w:r>
            <w:r>
              <w:rPr>
                <w:rFonts w:hint="eastAsia" w:hAnsi="宋体"/>
                <w:b/>
                <w:color w:val="000000" w:themeColor="text1"/>
                <w:kern w:val="0"/>
                <w:szCs w:val="21"/>
                <w:highlight w:val="none"/>
                <w:lang w:val="en-US" w:eastAsia="zh-CN"/>
                <w14:textFill>
                  <w14:solidFill>
                    <w14:schemeClr w14:val="tx1"/>
                  </w14:solidFill>
                </w14:textFill>
              </w:rPr>
              <w:t>暂定数量</w:t>
            </w:r>
            <w:r>
              <w:rPr>
                <w:rFonts w:hint="eastAsia" w:hAnsi="宋体"/>
                <w:b/>
                <w:color w:val="000000" w:themeColor="text1"/>
                <w:kern w:val="0"/>
                <w:szCs w:val="21"/>
                <w:highlight w:val="none"/>
                <w:lang w:eastAsia="zh-CN"/>
                <w14:textFill>
                  <w14:solidFill>
                    <w14:schemeClr w14:val="tx1"/>
                  </w14:solidFill>
                </w14:textFill>
              </w:rPr>
              <w:t>）</w:t>
            </w:r>
          </w:p>
        </w:tc>
      </w:tr>
      <w:tr w14:paraId="1F2D62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798" w:type="dxa"/>
            <w:vAlign w:val="center"/>
          </w:tcPr>
          <w:p w14:paraId="26FB0042">
            <w:pPr>
              <w:spacing w:line="240" w:lineRule="auto"/>
              <w:jc w:val="center"/>
              <w:rPr>
                <w:rFonts w:hint="eastAsia" w:eastAsia="宋体"/>
                <w:b/>
                <w:bCs/>
                <w:color w:val="000000" w:themeColor="text1"/>
                <w:kern w:val="0"/>
                <w:szCs w:val="21"/>
                <w:highlight w:val="none"/>
                <w:lang w:val="en-US" w:eastAsia="zh-CN"/>
                <w14:textFill>
                  <w14:solidFill>
                    <w14:schemeClr w14:val="tx1"/>
                  </w14:solidFill>
                </w14:textFill>
              </w:rPr>
            </w:pPr>
            <w:r>
              <w:rPr>
                <w:rFonts w:hint="eastAsia"/>
                <w:b/>
                <w:color w:val="000000" w:themeColor="text1"/>
                <w:sz w:val="21"/>
                <w:szCs w:val="24"/>
                <w:highlight w:val="none"/>
                <w:lang w:eastAsia="zh-CN"/>
                <w14:textFill>
                  <w14:solidFill>
                    <w14:schemeClr w14:val="tx1"/>
                  </w14:solidFill>
                </w14:textFill>
              </w:rPr>
              <w:t>1</w:t>
            </w:r>
          </w:p>
        </w:tc>
        <w:tc>
          <w:tcPr>
            <w:tcW w:w="1957" w:type="dxa"/>
            <w:vAlign w:val="center"/>
          </w:tcPr>
          <w:p w14:paraId="0645BD98">
            <w:pPr>
              <w:spacing w:line="240" w:lineRule="auto"/>
              <w:jc w:val="center"/>
              <w:rPr>
                <w:rFonts w:hint="eastAsia" w:eastAsia="宋体"/>
                <w:b/>
                <w:bCs/>
                <w:color w:val="000000" w:themeColor="text1"/>
                <w:kern w:val="0"/>
                <w:szCs w:val="21"/>
                <w:highlight w:val="none"/>
                <w:lang w:val="en-US" w:eastAsia="zh-CN"/>
                <w14:textFill>
                  <w14:solidFill>
                    <w14:schemeClr w14:val="tx1"/>
                  </w14:solidFill>
                </w14:textFill>
              </w:rPr>
            </w:pPr>
            <w:r>
              <w:rPr>
                <w:rFonts w:hint="eastAsia"/>
                <w:color w:val="000000" w:themeColor="text1"/>
                <w:sz w:val="21"/>
                <w:szCs w:val="24"/>
                <w:highlight w:val="none"/>
                <w:lang w:eastAsia="zh-CN"/>
                <w14:textFill>
                  <w14:solidFill>
                    <w14:schemeClr w14:val="tx1"/>
                  </w14:solidFill>
                </w14:textFill>
              </w:rPr>
              <w:t>土工布</w:t>
            </w:r>
          </w:p>
        </w:tc>
        <w:tc>
          <w:tcPr>
            <w:tcW w:w="1759" w:type="dxa"/>
            <w:noWrap/>
            <w:vAlign w:val="center"/>
          </w:tcPr>
          <w:p w14:paraId="3C872CFC">
            <w:pPr>
              <w:spacing w:line="240" w:lineRule="auto"/>
              <w:jc w:val="center"/>
              <w:rPr>
                <w:rFonts w:hint="eastAsia" w:eastAsia="宋体"/>
                <w:color w:val="000000" w:themeColor="text1"/>
                <w:kern w:val="0"/>
                <w:szCs w:val="21"/>
                <w:highlight w:val="none"/>
                <w:lang w:val="en-US" w:eastAsia="zh-CN"/>
                <w14:textFill>
                  <w14:solidFill>
                    <w14:schemeClr w14:val="tx1"/>
                  </w14:solidFill>
                </w14:textFill>
              </w:rPr>
            </w:pPr>
            <w:r>
              <w:rPr>
                <w:rFonts w:hint="eastAsia"/>
                <w:color w:val="000000" w:themeColor="text1"/>
                <w:sz w:val="21"/>
                <w:szCs w:val="24"/>
                <w:highlight w:val="none"/>
                <w:lang w:eastAsia="zh-CN"/>
                <w14:textFill>
                  <w14:solidFill>
                    <w14:schemeClr w14:val="tx1"/>
                  </w14:solidFill>
                </w14:textFill>
              </w:rPr>
              <w:t>防水土工布</w:t>
            </w:r>
          </w:p>
        </w:tc>
        <w:tc>
          <w:tcPr>
            <w:tcW w:w="834" w:type="dxa"/>
            <w:noWrap/>
            <w:vAlign w:val="center"/>
          </w:tcPr>
          <w:p w14:paraId="28D5A54D">
            <w:pPr>
              <w:spacing w:line="240" w:lineRule="auto"/>
              <w:jc w:val="center"/>
              <w:rPr>
                <w:rFonts w:hint="eastAsia" w:eastAsia="宋体"/>
                <w:color w:val="000000" w:themeColor="text1"/>
                <w:kern w:val="0"/>
                <w:szCs w:val="21"/>
                <w:highlight w:val="none"/>
                <w:lang w:val="en-US" w:eastAsia="zh-CN"/>
                <w14:textFill>
                  <w14:solidFill>
                    <w14:schemeClr w14:val="tx1"/>
                  </w14:solidFill>
                </w14:textFill>
              </w:rPr>
            </w:pPr>
            <w:r>
              <w:rPr>
                <w:rFonts w:hint="eastAsia"/>
                <w:color w:val="000000" w:themeColor="text1"/>
                <w:sz w:val="21"/>
                <w:szCs w:val="24"/>
                <w:highlight w:val="none"/>
                <w:lang w:eastAsia="zh-CN"/>
                <w14:textFill>
                  <w14:solidFill>
                    <w14:schemeClr w14:val="tx1"/>
                  </w14:solidFill>
                </w14:textFill>
              </w:rPr>
              <w:t>m2</w:t>
            </w:r>
          </w:p>
        </w:tc>
        <w:tc>
          <w:tcPr>
            <w:tcW w:w="1752" w:type="dxa"/>
            <w:vAlign w:val="center"/>
          </w:tcPr>
          <w:p w14:paraId="27334813">
            <w:pPr>
              <w:spacing w:line="240" w:lineRule="auto"/>
              <w:jc w:val="center"/>
              <w:rPr>
                <w:rFonts w:hint="eastAsia" w:eastAsia="宋体"/>
                <w:color w:val="000000" w:themeColor="text1"/>
                <w:kern w:val="0"/>
                <w:szCs w:val="21"/>
                <w:highlight w:val="none"/>
                <w:lang w:val="en-US" w:eastAsia="zh-CN"/>
                <w14:textFill>
                  <w14:solidFill>
                    <w14:schemeClr w14:val="tx1"/>
                  </w14:solidFill>
                </w14:textFill>
              </w:rPr>
            </w:pPr>
            <w:r>
              <w:rPr>
                <w:rFonts w:hint="eastAsia"/>
                <w:color w:val="000000" w:themeColor="text1"/>
                <w:sz w:val="21"/>
                <w:szCs w:val="24"/>
                <w:highlight w:val="none"/>
                <w:lang w:val="en-US" w:eastAsia="zh-CN"/>
                <w14:textFill>
                  <w14:solidFill>
                    <w14:schemeClr w14:val="tx1"/>
                  </w14:solidFill>
                </w14:textFill>
              </w:rPr>
              <w:t>/</w:t>
            </w:r>
          </w:p>
        </w:tc>
        <w:tc>
          <w:tcPr>
            <w:tcW w:w="1621" w:type="dxa"/>
            <w:noWrap/>
            <w:vAlign w:val="center"/>
          </w:tcPr>
          <w:p w14:paraId="7560D738">
            <w:pPr>
              <w:spacing w:line="240" w:lineRule="auto"/>
              <w:jc w:val="center"/>
              <w:rPr>
                <w:rFonts w:hint="default" w:eastAsia="宋体"/>
                <w:color w:val="000000" w:themeColor="text1"/>
                <w:kern w:val="0"/>
                <w:szCs w:val="21"/>
                <w:highlight w:val="none"/>
                <w:lang w:val="en-US" w:eastAsia="zh-CN"/>
                <w14:textFill>
                  <w14:solidFill>
                    <w14:schemeClr w14:val="tx1"/>
                  </w14:solidFill>
                </w14:textFill>
              </w:rPr>
            </w:pPr>
            <w:r>
              <w:rPr>
                <w:rFonts w:hint="eastAsia"/>
                <w:color w:val="000000" w:themeColor="text1"/>
                <w:kern w:val="0"/>
                <w:szCs w:val="21"/>
                <w:highlight w:val="none"/>
                <w:lang w:val="en-US" w:eastAsia="zh-CN"/>
                <w14:textFill>
                  <w14:solidFill>
                    <w14:schemeClr w14:val="tx1"/>
                  </w14:solidFill>
                </w14:textFill>
              </w:rPr>
              <w:t>55456</w:t>
            </w:r>
          </w:p>
        </w:tc>
      </w:tr>
      <w:tr w14:paraId="089935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798" w:type="dxa"/>
            <w:vAlign w:val="center"/>
          </w:tcPr>
          <w:p w14:paraId="2B332145">
            <w:pPr>
              <w:spacing w:line="240" w:lineRule="auto"/>
              <w:jc w:val="center"/>
              <w:rPr>
                <w:color w:val="000000" w:themeColor="text1"/>
                <w:kern w:val="0"/>
                <w:szCs w:val="21"/>
                <w:highlight w:val="none"/>
                <w14:textFill>
                  <w14:solidFill>
                    <w14:schemeClr w14:val="tx1"/>
                  </w14:solidFill>
                </w14:textFill>
              </w:rPr>
            </w:pPr>
          </w:p>
        </w:tc>
        <w:tc>
          <w:tcPr>
            <w:tcW w:w="1957" w:type="dxa"/>
            <w:vAlign w:val="center"/>
          </w:tcPr>
          <w:p w14:paraId="639017A6">
            <w:pPr>
              <w:spacing w:line="240" w:lineRule="auto"/>
              <w:jc w:val="center"/>
              <w:rPr>
                <w:color w:val="000000" w:themeColor="text1"/>
                <w:kern w:val="0"/>
                <w:szCs w:val="21"/>
                <w:highlight w:val="none"/>
                <w14:textFill>
                  <w14:solidFill>
                    <w14:schemeClr w14:val="tx1"/>
                  </w14:solidFill>
                </w14:textFill>
              </w:rPr>
            </w:pPr>
          </w:p>
        </w:tc>
        <w:tc>
          <w:tcPr>
            <w:tcW w:w="1759" w:type="dxa"/>
            <w:noWrap/>
            <w:vAlign w:val="center"/>
          </w:tcPr>
          <w:p w14:paraId="29E8355D">
            <w:pPr>
              <w:spacing w:line="240" w:lineRule="auto"/>
              <w:jc w:val="center"/>
              <w:rPr>
                <w:color w:val="000000" w:themeColor="text1"/>
                <w:kern w:val="0"/>
                <w:szCs w:val="21"/>
                <w:highlight w:val="none"/>
                <w14:textFill>
                  <w14:solidFill>
                    <w14:schemeClr w14:val="tx1"/>
                  </w14:solidFill>
                </w14:textFill>
              </w:rPr>
            </w:pPr>
          </w:p>
        </w:tc>
        <w:tc>
          <w:tcPr>
            <w:tcW w:w="834" w:type="dxa"/>
            <w:noWrap/>
            <w:vAlign w:val="center"/>
          </w:tcPr>
          <w:p w14:paraId="751E6DBC">
            <w:pPr>
              <w:spacing w:line="240" w:lineRule="auto"/>
              <w:jc w:val="center"/>
              <w:rPr>
                <w:color w:val="000000" w:themeColor="text1"/>
                <w:highlight w:val="none"/>
                <w14:textFill>
                  <w14:solidFill>
                    <w14:schemeClr w14:val="tx1"/>
                  </w14:solidFill>
                </w14:textFill>
              </w:rPr>
            </w:pPr>
          </w:p>
        </w:tc>
        <w:tc>
          <w:tcPr>
            <w:tcW w:w="1752" w:type="dxa"/>
            <w:vAlign w:val="center"/>
          </w:tcPr>
          <w:p w14:paraId="4E8A54E9">
            <w:pPr>
              <w:spacing w:beforeLines="0" w:afterLines="0" w:line="240" w:lineRule="auto"/>
              <w:jc w:val="center"/>
              <w:rPr>
                <w:color w:val="000000" w:themeColor="text1"/>
                <w:kern w:val="0"/>
                <w:szCs w:val="21"/>
                <w:highlight w:val="none"/>
                <w14:textFill>
                  <w14:solidFill>
                    <w14:schemeClr w14:val="tx1"/>
                  </w14:solidFill>
                </w14:textFill>
              </w:rPr>
            </w:pPr>
          </w:p>
        </w:tc>
        <w:tc>
          <w:tcPr>
            <w:tcW w:w="1621" w:type="dxa"/>
            <w:noWrap/>
            <w:vAlign w:val="center"/>
          </w:tcPr>
          <w:p w14:paraId="2BE84484">
            <w:pPr>
              <w:spacing w:line="240" w:lineRule="auto"/>
              <w:jc w:val="center"/>
              <w:rPr>
                <w:color w:val="000000" w:themeColor="text1"/>
                <w:kern w:val="0"/>
                <w:szCs w:val="21"/>
                <w:highlight w:val="none"/>
                <w14:textFill>
                  <w14:solidFill>
                    <w14:schemeClr w14:val="tx1"/>
                  </w14:solidFill>
                </w14:textFill>
              </w:rPr>
            </w:pPr>
          </w:p>
        </w:tc>
      </w:tr>
      <w:tr w14:paraId="175712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798" w:type="dxa"/>
            <w:vAlign w:val="center"/>
          </w:tcPr>
          <w:p w14:paraId="78A91606">
            <w:pPr>
              <w:spacing w:line="240" w:lineRule="auto"/>
              <w:jc w:val="center"/>
              <w:rPr>
                <w:color w:val="000000" w:themeColor="text1"/>
                <w:kern w:val="0"/>
                <w:szCs w:val="21"/>
                <w:highlight w:val="none"/>
                <w14:textFill>
                  <w14:solidFill>
                    <w14:schemeClr w14:val="tx1"/>
                  </w14:solidFill>
                </w14:textFill>
              </w:rPr>
            </w:pPr>
          </w:p>
        </w:tc>
        <w:tc>
          <w:tcPr>
            <w:tcW w:w="1957" w:type="dxa"/>
            <w:vAlign w:val="center"/>
          </w:tcPr>
          <w:p w14:paraId="09BEEB47">
            <w:pPr>
              <w:spacing w:line="240" w:lineRule="auto"/>
              <w:jc w:val="center"/>
              <w:rPr>
                <w:color w:val="000000" w:themeColor="text1"/>
                <w:kern w:val="0"/>
                <w:szCs w:val="21"/>
                <w:highlight w:val="none"/>
                <w14:textFill>
                  <w14:solidFill>
                    <w14:schemeClr w14:val="tx1"/>
                  </w14:solidFill>
                </w14:textFill>
              </w:rPr>
            </w:pPr>
          </w:p>
        </w:tc>
        <w:tc>
          <w:tcPr>
            <w:tcW w:w="1759" w:type="dxa"/>
            <w:noWrap/>
            <w:vAlign w:val="center"/>
          </w:tcPr>
          <w:p w14:paraId="7C54C972">
            <w:pPr>
              <w:spacing w:line="240" w:lineRule="auto"/>
              <w:jc w:val="center"/>
              <w:rPr>
                <w:color w:val="000000" w:themeColor="text1"/>
                <w:kern w:val="0"/>
                <w:szCs w:val="21"/>
                <w:highlight w:val="none"/>
                <w14:textFill>
                  <w14:solidFill>
                    <w14:schemeClr w14:val="tx1"/>
                  </w14:solidFill>
                </w14:textFill>
              </w:rPr>
            </w:pPr>
          </w:p>
        </w:tc>
        <w:tc>
          <w:tcPr>
            <w:tcW w:w="834" w:type="dxa"/>
            <w:noWrap/>
            <w:vAlign w:val="center"/>
          </w:tcPr>
          <w:p w14:paraId="5BC125A1">
            <w:pPr>
              <w:spacing w:line="240" w:lineRule="auto"/>
              <w:jc w:val="center"/>
              <w:rPr>
                <w:color w:val="000000" w:themeColor="text1"/>
                <w:kern w:val="0"/>
                <w:szCs w:val="21"/>
                <w:highlight w:val="none"/>
                <w14:textFill>
                  <w14:solidFill>
                    <w14:schemeClr w14:val="tx1"/>
                  </w14:solidFill>
                </w14:textFill>
              </w:rPr>
            </w:pPr>
          </w:p>
        </w:tc>
        <w:tc>
          <w:tcPr>
            <w:tcW w:w="1752" w:type="dxa"/>
            <w:vAlign w:val="center"/>
          </w:tcPr>
          <w:p w14:paraId="1BCD7E36">
            <w:pPr>
              <w:spacing w:beforeLines="0" w:afterLines="0" w:line="240" w:lineRule="auto"/>
              <w:jc w:val="center"/>
              <w:rPr>
                <w:color w:val="000000" w:themeColor="text1"/>
                <w:kern w:val="0"/>
                <w:szCs w:val="21"/>
                <w:highlight w:val="none"/>
                <w14:textFill>
                  <w14:solidFill>
                    <w14:schemeClr w14:val="tx1"/>
                  </w14:solidFill>
                </w14:textFill>
              </w:rPr>
            </w:pPr>
          </w:p>
        </w:tc>
        <w:tc>
          <w:tcPr>
            <w:tcW w:w="1621" w:type="dxa"/>
            <w:noWrap/>
            <w:vAlign w:val="center"/>
          </w:tcPr>
          <w:p w14:paraId="356FA699">
            <w:pPr>
              <w:spacing w:line="240" w:lineRule="auto"/>
              <w:jc w:val="center"/>
              <w:rPr>
                <w:color w:val="000000" w:themeColor="text1"/>
                <w:kern w:val="0"/>
                <w:szCs w:val="21"/>
                <w:highlight w:val="none"/>
                <w14:textFill>
                  <w14:solidFill>
                    <w14:schemeClr w14:val="tx1"/>
                  </w14:solidFill>
                </w14:textFill>
              </w:rPr>
            </w:pPr>
          </w:p>
        </w:tc>
      </w:tr>
      <w:tr w14:paraId="4EA89F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798" w:type="dxa"/>
            <w:vAlign w:val="center"/>
          </w:tcPr>
          <w:p w14:paraId="0264E758">
            <w:pPr>
              <w:spacing w:line="240" w:lineRule="auto"/>
              <w:jc w:val="center"/>
              <w:rPr>
                <w:color w:val="000000" w:themeColor="text1"/>
                <w:kern w:val="0"/>
                <w:szCs w:val="21"/>
                <w:highlight w:val="none"/>
                <w14:textFill>
                  <w14:solidFill>
                    <w14:schemeClr w14:val="tx1"/>
                  </w14:solidFill>
                </w14:textFill>
              </w:rPr>
            </w:pPr>
          </w:p>
        </w:tc>
        <w:tc>
          <w:tcPr>
            <w:tcW w:w="1957" w:type="dxa"/>
            <w:vAlign w:val="center"/>
          </w:tcPr>
          <w:p w14:paraId="740BBB43">
            <w:pPr>
              <w:spacing w:line="240" w:lineRule="auto"/>
              <w:jc w:val="center"/>
              <w:rPr>
                <w:color w:val="000000" w:themeColor="text1"/>
                <w:kern w:val="0"/>
                <w:szCs w:val="21"/>
                <w:highlight w:val="none"/>
                <w14:textFill>
                  <w14:solidFill>
                    <w14:schemeClr w14:val="tx1"/>
                  </w14:solidFill>
                </w14:textFill>
              </w:rPr>
            </w:pPr>
          </w:p>
        </w:tc>
        <w:tc>
          <w:tcPr>
            <w:tcW w:w="1759" w:type="dxa"/>
            <w:noWrap/>
            <w:vAlign w:val="center"/>
          </w:tcPr>
          <w:p w14:paraId="011BDE33">
            <w:pPr>
              <w:spacing w:line="240" w:lineRule="auto"/>
              <w:jc w:val="center"/>
              <w:rPr>
                <w:color w:val="000000" w:themeColor="text1"/>
                <w:kern w:val="0"/>
                <w:szCs w:val="21"/>
                <w:highlight w:val="none"/>
                <w14:textFill>
                  <w14:solidFill>
                    <w14:schemeClr w14:val="tx1"/>
                  </w14:solidFill>
                </w14:textFill>
              </w:rPr>
            </w:pPr>
          </w:p>
        </w:tc>
        <w:tc>
          <w:tcPr>
            <w:tcW w:w="834" w:type="dxa"/>
            <w:noWrap/>
            <w:vAlign w:val="center"/>
          </w:tcPr>
          <w:p w14:paraId="25280174">
            <w:pPr>
              <w:spacing w:line="240" w:lineRule="auto"/>
              <w:jc w:val="center"/>
              <w:rPr>
                <w:color w:val="000000" w:themeColor="text1"/>
                <w:kern w:val="0"/>
                <w:szCs w:val="21"/>
                <w:highlight w:val="none"/>
                <w14:textFill>
                  <w14:solidFill>
                    <w14:schemeClr w14:val="tx1"/>
                  </w14:solidFill>
                </w14:textFill>
              </w:rPr>
            </w:pPr>
          </w:p>
        </w:tc>
        <w:tc>
          <w:tcPr>
            <w:tcW w:w="1752" w:type="dxa"/>
            <w:vAlign w:val="center"/>
          </w:tcPr>
          <w:p w14:paraId="0ACC7817">
            <w:pPr>
              <w:spacing w:beforeLines="0" w:afterLines="0" w:line="240" w:lineRule="auto"/>
              <w:jc w:val="center"/>
              <w:rPr>
                <w:color w:val="000000" w:themeColor="text1"/>
                <w:kern w:val="0"/>
                <w:szCs w:val="21"/>
                <w:highlight w:val="none"/>
                <w14:textFill>
                  <w14:solidFill>
                    <w14:schemeClr w14:val="tx1"/>
                  </w14:solidFill>
                </w14:textFill>
              </w:rPr>
            </w:pPr>
          </w:p>
        </w:tc>
        <w:tc>
          <w:tcPr>
            <w:tcW w:w="1621" w:type="dxa"/>
            <w:noWrap/>
            <w:vAlign w:val="center"/>
          </w:tcPr>
          <w:p w14:paraId="6127CB21">
            <w:pPr>
              <w:spacing w:line="240" w:lineRule="auto"/>
              <w:jc w:val="center"/>
              <w:rPr>
                <w:color w:val="000000" w:themeColor="text1"/>
                <w:kern w:val="0"/>
                <w:szCs w:val="21"/>
                <w:highlight w:val="none"/>
                <w14:textFill>
                  <w14:solidFill>
                    <w14:schemeClr w14:val="tx1"/>
                  </w14:solidFill>
                </w14:textFill>
              </w:rPr>
            </w:pPr>
          </w:p>
        </w:tc>
      </w:tr>
      <w:tr w14:paraId="6F673E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798" w:type="dxa"/>
            <w:vAlign w:val="center"/>
          </w:tcPr>
          <w:p w14:paraId="35EC45AB">
            <w:pPr>
              <w:spacing w:line="240" w:lineRule="auto"/>
              <w:jc w:val="center"/>
              <w:rPr>
                <w:color w:val="000000" w:themeColor="text1"/>
                <w:kern w:val="0"/>
                <w:szCs w:val="21"/>
                <w:highlight w:val="none"/>
                <w14:textFill>
                  <w14:solidFill>
                    <w14:schemeClr w14:val="tx1"/>
                  </w14:solidFill>
                </w14:textFill>
              </w:rPr>
            </w:pPr>
          </w:p>
        </w:tc>
        <w:tc>
          <w:tcPr>
            <w:tcW w:w="1957" w:type="dxa"/>
            <w:vAlign w:val="center"/>
          </w:tcPr>
          <w:p w14:paraId="443984D1">
            <w:pPr>
              <w:spacing w:line="240" w:lineRule="auto"/>
              <w:jc w:val="center"/>
              <w:rPr>
                <w:color w:val="000000" w:themeColor="text1"/>
                <w:kern w:val="0"/>
                <w:szCs w:val="21"/>
                <w:highlight w:val="none"/>
                <w14:textFill>
                  <w14:solidFill>
                    <w14:schemeClr w14:val="tx1"/>
                  </w14:solidFill>
                </w14:textFill>
              </w:rPr>
            </w:pPr>
          </w:p>
        </w:tc>
        <w:tc>
          <w:tcPr>
            <w:tcW w:w="1759" w:type="dxa"/>
            <w:noWrap/>
            <w:vAlign w:val="center"/>
          </w:tcPr>
          <w:p w14:paraId="6DA91BA4">
            <w:pPr>
              <w:spacing w:line="240" w:lineRule="auto"/>
              <w:jc w:val="center"/>
              <w:rPr>
                <w:color w:val="000000" w:themeColor="text1"/>
                <w:kern w:val="0"/>
                <w:szCs w:val="21"/>
                <w:highlight w:val="none"/>
                <w14:textFill>
                  <w14:solidFill>
                    <w14:schemeClr w14:val="tx1"/>
                  </w14:solidFill>
                </w14:textFill>
              </w:rPr>
            </w:pPr>
          </w:p>
        </w:tc>
        <w:tc>
          <w:tcPr>
            <w:tcW w:w="834" w:type="dxa"/>
            <w:noWrap/>
            <w:vAlign w:val="center"/>
          </w:tcPr>
          <w:p w14:paraId="0B965AFE">
            <w:pPr>
              <w:spacing w:line="240" w:lineRule="auto"/>
              <w:jc w:val="center"/>
              <w:rPr>
                <w:color w:val="000000" w:themeColor="text1"/>
                <w:kern w:val="0"/>
                <w:szCs w:val="21"/>
                <w:highlight w:val="none"/>
                <w14:textFill>
                  <w14:solidFill>
                    <w14:schemeClr w14:val="tx1"/>
                  </w14:solidFill>
                </w14:textFill>
              </w:rPr>
            </w:pPr>
          </w:p>
        </w:tc>
        <w:tc>
          <w:tcPr>
            <w:tcW w:w="1752" w:type="dxa"/>
            <w:vAlign w:val="center"/>
          </w:tcPr>
          <w:p w14:paraId="222D71DB">
            <w:pPr>
              <w:spacing w:beforeLines="0" w:afterLines="0" w:line="240" w:lineRule="auto"/>
              <w:jc w:val="center"/>
              <w:rPr>
                <w:color w:val="000000" w:themeColor="text1"/>
                <w:kern w:val="0"/>
                <w:szCs w:val="21"/>
                <w:highlight w:val="none"/>
                <w14:textFill>
                  <w14:solidFill>
                    <w14:schemeClr w14:val="tx1"/>
                  </w14:solidFill>
                </w14:textFill>
              </w:rPr>
            </w:pPr>
          </w:p>
        </w:tc>
        <w:tc>
          <w:tcPr>
            <w:tcW w:w="1621" w:type="dxa"/>
            <w:noWrap/>
            <w:vAlign w:val="center"/>
          </w:tcPr>
          <w:p w14:paraId="44759F26">
            <w:pPr>
              <w:spacing w:line="240" w:lineRule="auto"/>
              <w:jc w:val="center"/>
              <w:rPr>
                <w:color w:val="000000" w:themeColor="text1"/>
                <w:kern w:val="0"/>
                <w:szCs w:val="21"/>
                <w:highlight w:val="none"/>
                <w14:textFill>
                  <w14:solidFill>
                    <w14:schemeClr w14:val="tx1"/>
                  </w14:solidFill>
                </w14:textFill>
              </w:rPr>
            </w:pPr>
          </w:p>
        </w:tc>
      </w:tr>
      <w:tr w14:paraId="211BB4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798" w:type="dxa"/>
            <w:vAlign w:val="center"/>
          </w:tcPr>
          <w:p w14:paraId="66CE3DCE">
            <w:pPr>
              <w:spacing w:line="240" w:lineRule="auto"/>
              <w:jc w:val="center"/>
              <w:rPr>
                <w:color w:val="000000" w:themeColor="text1"/>
                <w:kern w:val="0"/>
                <w:szCs w:val="21"/>
                <w:highlight w:val="none"/>
                <w14:textFill>
                  <w14:solidFill>
                    <w14:schemeClr w14:val="tx1"/>
                  </w14:solidFill>
                </w14:textFill>
              </w:rPr>
            </w:pPr>
          </w:p>
        </w:tc>
        <w:tc>
          <w:tcPr>
            <w:tcW w:w="1957" w:type="dxa"/>
            <w:vAlign w:val="center"/>
          </w:tcPr>
          <w:p w14:paraId="1125F143">
            <w:pPr>
              <w:spacing w:line="240" w:lineRule="auto"/>
              <w:jc w:val="center"/>
              <w:rPr>
                <w:color w:val="000000" w:themeColor="text1"/>
                <w:kern w:val="0"/>
                <w:szCs w:val="21"/>
                <w:highlight w:val="none"/>
                <w14:textFill>
                  <w14:solidFill>
                    <w14:schemeClr w14:val="tx1"/>
                  </w14:solidFill>
                </w14:textFill>
              </w:rPr>
            </w:pPr>
          </w:p>
        </w:tc>
        <w:tc>
          <w:tcPr>
            <w:tcW w:w="1759" w:type="dxa"/>
            <w:noWrap/>
            <w:vAlign w:val="center"/>
          </w:tcPr>
          <w:p w14:paraId="77A5609E">
            <w:pPr>
              <w:spacing w:line="240" w:lineRule="auto"/>
              <w:jc w:val="center"/>
              <w:rPr>
                <w:color w:val="000000" w:themeColor="text1"/>
                <w:kern w:val="0"/>
                <w:szCs w:val="21"/>
                <w:highlight w:val="none"/>
                <w14:textFill>
                  <w14:solidFill>
                    <w14:schemeClr w14:val="tx1"/>
                  </w14:solidFill>
                </w14:textFill>
              </w:rPr>
            </w:pPr>
          </w:p>
        </w:tc>
        <w:tc>
          <w:tcPr>
            <w:tcW w:w="834" w:type="dxa"/>
            <w:noWrap/>
            <w:vAlign w:val="center"/>
          </w:tcPr>
          <w:p w14:paraId="1E787FF7">
            <w:pPr>
              <w:spacing w:line="240" w:lineRule="auto"/>
              <w:jc w:val="center"/>
              <w:rPr>
                <w:color w:val="000000" w:themeColor="text1"/>
                <w:kern w:val="0"/>
                <w:szCs w:val="21"/>
                <w:highlight w:val="none"/>
                <w14:textFill>
                  <w14:solidFill>
                    <w14:schemeClr w14:val="tx1"/>
                  </w14:solidFill>
                </w14:textFill>
              </w:rPr>
            </w:pPr>
          </w:p>
        </w:tc>
        <w:tc>
          <w:tcPr>
            <w:tcW w:w="1752" w:type="dxa"/>
            <w:vAlign w:val="center"/>
          </w:tcPr>
          <w:p w14:paraId="0FD1F63C">
            <w:pPr>
              <w:spacing w:beforeLines="0" w:afterLines="0" w:line="240" w:lineRule="auto"/>
              <w:jc w:val="center"/>
              <w:rPr>
                <w:color w:val="000000" w:themeColor="text1"/>
                <w:kern w:val="0"/>
                <w:szCs w:val="21"/>
                <w:highlight w:val="none"/>
                <w14:textFill>
                  <w14:solidFill>
                    <w14:schemeClr w14:val="tx1"/>
                  </w14:solidFill>
                </w14:textFill>
              </w:rPr>
            </w:pPr>
          </w:p>
        </w:tc>
        <w:tc>
          <w:tcPr>
            <w:tcW w:w="1621" w:type="dxa"/>
            <w:noWrap/>
            <w:vAlign w:val="center"/>
          </w:tcPr>
          <w:p w14:paraId="04E00490">
            <w:pPr>
              <w:spacing w:line="240" w:lineRule="auto"/>
              <w:jc w:val="center"/>
              <w:rPr>
                <w:color w:val="000000" w:themeColor="text1"/>
                <w:kern w:val="0"/>
                <w:szCs w:val="21"/>
                <w:highlight w:val="none"/>
                <w14:textFill>
                  <w14:solidFill>
                    <w14:schemeClr w14:val="tx1"/>
                  </w14:solidFill>
                </w14:textFill>
              </w:rPr>
            </w:pPr>
          </w:p>
        </w:tc>
      </w:tr>
      <w:tr w14:paraId="588190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798" w:type="dxa"/>
            <w:vAlign w:val="center"/>
          </w:tcPr>
          <w:p w14:paraId="3EEC1278">
            <w:pPr>
              <w:spacing w:line="240" w:lineRule="auto"/>
              <w:jc w:val="center"/>
              <w:rPr>
                <w:color w:val="000000" w:themeColor="text1"/>
                <w:kern w:val="0"/>
                <w:szCs w:val="21"/>
                <w:highlight w:val="none"/>
                <w14:textFill>
                  <w14:solidFill>
                    <w14:schemeClr w14:val="tx1"/>
                  </w14:solidFill>
                </w14:textFill>
              </w:rPr>
            </w:pPr>
          </w:p>
        </w:tc>
        <w:tc>
          <w:tcPr>
            <w:tcW w:w="1957" w:type="dxa"/>
            <w:vAlign w:val="center"/>
          </w:tcPr>
          <w:p w14:paraId="018D6AFA">
            <w:pPr>
              <w:spacing w:line="240" w:lineRule="auto"/>
              <w:jc w:val="center"/>
              <w:rPr>
                <w:color w:val="000000" w:themeColor="text1"/>
                <w:kern w:val="0"/>
                <w:szCs w:val="21"/>
                <w:highlight w:val="none"/>
                <w14:textFill>
                  <w14:solidFill>
                    <w14:schemeClr w14:val="tx1"/>
                  </w14:solidFill>
                </w14:textFill>
              </w:rPr>
            </w:pPr>
          </w:p>
        </w:tc>
        <w:tc>
          <w:tcPr>
            <w:tcW w:w="1759" w:type="dxa"/>
            <w:noWrap/>
            <w:vAlign w:val="center"/>
          </w:tcPr>
          <w:p w14:paraId="294DA315">
            <w:pPr>
              <w:spacing w:line="240" w:lineRule="auto"/>
              <w:jc w:val="center"/>
              <w:rPr>
                <w:color w:val="000000" w:themeColor="text1"/>
                <w:kern w:val="0"/>
                <w:szCs w:val="21"/>
                <w:highlight w:val="none"/>
                <w14:textFill>
                  <w14:solidFill>
                    <w14:schemeClr w14:val="tx1"/>
                  </w14:solidFill>
                </w14:textFill>
              </w:rPr>
            </w:pPr>
          </w:p>
        </w:tc>
        <w:tc>
          <w:tcPr>
            <w:tcW w:w="834" w:type="dxa"/>
            <w:noWrap/>
            <w:vAlign w:val="center"/>
          </w:tcPr>
          <w:p w14:paraId="22762131">
            <w:pPr>
              <w:spacing w:line="240" w:lineRule="auto"/>
              <w:jc w:val="center"/>
              <w:rPr>
                <w:color w:val="000000" w:themeColor="text1"/>
                <w:kern w:val="0"/>
                <w:szCs w:val="21"/>
                <w:highlight w:val="none"/>
                <w14:textFill>
                  <w14:solidFill>
                    <w14:schemeClr w14:val="tx1"/>
                  </w14:solidFill>
                </w14:textFill>
              </w:rPr>
            </w:pPr>
          </w:p>
        </w:tc>
        <w:tc>
          <w:tcPr>
            <w:tcW w:w="1752" w:type="dxa"/>
            <w:vAlign w:val="center"/>
          </w:tcPr>
          <w:p w14:paraId="28E41B7F">
            <w:pPr>
              <w:spacing w:beforeLines="0" w:afterLines="0" w:line="240" w:lineRule="auto"/>
              <w:jc w:val="center"/>
              <w:rPr>
                <w:color w:val="000000" w:themeColor="text1"/>
                <w:kern w:val="0"/>
                <w:szCs w:val="21"/>
                <w:highlight w:val="none"/>
                <w14:textFill>
                  <w14:solidFill>
                    <w14:schemeClr w14:val="tx1"/>
                  </w14:solidFill>
                </w14:textFill>
              </w:rPr>
            </w:pPr>
          </w:p>
        </w:tc>
        <w:tc>
          <w:tcPr>
            <w:tcW w:w="1621" w:type="dxa"/>
            <w:noWrap/>
            <w:vAlign w:val="center"/>
          </w:tcPr>
          <w:p w14:paraId="51FFAC4B">
            <w:pPr>
              <w:spacing w:line="240" w:lineRule="auto"/>
              <w:jc w:val="center"/>
              <w:rPr>
                <w:color w:val="000000" w:themeColor="text1"/>
                <w:kern w:val="0"/>
                <w:szCs w:val="21"/>
                <w:highlight w:val="none"/>
                <w14:textFill>
                  <w14:solidFill>
                    <w14:schemeClr w14:val="tx1"/>
                  </w14:solidFill>
                </w14:textFill>
              </w:rPr>
            </w:pPr>
          </w:p>
        </w:tc>
      </w:tr>
      <w:tr w14:paraId="607E5E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798" w:type="dxa"/>
            <w:vAlign w:val="center"/>
          </w:tcPr>
          <w:p w14:paraId="7D9438F5">
            <w:pPr>
              <w:spacing w:line="240" w:lineRule="auto"/>
              <w:jc w:val="center"/>
              <w:rPr>
                <w:color w:val="000000" w:themeColor="text1"/>
                <w:kern w:val="0"/>
                <w:szCs w:val="21"/>
                <w:highlight w:val="none"/>
                <w14:textFill>
                  <w14:solidFill>
                    <w14:schemeClr w14:val="tx1"/>
                  </w14:solidFill>
                </w14:textFill>
              </w:rPr>
            </w:pPr>
          </w:p>
        </w:tc>
        <w:tc>
          <w:tcPr>
            <w:tcW w:w="1957" w:type="dxa"/>
            <w:vAlign w:val="center"/>
          </w:tcPr>
          <w:p w14:paraId="3A59FBE0">
            <w:pPr>
              <w:spacing w:line="240" w:lineRule="auto"/>
              <w:jc w:val="center"/>
              <w:rPr>
                <w:color w:val="000000" w:themeColor="text1"/>
                <w:kern w:val="0"/>
                <w:szCs w:val="21"/>
                <w:highlight w:val="none"/>
                <w14:textFill>
                  <w14:solidFill>
                    <w14:schemeClr w14:val="tx1"/>
                  </w14:solidFill>
                </w14:textFill>
              </w:rPr>
            </w:pPr>
          </w:p>
        </w:tc>
        <w:tc>
          <w:tcPr>
            <w:tcW w:w="1759" w:type="dxa"/>
            <w:noWrap/>
            <w:vAlign w:val="center"/>
          </w:tcPr>
          <w:p w14:paraId="2920975E">
            <w:pPr>
              <w:spacing w:line="240" w:lineRule="auto"/>
              <w:jc w:val="center"/>
              <w:rPr>
                <w:color w:val="000000" w:themeColor="text1"/>
                <w:kern w:val="0"/>
                <w:szCs w:val="21"/>
                <w:highlight w:val="none"/>
                <w14:textFill>
                  <w14:solidFill>
                    <w14:schemeClr w14:val="tx1"/>
                  </w14:solidFill>
                </w14:textFill>
              </w:rPr>
            </w:pPr>
          </w:p>
        </w:tc>
        <w:tc>
          <w:tcPr>
            <w:tcW w:w="834" w:type="dxa"/>
            <w:noWrap/>
            <w:vAlign w:val="center"/>
          </w:tcPr>
          <w:p w14:paraId="625BC691">
            <w:pPr>
              <w:spacing w:line="240" w:lineRule="auto"/>
              <w:jc w:val="center"/>
              <w:rPr>
                <w:color w:val="000000" w:themeColor="text1"/>
                <w:kern w:val="0"/>
                <w:szCs w:val="21"/>
                <w:highlight w:val="none"/>
                <w14:textFill>
                  <w14:solidFill>
                    <w14:schemeClr w14:val="tx1"/>
                  </w14:solidFill>
                </w14:textFill>
              </w:rPr>
            </w:pPr>
          </w:p>
        </w:tc>
        <w:tc>
          <w:tcPr>
            <w:tcW w:w="1004" w:type="pct"/>
            <w:vAlign w:val="center"/>
          </w:tcPr>
          <w:p w14:paraId="75DD8536">
            <w:pPr>
              <w:widowControl/>
              <w:jc w:val="center"/>
              <w:rPr>
                <w:color w:val="000000" w:themeColor="text1"/>
                <w:kern w:val="0"/>
                <w:szCs w:val="21"/>
                <w:highlight w:val="none"/>
                <w14:textFill>
                  <w14:solidFill>
                    <w14:schemeClr w14:val="tx1"/>
                  </w14:solidFill>
                </w14:textFill>
              </w:rPr>
            </w:pPr>
          </w:p>
        </w:tc>
        <w:tc>
          <w:tcPr>
            <w:tcW w:w="929" w:type="pct"/>
            <w:noWrap/>
            <w:vAlign w:val="center"/>
          </w:tcPr>
          <w:p w14:paraId="4E4C4EF8">
            <w:pPr>
              <w:widowControl/>
              <w:jc w:val="center"/>
              <w:rPr>
                <w:color w:val="000000" w:themeColor="text1"/>
                <w:kern w:val="0"/>
                <w:szCs w:val="21"/>
                <w:highlight w:val="none"/>
                <w14:textFill>
                  <w14:solidFill>
                    <w14:schemeClr w14:val="tx1"/>
                  </w14:solidFill>
                </w14:textFill>
              </w:rPr>
            </w:pPr>
          </w:p>
        </w:tc>
      </w:tr>
      <w:tr w14:paraId="4B1A78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6B04EF38">
            <w:pPr>
              <w:widowControl/>
              <w:jc w:val="center"/>
              <w:rPr>
                <w:color w:val="000000" w:themeColor="text1"/>
                <w:kern w:val="0"/>
                <w:szCs w:val="21"/>
                <w:highlight w:val="none"/>
                <w14:textFill>
                  <w14:solidFill>
                    <w14:schemeClr w14:val="tx1"/>
                  </w14:solidFill>
                </w14:textFill>
              </w:rPr>
            </w:pPr>
          </w:p>
        </w:tc>
        <w:tc>
          <w:tcPr>
            <w:tcW w:w="1122" w:type="pct"/>
            <w:vAlign w:val="center"/>
          </w:tcPr>
          <w:p w14:paraId="375A1588">
            <w:pPr>
              <w:widowControl/>
              <w:jc w:val="center"/>
              <w:rPr>
                <w:color w:val="000000" w:themeColor="text1"/>
                <w:kern w:val="0"/>
                <w:szCs w:val="21"/>
                <w:highlight w:val="none"/>
                <w14:textFill>
                  <w14:solidFill>
                    <w14:schemeClr w14:val="tx1"/>
                  </w14:solidFill>
                </w14:textFill>
              </w:rPr>
            </w:pPr>
          </w:p>
        </w:tc>
        <w:tc>
          <w:tcPr>
            <w:tcW w:w="1008" w:type="pct"/>
            <w:noWrap/>
            <w:vAlign w:val="center"/>
          </w:tcPr>
          <w:p w14:paraId="15F8C253">
            <w:pPr>
              <w:widowControl/>
              <w:jc w:val="center"/>
              <w:rPr>
                <w:color w:val="000000" w:themeColor="text1"/>
                <w:kern w:val="0"/>
                <w:szCs w:val="21"/>
                <w:highlight w:val="none"/>
                <w14:textFill>
                  <w14:solidFill>
                    <w14:schemeClr w14:val="tx1"/>
                  </w14:solidFill>
                </w14:textFill>
              </w:rPr>
            </w:pPr>
          </w:p>
        </w:tc>
        <w:tc>
          <w:tcPr>
            <w:tcW w:w="478" w:type="pct"/>
            <w:noWrap/>
            <w:vAlign w:val="center"/>
          </w:tcPr>
          <w:p w14:paraId="03439B4F">
            <w:pPr>
              <w:widowControl/>
              <w:jc w:val="center"/>
              <w:rPr>
                <w:color w:val="000000" w:themeColor="text1"/>
                <w:kern w:val="0"/>
                <w:szCs w:val="21"/>
                <w:highlight w:val="none"/>
                <w14:textFill>
                  <w14:solidFill>
                    <w14:schemeClr w14:val="tx1"/>
                  </w14:solidFill>
                </w14:textFill>
              </w:rPr>
            </w:pPr>
          </w:p>
        </w:tc>
        <w:tc>
          <w:tcPr>
            <w:tcW w:w="1004" w:type="pct"/>
            <w:vAlign w:val="center"/>
          </w:tcPr>
          <w:p w14:paraId="53A9DF2B">
            <w:pPr>
              <w:widowControl/>
              <w:jc w:val="center"/>
              <w:rPr>
                <w:color w:val="000000" w:themeColor="text1"/>
                <w:kern w:val="0"/>
                <w:szCs w:val="21"/>
                <w:highlight w:val="none"/>
                <w14:textFill>
                  <w14:solidFill>
                    <w14:schemeClr w14:val="tx1"/>
                  </w14:solidFill>
                </w14:textFill>
              </w:rPr>
            </w:pPr>
          </w:p>
        </w:tc>
        <w:tc>
          <w:tcPr>
            <w:tcW w:w="929" w:type="pct"/>
            <w:noWrap/>
            <w:vAlign w:val="center"/>
          </w:tcPr>
          <w:p w14:paraId="36E35AAD">
            <w:pPr>
              <w:widowControl/>
              <w:jc w:val="center"/>
              <w:rPr>
                <w:color w:val="000000" w:themeColor="text1"/>
                <w:kern w:val="0"/>
                <w:szCs w:val="21"/>
                <w:highlight w:val="none"/>
                <w14:textFill>
                  <w14:solidFill>
                    <w14:schemeClr w14:val="tx1"/>
                  </w14:solidFill>
                </w14:textFill>
              </w:rPr>
            </w:pPr>
          </w:p>
        </w:tc>
      </w:tr>
      <w:tr w14:paraId="552E3C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518C29FF">
            <w:pPr>
              <w:widowControl/>
              <w:jc w:val="center"/>
              <w:rPr>
                <w:b/>
                <w:bCs/>
                <w:color w:val="000000" w:themeColor="text1"/>
                <w:kern w:val="0"/>
                <w:szCs w:val="21"/>
                <w:highlight w:val="none"/>
                <w14:textFill>
                  <w14:solidFill>
                    <w14:schemeClr w14:val="tx1"/>
                  </w14:solidFill>
                </w14:textFill>
              </w:rPr>
            </w:pPr>
          </w:p>
        </w:tc>
        <w:tc>
          <w:tcPr>
            <w:tcW w:w="1122" w:type="pct"/>
            <w:vAlign w:val="center"/>
          </w:tcPr>
          <w:p w14:paraId="09340165">
            <w:pPr>
              <w:widowControl/>
              <w:jc w:val="center"/>
              <w:rPr>
                <w:b/>
                <w:bCs/>
                <w:color w:val="000000" w:themeColor="text1"/>
                <w:kern w:val="0"/>
                <w:szCs w:val="21"/>
                <w:highlight w:val="none"/>
                <w14:textFill>
                  <w14:solidFill>
                    <w14:schemeClr w14:val="tx1"/>
                  </w14:solidFill>
                </w14:textFill>
              </w:rPr>
            </w:pPr>
          </w:p>
        </w:tc>
        <w:tc>
          <w:tcPr>
            <w:tcW w:w="1008" w:type="pct"/>
            <w:noWrap/>
            <w:vAlign w:val="center"/>
          </w:tcPr>
          <w:p w14:paraId="2B26266E">
            <w:pPr>
              <w:widowControl/>
              <w:jc w:val="center"/>
              <w:rPr>
                <w:color w:val="000000" w:themeColor="text1"/>
                <w:kern w:val="0"/>
                <w:szCs w:val="21"/>
                <w:highlight w:val="none"/>
                <w14:textFill>
                  <w14:solidFill>
                    <w14:schemeClr w14:val="tx1"/>
                  </w14:solidFill>
                </w14:textFill>
              </w:rPr>
            </w:pPr>
          </w:p>
        </w:tc>
        <w:tc>
          <w:tcPr>
            <w:tcW w:w="478" w:type="pct"/>
            <w:noWrap/>
            <w:vAlign w:val="center"/>
          </w:tcPr>
          <w:p w14:paraId="719D2047">
            <w:pPr>
              <w:widowControl/>
              <w:jc w:val="center"/>
              <w:rPr>
                <w:color w:val="000000" w:themeColor="text1"/>
                <w:kern w:val="0"/>
                <w:szCs w:val="21"/>
                <w:highlight w:val="none"/>
                <w14:textFill>
                  <w14:solidFill>
                    <w14:schemeClr w14:val="tx1"/>
                  </w14:solidFill>
                </w14:textFill>
              </w:rPr>
            </w:pPr>
          </w:p>
        </w:tc>
        <w:tc>
          <w:tcPr>
            <w:tcW w:w="1004" w:type="pct"/>
            <w:vAlign w:val="center"/>
          </w:tcPr>
          <w:p w14:paraId="33EC2739">
            <w:pPr>
              <w:widowControl/>
              <w:jc w:val="center"/>
              <w:rPr>
                <w:color w:val="000000" w:themeColor="text1"/>
                <w:kern w:val="0"/>
                <w:szCs w:val="21"/>
                <w:highlight w:val="none"/>
                <w14:textFill>
                  <w14:solidFill>
                    <w14:schemeClr w14:val="tx1"/>
                  </w14:solidFill>
                </w14:textFill>
              </w:rPr>
            </w:pPr>
          </w:p>
        </w:tc>
        <w:tc>
          <w:tcPr>
            <w:tcW w:w="929" w:type="pct"/>
            <w:noWrap/>
            <w:vAlign w:val="center"/>
          </w:tcPr>
          <w:p w14:paraId="05A9910C">
            <w:pPr>
              <w:widowControl/>
              <w:jc w:val="center"/>
              <w:rPr>
                <w:color w:val="000000" w:themeColor="text1"/>
                <w:kern w:val="0"/>
                <w:szCs w:val="21"/>
                <w:highlight w:val="none"/>
                <w14:textFill>
                  <w14:solidFill>
                    <w14:schemeClr w14:val="tx1"/>
                  </w14:solidFill>
                </w14:textFill>
              </w:rPr>
            </w:pPr>
          </w:p>
        </w:tc>
      </w:tr>
      <w:tr w14:paraId="51BA1F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69E4E39B">
            <w:pPr>
              <w:widowControl/>
              <w:jc w:val="center"/>
              <w:rPr>
                <w:color w:val="000000" w:themeColor="text1"/>
                <w:kern w:val="0"/>
                <w:szCs w:val="21"/>
                <w:highlight w:val="none"/>
                <w14:textFill>
                  <w14:solidFill>
                    <w14:schemeClr w14:val="tx1"/>
                  </w14:solidFill>
                </w14:textFill>
              </w:rPr>
            </w:pPr>
          </w:p>
        </w:tc>
        <w:tc>
          <w:tcPr>
            <w:tcW w:w="1122" w:type="pct"/>
            <w:vAlign w:val="center"/>
          </w:tcPr>
          <w:p w14:paraId="0CFCAD65">
            <w:pPr>
              <w:widowControl/>
              <w:jc w:val="center"/>
              <w:rPr>
                <w:color w:val="000000" w:themeColor="text1"/>
                <w:kern w:val="0"/>
                <w:szCs w:val="21"/>
                <w:highlight w:val="none"/>
                <w14:textFill>
                  <w14:solidFill>
                    <w14:schemeClr w14:val="tx1"/>
                  </w14:solidFill>
                </w14:textFill>
              </w:rPr>
            </w:pPr>
          </w:p>
        </w:tc>
        <w:tc>
          <w:tcPr>
            <w:tcW w:w="1008" w:type="pct"/>
            <w:noWrap/>
            <w:vAlign w:val="center"/>
          </w:tcPr>
          <w:p w14:paraId="5494A760">
            <w:pPr>
              <w:widowControl/>
              <w:jc w:val="center"/>
              <w:rPr>
                <w:color w:val="000000" w:themeColor="text1"/>
                <w:kern w:val="0"/>
                <w:szCs w:val="21"/>
                <w:highlight w:val="none"/>
                <w14:textFill>
                  <w14:solidFill>
                    <w14:schemeClr w14:val="tx1"/>
                  </w14:solidFill>
                </w14:textFill>
              </w:rPr>
            </w:pPr>
          </w:p>
        </w:tc>
        <w:tc>
          <w:tcPr>
            <w:tcW w:w="478" w:type="pct"/>
            <w:noWrap/>
            <w:vAlign w:val="center"/>
          </w:tcPr>
          <w:p w14:paraId="65E5E3BE">
            <w:pPr>
              <w:widowControl/>
              <w:jc w:val="center"/>
              <w:rPr>
                <w:color w:val="000000" w:themeColor="text1"/>
                <w:kern w:val="0"/>
                <w:szCs w:val="21"/>
                <w:highlight w:val="none"/>
                <w14:textFill>
                  <w14:solidFill>
                    <w14:schemeClr w14:val="tx1"/>
                  </w14:solidFill>
                </w14:textFill>
              </w:rPr>
            </w:pPr>
          </w:p>
        </w:tc>
        <w:tc>
          <w:tcPr>
            <w:tcW w:w="1004" w:type="pct"/>
            <w:noWrap/>
            <w:vAlign w:val="center"/>
          </w:tcPr>
          <w:p w14:paraId="3F5ED002">
            <w:pPr>
              <w:widowControl/>
              <w:jc w:val="center"/>
              <w:rPr>
                <w:color w:val="000000" w:themeColor="text1"/>
                <w:kern w:val="0"/>
                <w:szCs w:val="21"/>
                <w:highlight w:val="none"/>
                <w14:textFill>
                  <w14:solidFill>
                    <w14:schemeClr w14:val="tx1"/>
                  </w14:solidFill>
                </w14:textFill>
              </w:rPr>
            </w:pPr>
          </w:p>
        </w:tc>
        <w:tc>
          <w:tcPr>
            <w:tcW w:w="929" w:type="pct"/>
            <w:vAlign w:val="center"/>
          </w:tcPr>
          <w:p w14:paraId="335EAA5A">
            <w:pPr>
              <w:widowControl/>
              <w:jc w:val="center"/>
              <w:rPr>
                <w:color w:val="000000" w:themeColor="text1"/>
                <w:kern w:val="0"/>
                <w:szCs w:val="21"/>
                <w:highlight w:val="none"/>
                <w14:textFill>
                  <w14:solidFill>
                    <w14:schemeClr w14:val="tx1"/>
                  </w14:solidFill>
                </w14:textFill>
              </w:rPr>
            </w:pPr>
          </w:p>
        </w:tc>
      </w:tr>
      <w:tr w14:paraId="50C362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6C54858A">
            <w:pPr>
              <w:widowControl/>
              <w:jc w:val="center"/>
              <w:rPr>
                <w:color w:val="000000" w:themeColor="text1"/>
                <w:kern w:val="0"/>
                <w:szCs w:val="21"/>
                <w:highlight w:val="none"/>
                <w14:textFill>
                  <w14:solidFill>
                    <w14:schemeClr w14:val="tx1"/>
                  </w14:solidFill>
                </w14:textFill>
              </w:rPr>
            </w:pPr>
          </w:p>
        </w:tc>
        <w:tc>
          <w:tcPr>
            <w:tcW w:w="1122" w:type="pct"/>
            <w:vAlign w:val="center"/>
          </w:tcPr>
          <w:p w14:paraId="01940363">
            <w:pPr>
              <w:widowControl/>
              <w:jc w:val="center"/>
              <w:rPr>
                <w:color w:val="000000" w:themeColor="text1"/>
                <w:kern w:val="0"/>
                <w:szCs w:val="21"/>
                <w:highlight w:val="none"/>
                <w14:textFill>
                  <w14:solidFill>
                    <w14:schemeClr w14:val="tx1"/>
                  </w14:solidFill>
                </w14:textFill>
              </w:rPr>
            </w:pPr>
          </w:p>
        </w:tc>
        <w:tc>
          <w:tcPr>
            <w:tcW w:w="1008" w:type="pct"/>
            <w:noWrap/>
            <w:vAlign w:val="center"/>
          </w:tcPr>
          <w:p w14:paraId="26529102">
            <w:pPr>
              <w:widowControl/>
              <w:jc w:val="center"/>
              <w:rPr>
                <w:color w:val="000000" w:themeColor="text1"/>
                <w:kern w:val="0"/>
                <w:szCs w:val="21"/>
                <w:highlight w:val="none"/>
                <w14:textFill>
                  <w14:solidFill>
                    <w14:schemeClr w14:val="tx1"/>
                  </w14:solidFill>
                </w14:textFill>
              </w:rPr>
            </w:pPr>
          </w:p>
        </w:tc>
        <w:tc>
          <w:tcPr>
            <w:tcW w:w="478" w:type="pct"/>
            <w:noWrap/>
            <w:vAlign w:val="center"/>
          </w:tcPr>
          <w:p w14:paraId="4891BB5D">
            <w:pPr>
              <w:widowControl/>
              <w:jc w:val="center"/>
              <w:rPr>
                <w:color w:val="000000" w:themeColor="text1"/>
                <w:kern w:val="0"/>
                <w:szCs w:val="21"/>
                <w:highlight w:val="none"/>
                <w14:textFill>
                  <w14:solidFill>
                    <w14:schemeClr w14:val="tx1"/>
                  </w14:solidFill>
                </w14:textFill>
              </w:rPr>
            </w:pPr>
          </w:p>
        </w:tc>
        <w:tc>
          <w:tcPr>
            <w:tcW w:w="1004" w:type="pct"/>
            <w:noWrap/>
            <w:vAlign w:val="center"/>
          </w:tcPr>
          <w:p w14:paraId="19CDC8A0">
            <w:pPr>
              <w:widowControl/>
              <w:jc w:val="center"/>
              <w:rPr>
                <w:color w:val="000000" w:themeColor="text1"/>
                <w:kern w:val="0"/>
                <w:szCs w:val="21"/>
                <w:highlight w:val="none"/>
                <w14:textFill>
                  <w14:solidFill>
                    <w14:schemeClr w14:val="tx1"/>
                  </w14:solidFill>
                </w14:textFill>
              </w:rPr>
            </w:pPr>
          </w:p>
        </w:tc>
        <w:tc>
          <w:tcPr>
            <w:tcW w:w="929" w:type="pct"/>
            <w:noWrap/>
            <w:vAlign w:val="center"/>
          </w:tcPr>
          <w:p w14:paraId="0696583A">
            <w:pPr>
              <w:widowControl/>
              <w:jc w:val="center"/>
              <w:rPr>
                <w:color w:val="000000" w:themeColor="text1"/>
                <w:kern w:val="0"/>
                <w:szCs w:val="21"/>
                <w:highlight w:val="none"/>
                <w14:textFill>
                  <w14:solidFill>
                    <w14:schemeClr w14:val="tx1"/>
                  </w14:solidFill>
                </w14:textFill>
              </w:rPr>
            </w:pPr>
          </w:p>
        </w:tc>
      </w:tr>
      <w:tr w14:paraId="2EAECC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7296EEF5">
            <w:pPr>
              <w:widowControl/>
              <w:jc w:val="center"/>
              <w:rPr>
                <w:color w:val="000000" w:themeColor="text1"/>
                <w:kern w:val="0"/>
                <w:szCs w:val="21"/>
                <w:highlight w:val="none"/>
                <w14:textFill>
                  <w14:solidFill>
                    <w14:schemeClr w14:val="tx1"/>
                  </w14:solidFill>
                </w14:textFill>
              </w:rPr>
            </w:pPr>
          </w:p>
        </w:tc>
        <w:tc>
          <w:tcPr>
            <w:tcW w:w="1122" w:type="pct"/>
            <w:vAlign w:val="center"/>
          </w:tcPr>
          <w:p w14:paraId="235A2EB5">
            <w:pPr>
              <w:widowControl/>
              <w:jc w:val="center"/>
              <w:rPr>
                <w:color w:val="000000" w:themeColor="text1"/>
                <w:kern w:val="0"/>
                <w:szCs w:val="21"/>
                <w:highlight w:val="none"/>
                <w14:textFill>
                  <w14:solidFill>
                    <w14:schemeClr w14:val="tx1"/>
                  </w14:solidFill>
                </w14:textFill>
              </w:rPr>
            </w:pPr>
          </w:p>
        </w:tc>
        <w:tc>
          <w:tcPr>
            <w:tcW w:w="1008" w:type="pct"/>
            <w:vAlign w:val="center"/>
          </w:tcPr>
          <w:p w14:paraId="55BE996A">
            <w:pPr>
              <w:widowControl/>
              <w:jc w:val="center"/>
              <w:rPr>
                <w:color w:val="000000" w:themeColor="text1"/>
                <w:kern w:val="0"/>
                <w:szCs w:val="21"/>
                <w:highlight w:val="none"/>
                <w14:textFill>
                  <w14:solidFill>
                    <w14:schemeClr w14:val="tx1"/>
                  </w14:solidFill>
                </w14:textFill>
              </w:rPr>
            </w:pPr>
          </w:p>
        </w:tc>
        <w:tc>
          <w:tcPr>
            <w:tcW w:w="478" w:type="pct"/>
            <w:noWrap/>
            <w:vAlign w:val="center"/>
          </w:tcPr>
          <w:p w14:paraId="0C10522D">
            <w:pPr>
              <w:widowControl/>
              <w:jc w:val="center"/>
              <w:rPr>
                <w:color w:val="000000" w:themeColor="text1"/>
                <w:kern w:val="0"/>
                <w:szCs w:val="21"/>
                <w:highlight w:val="none"/>
                <w14:textFill>
                  <w14:solidFill>
                    <w14:schemeClr w14:val="tx1"/>
                  </w14:solidFill>
                </w14:textFill>
              </w:rPr>
            </w:pPr>
          </w:p>
        </w:tc>
        <w:tc>
          <w:tcPr>
            <w:tcW w:w="1004" w:type="pct"/>
            <w:noWrap/>
            <w:vAlign w:val="center"/>
          </w:tcPr>
          <w:p w14:paraId="692D3394">
            <w:pPr>
              <w:widowControl/>
              <w:jc w:val="center"/>
              <w:rPr>
                <w:color w:val="000000" w:themeColor="text1"/>
                <w:kern w:val="0"/>
                <w:szCs w:val="21"/>
                <w:highlight w:val="none"/>
                <w14:textFill>
                  <w14:solidFill>
                    <w14:schemeClr w14:val="tx1"/>
                  </w14:solidFill>
                </w14:textFill>
              </w:rPr>
            </w:pPr>
          </w:p>
        </w:tc>
        <w:tc>
          <w:tcPr>
            <w:tcW w:w="929" w:type="pct"/>
            <w:noWrap/>
            <w:vAlign w:val="center"/>
          </w:tcPr>
          <w:p w14:paraId="0620AD8E">
            <w:pPr>
              <w:widowControl/>
              <w:jc w:val="center"/>
              <w:rPr>
                <w:color w:val="000000" w:themeColor="text1"/>
                <w:kern w:val="0"/>
                <w:szCs w:val="21"/>
                <w:highlight w:val="none"/>
                <w14:textFill>
                  <w14:solidFill>
                    <w14:schemeClr w14:val="tx1"/>
                  </w14:solidFill>
                </w14:textFill>
              </w:rPr>
            </w:pPr>
          </w:p>
        </w:tc>
      </w:tr>
      <w:tr w14:paraId="197C67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02EAC86C">
            <w:pPr>
              <w:widowControl/>
              <w:jc w:val="center"/>
              <w:rPr>
                <w:color w:val="000000" w:themeColor="text1"/>
                <w:kern w:val="0"/>
                <w:szCs w:val="21"/>
                <w:highlight w:val="none"/>
                <w14:textFill>
                  <w14:solidFill>
                    <w14:schemeClr w14:val="tx1"/>
                  </w14:solidFill>
                </w14:textFill>
              </w:rPr>
            </w:pPr>
          </w:p>
        </w:tc>
        <w:tc>
          <w:tcPr>
            <w:tcW w:w="1122" w:type="pct"/>
            <w:vAlign w:val="center"/>
          </w:tcPr>
          <w:p w14:paraId="04178060">
            <w:pPr>
              <w:widowControl/>
              <w:jc w:val="center"/>
              <w:rPr>
                <w:color w:val="000000" w:themeColor="text1"/>
                <w:kern w:val="0"/>
                <w:szCs w:val="21"/>
                <w:highlight w:val="none"/>
                <w14:textFill>
                  <w14:solidFill>
                    <w14:schemeClr w14:val="tx1"/>
                  </w14:solidFill>
                </w14:textFill>
              </w:rPr>
            </w:pPr>
          </w:p>
        </w:tc>
        <w:tc>
          <w:tcPr>
            <w:tcW w:w="1008" w:type="pct"/>
            <w:vAlign w:val="center"/>
          </w:tcPr>
          <w:p w14:paraId="14A48BA4">
            <w:pPr>
              <w:widowControl/>
              <w:jc w:val="center"/>
              <w:rPr>
                <w:color w:val="000000" w:themeColor="text1"/>
                <w:kern w:val="0"/>
                <w:szCs w:val="21"/>
                <w:highlight w:val="none"/>
                <w14:textFill>
                  <w14:solidFill>
                    <w14:schemeClr w14:val="tx1"/>
                  </w14:solidFill>
                </w14:textFill>
              </w:rPr>
            </w:pPr>
          </w:p>
        </w:tc>
        <w:tc>
          <w:tcPr>
            <w:tcW w:w="478" w:type="pct"/>
            <w:noWrap/>
            <w:vAlign w:val="center"/>
          </w:tcPr>
          <w:p w14:paraId="078DD5DC">
            <w:pPr>
              <w:widowControl/>
              <w:jc w:val="center"/>
              <w:rPr>
                <w:color w:val="000000" w:themeColor="text1"/>
                <w:kern w:val="0"/>
                <w:szCs w:val="21"/>
                <w:highlight w:val="none"/>
                <w14:textFill>
                  <w14:solidFill>
                    <w14:schemeClr w14:val="tx1"/>
                  </w14:solidFill>
                </w14:textFill>
              </w:rPr>
            </w:pPr>
          </w:p>
        </w:tc>
        <w:tc>
          <w:tcPr>
            <w:tcW w:w="1004" w:type="pct"/>
            <w:noWrap/>
            <w:vAlign w:val="center"/>
          </w:tcPr>
          <w:p w14:paraId="6752017E">
            <w:pPr>
              <w:widowControl/>
              <w:jc w:val="center"/>
              <w:rPr>
                <w:color w:val="000000" w:themeColor="text1"/>
                <w:kern w:val="0"/>
                <w:szCs w:val="21"/>
                <w:highlight w:val="none"/>
                <w14:textFill>
                  <w14:solidFill>
                    <w14:schemeClr w14:val="tx1"/>
                  </w14:solidFill>
                </w14:textFill>
              </w:rPr>
            </w:pPr>
          </w:p>
        </w:tc>
        <w:tc>
          <w:tcPr>
            <w:tcW w:w="929" w:type="pct"/>
            <w:noWrap/>
            <w:vAlign w:val="center"/>
          </w:tcPr>
          <w:p w14:paraId="5010398B">
            <w:pPr>
              <w:widowControl/>
              <w:jc w:val="center"/>
              <w:rPr>
                <w:color w:val="000000" w:themeColor="text1"/>
                <w:kern w:val="0"/>
                <w:szCs w:val="21"/>
                <w:highlight w:val="none"/>
                <w14:textFill>
                  <w14:solidFill>
                    <w14:schemeClr w14:val="tx1"/>
                  </w14:solidFill>
                </w14:textFill>
              </w:rPr>
            </w:pPr>
          </w:p>
        </w:tc>
      </w:tr>
      <w:tr w14:paraId="278811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54AB0406">
            <w:pPr>
              <w:widowControl/>
              <w:jc w:val="center"/>
              <w:rPr>
                <w:color w:val="000000" w:themeColor="text1"/>
                <w:kern w:val="0"/>
                <w:szCs w:val="21"/>
                <w:highlight w:val="none"/>
                <w14:textFill>
                  <w14:solidFill>
                    <w14:schemeClr w14:val="tx1"/>
                  </w14:solidFill>
                </w14:textFill>
              </w:rPr>
            </w:pPr>
          </w:p>
        </w:tc>
        <w:tc>
          <w:tcPr>
            <w:tcW w:w="1122" w:type="pct"/>
            <w:vAlign w:val="center"/>
          </w:tcPr>
          <w:p w14:paraId="3FC644BA">
            <w:pPr>
              <w:widowControl/>
              <w:jc w:val="center"/>
              <w:rPr>
                <w:color w:val="000000" w:themeColor="text1"/>
                <w:kern w:val="0"/>
                <w:szCs w:val="21"/>
                <w:highlight w:val="none"/>
                <w14:textFill>
                  <w14:solidFill>
                    <w14:schemeClr w14:val="tx1"/>
                  </w14:solidFill>
                </w14:textFill>
              </w:rPr>
            </w:pPr>
          </w:p>
        </w:tc>
        <w:tc>
          <w:tcPr>
            <w:tcW w:w="1008" w:type="pct"/>
            <w:noWrap/>
            <w:vAlign w:val="center"/>
          </w:tcPr>
          <w:p w14:paraId="344778A6">
            <w:pPr>
              <w:widowControl/>
              <w:jc w:val="center"/>
              <w:rPr>
                <w:color w:val="000000" w:themeColor="text1"/>
                <w:kern w:val="0"/>
                <w:szCs w:val="21"/>
                <w:highlight w:val="none"/>
                <w14:textFill>
                  <w14:solidFill>
                    <w14:schemeClr w14:val="tx1"/>
                  </w14:solidFill>
                </w14:textFill>
              </w:rPr>
            </w:pPr>
          </w:p>
        </w:tc>
        <w:tc>
          <w:tcPr>
            <w:tcW w:w="478" w:type="pct"/>
            <w:noWrap/>
            <w:vAlign w:val="center"/>
          </w:tcPr>
          <w:p w14:paraId="34EC536B">
            <w:pPr>
              <w:widowControl/>
              <w:jc w:val="center"/>
              <w:rPr>
                <w:color w:val="000000" w:themeColor="text1"/>
                <w:kern w:val="0"/>
                <w:szCs w:val="21"/>
                <w:highlight w:val="none"/>
                <w14:textFill>
                  <w14:solidFill>
                    <w14:schemeClr w14:val="tx1"/>
                  </w14:solidFill>
                </w14:textFill>
              </w:rPr>
            </w:pPr>
          </w:p>
        </w:tc>
        <w:tc>
          <w:tcPr>
            <w:tcW w:w="1004" w:type="pct"/>
            <w:noWrap/>
            <w:vAlign w:val="center"/>
          </w:tcPr>
          <w:p w14:paraId="694904EA">
            <w:pPr>
              <w:widowControl/>
              <w:jc w:val="center"/>
              <w:rPr>
                <w:color w:val="000000" w:themeColor="text1"/>
                <w:kern w:val="0"/>
                <w:szCs w:val="21"/>
                <w:highlight w:val="none"/>
                <w14:textFill>
                  <w14:solidFill>
                    <w14:schemeClr w14:val="tx1"/>
                  </w14:solidFill>
                </w14:textFill>
              </w:rPr>
            </w:pPr>
          </w:p>
        </w:tc>
        <w:tc>
          <w:tcPr>
            <w:tcW w:w="929" w:type="pct"/>
            <w:noWrap/>
            <w:vAlign w:val="center"/>
          </w:tcPr>
          <w:p w14:paraId="314E6511">
            <w:pPr>
              <w:widowControl/>
              <w:jc w:val="center"/>
              <w:rPr>
                <w:color w:val="000000" w:themeColor="text1"/>
                <w:kern w:val="0"/>
                <w:szCs w:val="21"/>
                <w:highlight w:val="none"/>
                <w14:textFill>
                  <w14:solidFill>
                    <w14:schemeClr w14:val="tx1"/>
                  </w14:solidFill>
                </w14:textFill>
              </w:rPr>
            </w:pPr>
          </w:p>
        </w:tc>
      </w:tr>
      <w:tr w14:paraId="3D83A4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2A1E8F2E">
            <w:pPr>
              <w:widowControl/>
              <w:jc w:val="center"/>
              <w:rPr>
                <w:color w:val="000000" w:themeColor="text1"/>
                <w:kern w:val="0"/>
                <w:szCs w:val="21"/>
                <w:highlight w:val="none"/>
                <w14:textFill>
                  <w14:solidFill>
                    <w14:schemeClr w14:val="tx1"/>
                  </w14:solidFill>
                </w14:textFill>
              </w:rPr>
            </w:pPr>
          </w:p>
        </w:tc>
        <w:tc>
          <w:tcPr>
            <w:tcW w:w="1122" w:type="pct"/>
            <w:vAlign w:val="center"/>
          </w:tcPr>
          <w:p w14:paraId="71679EAA">
            <w:pPr>
              <w:widowControl/>
              <w:jc w:val="center"/>
              <w:rPr>
                <w:color w:val="000000" w:themeColor="text1"/>
                <w:kern w:val="0"/>
                <w:szCs w:val="21"/>
                <w:highlight w:val="none"/>
                <w14:textFill>
                  <w14:solidFill>
                    <w14:schemeClr w14:val="tx1"/>
                  </w14:solidFill>
                </w14:textFill>
              </w:rPr>
            </w:pPr>
          </w:p>
        </w:tc>
        <w:tc>
          <w:tcPr>
            <w:tcW w:w="1008" w:type="pct"/>
            <w:noWrap/>
            <w:vAlign w:val="center"/>
          </w:tcPr>
          <w:p w14:paraId="2F3EE07C">
            <w:pPr>
              <w:widowControl/>
              <w:jc w:val="center"/>
              <w:rPr>
                <w:color w:val="000000" w:themeColor="text1"/>
                <w:kern w:val="0"/>
                <w:szCs w:val="21"/>
                <w:highlight w:val="none"/>
                <w14:textFill>
                  <w14:solidFill>
                    <w14:schemeClr w14:val="tx1"/>
                  </w14:solidFill>
                </w14:textFill>
              </w:rPr>
            </w:pPr>
          </w:p>
        </w:tc>
        <w:tc>
          <w:tcPr>
            <w:tcW w:w="478" w:type="pct"/>
            <w:noWrap/>
            <w:vAlign w:val="center"/>
          </w:tcPr>
          <w:p w14:paraId="1A36D149">
            <w:pPr>
              <w:widowControl/>
              <w:jc w:val="center"/>
              <w:rPr>
                <w:color w:val="000000" w:themeColor="text1"/>
                <w:kern w:val="0"/>
                <w:szCs w:val="21"/>
                <w:highlight w:val="none"/>
                <w14:textFill>
                  <w14:solidFill>
                    <w14:schemeClr w14:val="tx1"/>
                  </w14:solidFill>
                </w14:textFill>
              </w:rPr>
            </w:pPr>
          </w:p>
        </w:tc>
        <w:tc>
          <w:tcPr>
            <w:tcW w:w="1004" w:type="pct"/>
            <w:noWrap/>
            <w:vAlign w:val="center"/>
          </w:tcPr>
          <w:p w14:paraId="4407A800">
            <w:pPr>
              <w:widowControl/>
              <w:jc w:val="center"/>
              <w:rPr>
                <w:color w:val="000000" w:themeColor="text1"/>
                <w:kern w:val="0"/>
                <w:szCs w:val="21"/>
                <w:highlight w:val="none"/>
                <w14:textFill>
                  <w14:solidFill>
                    <w14:schemeClr w14:val="tx1"/>
                  </w14:solidFill>
                </w14:textFill>
              </w:rPr>
            </w:pPr>
          </w:p>
        </w:tc>
        <w:tc>
          <w:tcPr>
            <w:tcW w:w="929" w:type="pct"/>
            <w:noWrap/>
            <w:vAlign w:val="center"/>
          </w:tcPr>
          <w:p w14:paraId="74C4D09A">
            <w:pPr>
              <w:widowControl/>
              <w:jc w:val="center"/>
              <w:rPr>
                <w:color w:val="000000" w:themeColor="text1"/>
                <w:kern w:val="0"/>
                <w:szCs w:val="21"/>
                <w:highlight w:val="none"/>
                <w14:textFill>
                  <w14:solidFill>
                    <w14:schemeClr w14:val="tx1"/>
                  </w14:solidFill>
                </w14:textFill>
              </w:rPr>
            </w:pPr>
          </w:p>
        </w:tc>
      </w:tr>
      <w:tr w14:paraId="32F46D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7E4B76D4">
            <w:pPr>
              <w:widowControl/>
              <w:jc w:val="center"/>
              <w:rPr>
                <w:color w:val="000000" w:themeColor="text1"/>
                <w:kern w:val="0"/>
                <w:szCs w:val="21"/>
                <w:highlight w:val="none"/>
                <w14:textFill>
                  <w14:solidFill>
                    <w14:schemeClr w14:val="tx1"/>
                  </w14:solidFill>
                </w14:textFill>
              </w:rPr>
            </w:pPr>
          </w:p>
        </w:tc>
        <w:tc>
          <w:tcPr>
            <w:tcW w:w="1122" w:type="pct"/>
            <w:vAlign w:val="center"/>
          </w:tcPr>
          <w:p w14:paraId="301A8E2A">
            <w:pPr>
              <w:widowControl/>
              <w:jc w:val="center"/>
              <w:rPr>
                <w:color w:val="000000" w:themeColor="text1"/>
                <w:kern w:val="0"/>
                <w:szCs w:val="21"/>
                <w:highlight w:val="none"/>
                <w14:textFill>
                  <w14:solidFill>
                    <w14:schemeClr w14:val="tx1"/>
                  </w14:solidFill>
                </w14:textFill>
              </w:rPr>
            </w:pPr>
          </w:p>
        </w:tc>
        <w:tc>
          <w:tcPr>
            <w:tcW w:w="1008" w:type="pct"/>
            <w:noWrap/>
            <w:vAlign w:val="center"/>
          </w:tcPr>
          <w:p w14:paraId="05CCB183">
            <w:pPr>
              <w:widowControl/>
              <w:jc w:val="center"/>
              <w:rPr>
                <w:color w:val="000000" w:themeColor="text1"/>
                <w:kern w:val="0"/>
                <w:szCs w:val="21"/>
                <w:highlight w:val="none"/>
                <w14:textFill>
                  <w14:solidFill>
                    <w14:schemeClr w14:val="tx1"/>
                  </w14:solidFill>
                </w14:textFill>
              </w:rPr>
            </w:pPr>
          </w:p>
        </w:tc>
        <w:tc>
          <w:tcPr>
            <w:tcW w:w="478" w:type="pct"/>
            <w:noWrap/>
            <w:vAlign w:val="center"/>
          </w:tcPr>
          <w:p w14:paraId="18C2904F">
            <w:pPr>
              <w:widowControl/>
              <w:jc w:val="center"/>
              <w:rPr>
                <w:color w:val="000000" w:themeColor="text1"/>
                <w:kern w:val="0"/>
                <w:szCs w:val="21"/>
                <w:highlight w:val="none"/>
                <w14:textFill>
                  <w14:solidFill>
                    <w14:schemeClr w14:val="tx1"/>
                  </w14:solidFill>
                </w14:textFill>
              </w:rPr>
            </w:pPr>
          </w:p>
        </w:tc>
        <w:tc>
          <w:tcPr>
            <w:tcW w:w="1004" w:type="pct"/>
            <w:noWrap/>
            <w:vAlign w:val="center"/>
          </w:tcPr>
          <w:p w14:paraId="7B26F67F">
            <w:pPr>
              <w:widowControl/>
              <w:jc w:val="center"/>
              <w:rPr>
                <w:color w:val="000000" w:themeColor="text1"/>
                <w:kern w:val="0"/>
                <w:szCs w:val="21"/>
                <w:highlight w:val="none"/>
                <w14:textFill>
                  <w14:solidFill>
                    <w14:schemeClr w14:val="tx1"/>
                  </w14:solidFill>
                </w14:textFill>
              </w:rPr>
            </w:pPr>
          </w:p>
        </w:tc>
        <w:tc>
          <w:tcPr>
            <w:tcW w:w="929" w:type="pct"/>
            <w:noWrap/>
            <w:vAlign w:val="center"/>
          </w:tcPr>
          <w:p w14:paraId="20CB5123">
            <w:pPr>
              <w:widowControl/>
              <w:jc w:val="center"/>
              <w:rPr>
                <w:rFonts w:hint="eastAsia" w:hAnsi="宋体"/>
                <w:color w:val="000000" w:themeColor="text1"/>
                <w:kern w:val="0"/>
                <w:szCs w:val="21"/>
                <w:highlight w:val="none"/>
                <w14:textFill>
                  <w14:solidFill>
                    <w14:schemeClr w14:val="tx1"/>
                  </w14:solidFill>
                </w14:textFill>
              </w:rPr>
            </w:pPr>
          </w:p>
        </w:tc>
      </w:tr>
      <w:tr w14:paraId="5ADC80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6628131F">
            <w:pPr>
              <w:widowControl/>
              <w:jc w:val="center"/>
              <w:rPr>
                <w:color w:val="000000" w:themeColor="text1"/>
                <w:kern w:val="0"/>
                <w:szCs w:val="21"/>
                <w:highlight w:val="none"/>
                <w14:textFill>
                  <w14:solidFill>
                    <w14:schemeClr w14:val="tx1"/>
                  </w14:solidFill>
                </w14:textFill>
              </w:rPr>
            </w:pPr>
          </w:p>
        </w:tc>
        <w:tc>
          <w:tcPr>
            <w:tcW w:w="1122" w:type="pct"/>
            <w:vAlign w:val="center"/>
          </w:tcPr>
          <w:p w14:paraId="2A7289EB">
            <w:pPr>
              <w:widowControl/>
              <w:jc w:val="center"/>
              <w:rPr>
                <w:color w:val="000000" w:themeColor="text1"/>
                <w:kern w:val="0"/>
                <w:szCs w:val="21"/>
                <w:highlight w:val="none"/>
                <w14:textFill>
                  <w14:solidFill>
                    <w14:schemeClr w14:val="tx1"/>
                  </w14:solidFill>
                </w14:textFill>
              </w:rPr>
            </w:pPr>
          </w:p>
        </w:tc>
        <w:tc>
          <w:tcPr>
            <w:tcW w:w="1008" w:type="pct"/>
            <w:noWrap/>
            <w:vAlign w:val="center"/>
          </w:tcPr>
          <w:p w14:paraId="0721C74E">
            <w:pPr>
              <w:widowControl/>
              <w:jc w:val="center"/>
              <w:rPr>
                <w:color w:val="000000" w:themeColor="text1"/>
                <w:kern w:val="0"/>
                <w:szCs w:val="21"/>
                <w:highlight w:val="none"/>
                <w14:textFill>
                  <w14:solidFill>
                    <w14:schemeClr w14:val="tx1"/>
                  </w14:solidFill>
                </w14:textFill>
              </w:rPr>
            </w:pPr>
          </w:p>
        </w:tc>
        <w:tc>
          <w:tcPr>
            <w:tcW w:w="478" w:type="pct"/>
            <w:noWrap/>
            <w:vAlign w:val="center"/>
          </w:tcPr>
          <w:p w14:paraId="35E7A107">
            <w:pPr>
              <w:widowControl/>
              <w:jc w:val="center"/>
              <w:rPr>
                <w:color w:val="000000" w:themeColor="text1"/>
                <w:kern w:val="0"/>
                <w:szCs w:val="21"/>
                <w:highlight w:val="none"/>
                <w14:textFill>
                  <w14:solidFill>
                    <w14:schemeClr w14:val="tx1"/>
                  </w14:solidFill>
                </w14:textFill>
              </w:rPr>
            </w:pPr>
          </w:p>
        </w:tc>
        <w:tc>
          <w:tcPr>
            <w:tcW w:w="1004" w:type="pct"/>
            <w:noWrap/>
            <w:vAlign w:val="center"/>
          </w:tcPr>
          <w:p w14:paraId="12194B09">
            <w:pPr>
              <w:widowControl/>
              <w:jc w:val="center"/>
              <w:rPr>
                <w:color w:val="000000" w:themeColor="text1"/>
                <w:kern w:val="0"/>
                <w:szCs w:val="21"/>
                <w:highlight w:val="none"/>
                <w14:textFill>
                  <w14:solidFill>
                    <w14:schemeClr w14:val="tx1"/>
                  </w14:solidFill>
                </w14:textFill>
              </w:rPr>
            </w:pPr>
          </w:p>
        </w:tc>
        <w:tc>
          <w:tcPr>
            <w:tcW w:w="929" w:type="pct"/>
            <w:noWrap/>
            <w:vAlign w:val="center"/>
          </w:tcPr>
          <w:p w14:paraId="6F60424D">
            <w:pPr>
              <w:widowControl/>
              <w:jc w:val="center"/>
              <w:rPr>
                <w:rFonts w:hint="eastAsia" w:hAnsi="宋体"/>
                <w:color w:val="000000" w:themeColor="text1"/>
                <w:kern w:val="0"/>
                <w:szCs w:val="21"/>
                <w:highlight w:val="none"/>
                <w14:textFill>
                  <w14:solidFill>
                    <w14:schemeClr w14:val="tx1"/>
                  </w14:solidFill>
                </w14:textFill>
              </w:rPr>
            </w:pPr>
          </w:p>
        </w:tc>
      </w:tr>
      <w:tr w14:paraId="1A46BE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5834EA9D">
            <w:pPr>
              <w:widowControl/>
              <w:jc w:val="center"/>
              <w:rPr>
                <w:color w:val="000000" w:themeColor="text1"/>
                <w:kern w:val="0"/>
                <w:szCs w:val="21"/>
                <w:highlight w:val="none"/>
                <w14:textFill>
                  <w14:solidFill>
                    <w14:schemeClr w14:val="tx1"/>
                  </w14:solidFill>
                </w14:textFill>
              </w:rPr>
            </w:pPr>
          </w:p>
        </w:tc>
        <w:tc>
          <w:tcPr>
            <w:tcW w:w="1122" w:type="pct"/>
            <w:vAlign w:val="center"/>
          </w:tcPr>
          <w:p w14:paraId="011974C9">
            <w:pPr>
              <w:widowControl/>
              <w:jc w:val="center"/>
              <w:rPr>
                <w:color w:val="000000" w:themeColor="text1"/>
                <w:kern w:val="0"/>
                <w:szCs w:val="21"/>
                <w:highlight w:val="none"/>
                <w14:textFill>
                  <w14:solidFill>
                    <w14:schemeClr w14:val="tx1"/>
                  </w14:solidFill>
                </w14:textFill>
              </w:rPr>
            </w:pPr>
          </w:p>
        </w:tc>
        <w:tc>
          <w:tcPr>
            <w:tcW w:w="1008" w:type="pct"/>
            <w:noWrap/>
            <w:vAlign w:val="center"/>
          </w:tcPr>
          <w:p w14:paraId="48A1FE23">
            <w:pPr>
              <w:widowControl/>
              <w:jc w:val="center"/>
              <w:rPr>
                <w:color w:val="000000" w:themeColor="text1"/>
                <w:kern w:val="0"/>
                <w:szCs w:val="21"/>
                <w:highlight w:val="none"/>
                <w14:textFill>
                  <w14:solidFill>
                    <w14:schemeClr w14:val="tx1"/>
                  </w14:solidFill>
                </w14:textFill>
              </w:rPr>
            </w:pPr>
          </w:p>
        </w:tc>
        <w:tc>
          <w:tcPr>
            <w:tcW w:w="478" w:type="pct"/>
            <w:noWrap/>
            <w:vAlign w:val="center"/>
          </w:tcPr>
          <w:p w14:paraId="099F6A9F">
            <w:pPr>
              <w:widowControl/>
              <w:jc w:val="center"/>
              <w:rPr>
                <w:color w:val="000000" w:themeColor="text1"/>
                <w:kern w:val="0"/>
                <w:szCs w:val="21"/>
                <w:highlight w:val="none"/>
                <w14:textFill>
                  <w14:solidFill>
                    <w14:schemeClr w14:val="tx1"/>
                  </w14:solidFill>
                </w14:textFill>
              </w:rPr>
            </w:pPr>
          </w:p>
        </w:tc>
        <w:tc>
          <w:tcPr>
            <w:tcW w:w="1004" w:type="pct"/>
            <w:noWrap/>
            <w:vAlign w:val="center"/>
          </w:tcPr>
          <w:p w14:paraId="43CA15E7">
            <w:pPr>
              <w:widowControl/>
              <w:jc w:val="center"/>
              <w:rPr>
                <w:color w:val="000000" w:themeColor="text1"/>
                <w:kern w:val="0"/>
                <w:szCs w:val="21"/>
                <w:highlight w:val="none"/>
                <w14:textFill>
                  <w14:solidFill>
                    <w14:schemeClr w14:val="tx1"/>
                  </w14:solidFill>
                </w14:textFill>
              </w:rPr>
            </w:pPr>
          </w:p>
        </w:tc>
        <w:tc>
          <w:tcPr>
            <w:tcW w:w="929" w:type="pct"/>
            <w:vAlign w:val="center"/>
          </w:tcPr>
          <w:p w14:paraId="3AB704FA">
            <w:pPr>
              <w:widowControl/>
              <w:jc w:val="center"/>
              <w:rPr>
                <w:rFonts w:hint="eastAsia" w:hAnsi="宋体"/>
                <w:color w:val="000000" w:themeColor="text1"/>
                <w:kern w:val="0"/>
                <w:szCs w:val="21"/>
                <w:highlight w:val="none"/>
                <w14:textFill>
                  <w14:solidFill>
                    <w14:schemeClr w14:val="tx1"/>
                  </w14:solidFill>
                </w14:textFill>
              </w:rPr>
            </w:pPr>
          </w:p>
        </w:tc>
      </w:tr>
      <w:tr w14:paraId="51BA0B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26FF0410">
            <w:pPr>
              <w:widowControl/>
              <w:jc w:val="center"/>
              <w:rPr>
                <w:color w:val="000000" w:themeColor="text1"/>
                <w:kern w:val="0"/>
                <w:szCs w:val="21"/>
                <w:highlight w:val="none"/>
                <w14:textFill>
                  <w14:solidFill>
                    <w14:schemeClr w14:val="tx1"/>
                  </w14:solidFill>
                </w14:textFill>
              </w:rPr>
            </w:pPr>
          </w:p>
        </w:tc>
        <w:tc>
          <w:tcPr>
            <w:tcW w:w="1122" w:type="pct"/>
            <w:vAlign w:val="center"/>
          </w:tcPr>
          <w:p w14:paraId="204B91DC">
            <w:pPr>
              <w:widowControl/>
              <w:jc w:val="center"/>
              <w:rPr>
                <w:color w:val="000000" w:themeColor="text1"/>
                <w:kern w:val="0"/>
                <w:szCs w:val="21"/>
                <w:highlight w:val="none"/>
                <w14:textFill>
                  <w14:solidFill>
                    <w14:schemeClr w14:val="tx1"/>
                  </w14:solidFill>
                </w14:textFill>
              </w:rPr>
            </w:pPr>
          </w:p>
        </w:tc>
        <w:tc>
          <w:tcPr>
            <w:tcW w:w="1008" w:type="pct"/>
            <w:noWrap/>
            <w:vAlign w:val="center"/>
          </w:tcPr>
          <w:p w14:paraId="0E2779AB">
            <w:pPr>
              <w:widowControl/>
              <w:jc w:val="left"/>
              <w:rPr>
                <w:color w:val="000000" w:themeColor="text1"/>
                <w:kern w:val="0"/>
                <w:szCs w:val="21"/>
                <w:highlight w:val="none"/>
                <w14:textFill>
                  <w14:solidFill>
                    <w14:schemeClr w14:val="tx1"/>
                  </w14:solidFill>
                </w14:textFill>
              </w:rPr>
            </w:pPr>
          </w:p>
        </w:tc>
        <w:tc>
          <w:tcPr>
            <w:tcW w:w="478" w:type="pct"/>
            <w:noWrap/>
            <w:vAlign w:val="center"/>
          </w:tcPr>
          <w:p w14:paraId="1B73594F">
            <w:pPr>
              <w:widowControl/>
              <w:jc w:val="center"/>
              <w:rPr>
                <w:color w:val="000000" w:themeColor="text1"/>
                <w:kern w:val="0"/>
                <w:szCs w:val="21"/>
                <w:highlight w:val="none"/>
                <w14:textFill>
                  <w14:solidFill>
                    <w14:schemeClr w14:val="tx1"/>
                  </w14:solidFill>
                </w14:textFill>
              </w:rPr>
            </w:pPr>
          </w:p>
        </w:tc>
        <w:tc>
          <w:tcPr>
            <w:tcW w:w="1004" w:type="pct"/>
            <w:noWrap/>
            <w:vAlign w:val="center"/>
          </w:tcPr>
          <w:p w14:paraId="3335EA6A">
            <w:pPr>
              <w:widowControl/>
              <w:jc w:val="center"/>
              <w:rPr>
                <w:color w:val="000000" w:themeColor="text1"/>
                <w:kern w:val="0"/>
                <w:szCs w:val="21"/>
                <w:highlight w:val="none"/>
                <w14:textFill>
                  <w14:solidFill>
                    <w14:schemeClr w14:val="tx1"/>
                  </w14:solidFill>
                </w14:textFill>
              </w:rPr>
            </w:pPr>
          </w:p>
        </w:tc>
        <w:tc>
          <w:tcPr>
            <w:tcW w:w="929" w:type="pct"/>
            <w:noWrap/>
            <w:vAlign w:val="center"/>
          </w:tcPr>
          <w:p w14:paraId="366EBF9F">
            <w:pPr>
              <w:widowControl/>
              <w:jc w:val="center"/>
              <w:rPr>
                <w:color w:val="000000" w:themeColor="text1"/>
                <w:kern w:val="0"/>
                <w:szCs w:val="21"/>
                <w:highlight w:val="none"/>
                <w14:textFill>
                  <w14:solidFill>
                    <w14:schemeClr w14:val="tx1"/>
                  </w14:solidFill>
                </w14:textFill>
              </w:rPr>
            </w:pPr>
          </w:p>
        </w:tc>
      </w:tr>
      <w:tr w14:paraId="2C67D5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458" w:type="pct"/>
            <w:vAlign w:val="center"/>
          </w:tcPr>
          <w:p w14:paraId="6963BDE4">
            <w:pPr>
              <w:widowControl/>
              <w:jc w:val="center"/>
              <w:rPr>
                <w:color w:val="000000" w:themeColor="text1"/>
                <w:kern w:val="0"/>
                <w:szCs w:val="21"/>
                <w:highlight w:val="none"/>
                <w14:textFill>
                  <w14:solidFill>
                    <w14:schemeClr w14:val="tx1"/>
                  </w14:solidFill>
                </w14:textFill>
              </w:rPr>
            </w:pPr>
          </w:p>
        </w:tc>
        <w:tc>
          <w:tcPr>
            <w:tcW w:w="1122" w:type="pct"/>
            <w:vAlign w:val="center"/>
          </w:tcPr>
          <w:p w14:paraId="3278CEC9">
            <w:pPr>
              <w:widowControl/>
              <w:jc w:val="center"/>
              <w:rPr>
                <w:rFonts w:hint="eastAsia" w:hAnsi="宋体"/>
                <w:color w:val="000000" w:themeColor="text1"/>
                <w:kern w:val="0"/>
                <w:szCs w:val="21"/>
                <w:highlight w:val="none"/>
                <w14:textFill>
                  <w14:solidFill>
                    <w14:schemeClr w14:val="tx1"/>
                  </w14:solidFill>
                </w14:textFill>
              </w:rPr>
            </w:pPr>
          </w:p>
        </w:tc>
        <w:tc>
          <w:tcPr>
            <w:tcW w:w="1008" w:type="pct"/>
            <w:noWrap/>
            <w:vAlign w:val="center"/>
          </w:tcPr>
          <w:p w14:paraId="5FA1D1A1">
            <w:pPr>
              <w:widowControl/>
              <w:jc w:val="left"/>
              <w:rPr>
                <w:rFonts w:hint="eastAsia" w:hAnsi="宋体"/>
                <w:color w:val="000000" w:themeColor="text1"/>
                <w:kern w:val="0"/>
                <w:szCs w:val="21"/>
                <w:highlight w:val="none"/>
                <w14:textFill>
                  <w14:solidFill>
                    <w14:schemeClr w14:val="tx1"/>
                  </w14:solidFill>
                </w14:textFill>
              </w:rPr>
            </w:pPr>
          </w:p>
        </w:tc>
        <w:tc>
          <w:tcPr>
            <w:tcW w:w="478" w:type="pct"/>
            <w:noWrap/>
            <w:vAlign w:val="center"/>
          </w:tcPr>
          <w:p w14:paraId="5DF3FACF">
            <w:pPr>
              <w:widowControl/>
              <w:jc w:val="center"/>
              <w:rPr>
                <w:color w:val="000000" w:themeColor="text1"/>
                <w:kern w:val="0"/>
                <w:szCs w:val="21"/>
                <w:highlight w:val="none"/>
                <w14:textFill>
                  <w14:solidFill>
                    <w14:schemeClr w14:val="tx1"/>
                  </w14:solidFill>
                </w14:textFill>
              </w:rPr>
            </w:pPr>
          </w:p>
        </w:tc>
        <w:tc>
          <w:tcPr>
            <w:tcW w:w="1004" w:type="pct"/>
            <w:noWrap/>
            <w:vAlign w:val="center"/>
          </w:tcPr>
          <w:p w14:paraId="73E9B18F">
            <w:pPr>
              <w:widowControl/>
              <w:jc w:val="center"/>
              <w:rPr>
                <w:color w:val="000000" w:themeColor="text1"/>
                <w:kern w:val="0"/>
                <w:szCs w:val="21"/>
                <w:highlight w:val="none"/>
                <w14:textFill>
                  <w14:solidFill>
                    <w14:schemeClr w14:val="tx1"/>
                  </w14:solidFill>
                </w14:textFill>
              </w:rPr>
            </w:pPr>
          </w:p>
        </w:tc>
        <w:tc>
          <w:tcPr>
            <w:tcW w:w="929" w:type="pct"/>
            <w:noWrap/>
            <w:vAlign w:val="center"/>
          </w:tcPr>
          <w:p w14:paraId="674DBD66">
            <w:pPr>
              <w:widowControl/>
              <w:jc w:val="center"/>
              <w:rPr>
                <w:rFonts w:hint="eastAsia" w:hAnsi="宋体"/>
                <w:color w:val="000000" w:themeColor="text1"/>
                <w:kern w:val="0"/>
                <w:szCs w:val="21"/>
                <w:highlight w:val="none"/>
                <w14:textFill>
                  <w14:solidFill>
                    <w14:schemeClr w14:val="tx1"/>
                  </w14:solidFill>
                </w14:textFill>
              </w:rPr>
            </w:pPr>
          </w:p>
        </w:tc>
      </w:tr>
    </w:tbl>
    <w:p w14:paraId="6552DDD2">
      <w:pPr>
        <w:spacing w:line="360" w:lineRule="auto"/>
        <w:rPr>
          <w:rFonts w:hint="eastAsia" w:hAnsi="宋体"/>
          <w:color w:val="000000" w:themeColor="text1"/>
          <w:kern w:val="0"/>
          <w:szCs w:val="21"/>
          <w:highlight w:val="none"/>
          <w14:textFill>
            <w14:solidFill>
              <w14:schemeClr w14:val="tx1"/>
            </w14:solidFill>
          </w14:textFill>
        </w:rPr>
      </w:pPr>
    </w:p>
    <w:p w14:paraId="7B452B55">
      <w:pPr>
        <w:spacing w:line="360" w:lineRule="auto"/>
        <w:rPr>
          <w:rFonts w:hint="eastAsia" w:hAnsi="宋体"/>
          <w:color w:val="000000" w:themeColor="text1"/>
          <w:kern w:val="0"/>
          <w:szCs w:val="21"/>
          <w:highlight w:val="none"/>
          <w14:textFill>
            <w14:solidFill>
              <w14:schemeClr w14:val="tx1"/>
            </w14:solidFill>
          </w14:textFill>
        </w:rPr>
      </w:pPr>
      <w:r>
        <w:rPr>
          <w:rFonts w:hint="eastAsia" w:hAnsi="宋体"/>
          <w:color w:val="000000" w:themeColor="text1"/>
          <w:kern w:val="0"/>
          <w:szCs w:val="21"/>
          <w:highlight w:val="none"/>
          <w14:textFill>
            <w14:solidFill>
              <w14:schemeClr w14:val="tx1"/>
            </w14:solidFill>
          </w14:textFill>
        </w:rPr>
        <w:t>备注：1、甲供材料均为主材，不包含相关的辅材；甲供材料的价格不应计入综合单价；</w:t>
      </w:r>
    </w:p>
    <w:p w14:paraId="279C57D0">
      <w:pPr>
        <w:spacing w:line="360" w:lineRule="auto"/>
        <w:ind w:left="945" w:leftChars="300" w:hanging="315" w:hangingChars="150"/>
        <w:rPr>
          <w:color w:val="000000" w:themeColor="text1"/>
          <w:highlight w:val="none"/>
          <w14:textFill>
            <w14:solidFill>
              <w14:schemeClr w14:val="tx1"/>
            </w14:solidFill>
          </w14:textFill>
        </w:rPr>
      </w:pPr>
      <w:r>
        <w:rPr>
          <w:rFonts w:hint="eastAsia" w:hAnsi="宋体"/>
          <w:color w:val="000000" w:themeColor="text1"/>
          <w:kern w:val="0"/>
          <w:szCs w:val="21"/>
          <w:highlight w:val="none"/>
          <w14:textFill>
            <w14:solidFill>
              <w14:schemeClr w14:val="tx1"/>
            </w14:solidFill>
          </w14:textFill>
        </w:rPr>
        <w:t>2、响应单位应在报价中充分考虑甲供材料、构件、设备的工地保管费、辅材、损耗等相关费用。</w:t>
      </w:r>
    </w:p>
    <w:p w14:paraId="33E18AD3">
      <w:pPr>
        <w:pStyle w:val="2"/>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bookmarkStart w:id="1812" w:name="_Toc54281191"/>
      <w:bookmarkStart w:id="1813" w:name="_Toc145499829"/>
      <w:bookmarkStart w:id="1814" w:name="_Toc53948734"/>
      <w:bookmarkStart w:id="1815" w:name="_Toc53949576"/>
      <w:bookmarkStart w:id="1816" w:name="_Toc54278956"/>
      <w:bookmarkStart w:id="1817" w:name="_Toc54280765"/>
      <w:bookmarkStart w:id="1818" w:name="_Toc54281617"/>
      <w:bookmarkStart w:id="1819" w:name="_Toc54291521"/>
      <w:bookmarkStart w:id="1820" w:name="_Toc53946179"/>
      <w:bookmarkStart w:id="1821" w:name="_Toc53949155"/>
      <w:bookmarkStart w:id="1822" w:name="_Toc54280339"/>
      <w:bookmarkStart w:id="1823" w:name="_Toc144872175"/>
      <w:bookmarkStart w:id="1824" w:name="_Toc145426867"/>
      <w:bookmarkStart w:id="1825" w:name="_Toc284135620"/>
      <w:r>
        <w:rPr>
          <w:color w:val="000000" w:themeColor="text1"/>
          <w:highlight w:val="none"/>
          <w14:textFill>
            <w14:solidFill>
              <w14:schemeClr w14:val="tx1"/>
            </w14:solidFill>
          </w14:textFill>
        </w:rPr>
        <w:t>第</w:t>
      </w:r>
      <w:r>
        <w:rPr>
          <w:rFonts w:hint="eastAsia"/>
          <w:color w:val="000000" w:themeColor="text1"/>
          <w:highlight w:val="none"/>
          <w14:textFill>
            <w14:solidFill>
              <w14:schemeClr w14:val="tx1"/>
            </w14:solidFill>
          </w14:textFill>
        </w:rPr>
        <w:t>六</w:t>
      </w:r>
      <w:r>
        <w:rPr>
          <w:color w:val="000000" w:themeColor="text1"/>
          <w:highlight w:val="none"/>
          <w14:textFill>
            <w14:solidFill>
              <w14:schemeClr w14:val="tx1"/>
            </w14:solidFill>
          </w14:textFill>
        </w:rPr>
        <w:t xml:space="preserve">篇  </w:t>
      </w:r>
      <w:bookmarkEnd w:id="1812"/>
      <w:bookmarkEnd w:id="1813"/>
      <w:bookmarkEnd w:id="1814"/>
      <w:bookmarkEnd w:id="1815"/>
      <w:bookmarkEnd w:id="1816"/>
      <w:bookmarkEnd w:id="1817"/>
      <w:bookmarkEnd w:id="1818"/>
      <w:bookmarkEnd w:id="1819"/>
      <w:bookmarkEnd w:id="1820"/>
      <w:bookmarkEnd w:id="1821"/>
      <w:bookmarkEnd w:id="1822"/>
      <w:bookmarkEnd w:id="1823"/>
      <w:bookmarkEnd w:id="1824"/>
      <w:r>
        <w:rPr>
          <w:color w:val="000000" w:themeColor="text1"/>
          <w:highlight w:val="none"/>
          <w14:textFill>
            <w14:solidFill>
              <w14:schemeClr w14:val="tx1"/>
            </w14:solidFill>
          </w14:textFill>
        </w:rPr>
        <w:t>响应文件格式</w:t>
      </w:r>
      <w:bookmarkEnd w:id="1825"/>
    </w:p>
    <w:p w14:paraId="6E978655">
      <w:pPr>
        <w:tabs>
          <w:tab w:val="left" w:pos="180"/>
        </w:tabs>
        <w:spacing w:line="600" w:lineRule="auto"/>
        <w:ind w:right="695" w:rightChars="331"/>
        <w:rPr>
          <w:rFonts w:hint="eastAsia" w:hAnsi="宋体"/>
          <w:b/>
          <w:color w:val="000000" w:themeColor="text1"/>
          <w:sz w:val="44"/>
          <w:szCs w:val="44"/>
          <w:highlight w:val="none"/>
          <w:u w:val="single"/>
          <w14:textFill>
            <w14:solidFill>
              <w14:schemeClr w14:val="tx1"/>
            </w14:solidFill>
          </w14:textFill>
        </w:rPr>
      </w:pPr>
    </w:p>
    <w:p w14:paraId="4609683C">
      <w:pPr>
        <w:tabs>
          <w:tab w:val="left" w:pos="180"/>
        </w:tabs>
        <w:spacing w:line="360" w:lineRule="auto"/>
        <w:ind w:right="48" w:rightChars="23"/>
        <w:jc w:val="center"/>
        <w:rPr>
          <w:rFonts w:hint="eastAsia" w:hAnsi="宋体"/>
          <w:b/>
          <w:color w:val="000000" w:themeColor="text1"/>
          <w:sz w:val="52"/>
          <w:szCs w:val="52"/>
          <w:highlight w:val="none"/>
          <w14:textFill>
            <w14:solidFill>
              <w14:schemeClr w14:val="tx1"/>
            </w14:solidFill>
          </w14:textFill>
        </w:rPr>
      </w:pPr>
      <w:r>
        <w:rPr>
          <w:rFonts w:hint="eastAsia" w:hAnsi="宋体"/>
          <w:b/>
          <w:color w:val="000000" w:themeColor="text1"/>
          <w:sz w:val="52"/>
          <w:szCs w:val="52"/>
          <w:highlight w:val="none"/>
          <w14:textFill>
            <w14:solidFill>
              <w14:schemeClr w14:val="tx1"/>
            </w14:solidFill>
          </w14:textFill>
        </w:rPr>
        <w:t>（项目名称）</w:t>
      </w:r>
    </w:p>
    <w:p w14:paraId="71F09B4A">
      <w:pPr>
        <w:tabs>
          <w:tab w:val="left" w:pos="180"/>
        </w:tabs>
        <w:spacing w:line="360" w:lineRule="auto"/>
        <w:ind w:right="48" w:rightChars="23"/>
        <w:jc w:val="center"/>
        <w:rPr>
          <w:rFonts w:hint="eastAsia" w:hAnsi="宋体"/>
          <w:b/>
          <w:color w:val="000000" w:themeColor="text1"/>
          <w:sz w:val="52"/>
          <w:szCs w:val="52"/>
          <w:highlight w:val="none"/>
          <w14:textFill>
            <w14:solidFill>
              <w14:schemeClr w14:val="tx1"/>
            </w14:solidFill>
          </w14:textFill>
        </w:rPr>
      </w:pPr>
      <w:r>
        <w:rPr>
          <w:rFonts w:hint="eastAsia" w:hAnsi="宋体"/>
          <w:b/>
          <w:color w:val="000000" w:themeColor="text1"/>
          <w:sz w:val="52"/>
          <w:szCs w:val="52"/>
          <w:highlight w:val="none"/>
          <w14:textFill>
            <w14:solidFill>
              <w14:schemeClr w14:val="tx1"/>
            </w14:solidFill>
          </w14:textFill>
        </w:rPr>
        <w:t>XXX分包工程</w:t>
      </w:r>
    </w:p>
    <w:p w14:paraId="36824963">
      <w:pPr>
        <w:jc w:val="center"/>
        <w:rPr>
          <w:b/>
          <w:color w:val="000000" w:themeColor="text1"/>
          <w:sz w:val="72"/>
          <w:szCs w:val="72"/>
          <w:highlight w:val="none"/>
          <w14:textFill>
            <w14:solidFill>
              <w14:schemeClr w14:val="tx1"/>
            </w14:solidFill>
          </w14:textFill>
        </w:rPr>
      </w:pPr>
    </w:p>
    <w:p w14:paraId="3F463D32">
      <w:pPr>
        <w:jc w:val="center"/>
        <w:rPr>
          <w:rFonts w:hint="eastAsia" w:hAnsi="宋体"/>
          <w:b/>
          <w:color w:val="000000" w:themeColor="text1"/>
          <w:sz w:val="72"/>
          <w:highlight w:val="none"/>
          <w14:textFill>
            <w14:solidFill>
              <w14:schemeClr w14:val="tx1"/>
            </w14:solidFill>
          </w14:textFill>
        </w:rPr>
      </w:pPr>
      <w:r>
        <w:rPr>
          <w:rFonts w:hint="eastAsia" w:hAnsi="宋体"/>
          <w:b/>
          <w:color w:val="000000" w:themeColor="text1"/>
          <w:sz w:val="72"/>
          <w:highlight w:val="none"/>
          <w14:textFill>
            <w14:solidFill>
              <w14:schemeClr w14:val="tx1"/>
            </w14:solidFill>
          </w14:textFill>
        </w:rPr>
        <w:t>响应文件</w:t>
      </w:r>
    </w:p>
    <w:p w14:paraId="04A68607">
      <w:pPr>
        <w:jc w:val="center"/>
        <w:rPr>
          <w:b/>
          <w:color w:val="000000" w:themeColor="text1"/>
          <w:sz w:val="36"/>
          <w:szCs w:val="36"/>
          <w:highlight w:val="none"/>
          <w14:textFill>
            <w14:solidFill>
              <w14:schemeClr w14:val="tx1"/>
            </w14:solidFill>
          </w14:textFill>
        </w:rPr>
      </w:pPr>
    </w:p>
    <w:p w14:paraId="03706C60">
      <w:pPr>
        <w:jc w:val="center"/>
        <w:rPr>
          <w:b/>
          <w:color w:val="000000" w:themeColor="text1"/>
          <w:sz w:val="36"/>
          <w:szCs w:val="36"/>
          <w:highlight w:val="none"/>
          <w14:textFill>
            <w14:solidFill>
              <w14:schemeClr w14:val="tx1"/>
            </w14:solidFill>
          </w14:textFill>
        </w:rPr>
      </w:pPr>
    </w:p>
    <w:p w14:paraId="0AFA4A56">
      <w:pPr>
        <w:jc w:val="center"/>
        <w:rPr>
          <w:b/>
          <w:color w:val="000000" w:themeColor="text1"/>
          <w:sz w:val="36"/>
          <w:szCs w:val="36"/>
          <w:highlight w:val="none"/>
          <w14:textFill>
            <w14:solidFill>
              <w14:schemeClr w14:val="tx1"/>
            </w14:solidFill>
          </w14:textFill>
        </w:rPr>
      </w:pPr>
    </w:p>
    <w:p w14:paraId="3F028635">
      <w:pPr>
        <w:jc w:val="center"/>
        <w:rPr>
          <w:b/>
          <w:color w:val="000000" w:themeColor="text1"/>
          <w:sz w:val="36"/>
          <w:szCs w:val="36"/>
          <w:highlight w:val="none"/>
          <w14:textFill>
            <w14:solidFill>
              <w14:schemeClr w14:val="tx1"/>
            </w14:solidFill>
          </w14:textFill>
        </w:rPr>
      </w:pPr>
    </w:p>
    <w:p w14:paraId="5EE3653C">
      <w:pPr>
        <w:jc w:val="center"/>
        <w:rPr>
          <w:b/>
          <w:color w:val="000000" w:themeColor="text1"/>
          <w:sz w:val="36"/>
          <w:szCs w:val="36"/>
          <w:highlight w:val="none"/>
          <w14:textFill>
            <w14:solidFill>
              <w14:schemeClr w14:val="tx1"/>
            </w14:solidFill>
          </w14:textFill>
        </w:rPr>
      </w:pPr>
    </w:p>
    <w:p w14:paraId="54AFA1A9">
      <w:pPr>
        <w:jc w:val="center"/>
        <w:rPr>
          <w:b/>
          <w:color w:val="000000" w:themeColor="text1"/>
          <w:sz w:val="36"/>
          <w:szCs w:val="36"/>
          <w:highlight w:val="none"/>
          <w14:textFill>
            <w14:solidFill>
              <w14:schemeClr w14:val="tx1"/>
            </w14:solidFill>
          </w14:textFill>
        </w:rPr>
      </w:pPr>
    </w:p>
    <w:p w14:paraId="70D9BBB0">
      <w:pPr>
        <w:jc w:val="center"/>
        <w:rPr>
          <w:color w:val="000000" w:themeColor="text1"/>
          <w:sz w:val="48"/>
          <w:highlight w:val="none"/>
          <w14:textFill>
            <w14:solidFill>
              <w14:schemeClr w14:val="tx1"/>
            </w14:solidFill>
          </w14:textFill>
        </w:rPr>
      </w:pPr>
    </w:p>
    <w:p w14:paraId="6C025355">
      <w:pPr>
        <w:rPr>
          <w:color w:val="000000" w:themeColor="text1"/>
          <w:sz w:val="48"/>
          <w:highlight w:val="none"/>
          <w14:textFill>
            <w14:solidFill>
              <w14:schemeClr w14:val="tx1"/>
            </w14:solidFill>
          </w14:textFill>
        </w:rPr>
      </w:pPr>
    </w:p>
    <w:p w14:paraId="3043E295">
      <w:pPr>
        <w:jc w:val="center"/>
        <w:rPr>
          <w:color w:val="000000" w:themeColor="text1"/>
          <w:sz w:val="48"/>
          <w:highlight w:val="none"/>
          <w14:textFill>
            <w14:solidFill>
              <w14:schemeClr w14:val="tx1"/>
            </w14:solidFill>
          </w14:textFill>
        </w:rPr>
      </w:pPr>
    </w:p>
    <w:p w14:paraId="37584DF7">
      <w:pPr>
        <w:jc w:val="center"/>
        <w:rPr>
          <w:color w:val="000000" w:themeColor="text1"/>
          <w:sz w:val="48"/>
          <w:highlight w:val="none"/>
          <w14:textFill>
            <w14:solidFill>
              <w14:schemeClr w14:val="tx1"/>
            </w14:solidFill>
          </w14:textFill>
        </w:rPr>
      </w:pPr>
    </w:p>
    <w:p w14:paraId="51B3BC6B">
      <w:pPr>
        <w:jc w:val="center"/>
        <w:rPr>
          <w:color w:val="000000" w:themeColor="text1"/>
          <w:sz w:val="48"/>
          <w:highlight w:val="none"/>
          <w14:textFill>
            <w14:solidFill>
              <w14:schemeClr w14:val="tx1"/>
            </w14:solidFill>
          </w14:textFill>
        </w:rPr>
      </w:pPr>
    </w:p>
    <w:p w14:paraId="77503DD8">
      <w:pPr>
        <w:spacing w:line="360" w:lineRule="auto"/>
        <w:ind w:right="27" w:rightChars="13" w:firstLine="2168" w:firstLineChars="600"/>
        <w:jc w:val="left"/>
        <w:rPr>
          <w:b/>
          <w:color w:val="000000" w:themeColor="text1"/>
          <w:sz w:val="36"/>
          <w:szCs w:val="36"/>
          <w:highlight w:val="none"/>
          <w14:textFill>
            <w14:solidFill>
              <w14:schemeClr w14:val="tx1"/>
            </w14:solidFill>
          </w14:textFill>
        </w:rPr>
      </w:pPr>
      <w:r>
        <w:rPr>
          <w:rFonts w:hint="eastAsia"/>
          <w:b/>
          <w:color w:val="000000" w:themeColor="text1"/>
          <w:sz w:val="36"/>
          <w:szCs w:val="36"/>
          <w:highlight w:val="none"/>
          <w14:textFill>
            <w14:solidFill>
              <w14:schemeClr w14:val="tx1"/>
            </w14:solidFill>
          </w14:textFill>
        </w:rPr>
        <w:t>响应单位：</w:t>
      </w:r>
      <w:r>
        <w:rPr>
          <w:rFonts w:hint="eastAsia"/>
          <w:b/>
          <w:color w:val="000000" w:themeColor="text1"/>
          <w:sz w:val="36"/>
          <w:szCs w:val="36"/>
          <w:highlight w:val="none"/>
          <w:u w:val="single"/>
          <w14:textFill>
            <w14:solidFill>
              <w14:schemeClr w14:val="tx1"/>
            </w14:solidFill>
          </w14:textFill>
        </w:rPr>
        <w:t xml:space="preserve">             </w:t>
      </w:r>
    </w:p>
    <w:p w14:paraId="5C6173AA">
      <w:pPr>
        <w:spacing w:line="360" w:lineRule="auto"/>
        <w:jc w:val="center"/>
        <w:rPr>
          <w:b/>
          <w:color w:val="000000" w:themeColor="text1"/>
          <w:sz w:val="36"/>
          <w:szCs w:val="36"/>
          <w:highlight w:val="none"/>
          <w14:textFill>
            <w14:solidFill>
              <w14:schemeClr w14:val="tx1"/>
            </w14:solidFill>
          </w14:textFill>
        </w:rPr>
      </w:pPr>
      <w:r>
        <w:rPr>
          <w:rFonts w:hint="eastAsia"/>
          <w:b/>
          <w:color w:val="000000" w:themeColor="text1"/>
          <w:sz w:val="36"/>
          <w:szCs w:val="36"/>
          <w:highlight w:val="none"/>
          <w14:textFill>
            <w14:solidFill>
              <w14:schemeClr w14:val="tx1"/>
            </w14:solidFill>
          </w14:textFill>
        </w:rPr>
        <w:t>2026年X月X日</w:t>
      </w:r>
    </w:p>
    <w:p w14:paraId="219F25B0">
      <w:pPr>
        <w:pStyle w:val="3"/>
        <w:spacing w:before="240" w:beforeLines="100" w:after="120" w:afterLines="50" w:line="360" w:lineRule="auto"/>
        <w:jc w:val="center"/>
        <w:rPr>
          <w:rStyle w:val="46"/>
          <w:rFonts w:ascii="Times New Roman" w:hAnsi="Times New Roman" w:eastAsia="宋体"/>
          <w:b/>
          <w:bCs w:val="0"/>
          <w:color w:val="000000" w:themeColor="text1"/>
          <w:sz w:val="32"/>
          <w:highlight w:val="none"/>
          <w14:textFill>
            <w14:solidFill>
              <w14:schemeClr w14:val="tx1"/>
            </w14:solidFill>
          </w14:textFill>
        </w:rPr>
      </w:pPr>
      <w:bookmarkStart w:id="1826" w:name="_Toc284135622"/>
      <w:bookmarkStart w:id="1827" w:name="_Toc54967406"/>
      <w:bookmarkStart w:id="1828" w:name="_Toc64308101"/>
      <w:bookmarkStart w:id="1829" w:name="_Toc54968740"/>
      <w:bookmarkStart w:id="1830" w:name="_Toc64302912"/>
      <w:bookmarkStart w:id="1831" w:name="_Toc55300202"/>
      <w:bookmarkStart w:id="1832" w:name="_Toc64302399"/>
      <w:bookmarkStart w:id="1833" w:name="_Toc64302453"/>
      <w:bookmarkStart w:id="1834" w:name="_Toc284135621"/>
      <w:bookmarkStart w:id="1835" w:name="_Toc55082672"/>
      <w:r>
        <w:rPr>
          <w:rStyle w:val="46"/>
          <w:rFonts w:ascii="Times New Roman" w:hAnsi="Times New Roman" w:eastAsia="宋体"/>
          <w:b/>
          <w:bCs w:val="0"/>
          <w:color w:val="000000" w:themeColor="text1"/>
          <w:sz w:val="32"/>
          <w:highlight w:val="none"/>
          <w14:textFill>
            <w14:solidFill>
              <w14:schemeClr w14:val="tx1"/>
            </w14:solidFill>
          </w14:textFill>
        </w:rPr>
        <w:t>第</w:t>
      </w:r>
      <w:r>
        <w:rPr>
          <w:rStyle w:val="46"/>
          <w:rFonts w:hint="eastAsia" w:ascii="Times New Roman" w:hAnsi="Times New Roman" w:eastAsia="宋体"/>
          <w:b/>
          <w:bCs w:val="0"/>
          <w:color w:val="000000" w:themeColor="text1"/>
          <w:sz w:val="32"/>
          <w:highlight w:val="none"/>
          <w14:textFill>
            <w14:solidFill>
              <w14:schemeClr w14:val="tx1"/>
            </w14:solidFill>
          </w14:textFill>
        </w:rPr>
        <w:t>一</w:t>
      </w:r>
      <w:r>
        <w:rPr>
          <w:rStyle w:val="46"/>
          <w:rFonts w:ascii="Times New Roman" w:hAnsi="Times New Roman" w:eastAsia="宋体"/>
          <w:b/>
          <w:bCs w:val="0"/>
          <w:color w:val="000000" w:themeColor="text1"/>
          <w:sz w:val="32"/>
          <w:highlight w:val="none"/>
          <w14:textFill>
            <w14:solidFill>
              <w14:schemeClr w14:val="tx1"/>
            </w14:solidFill>
          </w14:textFill>
        </w:rPr>
        <w:t>章 经济部分格式</w:t>
      </w:r>
      <w:bookmarkEnd w:id="1826"/>
    </w:p>
    <w:p w14:paraId="71759E1C">
      <w:pPr>
        <w:pStyle w:val="53"/>
        <w:spacing w:before="120"/>
        <w:rPr>
          <w:rStyle w:val="46"/>
          <w:rFonts w:ascii="Times New Roman" w:hAnsi="Times New Roman" w:eastAsia="宋体" w:cs="Times New Roman"/>
          <w:b/>
          <w:bCs w:val="0"/>
          <w:color w:val="000000" w:themeColor="text1"/>
          <w:szCs w:val="24"/>
          <w:highlight w:val="none"/>
          <w14:textFill>
            <w14:solidFill>
              <w14:schemeClr w14:val="tx1"/>
            </w14:solidFill>
          </w14:textFill>
        </w:rPr>
      </w:pPr>
      <w:bookmarkStart w:id="1836" w:name="_Toc54291523"/>
      <w:bookmarkStart w:id="1837" w:name="_Toc53949157"/>
      <w:bookmarkStart w:id="1838" w:name="_Toc54281193"/>
      <w:bookmarkStart w:id="1839" w:name="_Toc54281619"/>
      <w:bookmarkStart w:id="1840" w:name="_Toc54280767"/>
      <w:bookmarkStart w:id="1841" w:name="_Toc145499831"/>
      <w:bookmarkStart w:id="1842" w:name="_Toc54280341"/>
      <w:bookmarkStart w:id="1843" w:name="_Toc54278958"/>
      <w:bookmarkStart w:id="1844" w:name="_Toc53949578"/>
      <w:bookmarkStart w:id="1845" w:name="_Toc53948736"/>
      <w:bookmarkStart w:id="1846" w:name="_Toc144872177"/>
      <w:r>
        <w:rPr>
          <w:rStyle w:val="46"/>
          <w:rFonts w:ascii="Times New Roman" w:hAnsi="Times New Roman" w:eastAsia="宋体" w:cs="Times New Roman"/>
          <w:b/>
          <w:bCs w:val="0"/>
          <w:color w:val="000000" w:themeColor="text1"/>
          <w:szCs w:val="24"/>
          <w:highlight w:val="none"/>
          <w14:textFill>
            <w14:solidFill>
              <w14:schemeClr w14:val="tx1"/>
            </w14:solidFill>
          </w14:textFill>
        </w:rPr>
        <w:t>格式</w:t>
      </w:r>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1</w:t>
      </w:r>
      <w:r>
        <w:rPr>
          <w:rStyle w:val="46"/>
          <w:rFonts w:ascii="Times New Roman" w:hAnsi="Times New Roman" w:eastAsia="宋体" w:cs="Times New Roman"/>
          <w:b/>
          <w:bCs w:val="0"/>
          <w:color w:val="000000" w:themeColor="text1"/>
          <w:szCs w:val="24"/>
          <w:highlight w:val="none"/>
          <w14:textFill>
            <w14:solidFill>
              <w14:schemeClr w14:val="tx1"/>
            </w14:solidFill>
          </w14:textFill>
        </w:rPr>
        <w:t xml:space="preserve">  </w:t>
      </w:r>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响应</w:t>
      </w:r>
      <w:r>
        <w:rPr>
          <w:rStyle w:val="46"/>
          <w:rFonts w:ascii="Times New Roman" w:hAnsi="Times New Roman" w:eastAsia="宋体" w:cs="Times New Roman"/>
          <w:b/>
          <w:bCs w:val="0"/>
          <w:color w:val="000000" w:themeColor="text1"/>
          <w:szCs w:val="24"/>
          <w:highlight w:val="none"/>
          <w14:textFill>
            <w14:solidFill>
              <w14:schemeClr w14:val="tx1"/>
            </w14:solidFill>
          </w14:textFill>
        </w:rPr>
        <w:t>函</w:t>
      </w:r>
      <w:bookmarkEnd w:id="1836"/>
      <w:bookmarkEnd w:id="1837"/>
      <w:bookmarkEnd w:id="1838"/>
      <w:bookmarkEnd w:id="1839"/>
      <w:bookmarkEnd w:id="1840"/>
      <w:bookmarkEnd w:id="1841"/>
      <w:bookmarkEnd w:id="1842"/>
      <w:bookmarkEnd w:id="1843"/>
      <w:bookmarkEnd w:id="1844"/>
      <w:bookmarkEnd w:id="1845"/>
      <w:bookmarkEnd w:id="1846"/>
    </w:p>
    <w:p w14:paraId="483F9BD2">
      <w:pPr>
        <w:spacing w:line="360" w:lineRule="auto"/>
        <w:jc w:val="center"/>
        <w:rPr>
          <w:b/>
          <w:color w:val="000000" w:themeColor="text1"/>
          <w:sz w:val="28"/>
          <w:szCs w:val="28"/>
          <w:highlight w:val="none"/>
          <w14:textFill>
            <w14:solidFill>
              <w14:schemeClr w14:val="tx1"/>
            </w14:solidFill>
          </w14:textFill>
        </w:rPr>
      </w:pPr>
      <w:r>
        <w:rPr>
          <w:rFonts w:hint="eastAsia"/>
          <w:b/>
          <w:color w:val="000000" w:themeColor="text1"/>
          <w:sz w:val="28"/>
          <w:szCs w:val="28"/>
          <w:highlight w:val="none"/>
          <w14:textFill>
            <w14:solidFill>
              <w14:schemeClr w14:val="tx1"/>
            </w14:solidFill>
          </w14:textFill>
        </w:rPr>
        <w:t xml:space="preserve">响   应   </w:t>
      </w:r>
      <w:r>
        <w:rPr>
          <w:b/>
          <w:color w:val="000000" w:themeColor="text1"/>
          <w:sz w:val="28"/>
          <w:szCs w:val="28"/>
          <w:highlight w:val="none"/>
          <w14:textFill>
            <w14:solidFill>
              <w14:schemeClr w14:val="tx1"/>
            </w14:solidFill>
          </w14:textFill>
        </w:rPr>
        <w:t>函</w:t>
      </w:r>
    </w:p>
    <w:p w14:paraId="4B49A6AC">
      <w:pPr>
        <w:spacing w:line="360" w:lineRule="auto"/>
        <w:rPr>
          <w:color w:val="000000" w:themeColor="text1"/>
          <w:szCs w:val="21"/>
          <w:highlight w:val="none"/>
          <w:u w:val="single"/>
          <w14:textFill>
            <w14:solidFill>
              <w14:schemeClr w14:val="tx1"/>
            </w14:solidFill>
          </w14:textFill>
        </w:rPr>
      </w:pPr>
      <w:r>
        <w:rPr>
          <w:color w:val="000000" w:themeColor="text1"/>
          <w:szCs w:val="21"/>
          <w:highlight w:val="none"/>
          <w14:textFill>
            <w14:solidFill>
              <w14:schemeClr w14:val="tx1"/>
            </w14:solidFill>
          </w14:textFill>
        </w:rPr>
        <w:t>致：</w:t>
      </w:r>
      <w:r>
        <w:rPr>
          <w:rFonts w:hint="eastAsia"/>
          <w:color w:val="000000" w:themeColor="text1"/>
          <w:szCs w:val="21"/>
          <w:highlight w:val="none"/>
          <w:u w:val="single"/>
          <w14:textFill>
            <w14:solidFill>
              <w14:schemeClr w14:val="tx1"/>
            </w14:solidFill>
          </w14:textFill>
        </w:rPr>
        <w:t>中建路桥集团</w:t>
      </w:r>
      <w:r>
        <w:rPr>
          <w:rFonts w:hint="eastAsia"/>
          <w:color w:val="000000" w:themeColor="text1"/>
          <w:szCs w:val="21"/>
          <w:highlight w:val="none"/>
          <w:u w:val="single"/>
          <w:lang w:val="en-US" w:eastAsia="zh-CN"/>
          <w14:textFill>
            <w14:solidFill>
              <w14:schemeClr w14:val="tx1"/>
            </w14:solidFill>
          </w14:textFill>
        </w:rPr>
        <w:t>第二工程</w:t>
      </w:r>
      <w:r>
        <w:rPr>
          <w:rFonts w:hint="eastAsia"/>
          <w:color w:val="000000" w:themeColor="text1"/>
          <w:szCs w:val="21"/>
          <w:highlight w:val="none"/>
          <w:u w:val="single"/>
          <w14:textFill>
            <w14:solidFill>
              <w14:schemeClr w14:val="tx1"/>
            </w14:solidFill>
          </w14:textFill>
        </w:rPr>
        <w:t>有限公司</w:t>
      </w:r>
    </w:p>
    <w:p w14:paraId="638BF717">
      <w:pPr>
        <w:widowControl/>
        <w:spacing w:line="360" w:lineRule="auto"/>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1.在研究了贵公司提供的采购文件(含补充采购文件第</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号)和考察工程现场后，我们愿意按人民币(大写)</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元(</w:t>
      </w:r>
      <w:r>
        <w:rPr>
          <w:color w:val="000000" w:themeColor="text1"/>
          <w:kern w:val="0"/>
          <w:szCs w:val="21"/>
          <w:highlight w:val="none"/>
          <w14:textFill>
            <w14:solidFill>
              <w14:schemeClr w14:val="tx1"/>
            </w14:solidFill>
          </w14:textFill>
        </w:rPr>
        <w:t>￥：</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元)的总报价，遵照采购文件的要求承担本合同全部工程的实施、完成及其缺陷修复工作。</w:t>
      </w:r>
    </w:p>
    <w:p w14:paraId="0B9308B2">
      <w:pPr>
        <w:spacing w:line="360" w:lineRule="auto"/>
        <w:ind w:firstLine="42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w:t>
      </w:r>
      <w:r>
        <w:rPr>
          <w:color w:val="000000" w:themeColor="text1"/>
          <w:szCs w:val="21"/>
          <w:highlight w:val="none"/>
          <w14:textFill>
            <w14:solidFill>
              <w14:schemeClr w14:val="tx1"/>
            </w14:solidFill>
          </w14:textFill>
        </w:rPr>
        <w:t>.如果贵公司接受我们的</w:t>
      </w:r>
      <w:r>
        <w:rPr>
          <w:rFonts w:hint="eastAsia"/>
          <w:color w:val="000000" w:themeColor="text1"/>
          <w:szCs w:val="21"/>
          <w:highlight w:val="none"/>
          <w14:textFill>
            <w14:solidFill>
              <w14:schemeClr w14:val="tx1"/>
            </w14:solidFill>
          </w14:textFill>
        </w:rPr>
        <w:t>响应</w:t>
      </w:r>
      <w:r>
        <w:rPr>
          <w:color w:val="000000" w:themeColor="text1"/>
          <w:szCs w:val="21"/>
          <w:highlight w:val="none"/>
          <w14:textFill>
            <w14:solidFill>
              <w14:schemeClr w14:val="tx1"/>
            </w14:solidFill>
          </w14:textFill>
        </w:rPr>
        <w:t>，我们将保证在接到</w:t>
      </w:r>
      <w:r>
        <w:rPr>
          <w:rFonts w:hint="eastAsia"/>
          <w:color w:val="000000" w:themeColor="text1"/>
          <w:szCs w:val="21"/>
          <w:highlight w:val="none"/>
          <w14:textFill>
            <w14:solidFill>
              <w14:schemeClr w14:val="tx1"/>
            </w14:solidFill>
          </w14:textFill>
        </w:rPr>
        <w:t>采购</w:t>
      </w:r>
      <w:r>
        <w:rPr>
          <w:color w:val="000000" w:themeColor="text1"/>
          <w:szCs w:val="21"/>
          <w:highlight w:val="none"/>
          <w14:textFill>
            <w14:solidFill>
              <w14:schemeClr w14:val="tx1"/>
            </w14:solidFill>
          </w14:textFill>
        </w:rPr>
        <w:t>人的开工通知后，按其要求开工，并在</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日历天的工期内完成本合同工程，达到合同规定的要求。该工期从</w:t>
      </w:r>
      <w:r>
        <w:rPr>
          <w:rFonts w:hint="eastAsia"/>
          <w:color w:val="000000" w:themeColor="text1"/>
          <w:szCs w:val="21"/>
          <w:highlight w:val="none"/>
          <w14:textFill>
            <w14:solidFill>
              <w14:schemeClr w14:val="tx1"/>
            </w14:solidFill>
          </w14:textFill>
        </w:rPr>
        <w:t>采购</w:t>
      </w:r>
      <w:r>
        <w:rPr>
          <w:color w:val="000000" w:themeColor="text1"/>
          <w:szCs w:val="21"/>
          <w:highlight w:val="none"/>
          <w14:textFill>
            <w14:solidFill>
              <w14:schemeClr w14:val="tx1"/>
            </w14:solidFill>
          </w14:textFill>
        </w:rPr>
        <w:t>人发布的开工通知中写明的开工日期算起。</w:t>
      </w:r>
    </w:p>
    <w:p w14:paraId="22C15840">
      <w:pPr>
        <w:spacing w:line="360" w:lineRule="auto"/>
        <w:ind w:firstLine="42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w:t>
      </w:r>
      <w:r>
        <w:rPr>
          <w:color w:val="000000" w:themeColor="text1"/>
          <w:szCs w:val="21"/>
          <w:highlight w:val="none"/>
          <w14:textFill>
            <w14:solidFill>
              <w14:schemeClr w14:val="tx1"/>
            </w14:solidFill>
          </w14:textFill>
        </w:rPr>
        <w:t>.如果贵公司接受我们的</w:t>
      </w:r>
      <w:r>
        <w:rPr>
          <w:rFonts w:hint="eastAsia"/>
          <w:color w:val="000000" w:themeColor="text1"/>
          <w:szCs w:val="21"/>
          <w:highlight w:val="none"/>
          <w14:textFill>
            <w14:solidFill>
              <w14:schemeClr w14:val="tx1"/>
            </w14:solidFill>
          </w14:textFill>
        </w:rPr>
        <w:t>响应</w:t>
      </w:r>
      <w:r>
        <w:rPr>
          <w:color w:val="000000" w:themeColor="text1"/>
          <w:szCs w:val="21"/>
          <w:highlight w:val="none"/>
          <w14:textFill>
            <w14:solidFill>
              <w14:schemeClr w14:val="tx1"/>
            </w14:solidFill>
          </w14:textFill>
        </w:rPr>
        <w:t>，我们将保证按贵公司认可的条件，</w:t>
      </w:r>
      <w:r>
        <w:rPr>
          <w:rFonts w:hint="eastAsia"/>
          <w:color w:val="000000" w:themeColor="text1"/>
          <w:szCs w:val="21"/>
          <w:highlight w:val="none"/>
          <w14:textFill>
            <w14:solidFill>
              <w14:schemeClr w14:val="tx1"/>
            </w14:solidFill>
          </w14:textFill>
        </w:rPr>
        <w:t>按采购文件</w:t>
      </w:r>
      <w:r>
        <w:rPr>
          <w:color w:val="000000" w:themeColor="text1"/>
          <w:szCs w:val="21"/>
          <w:highlight w:val="none"/>
          <w14:textFill>
            <w14:solidFill>
              <w14:schemeClr w14:val="tx1"/>
            </w14:solidFill>
          </w14:textFill>
        </w:rPr>
        <w:t>写明的金额提交履约担保。</w:t>
      </w:r>
    </w:p>
    <w:p w14:paraId="6E6362F1">
      <w:pPr>
        <w:spacing w:line="360" w:lineRule="auto"/>
        <w:ind w:firstLine="42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w:t>
      </w:r>
      <w:r>
        <w:rPr>
          <w:color w:val="000000" w:themeColor="text1"/>
          <w:szCs w:val="21"/>
          <w:highlight w:val="none"/>
          <w14:textFill>
            <w14:solidFill>
              <w14:schemeClr w14:val="tx1"/>
            </w14:solidFill>
          </w14:textFill>
        </w:rPr>
        <w:t>.我们同意在从规定的开启响应文件之日起</w:t>
      </w:r>
      <w:r>
        <w:rPr>
          <w:rFonts w:hint="eastAsia"/>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天的响应有效期内严格遵守本</w:t>
      </w:r>
      <w:r>
        <w:rPr>
          <w:rFonts w:hint="eastAsia"/>
          <w:color w:val="000000" w:themeColor="text1"/>
          <w:szCs w:val="21"/>
          <w:highlight w:val="none"/>
          <w14:textFill>
            <w14:solidFill>
              <w14:schemeClr w14:val="tx1"/>
            </w14:solidFill>
          </w14:textFill>
        </w:rPr>
        <w:t>响应</w:t>
      </w:r>
      <w:r>
        <w:rPr>
          <w:color w:val="000000" w:themeColor="text1"/>
          <w:szCs w:val="21"/>
          <w:highlight w:val="none"/>
          <w14:textFill>
            <w14:solidFill>
              <w14:schemeClr w14:val="tx1"/>
            </w14:solidFill>
          </w14:textFill>
        </w:rPr>
        <w:t>函的各项承诺。在此期限届满之前，本</w:t>
      </w:r>
      <w:r>
        <w:rPr>
          <w:rFonts w:hint="eastAsia"/>
          <w:color w:val="000000" w:themeColor="text1"/>
          <w:szCs w:val="21"/>
          <w:highlight w:val="none"/>
          <w14:textFill>
            <w14:solidFill>
              <w14:schemeClr w14:val="tx1"/>
            </w14:solidFill>
          </w14:textFill>
        </w:rPr>
        <w:t>响应</w:t>
      </w:r>
      <w:r>
        <w:rPr>
          <w:color w:val="000000" w:themeColor="text1"/>
          <w:szCs w:val="21"/>
          <w:highlight w:val="none"/>
          <w14:textFill>
            <w14:solidFill>
              <w14:schemeClr w14:val="tx1"/>
            </w14:solidFill>
          </w14:textFill>
        </w:rPr>
        <w:t>函始终将对我方具有约束力，并随时接受</w:t>
      </w:r>
      <w:r>
        <w:rPr>
          <w:rFonts w:hint="eastAsia"/>
          <w:color w:val="000000" w:themeColor="text1"/>
          <w:szCs w:val="21"/>
          <w:highlight w:val="none"/>
          <w14:textFill>
            <w14:solidFill>
              <w14:schemeClr w14:val="tx1"/>
            </w14:solidFill>
          </w14:textFill>
        </w:rPr>
        <w:t>成交</w:t>
      </w:r>
      <w:r>
        <w:rPr>
          <w:color w:val="000000" w:themeColor="text1"/>
          <w:szCs w:val="21"/>
          <w:highlight w:val="none"/>
          <w14:textFill>
            <w14:solidFill>
              <w14:schemeClr w14:val="tx1"/>
            </w14:solidFill>
          </w14:textFill>
        </w:rPr>
        <w:t>。</w:t>
      </w:r>
    </w:p>
    <w:p w14:paraId="75D7B3A1">
      <w:pPr>
        <w:spacing w:line="360" w:lineRule="auto"/>
        <w:ind w:firstLine="42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5</w:t>
      </w:r>
      <w:r>
        <w:rPr>
          <w:color w:val="000000" w:themeColor="text1"/>
          <w:szCs w:val="21"/>
          <w:highlight w:val="none"/>
          <w14:textFill>
            <w14:solidFill>
              <w14:schemeClr w14:val="tx1"/>
            </w14:solidFill>
          </w14:textFill>
        </w:rPr>
        <w:t>.在合同协议书正式签署生效之前，本</w:t>
      </w:r>
      <w:r>
        <w:rPr>
          <w:rFonts w:hint="eastAsia"/>
          <w:color w:val="000000" w:themeColor="text1"/>
          <w:szCs w:val="21"/>
          <w:highlight w:val="none"/>
          <w14:textFill>
            <w14:solidFill>
              <w14:schemeClr w14:val="tx1"/>
            </w14:solidFill>
          </w14:textFill>
        </w:rPr>
        <w:t>响应</w:t>
      </w:r>
      <w:r>
        <w:rPr>
          <w:color w:val="000000" w:themeColor="text1"/>
          <w:szCs w:val="21"/>
          <w:highlight w:val="none"/>
          <w14:textFill>
            <w14:solidFill>
              <w14:schemeClr w14:val="tx1"/>
            </w14:solidFill>
          </w14:textFill>
        </w:rPr>
        <w:t>函连同贵公司的成交通知书将构成贵我双方共同遵守的文件，对双方具有约束力。</w:t>
      </w:r>
    </w:p>
    <w:p w14:paraId="6F131FE5">
      <w:pPr>
        <w:spacing w:line="360" w:lineRule="auto"/>
        <w:ind w:firstLine="42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6</w:t>
      </w:r>
      <w:r>
        <w:rPr>
          <w:color w:val="000000" w:themeColor="text1"/>
          <w:szCs w:val="21"/>
          <w:highlight w:val="none"/>
          <w14:textFill>
            <w14:solidFill>
              <w14:schemeClr w14:val="tx1"/>
            </w14:solidFill>
          </w14:textFill>
        </w:rPr>
        <w:t>.我们理解，贵公司不一定接受最低</w:t>
      </w:r>
      <w:r>
        <w:rPr>
          <w:rFonts w:hint="eastAsia"/>
          <w:color w:val="000000" w:themeColor="text1"/>
          <w:szCs w:val="21"/>
          <w:highlight w:val="none"/>
          <w14:textFill>
            <w14:solidFill>
              <w14:schemeClr w14:val="tx1"/>
            </w14:solidFill>
          </w14:textFill>
        </w:rPr>
        <w:t>报价</w:t>
      </w:r>
      <w:r>
        <w:rPr>
          <w:color w:val="000000" w:themeColor="text1"/>
          <w:szCs w:val="21"/>
          <w:highlight w:val="none"/>
          <w14:textFill>
            <w14:solidFill>
              <w14:schemeClr w14:val="tx1"/>
            </w14:solidFill>
          </w14:textFill>
        </w:rPr>
        <w:t>的</w:t>
      </w:r>
      <w:r>
        <w:rPr>
          <w:rFonts w:hint="eastAsia"/>
          <w:color w:val="000000" w:themeColor="text1"/>
          <w:szCs w:val="21"/>
          <w:highlight w:val="none"/>
          <w14:textFill>
            <w14:solidFill>
              <w14:schemeClr w14:val="tx1"/>
            </w14:solidFill>
          </w14:textFill>
        </w:rPr>
        <w:t>响应</w:t>
      </w:r>
      <w:r>
        <w:rPr>
          <w:color w:val="000000" w:themeColor="text1"/>
          <w:szCs w:val="21"/>
          <w:highlight w:val="none"/>
          <w14:textFill>
            <w14:solidFill>
              <w14:schemeClr w14:val="tx1"/>
            </w14:solidFill>
          </w14:textFill>
        </w:rPr>
        <w:t>或其他任何</w:t>
      </w:r>
      <w:r>
        <w:rPr>
          <w:rFonts w:hint="eastAsia"/>
          <w:color w:val="000000" w:themeColor="text1"/>
          <w:szCs w:val="21"/>
          <w:highlight w:val="none"/>
          <w14:textFill>
            <w14:solidFill>
              <w14:schemeClr w14:val="tx1"/>
            </w14:solidFill>
          </w14:textFill>
        </w:rPr>
        <w:t>响应</w:t>
      </w:r>
      <w:r>
        <w:rPr>
          <w:color w:val="000000" w:themeColor="text1"/>
          <w:szCs w:val="21"/>
          <w:highlight w:val="none"/>
          <w14:textFill>
            <w14:solidFill>
              <w14:schemeClr w14:val="tx1"/>
            </w14:solidFill>
          </w14:textFill>
        </w:rPr>
        <w:t>。同时也理解，贵公司不负担我们的任何</w:t>
      </w:r>
      <w:r>
        <w:rPr>
          <w:rFonts w:hint="eastAsia"/>
          <w:color w:val="000000" w:themeColor="text1"/>
          <w:szCs w:val="21"/>
          <w:highlight w:val="none"/>
          <w14:textFill>
            <w14:solidFill>
              <w14:schemeClr w14:val="tx1"/>
            </w14:solidFill>
          </w14:textFill>
        </w:rPr>
        <w:t>采购响应</w:t>
      </w:r>
      <w:r>
        <w:rPr>
          <w:color w:val="000000" w:themeColor="text1"/>
          <w:szCs w:val="21"/>
          <w:highlight w:val="none"/>
          <w14:textFill>
            <w14:solidFill>
              <w14:schemeClr w14:val="tx1"/>
            </w14:solidFill>
          </w14:textFill>
        </w:rPr>
        <w:t>费用。</w:t>
      </w:r>
    </w:p>
    <w:p w14:paraId="4BBB907F">
      <w:pPr>
        <w:spacing w:line="360" w:lineRule="auto"/>
        <w:ind w:firstLine="42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7</w:t>
      </w:r>
      <w:r>
        <w:rPr>
          <w:color w:val="000000" w:themeColor="text1"/>
          <w:szCs w:val="21"/>
          <w:highlight w:val="none"/>
          <w14:textFill>
            <w14:solidFill>
              <w14:schemeClr w14:val="tx1"/>
            </w14:solidFill>
          </w14:textFill>
        </w:rPr>
        <w:t>.随同本</w:t>
      </w:r>
      <w:r>
        <w:rPr>
          <w:rFonts w:hint="eastAsia"/>
          <w:color w:val="000000" w:themeColor="text1"/>
          <w:szCs w:val="21"/>
          <w:highlight w:val="none"/>
          <w14:textFill>
            <w14:solidFill>
              <w14:schemeClr w14:val="tx1"/>
            </w14:solidFill>
          </w14:textFill>
        </w:rPr>
        <w:t>响应</w:t>
      </w:r>
      <w:r>
        <w:rPr>
          <w:color w:val="000000" w:themeColor="text1"/>
          <w:szCs w:val="21"/>
          <w:highlight w:val="none"/>
          <w14:textFill>
            <w14:solidFill>
              <w14:schemeClr w14:val="tx1"/>
            </w14:solidFill>
          </w14:textFill>
        </w:rPr>
        <w:t>函，我们出具金额为人民币</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万元的响应担保。如果我们在响应有效期内撤回响应文件或在接到</w:t>
      </w:r>
      <w:r>
        <w:rPr>
          <w:rFonts w:hint="eastAsia"/>
          <w:color w:val="000000" w:themeColor="text1"/>
          <w:szCs w:val="21"/>
          <w:highlight w:val="none"/>
          <w14:textFill>
            <w14:solidFill>
              <w14:schemeClr w14:val="tx1"/>
            </w14:solidFill>
          </w14:textFill>
        </w:rPr>
        <w:t>成交</w:t>
      </w:r>
      <w:r>
        <w:rPr>
          <w:color w:val="000000" w:themeColor="text1"/>
          <w:szCs w:val="21"/>
          <w:highlight w:val="none"/>
          <w14:textFill>
            <w14:solidFill>
              <w14:schemeClr w14:val="tx1"/>
            </w14:solidFill>
          </w14:textFill>
        </w:rPr>
        <w:t>通知后的30天内未能或拒绝签订合同协议书；或未能提交履约担保，贵公司有权没收响应担保，另选</w:t>
      </w:r>
      <w:r>
        <w:rPr>
          <w:rFonts w:hint="eastAsia"/>
          <w:color w:val="000000" w:themeColor="text1"/>
          <w:szCs w:val="21"/>
          <w:highlight w:val="none"/>
          <w14:textFill>
            <w14:solidFill>
              <w14:schemeClr w14:val="tx1"/>
            </w14:solidFill>
          </w14:textFill>
        </w:rPr>
        <w:t>成交</w:t>
      </w:r>
      <w:r>
        <w:rPr>
          <w:color w:val="000000" w:themeColor="text1"/>
          <w:szCs w:val="21"/>
          <w:highlight w:val="none"/>
          <w14:textFill>
            <w14:solidFill>
              <w14:schemeClr w14:val="tx1"/>
            </w14:solidFill>
          </w14:textFill>
        </w:rPr>
        <w:t>单位。</w:t>
      </w:r>
    </w:p>
    <w:p w14:paraId="75A33F29">
      <w:pPr>
        <w:spacing w:line="360" w:lineRule="auto"/>
        <w:ind w:firstLine="420" w:firstLineChars="200"/>
        <w:rPr>
          <w:color w:val="000000" w:themeColor="text1"/>
          <w:szCs w:val="21"/>
          <w:highlight w:val="none"/>
          <w14:textFill>
            <w14:solidFill>
              <w14:schemeClr w14:val="tx1"/>
            </w14:solidFill>
          </w14:textFill>
        </w:rPr>
      </w:pPr>
    </w:p>
    <w:p w14:paraId="12BAFEBC">
      <w:pPr>
        <w:spacing w:line="360" w:lineRule="auto"/>
        <w:ind w:firstLine="420" w:firstLineChars="200"/>
        <w:rPr>
          <w:color w:val="000000" w:themeColor="text1"/>
          <w:szCs w:val="21"/>
          <w:highlight w:val="none"/>
          <w14:textFill>
            <w14:solidFill>
              <w14:schemeClr w14:val="tx1"/>
            </w14:solidFill>
          </w14:textFill>
        </w:rPr>
      </w:pPr>
    </w:p>
    <w:p w14:paraId="2ACB2912">
      <w:pPr>
        <w:spacing w:line="360" w:lineRule="auto"/>
        <w:ind w:firstLine="420" w:firstLineChars="200"/>
        <w:rPr>
          <w:color w:val="000000" w:themeColor="text1"/>
          <w:szCs w:val="21"/>
          <w:highlight w:val="none"/>
          <w14:textFill>
            <w14:solidFill>
              <w14:schemeClr w14:val="tx1"/>
            </w14:solidFill>
          </w14:textFill>
        </w:rPr>
      </w:pPr>
    </w:p>
    <w:p w14:paraId="4EF368E9">
      <w:pPr>
        <w:spacing w:line="360" w:lineRule="auto"/>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响应单位地址：</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 xml:space="preserve">         响应单位</w:t>
      </w:r>
      <w:r>
        <w:rPr>
          <w:color w:val="000000" w:themeColor="text1"/>
          <w:szCs w:val="21"/>
          <w:highlight w:val="none"/>
          <w:u w:val="single"/>
          <w14:textFill>
            <w14:solidFill>
              <w14:schemeClr w14:val="tx1"/>
            </w14:solidFill>
          </w14:textFill>
        </w:rPr>
        <w:t>(全称)       (盖章)</w:t>
      </w:r>
    </w:p>
    <w:p w14:paraId="6B0C9686">
      <w:pPr>
        <w:spacing w:line="360" w:lineRule="auto"/>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邮政编码：  </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 xml:space="preserve">         法定代表人或其授权的代理人</w:t>
      </w:r>
    </w:p>
    <w:p w14:paraId="5CF77163">
      <w:pPr>
        <w:spacing w:line="360" w:lineRule="auto"/>
        <w:ind w:firstLine="420" w:firstLineChars="200"/>
        <w:rPr>
          <w:color w:val="000000" w:themeColor="text1"/>
          <w:szCs w:val="21"/>
          <w:highlight w:val="none"/>
          <w:u w:val="single"/>
          <w14:textFill>
            <w14:solidFill>
              <w14:schemeClr w14:val="tx1"/>
            </w14:solidFill>
          </w14:textFill>
        </w:rPr>
      </w:pPr>
      <w:r>
        <w:rPr>
          <w:color w:val="000000" w:themeColor="text1"/>
          <w:szCs w:val="21"/>
          <w:highlight w:val="none"/>
          <w14:textFill>
            <w14:solidFill>
              <w14:schemeClr w14:val="tx1"/>
            </w14:solidFill>
          </w14:textFill>
        </w:rPr>
        <w:t xml:space="preserve">电    话：  </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 xml:space="preserve">          </w:t>
      </w:r>
      <w:r>
        <w:rPr>
          <w:color w:val="000000" w:themeColor="text1"/>
          <w:szCs w:val="21"/>
          <w:highlight w:val="none"/>
          <w:u w:val="single"/>
          <w14:textFill>
            <w14:solidFill>
              <w14:schemeClr w14:val="tx1"/>
            </w14:solidFill>
          </w14:textFill>
        </w:rPr>
        <w:t>(职务)  (姓名) (签字)</w:t>
      </w:r>
    </w:p>
    <w:p w14:paraId="1BC5D396">
      <w:pPr>
        <w:spacing w:line="360" w:lineRule="auto"/>
        <w:ind w:firstLine="420" w:firstLineChars="200"/>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传    真：  </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 xml:space="preserve">         日期：</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年</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月</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日</w:t>
      </w:r>
    </w:p>
    <w:p w14:paraId="0F52D532">
      <w:pPr>
        <w:pStyle w:val="53"/>
        <w:spacing w:before="120"/>
        <w:rPr>
          <w:rStyle w:val="46"/>
          <w:rFonts w:ascii="Times New Roman" w:hAnsi="Times New Roman" w:eastAsia="宋体" w:cs="Times New Roman"/>
          <w:b w:val="0"/>
          <w:bCs w:val="0"/>
          <w:color w:val="000000" w:themeColor="text1"/>
          <w:szCs w:val="24"/>
          <w:highlight w:val="none"/>
          <w14:textFill>
            <w14:solidFill>
              <w14:schemeClr w14:val="tx1"/>
            </w14:solidFill>
          </w14:textFill>
        </w:rPr>
      </w:pPr>
      <w:r>
        <w:rPr>
          <w:color w:val="000000" w:themeColor="text1"/>
          <w:highlight w:val="none"/>
          <w14:textFill>
            <w14:solidFill>
              <w14:schemeClr w14:val="tx1"/>
            </w14:solidFill>
          </w14:textFill>
        </w:rPr>
        <w:br w:type="page"/>
      </w:r>
      <w:bookmarkStart w:id="1847" w:name="_Toc54280344"/>
      <w:bookmarkStart w:id="1848" w:name="_Toc54280770"/>
      <w:bookmarkStart w:id="1849" w:name="_Toc54281196"/>
      <w:bookmarkStart w:id="1850" w:name="_Toc53948739"/>
      <w:bookmarkStart w:id="1851" w:name="_Toc54291526"/>
      <w:bookmarkStart w:id="1852" w:name="_Toc53949581"/>
      <w:bookmarkStart w:id="1853" w:name="_Toc53949160"/>
      <w:bookmarkStart w:id="1854" w:name="_Toc54281622"/>
      <w:bookmarkStart w:id="1855" w:name="_Toc54278961"/>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格式2  法定代表人证明书</w:t>
      </w:r>
    </w:p>
    <w:p w14:paraId="77C99F60">
      <w:pPr>
        <w:adjustRightInd w:val="0"/>
        <w:snapToGrid w:val="0"/>
        <w:spacing w:before="120" w:beforeLines="50" w:line="360" w:lineRule="auto"/>
        <w:jc w:val="center"/>
        <w:outlineLvl w:val="4"/>
        <w:rPr>
          <w:rFonts w:hint="eastAsia" w:ascii="宋体" w:hAnsi="宋体" w:cs="黑体"/>
          <w:b/>
          <w:color w:val="000000" w:themeColor="text1"/>
          <w:sz w:val="28"/>
          <w:szCs w:val="28"/>
          <w:highlight w:val="none"/>
          <w14:textFill>
            <w14:solidFill>
              <w14:schemeClr w14:val="tx1"/>
            </w14:solidFill>
          </w14:textFill>
        </w:rPr>
      </w:pPr>
      <w:r>
        <w:rPr>
          <w:rFonts w:hint="eastAsia" w:ascii="宋体" w:hAnsi="宋体" w:cs="黑体"/>
          <w:b/>
          <w:color w:val="000000" w:themeColor="text1"/>
          <w:sz w:val="28"/>
          <w:szCs w:val="28"/>
          <w:highlight w:val="none"/>
          <w14:textFill>
            <w14:solidFill>
              <w14:schemeClr w14:val="tx1"/>
            </w14:solidFill>
          </w14:textFill>
        </w:rPr>
        <w:t>法定代表人身份证明</w:t>
      </w:r>
    </w:p>
    <w:p w14:paraId="0CF41945">
      <w:pPr>
        <w:rPr>
          <w:rFonts w:ascii="宋体"/>
          <w:color w:val="000000" w:themeColor="text1"/>
          <w:sz w:val="24"/>
          <w:highlight w:val="none"/>
          <w14:textFill>
            <w14:solidFill>
              <w14:schemeClr w14:val="tx1"/>
            </w14:solidFill>
          </w14:textFill>
        </w:rPr>
      </w:pPr>
    </w:p>
    <w:p w14:paraId="0B7A150E">
      <w:pPr>
        <w:rPr>
          <w:rFonts w:ascii="宋体"/>
          <w:color w:val="000000" w:themeColor="text1"/>
          <w:sz w:val="24"/>
          <w:highlight w:val="none"/>
          <w14:textFill>
            <w14:solidFill>
              <w14:schemeClr w14:val="tx1"/>
            </w14:solidFill>
          </w14:textFill>
        </w:rPr>
      </w:pPr>
    </w:p>
    <w:p w14:paraId="65867B46">
      <w:pPr>
        <w:spacing w:before="240" w:beforeLines="100" w:after="240" w:afterLines="100" w:line="360" w:lineRule="auto"/>
        <w:jc w:val="center"/>
        <w:rPr>
          <w:rFonts w:hint="eastAsia" w:ascii="宋体" w:hAnsi="宋体"/>
          <w:color w:val="000000" w:themeColor="text1"/>
          <w:sz w:val="28"/>
          <w:szCs w:val="28"/>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法定代表人身份证明</w:t>
      </w:r>
    </w:p>
    <w:p w14:paraId="73340751">
      <w:pPr>
        <w:spacing w:after="120" w:afterLines="50" w:line="420" w:lineRule="exact"/>
        <w:jc w:val="lef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响应单位名称：</w:t>
      </w:r>
      <w:r>
        <w:rPr>
          <w:rFonts w:hint="eastAsia" w:ascii="宋体" w:hAnsi="宋体"/>
          <w:color w:val="000000" w:themeColor="text1"/>
          <w:sz w:val="24"/>
          <w:highlight w:val="none"/>
          <w:u w:val="single"/>
          <w14:textFill>
            <w14:solidFill>
              <w14:schemeClr w14:val="tx1"/>
            </w14:solidFill>
          </w14:textFill>
        </w:rPr>
        <w:t xml:space="preserve">                                   </w:t>
      </w:r>
    </w:p>
    <w:p w14:paraId="2E0994EE">
      <w:pPr>
        <w:spacing w:after="120" w:afterLines="50" w:line="420" w:lineRule="exact"/>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单位性质：</w:t>
      </w:r>
      <w:r>
        <w:rPr>
          <w:rFonts w:hint="eastAsia" w:ascii="宋体" w:hAnsi="宋体"/>
          <w:color w:val="000000" w:themeColor="text1"/>
          <w:sz w:val="24"/>
          <w:highlight w:val="none"/>
          <w:u w:val="single"/>
          <w14:textFill>
            <w14:solidFill>
              <w14:schemeClr w14:val="tx1"/>
            </w14:solidFill>
          </w14:textFill>
        </w:rPr>
        <w:t xml:space="preserve">                                     </w:t>
      </w:r>
    </w:p>
    <w:p w14:paraId="40A33485">
      <w:pPr>
        <w:spacing w:after="120" w:afterLines="50" w:line="420" w:lineRule="exact"/>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地址：</w:t>
      </w:r>
      <w:r>
        <w:rPr>
          <w:rFonts w:hint="eastAsia" w:ascii="宋体" w:hAnsi="宋体"/>
          <w:color w:val="000000" w:themeColor="text1"/>
          <w:sz w:val="24"/>
          <w:highlight w:val="none"/>
          <w:u w:val="single"/>
          <w14:textFill>
            <w14:solidFill>
              <w14:schemeClr w14:val="tx1"/>
            </w14:solidFill>
          </w14:textFill>
        </w:rPr>
        <w:t xml:space="preserve">                                         </w:t>
      </w:r>
    </w:p>
    <w:p w14:paraId="5022A5C9">
      <w:pPr>
        <w:spacing w:after="120" w:afterLines="50" w:line="42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成立时间：</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年</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月</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日</w:t>
      </w:r>
    </w:p>
    <w:p w14:paraId="5C3EF732">
      <w:pPr>
        <w:spacing w:after="120" w:afterLines="50" w:line="420" w:lineRule="exact"/>
        <w:rPr>
          <w:rFonts w:hint="eastAsia"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经营期限：</w:t>
      </w:r>
      <w:r>
        <w:rPr>
          <w:rFonts w:hint="eastAsia" w:ascii="宋体" w:hAnsi="宋体"/>
          <w:color w:val="000000" w:themeColor="text1"/>
          <w:sz w:val="24"/>
          <w:highlight w:val="none"/>
          <w:u w:val="single"/>
          <w14:textFill>
            <w14:solidFill>
              <w14:schemeClr w14:val="tx1"/>
            </w14:solidFill>
          </w14:textFill>
        </w:rPr>
        <w:t xml:space="preserve">                                     </w:t>
      </w:r>
    </w:p>
    <w:p w14:paraId="769E1792">
      <w:pPr>
        <w:snapToGrid w:val="0"/>
        <w:spacing w:after="120" w:afterLines="50" w:line="44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姓名：</w:t>
      </w:r>
      <w:r>
        <w:rPr>
          <w:rFonts w:hint="eastAsia" w:ascii="宋体" w:hAnsi="宋体"/>
          <w:color w:val="000000" w:themeColor="text1"/>
          <w:sz w:val="24"/>
          <w:highlight w:val="none"/>
          <w:u w:val="single"/>
          <w14:textFill>
            <w14:solidFill>
              <w14:schemeClr w14:val="tx1"/>
            </w14:solidFill>
          </w14:textFill>
        </w:rPr>
        <w:t xml:space="preserve"> （法定代表人签字）  </w:t>
      </w:r>
      <w:r>
        <w:rPr>
          <w:rFonts w:hint="eastAsia" w:ascii="宋体" w:hAnsi="宋体"/>
          <w:color w:val="000000" w:themeColor="text1"/>
          <w:sz w:val="24"/>
          <w:highlight w:val="none"/>
          <w14:textFill>
            <w14:solidFill>
              <w14:schemeClr w14:val="tx1"/>
            </w14:solidFill>
          </w14:textFill>
        </w:rPr>
        <w:t>性别：</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年龄：</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职务：</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系</w:t>
      </w:r>
      <w:r>
        <w:rPr>
          <w:rFonts w:hint="eastAsia" w:ascii="宋体" w:hAnsi="宋体"/>
          <w:color w:val="000000" w:themeColor="text1"/>
          <w:sz w:val="24"/>
          <w:highlight w:val="none"/>
          <w:u w:val="single"/>
          <w14:textFill>
            <w14:solidFill>
              <w14:schemeClr w14:val="tx1"/>
            </w14:solidFill>
          </w14:textFill>
        </w:rPr>
        <w:t>（响应单位名称）</w:t>
      </w:r>
      <w:r>
        <w:rPr>
          <w:rFonts w:hint="eastAsia" w:ascii="宋体" w:hAnsi="宋体"/>
          <w:color w:val="000000" w:themeColor="text1"/>
          <w:sz w:val="24"/>
          <w:highlight w:val="none"/>
          <w14:textFill>
            <w14:solidFill>
              <w14:schemeClr w14:val="tx1"/>
            </w14:solidFill>
          </w14:textFill>
        </w:rPr>
        <w:t>的法定代表人。</w:t>
      </w:r>
    </w:p>
    <w:p w14:paraId="29FB3726">
      <w:pPr>
        <w:spacing w:after="120" w:afterLines="50" w:line="42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特此证明。</w:t>
      </w:r>
    </w:p>
    <w:p w14:paraId="257F7111">
      <w:pPr>
        <w:spacing w:after="120" w:afterLines="50" w:line="420" w:lineRule="exact"/>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附：法定代表人身份证复印件</w:t>
      </w:r>
    </w:p>
    <w:p w14:paraId="25215EDC">
      <w:pPr>
        <w:spacing w:before="720" w:after="120" w:afterLines="50" w:line="360" w:lineRule="exact"/>
        <w:ind w:firstLine="3828" w:firstLineChars="1595"/>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响应单位：</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（全称）（盖章） </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p>
    <w:p w14:paraId="0C40F4EB">
      <w:pPr>
        <w:spacing w:line="800" w:lineRule="exact"/>
        <w:ind w:firstLine="3828" w:firstLineChars="1595"/>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日</w:t>
      </w:r>
      <w:r>
        <w:rPr>
          <w:rFonts w:hint="eastAsia" w:ascii="宋体" w:hAnsi="宋体"/>
          <w:color w:val="000000" w:themeColor="text1"/>
          <w:sz w:val="24"/>
          <w:highlight w:val="non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期：</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年</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月</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日</w:t>
      </w:r>
    </w:p>
    <w:p w14:paraId="33008A6D">
      <w:pPr>
        <w:tabs>
          <w:tab w:val="left" w:pos="4680"/>
        </w:tabs>
        <w:spacing w:after="120" w:afterLines="50" w:line="360" w:lineRule="auto"/>
        <w:ind w:firstLine="480" w:firstLineChars="200"/>
        <w:rPr>
          <w:rFonts w:hint="eastAsia" w:ascii="宋体" w:hAnsi="宋体"/>
          <w:color w:val="000000" w:themeColor="text1"/>
          <w:sz w:val="24"/>
          <w:highlight w:val="none"/>
          <w14:textFill>
            <w14:solidFill>
              <w14:schemeClr w14:val="tx1"/>
            </w14:solidFill>
          </w14:textFill>
        </w:rPr>
      </w:pPr>
    </w:p>
    <w:p w14:paraId="36CB5423">
      <w:pPr>
        <w:adjustRightInd w:val="0"/>
        <w:snapToGrid w:val="0"/>
        <w:spacing w:line="420" w:lineRule="exact"/>
        <w:rPr>
          <w:color w:val="000000" w:themeColor="text1"/>
          <w:szCs w:val="21"/>
          <w:highlight w:val="none"/>
          <w14:textFill>
            <w14:solidFill>
              <w14:schemeClr w14:val="tx1"/>
            </w14:solidFill>
          </w14:textFill>
        </w:rPr>
      </w:pPr>
    </w:p>
    <w:p w14:paraId="316782B4">
      <w:pPr>
        <w:spacing w:line="420" w:lineRule="exact"/>
        <w:rPr>
          <w:color w:val="000000" w:themeColor="text1"/>
          <w:szCs w:val="21"/>
          <w:highlight w:val="none"/>
          <w14:textFill>
            <w14:solidFill>
              <w14:schemeClr w14:val="tx1"/>
            </w14:solidFill>
          </w14:textFill>
        </w:rPr>
      </w:pPr>
    </w:p>
    <w:p w14:paraId="6B0E11DF">
      <w:pPr>
        <w:rPr>
          <w:rFonts w:ascii="宋体"/>
          <w:color w:val="000000" w:themeColor="text1"/>
          <w:sz w:val="24"/>
          <w:highlight w:val="none"/>
          <w14:textFill>
            <w14:solidFill>
              <w14:schemeClr w14:val="tx1"/>
            </w14:solidFill>
          </w14:textFill>
        </w:rPr>
      </w:pPr>
    </w:p>
    <w:p w14:paraId="15D09A17">
      <w:pPr>
        <w:spacing w:line="360" w:lineRule="auto"/>
        <w:rPr>
          <w:rFonts w:hint="eastAsia" w:ascii="宋体" w:hAnsi="宋体"/>
          <w:color w:val="000000" w:themeColor="text1"/>
          <w:szCs w:val="21"/>
          <w:highlight w:val="none"/>
          <w14:textFill>
            <w14:solidFill>
              <w14:schemeClr w14:val="tx1"/>
            </w14:solidFill>
          </w14:textFill>
        </w:rPr>
      </w:pPr>
    </w:p>
    <w:p w14:paraId="7EB4246A">
      <w:pPr>
        <w:spacing w:line="360" w:lineRule="auto"/>
        <w:rPr>
          <w:rFonts w:hint="eastAsia" w:ascii="宋体" w:hAnsi="宋体"/>
          <w:color w:val="000000" w:themeColor="text1"/>
          <w:szCs w:val="21"/>
          <w:highlight w:val="none"/>
          <w14:textFill>
            <w14:solidFill>
              <w14:schemeClr w14:val="tx1"/>
            </w14:solidFill>
          </w14:textFill>
        </w:rPr>
      </w:pPr>
    </w:p>
    <w:p w14:paraId="5FE60253">
      <w:pPr>
        <w:spacing w:line="360" w:lineRule="auto"/>
        <w:rPr>
          <w:color w:val="000000" w:themeColor="text1"/>
          <w:sz w:val="18"/>
          <w:szCs w:val="18"/>
          <w:highlight w:val="none"/>
          <w14:textFill>
            <w14:solidFill>
              <w14:schemeClr w14:val="tx1"/>
            </w14:solidFill>
          </w14:textFill>
        </w:rPr>
      </w:pPr>
      <w:r>
        <w:rPr>
          <w:color w:val="000000" w:themeColor="text1"/>
          <w:sz w:val="18"/>
          <w:szCs w:val="18"/>
          <w:highlight w:val="none"/>
          <w14:textFill>
            <w14:solidFill>
              <w14:schemeClr w14:val="tx1"/>
            </w14:solidFill>
          </w14:textFill>
        </w:rPr>
        <w:t>注：1、法定代表人的签字必须是亲笔签名，不得使用印章、签名章或其他电子制版签名。</w:t>
      </w:r>
    </w:p>
    <w:p w14:paraId="15F401E5">
      <w:pPr>
        <w:spacing w:line="360" w:lineRule="auto"/>
        <w:ind w:firstLine="360" w:firstLineChars="200"/>
        <w:rPr>
          <w:color w:val="000000" w:themeColor="text1"/>
          <w:sz w:val="18"/>
          <w:szCs w:val="18"/>
          <w:highlight w:val="none"/>
          <w14:textFill>
            <w14:solidFill>
              <w14:schemeClr w14:val="tx1"/>
            </w14:solidFill>
          </w14:textFill>
        </w:rPr>
      </w:pPr>
      <w:r>
        <w:rPr>
          <w:color w:val="000000" w:themeColor="text1"/>
          <w:sz w:val="18"/>
          <w:szCs w:val="18"/>
          <w:highlight w:val="none"/>
          <w14:textFill>
            <w14:solidFill>
              <w14:schemeClr w14:val="tx1"/>
            </w14:solidFill>
          </w14:textFill>
        </w:rPr>
        <w:t>2、响应单位还需提供法定代表人的身份证复印件。</w:t>
      </w:r>
    </w:p>
    <w:p w14:paraId="4CF97C91">
      <w:pPr>
        <w:rPr>
          <w:color w:val="000000" w:themeColor="text1"/>
          <w:highlight w:val="none"/>
          <w14:textFill>
            <w14:solidFill>
              <w14:schemeClr w14:val="tx1"/>
            </w14:solidFill>
          </w14:textFill>
        </w:rPr>
      </w:pPr>
    </w:p>
    <w:p w14:paraId="1A2CA05E">
      <w:pPr>
        <w:rPr>
          <w:color w:val="000000" w:themeColor="text1"/>
          <w:highlight w:val="none"/>
          <w14:textFill>
            <w14:solidFill>
              <w14:schemeClr w14:val="tx1"/>
            </w14:solidFill>
          </w14:textFill>
        </w:rPr>
      </w:pPr>
    </w:p>
    <w:p w14:paraId="3D10F9E2">
      <w:pPr>
        <w:rPr>
          <w:color w:val="000000" w:themeColor="text1"/>
          <w:highlight w:val="none"/>
          <w14:textFill>
            <w14:solidFill>
              <w14:schemeClr w14:val="tx1"/>
            </w14:solidFill>
          </w14:textFill>
        </w:rPr>
      </w:pPr>
    </w:p>
    <w:p w14:paraId="4F4F34BC">
      <w:pPr>
        <w:pStyle w:val="53"/>
        <w:spacing w:before="120"/>
        <w:rPr>
          <w:rStyle w:val="46"/>
          <w:rFonts w:ascii="Times New Roman" w:hAnsi="Times New Roman" w:eastAsia="宋体" w:cs="Times New Roman"/>
          <w:b/>
          <w:bCs w:val="0"/>
          <w:color w:val="000000" w:themeColor="text1"/>
          <w:szCs w:val="24"/>
          <w:highlight w:val="none"/>
          <w14:textFill>
            <w14:solidFill>
              <w14:schemeClr w14:val="tx1"/>
            </w14:solidFill>
          </w14:textFill>
        </w:rPr>
      </w:pPr>
      <w:r>
        <w:rPr>
          <w:rStyle w:val="46"/>
          <w:rFonts w:ascii="Times New Roman" w:hAnsi="Times New Roman" w:eastAsia="宋体" w:cs="Times New Roman"/>
          <w:b/>
          <w:bCs w:val="0"/>
          <w:color w:val="000000" w:themeColor="text1"/>
          <w:szCs w:val="24"/>
          <w:highlight w:val="none"/>
          <w14:textFill>
            <w14:solidFill>
              <w14:schemeClr w14:val="tx1"/>
            </w14:solidFill>
          </w14:textFill>
        </w:rPr>
        <w:t>格式</w:t>
      </w:r>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3</w:t>
      </w:r>
      <w:r>
        <w:rPr>
          <w:rStyle w:val="46"/>
          <w:rFonts w:ascii="Times New Roman" w:hAnsi="Times New Roman" w:eastAsia="宋体" w:cs="Times New Roman"/>
          <w:b/>
          <w:bCs w:val="0"/>
          <w:color w:val="000000" w:themeColor="text1"/>
          <w:szCs w:val="24"/>
          <w:highlight w:val="none"/>
          <w14:textFill>
            <w14:solidFill>
              <w14:schemeClr w14:val="tx1"/>
            </w14:solidFill>
          </w14:textFill>
        </w:rPr>
        <w:t xml:space="preserve">  授权委托书</w:t>
      </w:r>
      <w:bookmarkEnd w:id="1847"/>
      <w:bookmarkEnd w:id="1848"/>
      <w:bookmarkEnd w:id="1849"/>
      <w:bookmarkEnd w:id="1850"/>
      <w:bookmarkEnd w:id="1851"/>
      <w:bookmarkEnd w:id="1852"/>
      <w:bookmarkEnd w:id="1853"/>
      <w:bookmarkEnd w:id="1854"/>
      <w:bookmarkEnd w:id="1855"/>
    </w:p>
    <w:p w14:paraId="2CA6DDC6">
      <w:pPr>
        <w:adjustRightInd w:val="0"/>
        <w:spacing w:line="360" w:lineRule="auto"/>
        <w:rPr>
          <w:color w:val="000000" w:themeColor="text1"/>
          <w:sz w:val="24"/>
          <w:highlight w:val="none"/>
          <w14:textFill>
            <w14:solidFill>
              <w14:schemeClr w14:val="tx1"/>
            </w14:solidFill>
          </w14:textFill>
        </w:rPr>
      </w:pPr>
    </w:p>
    <w:p w14:paraId="1896C7BA">
      <w:pPr>
        <w:spacing w:line="360" w:lineRule="auto"/>
        <w:jc w:val="center"/>
        <w:rPr>
          <w:b/>
          <w:color w:val="000000" w:themeColor="text1"/>
          <w:sz w:val="28"/>
          <w:szCs w:val="28"/>
          <w:highlight w:val="none"/>
          <w14:textFill>
            <w14:solidFill>
              <w14:schemeClr w14:val="tx1"/>
            </w14:solidFill>
          </w14:textFill>
        </w:rPr>
      </w:pPr>
      <w:bookmarkStart w:id="1856" w:name="_Toc18209295"/>
      <w:r>
        <w:rPr>
          <w:b/>
          <w:color w:val="000000" w:themeColor="text1"/>
          <w:sz w:val="28"/>
          <w:szCs w:val="28"/>
          <w:highlight w:val="none"/>
          <w14:textFill>
            <w14:solidFill>
              <w14:schemeClr w14:val="tx1"/>
            </w14:solidFill>
          </w14:textFill>
        </w:rPr>
        <w:t>授权委托书</w:t>
      </w:r>
      <w:bookmarkEnd w:id="1856"/>
    </w:p>
    <w:p w14:paraId="6B78F964">
      <w:pPr>
        <w:spacing w:line="360" w:lineRule="auto"/>
        <w:ind w:firstLine="480"/>
        <w:rPr>
          <w:color w:val="000000" w:themeColor="text1"/>
          <w:sz w:val="24"/>
          <w:highlight w:val="none"/>
          <w14:textFill>
            <w14:solidFill>
              <w14:schemeClr w14:val="tx1"/>
            </w14:solidFill>
          </w14:textFill>
        </w:rPr>
      </w:pPr>
    </w:p>
    <w:p w14:paraId="1B0474D4">
      <w:pPr>
        <w:spacing w:line="360" w:lineRule="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致：</w:t>
      </w:r>
      <w:r>
        <w:rPr>
          <w:rFonts w:hint="eastAsia"/>
          <w:color w:val="000000" w:themeColor="text1"/>
          <w:szCs w:val="21"/>
          <w:highlight w:val="none"/>
          <w:u w:val="single"/>
          <w14:textFill>
            <w14:solidFill>
              <w14:schemeClr w14:val="tx1"/>
            </w14:solidFill>
          </w14:textFill>
        </w:rPr>
        <w:t>中建路桥集团</w:t>
      </w:r>
      <w:r>
        <w:rPr>
          <w:rFonts w:hint="eastAsia"/>
          <w:color w:val="000000" w:themeColor="text1"/>
          <w:szCs w:val="21"/>
          <w:highlight w:val="none"/>
          <w:u w:val="single"/>
          <w:lang w:val="en-US" w:eastAsia="zh-CN"/>
          <w14:textFill>
            <w14:solidFill>
              <w14:schemeClr w14:val="tx1"/>
            </w14:solidFill>
          </w14:textFill>
        </w:rPr>
        <w:t>第二工程</w:t>
      </w:r>
      <w:r>
        <w:rPr>
          <w:rFonts w:hint="eastAsia"/>
          <w:color w:val="000000" w:themeColor="text1"/>
          <w:szCs w:val="21"/>
          <w:highlight w:val="none"/>
          <w:u w:val="single"/>
          <w14:textFill>
            <w14:solidFill>
              <w14:schemeClr w14:val="tx1"/>
            </w14:solidFill>
          </w14:textFill>
        </w:rPr>
        <w:t>有限公司</w:t>
      </w:r>
    </w:p>
    <w:p w14:paraId="1502BA77">
      <w:pPr>
        <w:spacing w:line="360" w:lineRule="auto"/>
        <w:ind w:firstLine="480"/>
        <w:rPr>
          <w:color w:val="000000" w:themeColor="text1"/>
          <w:szCs w:val="21"/>
          <w:highlight w:val="none"/>
          <w14:textFill>
            <w14:solidFill>
              <w14:schemeClr w14:val="tx1"/>
            </w14:solidFill>
          </w14:textFill>
        </w:rPr>
      </w:pPr>
    </w:p>
    <w:p w14:paraId="24B82BB8">
      <w:pPr>
        <w:spacing w:line="360" w:lineRule="auto"/>
        <w:ind w:firstLine="525"/>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 xml:space="preserve">本授权书宣告：  </w:t>
      </w:r>
      <w:r>
        <w:rPr>
          <w:color w:val="000000" w:themeColor="text1"/>
          <w:szCs w:val="21"/>
          <w:highlight w:val="none"/>
          <w:u w:val="single"/>
          <w14:textFill>
            <w14:solidFill>
              <w14:schemeClr w14:val="tx1"/>
            </w14:solidFill>
          </w14:textFill>
        </w:rPr>
        <w:t>(响应单位全称)  (职务)  (姓名)</w:t>
      </w:r>
      <w:r>
        <w:rPr>
          <w:color w:val="000000" w:themeColor="text1"/>
          <w:szCs w:val="21"/>
          <w:highlight w:val="none"/>
          <w14:textFill>
            <w14:solidFill>
              <w14:schemeClr w14:val="tx1"/>
            </w14:solidFill>
          </w14:textFill>
        </w:rPr>
        <w:t xml:space="preserve">合法地代表本单位，授权 </w:t>
      </w:r>
      <w:r>
        <w:rPr>
          <w:color w:val="000000" w:themeColor="text1"/>
          <w:szCs w:val="21"/>
          <w:highlight w:val="none"/>
          <w:u w:val="single"/>
          <w14:textFill>
            <w14:solidFill>
              <w14:schemeClr w14:val="tx1"/>
            </w14:solidFill>
          </w14:textFill>
        </w:rPr>
        <w:t xml:space="preserve">(响应单位全称)   </w:t>
      </w:r>
      <w:r>
        <w:rPr>
          <w:color w:val="000000" w:themeColor="text1"/>
          <w:szCs w:val="21"/>
          <w:highlight w:val="none"/>
          <w14:textFill>
            <w14:solidFill>
              <w14:schemeClr w14:val="tx1"/>
            </w14:solidFill>
          </w14:textFill>
        </w:rPr>
        <w:t>的</w:t>
      </w:r>
      <w:r>
        <w:rPr>
          <w:color w:val="000000" w:themeColor="text1"/>
          <w:szCs w:val="21"/>
          <w:highlight w:val="none"/>
          <w:u w:val="single"/>
          <w14:textFill>
            <w14:solidFill>
              <w14:schemeClr w14:val="tx1"/>
            </w14:solidFill>
          </w14:textFill>
        </w:rPr>
        <w:t xml:space="preserve">  (职务) (姓名)</w:t>
      </w:r>
      <w:r>
        <w:rPr>
          <w:color w:val="000000" w:themeColor="text1"/>
          <w:szCs w:val="21"/>
          <w:highlight w:val="none"/>
          <w14:textFill>
            <w14:solidFill>
              <w14:schemeClr w14:val="tx1"/>
            </w14:solidFill>
          </w14:textFill>
        </w:rPr>
        <w:t>为我单位代理人，该代理人有权在</w:t>
      </w:r>
      <w:r>
        <w:rPr>
          <w:color w:val="000000" w:themeColor="text1"/>
          <w:szCs w:val="21"/>
          <w:highlight w:val="none"/>
          <w:u w:val="single"/>
          <w14:textFill>
            <w14:solidFill>
              <w14:schemeClr w14:val="tx1"/>
            </w14:solidFill>
          </w14:textFill>
        </w:rPr>
        <w:t xml:space="preserve">             </w:t>
      </w:r>
      <w:r>
        <w:rPr>
          <w:rFonts w:hint="eastAsia"/>
          <w:color w:val="000000" w:themeColor="text1"/>
          <w:szCs w:val="21"/>
          <w:highlight w:val="none"/>
          <w:u w:val="single"/>
          <w14:textFill>
            <w14:solidFill>
              <w14:schemeClr w14:val="tx1"/>
            </w14:solidFill>
          </w14:textFill>
        </w:rPr>
        <w:t>项目    分包工程</w:t>
      </w:r>
      <w:r>
        <w:rPr>
          <w:color w:val="000000" w:themeColor="text1"/>
          <w:szCs w:val="21"/>
          <w:highlight w:val="none"/>
          <w14:textFill>
            <w14:solidFill>
              <w14:schemeClr w14:val="tx1"/>
            </w14:solidFill>
          </w14:textFill>
        </w:rPr>
        <w:t>施工</w:t>
      </w:r>
      <w:r>
        <w:rPr>
          <w:rFonts w:hint="eastAsia"/>
          <w:color w:val="000000" w:themeColor="text1"/>
          <w:szCs w:val="21"/>
          <w:highlight w:val="none"/>
          <w14:textFill>
            <w14:solidFill>
              <w14:schemeClr w14:val="tx1"/>
            </w14:solidFill>
          </w14:textFill>
        </w:rPr>
        <w:t>采购</w:t>
      </w:r>
      <w:r>
        <w:rPr>
          <w:color w:val="000000" w:themeColor="text1"/>
          <w:szCs w:val="21"/>
          <w:highlight w:val="none"/>
          <w14:textFill>
            <w14:solidFill>
              <w14:schemeClr w14:val="tx1"/>
            </w14:solidFill>
          </w14:textFill>
        </w:rPr>
        <w:t>活动中，以我单位的名义签署</w:t>
      </w:r>
      <w:r>
        <w:rPr>
          <w:rFonts w:hint="eastAsia"/>
          <w:color w:val="000000" w:themeColor="text1"/>
          <w:szCs w:val="21"/>
          <w:highlight w:val="none"/>
          <w14:textFill>
            <w14:solidFill>
              <w14:schemeClr w14:val="tx1"/>
            </w14:solidFill>
          </w14:textFill>
        </w:rPr>
        <w:t>、澄清确认、递交、撤回、修改响应</w:t>
      </w:r>
      <w:r>
        <w:rPr>
          <w:color w:val="000000" w:themeColor="text1"/>
          <w:szCs w:val="21"/>
          <w:highlight w:val="none"/>
          <w14:textFill>
            <w14:solidFill>
              <w14:schemeClr w14:val="tx1"/>
            </w14:solidFill>
          </w14:textFill>
        </w:rPr>
        <w:t>函和响应文件、与采购人协商、谈判、签订合同协议书以及执行一切与此有关的事项</w:t>
      </w:r>
      <w:r>
        <w:rPr>
          <w:rFonts w:hint="eastAsia"/>
          <w:color w:val="000000" w:themeColor="text1"/>
          <w:szCs w:val="21"/>
          <w:highlight w:val="none"/>
          <w14:textFill>
            <w14:solidFill>
              <w14:schemeClr w14:val="tx1"/>
            </w14:solidFill>
          </w14:textFill>
        </w:rPr>
        <w:t>，其法律后果由我方承担</w:t>
      </w:r>
      <w:r>
        <w:rPr>
          <w:color w:val="000000" w:themeColor="text1"/>
          <w:szCs w:val="21"/>
          <w:highlight w:val="none"/>
          <w14:textFill>
            <w14:solidFill>
              <w14:schemeClr w14:val="tx1"/>
            </w14:solidFill>
          </w14:textFill>
        </w:rPr>
        <w:t>。</w:t>
      </w:r>
    </w:p>
    <w:p w14:paraId="4871E612">
      <w:pPr>
        <w:spacing w:line="360" w:lineRule="auto"/>
        <w:ind w:firstLine="420" w:firstLineChars="200"/>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委托期限：自本委托书签署之日起至响应有效期期满。</w:t>
      </w:r>
    </w:p>
    <w:p w14:paraId="54940B2B">
      <w:pPr>
        <w:spacing w:line="360" w:lineRule="auto"/>
        <w:ind w:firstLine="420" w:firstLineChars="200"/>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代理人无转委托权。</w:t>
      </w:r>
    </w:p>
    <w:p w14:paraId="4E7D472A">
      <w:pPr>
        <w:spacing w:line="360" w:lineRule="auto"/>
        <w:jc w:val="left"/>
        <w:rPr>
          <w:color w:val="000000" w:themeColor="text1"/>
          <w:szCs w:val="21"/>
          <w:highlight w:val="none"/>
          <w14:textFill>
            <w14:solidFill>
              <w14:schemeClr w14:val="tx1"/>
            </w14:solidFill>
          </w14:textFill>
        </w:rPr>
      </w:pPr>
    </w:p>
    <w:p w14:paraId="371FE83B">
      <w:pPr>
        <w:spacing w:line="360" w:lineRule="auto"/>
        <w:jc w:val="left"/>
        <w:rPr>
          <w:color w:val="000000" w:themeColor="text1"/>
          <w:szCs w:val="21"/>
          <w:highlight w:val="none"/>
          <w14:textFill>
            <w14:solidFill>
              <w14:schemeClr w14:val="tx1"/>
            </w14:solidFill>
          </w14:textFill>
        </w:rPr>
      </w:pPr>
    </w:p>
    <w:p w14:paraId="5E1CEE55">
      <w:pPr>
        <w:spacing w:line="360" w:lineRule="auto"/>
        <w:ind w:firstLine="3150" w:firstLineChars="150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响应单位：</w:t>
      </w:r>
      <w:r>
        <w:rPr>
          <w:color w:val="000000" w:themeColor="text1"/>
          <w:szCs w:val="21"/>
          <w:highlight w:val="none"/>
          <w:u w:val="single"/>
          <w14:textFill>
            <w14:solidFill>
              <w14:schemeClr w14:val="tx1"/>
            </w14:solidFill>
          </w14:textFill>
        </w:rPr>
        <w:t xml:space="preserve">                     (盖章)</w:t>
      </w:r>
    </w:p>
    <w:p w14:paraId="16F016FC">
      <w:pPr>
        <w:spacing w:line="360" w:lineRule="auto"/>
        <w:ind w:firstLine="3150" w:firstLineChars="1500"/>
        <w:jc w:val="left"/>
        <w:rPr>
          <w:color w:val="000000" w:themeColor="text1"/>
          <w:szCs w:val="21"/>
          <w:highlight w:val="none"/>
          <w14:textFill>
            <w14:solidFill>
              <w14:schemeClr w14:val="tx1"/>
            </w14:solidFill>
          </w14:textFill>
        </w:rPr>
      </w:pPr>
    </w:p>
    <w:p w14:paraId="13AE8ECD">
      <w:pPr>
        <w:spacing w:line="360" w:lineRule="auto"/>
        <w:ind w:firstLine="3150" w:firstLineChars="150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授权人：</w:t>
      </w:r>
      <w:r>
        <w:rPr>
          <w:color w:val="000000" w:themeColor="text1"/>
          <w:szCs w:val="21"/>
          <w:highlight w:val="none"/>
          <w:u w:val="single"/>
          <w14:textFill>
            <w14:solidFill>
              <w14:schemeClr w14:val="tx1"/>
            </w14:solidFill>
          </w14:textFill>
        </w:rPr>
        <w:t xml:space="preserve">                     (签字)</w:t>
      </w:r>
    </w:p>
    <w:p w14:paraId="2AA90C5D">
      <w:pPr>
        <w:spacing w:line="360" w:lineRule="auto"/>
        <w:ind w:firstLine="3150" w:firstLineChars="1500"/>
        <w:jc w:val="left"/>
        <w:rPr>
          <w:color w:val="000000" w:themeColor="text1"/>
          <w:szCs w:val="21"/>
          <w:highlight w:val="none"/>
          <w14:textFill>
            <w14:solidFill>
              <w14:schemeClr w14:val="tx1"/>
            </w14:solidFill>
          </w14:textFill>
        </w:rPr>
      </w:pPr>
    </w:p>
    <w:p w14:paraId="324C26F9">
      <w:pPr>
        <w:spacing w:line="360" w:lineRule="auto"/>
        <w:ind w:firstLine="3150" w:firstLineChars="1500"/>
        <w:jc w:val="left"/>
        <w:rPr>
          <w:color w:val="000000" w:themeColor="text1"/>
          <w:szCs w:val="21"/>
          <w:highlight w:val="none"/>
          <w:u w:val="single"/>
          <w14:textFill>
            <w14:solidFill>
              <w14:schemeClr w14:val="tx1"/>
            </w14:solidFill>
          </w14:textFill>
        </w:rPr>
      </w:pPr>
      <w:r>
        <w:rPr>
          <w:color w:val="000000" w:themeColor="text1"/>
          <w:szCs w:val="21"/>
          <w:highlight w:val="none"/>
          <w14:textFill>
            <w14:solidFill>
              <w14:schemeClr w14:val="tx1"/>
            </w14:solidFill>
          </w14:textFill>
        </w:rPr>
        <w:t>授权代理人：</w:t>
      </w:r>
      <w:r>
        <w:rPr>
          <w:color w:val="000000" w:themeColor="text1"/>
          <w:szCs w:val="21"/>
          <w:highlight w:val="none"/>
          <w:u w:val="single"/>
          <w14:textFill>
            <w14:solidFill>
              <w14:schemeClr w14:val="tx1"/>
            </w14:solidFill>
          </w14:textFill>
        </w:rPr>
        <w:t xml:space="preserve">                 (签字)</w:t>
      </w:r>
    </w:p>
    <w:p w14:paraId="2E7FFA78">
      <w:pPr>
        <w:spacing w:line="360" w:lineRule="auto"/>
        <w:ind w:firstLine="3150" w:firstLineChars="1500"/>
        <w:jc w:val="left"/>
        <w:rPr>
          <w:color w:val="000000" w:themeColor="text1"/>
          <w:szCs w:val="21"/>
          <w:highlight w:val="none"/>
          <w14:textFill>
            <w14:solidFill>
              <w14:schemeClr w14:val="tx1"/>
            </w14:solidFill>
          </w14:textFill>
        </w:rPr>
      </w:pPr>
    </w:p>
    <w:p w14:paraId="7EB8A987">
      <w:pPr>
        <w:spacing w:line="360" w:lineRule="auto"/>
        <w:ind w:firstLine="3150" w:firstLineChars="1500"/>
        <w:jc w:val="left"/>
        <w:rPr>
          <w:color w:val="000000" w:themeColor="text1"/>
          <w:szCs w:val="21"/>
          <w:highlight w:val="none"/>
          <w:u w:val="single"/>
          <w14:textFill>
            <w14:solidFill>
              <w14:schemeClr w14:val="tx1"/>
            </w14:solidFill>
          </w14:textFill>
        </w:rPr>
      </w:pPr>
      <w:r>
        <w:rPr>
          <w:rFonts w:hint="eastAsia"/>
          <w:color w:val="000000" w:themeColor="text1"/>
          <w:szCs w:val="21"/>
          <w:highlight w:val="none"/>
          <w14:textFill>
            <w14:solidFill>
              <w14:schemeClr w14:val="tx1"/>
            </w14:solidFill>
          </w14:textFill>
        </w:rPr>
        <w:t>授权委托人身份证号：</w:t>
      </w:r>
      <w:r>
        <w:rPr>
          <w:rFonts w:hint="eastAsia"/>
          <w:color w:val="000000" w:themeColor="text1"/>
          <w:szCs w:val="21"/>
          <w:highlight w:val="none"/>
          <w:u w:val="single"/>
          <w14:textFill>
            <w14:solidFill>
              <w14:schemeClr w14:val="tx1"/>
            </w14:solidFill>
          </w14:textFill>
        </w:rPr>
        <w:t xml:space="preserve">                        </w:t>
      </w:r>
    </w:p>
    <w:p w14:paraId="0D4C9B61">
      <w:pPr>
        <w:spacing w:line="360" w:lineRule="auto"/>
        <w:ind w:firstLine="3150" w:firstLineChars="1500"/>
        <w:jc w:val="left"/>
        <w:rPr>
          <w:color w:val="000000" w:themeColor="text1"/>
          <w:szCs w:val="21"/>
          <w:highlight w:val="none"/>
          <w14:textFill>
            <w14:solidFill>
              <w14:schemeClr w14:val="tx1"/>
            </w14:solidFill>
          </w14:textFill>
        </w:rPr>
      </w:pPr>
    </w:p>
    <w:p w14:paraId="4EF18B1D">
      <w:pPr>
        <w:spacing w:line="360" w:lineRule="auto"/>
        <w:ind w:firstLine="3150" w:firstLineChars="1500"/>
        <w:jc w:val="lef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日　期：</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 xml:space="preserve">年 </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月</w:t>
      </w:r>
      <w:r>
        <w:rPr>
          <w:color w:val="000000" w:themeColor="text1"/>
          <w:szCs w:val="21"/>
          <w:highlight w:val="none"/>
          <w:u w:val="single"/>
          <w14:textFill>
            <w14:solidFill>
              <w14:schemeClr w14:val="tx1"/>
            </w14:solidFill>
          </w14:textFill>
        </w:rPr>
        <w:t xml:space="preserve">  　  </w:t>
      </w:r>
      <w:r>
        <w:rPr>
          <w:color w:val="000000" w:themeColor="text1"/>
          <w:szCs w:val="21"/>
          <w:highlight w:val="none"/>
          <w14:textFill>
            <w14:solidFill>
              <w14:schemeClr w14:val="tx1"/>
            </w14:solidFill>
          </w14:textFill>
        </w:rPr>
        <w:t>日</w:t>
      </w:r>
    </w:p>
    <w:p w14:paraId="2372BE30">
      <w:pPr>
        <w:spacing w:line="360" w:lineRule="auto"/>
        <w:jc w:val="left"/>
        <w:rPr>
          <w:color w:val="000000" w:themeColor="text1"/>
          <w:szCs w:val="21"/>
          <w:highlight w:val="none"/>
          <w14:textFill>
            <w14:solidFill>
              <w14:schemeClr w14:val="tx1"/>
            </w14:solidFill>
          </w14:textFill>
        </w:rPr>
      </w:pPr>
    </w:p>
    <w:p w14:paraId="03F70B70">
      <w:pPr>
        <w:spacing w:line="360" w:lineRule="auto"/>
        <w:jc w:val="left"/>
        <w:rPr>
          <w:color w:val="000000" w:themeColor="text1"/>
          <w:szCs w:val="21"/>
          <w:highlight w:val="none"/>
          <w14:textFill>
            <w14:solidFill>
              <w14:schemeClr w14:val="tx1"/>
            </w14:solidFill>
          </w14:textFill>
        </w:rPr>
      </w:pPr>
    </w:p>
    <w:p w14:paraId="377E6C8E">
      <w:pPr>
        <w:spacing w:line="360" w:lineRule="auto"/>
        <w:jc w:val="left"/>
        <w:rPr>
          <w:color w:val="000000" w:themeColor="text1"/>
          <w:szCs w:val="21"/>
          <w:highlight w:val="none"/>
          <w14:textFill>
            <w14:solidFill>
              <w14:schemeClr w14:val="tx1"/>
            </w14:solidFill>
          </w14:textFill>
        </w:rPr>
      </w:pPr>
    </w:p>
    <w:p w14:paraId="08174527">
      <w:pPr>
        <w:spacing w:line="360" w:lineRule="auto"/>
        <w:jc w:val="left"/>
        <w:rPr>
          <w:color w:val="000000" w:themeColor="text1"/>
          <w:szCs w:val="21"/>
          <w:highlight w:val="none"/>
          <w14:textFill>
            <w14:solidFill>
              <w14:schemeClr w14:val="tx1"/>
            </w14:solidFill>
          </w14:textFill>
        </w:rPr>
      </w:pPr>
    </w:p>
    <w:p w14:paraId="7FC49A2B">
      <w:pPr>
        <w:spacing w:line="360" w:lineRule="auto"/>
        <w:jc w:val="left"/>
        <w:rPr>
          <w:color w:val="000000" w:themeColor="text1"/>
          <w:szCs w:val="21"/>
          <w:highlight w:val="none"/>
          <w14:textFill>
            <w14:solidFill>
              <w14:schemeClr w14:val="tx1"/>
            </w14:solidFill>
          </w14:textFill>
        </w:rPr>
      </w:pPr>
    </w:p>
    <w:p w14:paraId="345B5BE2">
      <w:pPr>
        <w:spacing w:line="360" w:lineRule="auto"/>
        <w:jc w:val="left"/>
        <w:rPr>
          <w:color w:val="000000" w:themeColor="text1"/>
          <w:szCs w:val="21"/>
          <w:highlight w:val="none"/>
          <w14:textFill>
            <w14:solidFill>
              <w14:schemeClr w14:val="tx1"/>
            </w14:solidFill>
          </w14:textFill>
        </w:rPr>
      </w:pPr>
    </w:p>
    <w:p w14:paraId="2FE0B51C">
      <w:pPr>
        <w:spacing w:line="360" w:lineRule="auto"/>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注：后附法定代表人身份证复印件及委托代理人身份证复印件（须在同一页）。</w:t>
      </w:r>
    </w:p>
    <w:p w14:paraId="5A90BC00">
      <w:pPr>
        <w:spacing w:line="360" w:lineRule="auto"/>
        <w:jc w:val="left"/>
        <w:rPr>
          <w:color w:val="000000" w:themeColor="text1"/>
          <w:szCs w:val="21"/>
          <w:highlight w:val="none"/>
          <w14:textFill>
            <w14:solidFill>
              <w14:schemeClr w14:val="tx1"/>
            </w14:solidFill>
          </w14:textFill>
        </w:rPr>
      </w:pPr>
    </w:p>
    <w:p w14:paraId="6CD2555F">
      <w:pPr>
        <w:spacing w:line="360" w:lineRule="auto"/>
        <w:jc w:val="left"/>
        <w:rPr>
          <w:color w:val="000000" w:themeColor="text1"/>
          <w:szCs w:val="21"/>
          <w:highlight w:val="none"/>
          <w14:textFill>
            <w14:solidFill>
              <w14:schemeClr w14:val="tx1"/>
            </w14:solidFill>
          </w14:textFill>
        </w:rPr>
        <w:sectPr>
          <w:pgSz w:w="11907" w:h="16840"/>
          <w:pgMar w:top="1417" w:right="1701" w:bottom="1417" w:left="1701" w:header="850" w:footer="1134" w:gutter="0"/>
          <w:pgNumType w:fmt="decimal"/>
          <w:cols w:space="0" w:num="1"/>
          <w:rtlGutter w:val="0"/>
          <w:docGrid w:linePitch="312" w:charSpace="0"/>
        </w:sectPr>
      </w:pPr>
    </w:p>
    <w:p w14:paraId="14ADD60D">
      <w:pPr>
        <w:pStyle w:val="53"/>
        <w:spacing w:before="120"/>
        <w:rPr>
          <w:rStyle w:val="46"/>
          <w:rFonts w:ascii="Times New Roman" w:hAnsi="Times New Roman" w:eastAsia="宋体" w:cs="Times New Roman"/>
          <w:b/>
          <w:bCs w:val="0"/>
          <w:color w:val="000000" w:themeColor="text1"/>
          <w:szCs w:val="24"/>
          <w:highlight w:val="none"/>
          <w14:textFill>
            <w14:solidFill>
              <w14:schemeClr w14:val="tx1"/>
            </w14:solidFill>
          </w14:textFill>
        </w:rPr>
      </w:pPr>
      <w:r>
        <w:rPr>
          <w:rStyle w:val="46"/>
          <w:rFonts w:ascii="Times New Roman" w:hAnsi="Times New Roman" w:eastAsia="宋体" w:cs="Times New Roman"/>
          <w:b/>
          <w:bCs w:val="0"/>
          <w:color w:val="000000" w:themeColor="text1"/>
          <w:szCs w:val="24"/>
          <w:highlight w:val="none"/>
          <w14:textFill>
            <w14:solidFill>
              <w14:schemeClr w14:val="tx1"/>
            </w14:solidFill>
          </w14:textFill>
        </w:rPr>
        <w:t>格式</w:t>
      </w:r>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4</w:t>
      </w:r>
      <w:r>
        <w:rPr>
          <w:rStyle w:val="46"/>
          <w:rFonts w:ascii="Times New Roman" w:hAnsi="Times New Roman" w:eastAsia="宋体" w:cs="Times New Roman"/>
          <w:b/>
          <w:bCs w:val="0"/>
          <w:color w:val="000000" w:themeColor="text1"/>
          <w:szCs w:val="24"/>
          <w:highlight w:val="none"/>
          <w14:textFill>
            <w14:solidFill>
              <w14:schemeClr w14:val="tx1"/>
            </w14:solidFill>
          </w14:textFill>
        </w:rPr>
        <w:t xml:space="preserve">  </w:t>
      </w:r>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响应担保</w:t>
      </w:r>
    </w:p>
    <w:p w14:paraId="6BF976C7">
      <w:pPr>
        <w:spacing w:line="360" w:lineRule="auto"/>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若采用现金或支票，响应单位应在此提供汇款凭证的复印件。</w:t>
      </w:r>
    </w:p>
    <w:p w14:paraId="5C4EAA20">
      <w:pPr>
        <w:spacing w:line="360" w:lineRule="auto"/>
        <w:jc w:val="left"/>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如采用银行保函，银行保函复印件装订在响应文件中。</w:t>
      </w:r>
    </w:p>
    <w:p w14:paraId="50E174F3">
      <w:pPr>
        <w:spacing w:line="360" w:lineRule="auto"/>
        <w:jc w:val="left"/>
        <w:rPr>
          <w:color w:val="000000" w:themeColor="text1"/>
          <w:szCs w:val="21"/>
          <w:highlight w:val="none"/>
          <w14:textFill>
            <w14:solidFill>
              <w14:schemeClr w14:val="tx1"/>
            </w14:solidFill>
          </w14:textFill>
        </w:rPr>
      </w:pPr>
    </w:p>
    <w:p w14:paraId="74507A9F">
      <w:pPr>
        <w:spacing w:line="360" w:lineRule="auto"/>
        <w:jc w:val="left"/>
        <w:rPr>
          <w:color w:val="000000" w:themeColor="text1"/>
          <w:szCs w:val="21"/>
          <w:highlight w:val="none"/>
          <w14:textFill>
            <w14:solidFill>
              <w14:schemeClr w14:val="tx1"/>
            </w14:solidFill>
          </w14:textFill>
        </w:rPr>
      </w:pPr>
    </w:p>
    <w:p w14:paraId="4E7D18A0">
      <w:pPr>
        <w:spacing w:line="360" w:lineRule="auto"/>
        <w:jc w:val="left"/>
        <w:rPr>
          <w:color w:val="000000" w:themeColor="text1"/>
          <w:szCs w:val="21"/>
          <w:highlight w:val="none"/>
          <w14:textFill>
            <w14:solidFill>
              <w14:schemeClr w14:val="tx1"/>
            </w14:solidFill>
          </w14:textFill>
        </w:rPr>
      </w:pPr>
    </w:p>
    <w:p w14:paraId="5183A239">
      <w:pPr>
        <w:pStyle w:val="53"/>
        <w:spacing w:before="120"/>
        <w:rPr>
          <w:rStyle w:val="46"/>
          <w:rFonts w:ascii="Times New Roman" w:hAnsi="Times New Roman" w:eastAsia="宋体" w:cs="Times New Roman"/>
          <w:b/>
          <w:bCs/>
          <w:color w:val="000000" w:themeColor="text1"/>
          <w:szCs w:val="24"/>
          <w:highlight w:val="none"/>
          <w14:textFill>
            <w14:solidFill>
              <w14:schemeClr w14:val="tx1"/>
            </w14:solidFill>
          </w14:textFill>
        </w:rPr>
        <w:sectPr>
          <w:pgSz w:w="11907" w:h="16840"/>
          <w:pgMar w:top="1417" w:right="1701" w:bottom="1417" w:left="1701" w:header="850" w:footer="1134" w:gutter="0"/>
          <w:pgNumType w:fmt="decimal"/>
          <w:cols w:space="0" w:num="1"/>
          <w:rtlGutter w:val="0"/>
          <w:docGrid w:linePitch="312" w:charSpace="0"/>
        </w:sectPr>
      </w:pPr>
    </w:p>
    <w:p w14:paraId="5474F624">
      <w:pPr>
        <w:pStyle w:val="53"/>
        <w:spacing w:before="120"/>
        <w:rPr>
          <w:rStyle w:val="46"/>
          <w:rFonts w:ascii="Times New Roman" w:hAnsi="Times New Roman" w:eastAsia="宋体" w:cs="Times New Roman"/>
          <w:b/>
          <w:bCs w:val="0"/>
          <w:color w:val="000000" w:themeColor="text1"/>
          <w:szCs w:val="24"/>
          <w:highlight w:val="none"/>
          <w14:textFill>
            <w14:solidFill>
              <w14:schemeClr w14:val="tx1"/>
            </w14:solidFill>
          </w14:textFill>
        </w:rPr>
      </w:pPr>
      <w:r>
        <w:rPr>
          <w:rStyle w:val="46"/>
          <w:rFonts w:ascii="Times New Roman" w:hAnsi="Times New Roman" w:eastAsia="宋体" w:cs="Times New Roman"/>
          <w:b/>
          <w:bCs w:val="0"/>
          <w:color w:val="000000" w:themeColor="text1"/>
          <w:szCs w:val="24"/>
          <w:highlight w:val="none"/>
          <w14:textFill>
            <w14:solidFill>
              <w14:schemeClr w14:val="tx1"/>
            </w14:solidFill>
          </w14:textFill>
        </w:rPr>
        <w:t>格式</w:t>
      </w:r>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5</w:t>
      </w:r>
      <w:r>
        <w:rPr>
          <w:rStyle w:val="46"/>
          <w:rFonts w:ascii="Times New Roman" w:hAnsi="Times New Roman" w:eastAsia="宋体" w:cs="Times New Roman"/>
          <w:b/>
          <w:bCs w:val="0"/>
          <w:color w:val="000000" w:themeColor="text1"/>
          <w:szCs w:val="24"/>
          <w:highlight w:val="none"/>
          <w14:textFill>
            <w14:solidFill>
              <w14:schemeClr w14:val="tx1"/>
            </w14:solidFill>
          </w14:textFill>
        </w:rPr>
        <w:t xml:space="preserve">  </w:t>
      </w:r>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总报价</w:t>
      </w:r>
    </w:p>
    <w:p w14:paraId="26139739">
      <w:pPr>
        <w:spacing w:line="360" w:lineRule="auto"/>
        <w:jc w:val="center"/>
        <w:rPr>
          <w:b/>
          <w:color w:val="000000" w:themeColor="text1"/>
          <w:spacing w:val="80"/>
          <w:sz w:val="36"/>
          <w:szCs w:val="32"/>
          <w:highlight w:val="none"/>
          <w14:textFill>
            <w14:solidFill>
              <w14:schemeClr w14:val="tx1"/>
            </w14:solidFill>
          </w14:textFill>
        </w:rPr>
      </w:pPr>
      <w:r>
        <w:rPr>
          <w:b/>
          <w:color w:val="000000" w:themeColor="text1"/>
          <w:spacing w:val="80"/>
          <w:sz w:val="36"/>
          <w:szCs w:val="32"/>
          <w:highlight w:val="none"/>
          <w14:textFill>
            <w14:solidFill>
              <w14:schemeClr w14:val="tx1"/>
            </w14:solidFill>
          </w14:textFill>
        </w:rPr>
        <w:t>总报价</w:t>
      </w:r>
    </w:p>
    <w:tbl>
      <w:tblPr>
        <w:tblStyle w:val="31"/>
        <w:tblW w:w="7953" w:type="dxa"/>
        <w:jc w:val="center"/>
        <w:tblLayout w:type="autofit"/>
        <w:tblCellMar>
          <w:top w:w="0" w:type="dxa"/>
          <w:left w:w="108" w:type="dxa"/>
          <w:bottom w:w="0" w:type="dxa"/>
          <w:right w:w="108" w:type="dxa"/>
        </w:tblCellMar>
      </w:tblPr>
      <w:tblGrid>
        <w:gridCol w:w="1663"/>
        <w:gridCol w:w="481"/>
        <w:gridCol w:w="799"/>
        <w:gridCol w:w="2862"/>
        <w:gridCol w:w="2148"/>
      </w:tblGrid>
      <w:tr w14:paraId="3D9A0783">
        <w:tblPrEx>
          <w:tblCellMar>
            <w:top w:w="0" w:type="dxa"/>
            <w:left w:w="108" w:type="dxa"/>
            <w:bottom w:w="0" w:type="dxa"/>
            <w:right w:w="108" w:type="dxa"/>
          </w:tblCellMar>
        </w:tblPrEx>
        <w:trPr>
          <w:trHeight w:val="924" w:hRule="atLeast"/>
          <w:jc w:val="center"/>
        </w:trPr>
        <w:tc>
          <w:tcPr>
            <w:tcW w:w="1663" w:type="dxa"/>
            <w:vAlign w:val="bottom"/>
          </w:tcPr>
          <w:p w14:paraId="589D3EDF">
            <w:pPr>
              <w:spacing w:line="360" w:lineRule="auto"/>
              <w:jc w:val="distribute"/>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采购人</w:t>
            </w:r>
          </w:p>
        </w:tc>
        <w:tc>
          <w:tcPr>
            <w:tcW w:w="481" w:type="dxa"/>
            <w:vAlign w:val="bottom"/>
          </w:tcPr>
          <w:p w14:paraId="2381D0B2">
            <w:pPr>
              <w:spacing w:line="360" w:lineRule="auto"/>
              <w:jc w:val="center"/>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w:t>
            </w:r>
          </w:p>
        </w:tc>
        <w:tc>
          <w:tcPr>
            <w:tcW w:w="5809" w:type="dxa"/>
            <w:gridSpan w:val="3"/>
            <w:tcBorders>
              <w:bottom w:val="single" w:color="auto" w:sz="4" w:space="0"/>
            </w:tcBorders>
            <w:vAlign w:val="bottom"/>
          </w:tcPr>
          <w:p w14:paraId="463014C8">
            <w:pPr>
              <w:spacing w:line="360" w:lineRule="auto"/>
              <w:jc w:val="left"/>
              <w:rPr>
                <w:rFonts w:hint="eastAsia" w:ascii="宋体" w:hAnsi="宋体"/>
                <w:color w:val="000000" w:themeColor="text1"/>
                <w:sz w:val="24"/>
                <w:highlight w:val="none"/>
                <w14:textFill>
                  <w14:solidFill>
                    <w14:schemeClr w14:val="tx1"/>
                  </w14:solidFill>
                </w14:textFill>
              </w:rPr>
            </w:pPr>
          </w:p>
        </w:tc>
      </w:tr>
      <w:tr w14:paraId="33E58395">
        <w:tblPrEx>
          <w:tblCellMar>
            <w:top w:w="0" w:type="dxa"/>
            <w:left w:w="108" w:type="dxa"/>
            <w:bottom w:w="0" w:type="dxa"/>
            <w:right w:w="108" w:type="dxa"/>
          </w:tblCellMar>
        </w:tblPrEx>
        <w:trPr>
          <w:trHeight w:val="924" w:hRule="atLeast"/>
          <w:jc w:val="center"/>
        </w:trPr>
        <w:tc>
          <w:tcPr>
            <w:tcW w:w="1663" w:type="dxa"/>
            <w:vAlign w:val="bottom"/>
          </w:tcPr>
          <w:p w14:paraId="591EF1AC">
            <w:pPr>
              <w:spacing w:line="360" w:lineRule="auto"/>
              <w:jc w:val="distribute"/>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工程名称</w:t>
            </w:r>
          </w:p>
        </w:tc>
        <w:tc>
          <w:tcPr>
            <w:tcW w:w="481" w:type="dxa"/>
            <w:vAlign w:val="bottom"/>
          </w:tcPr>
          <w:p w14:paraId="132A3F76">
            <w:pPr>
              <w:spacing w:line="360" w:lineRule="auto"/>
              <w:jc w:val="center"/>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w:t>
            </w:r>
          </w:p>
        </w:tc>
        <w:tc>
          <w:tcPr>
            <w:tcW w:w="5809" w:type="dxa"/>
            <w:gridSpan w:val="3"/>
            <w:tcBorders>
              <w:top w:val="single" w:color="auto" w:sz="4" w:space="0"/>
              <w:bottom w:val="single" w:color="auto" w:sz="4" w:space="0"/>
            </w:tcBorders>
            <w:vAlign w:val="bottom"/>
          </w:tcPr>
          <w:p w14:paraId="56D13B87">
            <w:pPr>
              <w:spacing w:line="360" w:lineRule="auto"/>
              <w:jc w:val="left"/>
              <w:rPr>
                <w:rFonts w:hint="eastAsia" w:ascii="宋体" w:hAnsi="宋体"/>
                <w:color w:val="000000" w:themeColor="text1"/>
                <w:sz w:val="24"/>
                <w:highlight w:val="none"/>
                <w14:textFill>
                  <w14:solidFill>
                    <w14:schemeClr w14:val="tx1"/>
                  </w14:solidFill>
                </w14:textFill>
              </w:rPr>
            </w:pPr>
          </w:p>
        </w:tc>
      </w:tr>
      <w:tr w14:paraId="687B88B2">
        <w:tblPrEx>
          <w:tblCellMar>
            <w:top w:w="0" w:type="dxa"/>
            <w:left w:w="108" w:type="dxa"/>
            <w:bottom w:w="0" w:type="dxa"/>
            <w:right w:w="108" w:type="dxa"/>
          </w:tblCellMar>
        </w:tblPrEx>
        <w:trPr>
          <w:trHeight w:val="924" w:hRule="atLeast"/>
          <w:jc w:val="center"/>
        </w:trPr>
        <w:tc>
          <w:tcPr>
            <w:tcW w:w="1663" w:type="dxa"/>
            <w:vAlign w:val="bottom"/>
          </w:tcPr>
          <w:p w14:paraId="06F5C74B">
            <w:pPr>
              <w:spacing w:line="360" w:lineRule="auto"/>
              <w:jc w:val="distribute"/>
              <w:rPr>
                <w:rFonts w:hint="eastAsia" w:ascii="宋体" w:hAnsi="宋体"/>
                <w:color w:val="000000" w:themeColor="text1"/>
                <w:sz w:val="24"/>
                <w:highlight w:val="none"/>
                <w14:textFill>
                  <w14:solidFill>
                    <w14:schemeClr w14:val="tx1"/>
                  </w14:solidFill>
                </w14:textFill>
              </w:rPr>
            </w:pPr>
          </w:p>
          <w:p w14:paraId="1DEB4BC2">
            <w:pPr>
              <w:spacing w:line="360" w:lineRule="auto"/>
              <w:jc w:val="distribute"/>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不含增值税</w:t>
            </w:r>
          </w:p>
          <w:p w14:paraId="66C61E33">
            <w:pPr>
              <w:spacing w:line="360" w:lineRule="auto"/>
              <w:jc w:val="distribute"/>
              <w:rPr>
                <w:rFonts w:hint="eastAsia" w:ascii="宋体" w:hAnsi="宋体"/>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总报价</w:t>
            </w:r>
          </w:p>
        </w:tc>
        <w:tc>
          <w:tcPr>
            <w:tcW w:w="1280" w:type="dxa"/>
            <w:gridSpan w:val="2"/>
            <w:vAlign w:val="bottom"/>
          </w:tcPr>
          <w:p w14:paraId="59818ABA">
            <w:pPr>
              <w:spacing w:line="360" w:lineRule="auto"/>
              <w:jc w:val="center"/>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(小写)：</w:t>
            </w:r>
          </w:p>
        </w:tc>
        <w:tc>
          <w:tcPr>
            <w:tcW w:w="5010" w:type="dxa"/>
            <w:gridSpan w:val="2"/>
            <w:tcBorders>
              <w:bottom w:val="single" w:color="auto" w:sz="4" w:space="0"/>
            </w:tcBorders>
            <w:vAlign w:val="bottom"/>
          </w:tcPr>
          <w:p w14:paraId="59B3F99B">
            <w:pPr>
              <w:spacing w:line="360" w:lineRule="auto"/>
              <w:jc w:val="left"/>
              <w:rPr>
                <w:rFonts w:hint="eastAsia" w:ascii="宋体" w:hAnsi="宋体"/>
                <w:color w:val="000000" w:themeColor="text1"/>
                <w:sz w:val="24"/>
                <w:highlight w:val="none"/>
                <w14:textFill>
                  <w14:solidFill>
                    <w14:schemeClr w14:val="tx1"/>
                  </w14:solidFill>
                </w14:textFill>
              </w:rPr>
            </w:pPr>
          </w:p>
        </w:tc>
      </w:tr>
      <w:tr w14:paraId="41588482">
        <w:tblPrEx>
          <w:tblCellMar>
            <w:top w:w="0" w:type="dxa"/>
            <w:left w:w="108" w:type="dxa"/>
            <w:bottom w:w="0" w:type="dxa"/>
            <w:right w:w="108" w:type="dxa"/>
          </w:tblCellMar>
        </w:tblPrEx>
        <w:trPr>
          <w:trHeight w:val="924" w:hRule="atLeast"/>
          <w:jc w:val="center"/>
        </w:trPr>
        <w:tc>
          <w:tcPr>
            <w:tcW w:w="1663" w:type="dxa"/>
            <w:vAlign w:val="bottom"/>
          </w:tcPr>
          <w:p w14:paraId="66380940">
            <w:pPr>
              <w:spacing w:line="360" w:lineRule="auto"/>
              <w:jc w:val="distribute"/>
              <w:rPr>
                <w:rFonts w:hint="eastAsia" w:ascii="宋体" w:hAnsi="宋体"/>
                <w:color w:val="000000" w:themeColor="text1"/>
                <w:sz w:val="24"/>
                <w:highlight w:val="none"/>
                <w14:textFill>
                  <w14:solidFill>
                    <w14:schemeClr w14:val="tx1"/>
                  </w14:solidFill>
                </w14:textFill>
              </w:rPr>
            </w:pPr>
          </w:p>
        </w:tc>
        <w:tc>
          <w:tcPr>
            <w:tcW w:w="1280" w:type="dxa"/>
            <w:gridSpan w:val="2"/>
            <w:vAlign w:val="bottom"/>
          </w:tcPr>
          <w:p w14:paraId="0EC7CE5E">
            <w:pPr>
              <w:spacing w:line="360" w:lineRule="auto"/>
              <w:jc w:val="center"/>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(大写)：</w:t>
            </w:r>
          </w:p>
        </w:tc>
        <w:tc>
          <w:tcPr>
            <w:tcW w:w="5010" w:type="dxa"/>
            <w:gridSpan w:val="2"/>
            <w:tcBorders>
              <w:top w:val="single" w:color="auto" w:sz="4" w:space="0"/>
              <w:bottom w:val="single" w:color="auto" w:sz="4" w:space="0"/>
            </w:tcBorders>
            <w:vAlign w:val="bottom"/>
          </w:tcPr>
          <w:p w14:paraId="2244B821">
            <w:pPr>
              <w:spacing w:line="360" w:lineRule="auto"/>
              <w:jc w:val="left"/>
              <w:rPr>
                <w:rFonts w:hint="eastAsia" w:ascii="宋体" w:hAnsi="宋体"/>
                <w:color w:val="000000" w:themeColor="text1"/>
                <w:sz w:val="24"/>
                <w:highlight w:val="none"/>
                <w14:textFill>
                  <w14:solidFill>
                    <w14:schemeClr w14:val="tx1"/>
                  </w14:solidFill>
                </w14:textFill>
              </w:rPr>
            </w:pPr>
          </w:p>
        </w:tc>
      </w:tr>
      <w:tr w14:paraId="157F9269">
        <w:tblPrEx>
          <w:tblCellMar>
            <w:top w:w="0" w:type="dxa"/>
            <w:left w:w="108" w:type="dxa"/>
            <w:bottom w:w="0" w:type="dxa"/>
            <w:right w:w="108" w:type="dxa"/>
          </w:tblCellMar>
        </w:tblPrEx>
        <w:trPr>
          <w:trHeight w:val="924" w:hRule="atLeast"/>
          <w:jc w:val="center"/>
        </w:trPr>
        <w:tc>
          <w:tcPr>
            <w:tcW w:w="1663" w:type="dxa"/>
            <w:vAlign w:val="bottom"/>
          </w:tcPr>
          <w:p w14:paraId="7BE043BE">
            <w:pPr>
              <w:spacing w:line="360" w:lineRule="auto"/>
              <w:jc w:val="distribute"/>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总报价</w:t>
            </w:r>
          </w:p>
        </w:tc>
        <w:tc>
          <w:tcPr>
            <w:tcW w:w="1280" w:type="dxa"/>
            <w:gridSpan w:val="2"/>
            <w:vAlign w:val="bottom"/>
          </w:tcPr>
          <w:p w14:paraId="6593CC07">
            <w:pPr>
              <w:spacing w:line="360" w:lineRule="auto"/>
              <w:jc w:val="center"/>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(小写)：</w:t>
            </w:r>
          </w:p>
        </w:tc>
        <w:tc>
          <w:tcPr>
            <w:tcW w:w="5010" w:type="dxa"/>
            <w:gridSpan w:val="2"/>
            <w:tcBorders>
              <w:top w:val="single" w:color="auto" w:sz="4" w:space="0"/>
              <w:bottom w:val="single" w:color="auto" w:sz="4" w:space="0"/>
            </w:tcBorders>
            <w:vAlign w:val="bottom"/>
          </w:tcPr>
          <w:p w14:paraId="72071A0E">
            <w:pPr>
              <w:spacing w:line="360" w:lineRule="auto"/>
              <w:jc w:val="left"/>
              <w:rPr>
                <w:rFonts w:hint="eastAsia" w:ascii="宋体" w:hAnsi="宋体"/>
                <w:color w:val="000000" w:themeColor="text1"/>
                <w:sz w:val="24"/>
                <w:highlight w:val="none"/>
                <w14:textFill>
                  <w14:solidFill>
                    <w14:schemeClr w14:val="tx1"/>
                  </w14:solidFill>
                </w14:textFill>
              </w:rPr>
            </w:pPr>
          </w:p>
        </w:tc>
      </w:tr>
      <w:tr w14:paraId="79085892">
        <w:tblPrEx>
          <w:tblCellMar>
            <w:top w:w="0" w:type="dxa"/>
            <w:left w:w="108" w:type="dxa"/>
            <w:bottom w:w="0" w:type="dxa"/>
            <w:right w:w="108" w:type="dxa"/>
          </w:tblCellMar>
        </w:tblPrEx>
        <w:trPr>
          <w:trHeight w:val="924" w:hRule="atLeast"/>
          <w:jc w:val="center"/>
        </w:trPr>
        <w:tc>
          <w:tcPr>
            <w:tcW w:w="1663" w:type="dxa"/>
            <w:vAlign w:val="bottom"/>
          </w:tcPr>
          <w:p w14:paraId="5A207B6B">
            <w:pPr>
              <w:spacing w:line="360" w:lineRule="auto"/>
              <w:jc w:val="distribute"/>
              <w:rPr>
                <w:rFonts w:hint="eastAsia" w:ascii="宋体" w:hAnsi="宋体"/>
                <w:color w:val="000000" w:themeColor="text1"/>
                <w:sz w:val="24"/>
                <w:highlight w:val="none"/>
                <w14:textFill>
                  <w14:solidFill>
                    <w14:schemeClr w14:val="tx1"/>
                  </w14:solidFill>
                </w14:textFill>
              </w:rPr>
            </w:pPr>
          </w:p>
        </w:tc>
        <w:tc>
          <w:tcPr>
            <w:tcW w:w="1280" w:type="dxa"/>
            <w:gridSpan w:val="2"/>
            <w:vAlign w:val="bottom"/>
          </w:tcPr>
          <w:p w14:paraId="2B2B9755">
            <w:pPr>
              <w:spacing w:line="360" w:lineRule="auto"/>
              <w:jc w:val="center"/>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(大写)：</w:t>
            </w:r>
          </w:p>
        </w:tc>
        <w:tc>
          <w:tcPr>
            <w:tcW w:w="5010" w:type="dxa"/>
            <w:gridSpan w:val="2"/>
            <w:tcBorders>
              <w:top w:val="single" w:color="auto" w:sz="4" w:space="0"/>
              <w:bottom w:val="single" w:color="auto" w:sz="4" w:space="0"/>
            </w:tcBorders>
            <w:vAlign w:val="bottom"/>
          </w:tcPr>
          <w:p w14:paraId="42595B17">
            <w:pPr>
              <w:spacing w:line="360" w:lineRule="auto"/>
              <w:jc w:val="left"/>
              <w:rPr>
                <w:rFonts w:hint="eastAsia" w:ascii="宋体" w:hAnsi="宋体"/>
                <w:color w:val="000000" w:themeColor="text1"/>
                <w:sz w:val="24"/>
                <w:highlight w:val="none"/>
                <w14:textFill>
                  <w14:solidFill>
                    <w14:schemeClr w14:val="tx1"/>
                  </w14:solidFill>
                </w14:textFill>
              </w:rPr>
            </w:pPr>
          </w:p>
        </w:tc>
      </w:tr>
      <w:tr w14:paraId="58640483">
        <w:tblPrEx>
          <w:tblCellMar>
            <w:top w:w="0" w:type="dxa"/>
            <w:left w:w="108" w:type="dxa"/>
            <w:bottom w:w="0" w:type="dxa"/>
            <w:right w:w="108" w:type="dxa"/>
          </w:tblCellMar>
        </w:tblPrEx>
        <w:trPr>
          <w:trHeight w:val="3004" w:hRule="atLeast"/>
          <w:jc w:val="center"/>
        </w:trPr>
        <w:tc>
          <w:tcPr>
            <w:tcW w:w="1663" w:type="dxa"/>
            <w:vAlign w:val="bottom"/>
          </w:tcPr>
          <w:p w14:paraId="503AC35D">
            <w:pPr>
              <w:spacing w:line="360" w:lineRule="auto"/>
              <w:jc w:val="distribute"/>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响应单位</w:t>
            </w:r>
          </w:p>
        </w:tc>
        <w:tc>
          <w:tcPr>
            <w:tcW w:w="481" w:type="dxa"/>
            <w:vAlign w:val="bottom"/>
          </w:tcPr>
          <w:p w14:paraId="79659708">
            <w:pPr>
              <w:spacing w:line="360" w:lineRule="auto"/>
              <w:jc w:val="center"/>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w:t>
            </w:r>
          </w:p>
        </w:tc>
        <w:tc>
          <w:tcPr>
            <w:tcW w:w="3661" w:type="dxa"/>
            <w:gridSpan w:val="2"/>
            <w:tcBorders>
              <w:bottom w:val="single" w:color="auto" w:sz="4" w:space="0"/>
            </w:tcBorders>
            <w:vAlign w:val="bottom"/>
          </w:tcPr>
          <w:p w14:paraId="495FFC5A">
            <w:pPr>
              <w:spacing w:line="360" w:lineRule="auto"/>
              <w:jc w:val="left"/>
              <w:rPr>
                <w:rFonts w:hint="eastAsia" w:ascii="宋体" w:hAnsi="宋体"/>
                <w:color w:val="000000" w:themeColor="text1"/>
                <w:sz w:val="24"/>
                <w:highlight w:val="none"/>
                <w14:textFill>
                  <w14:solidFill>
                    <w14:schemeClr w14:val="tx1"/>
                  </w14:solidFill>
                </w14:textFill>
              </w:rPr>
            </w:pPr>
          </w:p>
        </w:tc>
        <w:tc>
          <w:tcPr>
            <w:tcW w:w="2148" w:type="dxa"/>
            <w:vAlign w:val="bottom"/>
          </w:tcPr>
          <w:p w14:paraId="0260D8A6">
            <w:pPr>
              <w:spacing w:line="360" w:lineRule="auto"/>
              <w:jc w:val="center"/>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(单位签字盖章)</w:t>
            </w:r>
          </w:p>
        </w:tc>
      </w:tr>
      <w:tr w14:paraId="7A56A87C">
        <w:tblPrEx>
          <w:tblCellMar>
            <w:top w:w="0" w:type="dxa"/>
            <w:left w:w="108" w:type="dxa"/>
            <w:bottom w:w="0" w:type="dxa"/>
            <w:right w:w="108" w:type="dxa"/>
          </w:tblCellMar>
        </w:tblPrEx>
        <w:trPr>
          <w:trHeight w:val="1488" w:hRule="atLeast"/>
          <w:jc w:val="center"/>
        </w:trPr>
        <w:tc>
          <w:tcPr>
            <w:tcW w:w="1663" w:type="dxa"/>
            <w:vAlign w:val="bottom"/>
          </w:tcPr>
          <w:p w14:paraId="100DF5E1">
            <w:pPr>
              <w:spacing w:line="360" w:lineRule="auto"/>
              <w:jc w:val="distribute"/>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法定代表人</w:t>
            </w:r>
          </w:p>
        </w:tc>
        <w:tc>
          <w:tcPr>
            <w:tcW w:w="481" w:type="dxa"/>
            <w:vAlign w:val="bottom"/>
          </w:tcPr>
          <w:p w14:paraId="029E6C85">
            <w:pPr>
              <w:spacing w:line="360" w:lineRule="auto"/>
              <w:jc w:val="center"/>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w:t>
            </w:r>
          </w:p>
        </w:tc>
        <w:tc>
          <w:tcPr>
            <w:tcW w:w="3661" w:type="dxa"/>
            <w:gridSpan w:val="2"/>
            <w:tcBorders>
              <w:top w:val="single" w:color="auto" w:sz="4" w:space="0"/>
              <w:bottom w:val="single" w:color="auto" w:sz="4" w:space="0"/>
            </w:tcBorders>
            <w:vAlign w:val="bottom"/>
          </w:tcPr>
          <w:p w14:paraId="12B5CB23">
            <w:pPr>
              <w:spacing w:line="360" w:lineRule="auto"/>
              <w:jc w:val="center"/>
              <w:rPr>
                <w:rFonts w:hint="eastAsia" w:ascii="宋体" w:hAnsi="宋体"/>
                <w:color w:val="000000" w:themeColor="text1"/>
                <w:sz w:val="24"/>
                <w:highlight w:val="none"/>
                <w14:textFill>
                  <w14:solidFill>
                    <w14:schemeClr w14:val="tx1"/>
                  </w14:solidFill>
                </w14:textFill>
              </w:rPr>
            </w:pPr>
          </w:p>
        </w:tc>
        <w:tc>
          <w:tcPr>
            <w:tcW w:w="2148" w:type="dxa"/>
            <w:vAlign w:val="bottom"/>
          </w:tcPr>
          <w:p w14:paraId="633EC69F">
            <w:pPr>
              <w:spacing w:line="360" w:lineRule="auto"/>
              <w:jc w:val="center"/>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(签字盖章)</w:t>
            </w:r>
          </w:p>
        </w:tc>
      </w:tr>
      <w:tr w14:paraId="41C8AEE3">
        <w:tblPrEx>
          <w:tblCellMar>
            <w:top w:w="0" w:type="dxa"/>
            <w:left w:w="108" w:type="dxa"/>
            <w:bottom w:w="0" w:type="dxa"/>
            <w:right w:w="108" w:type="dxa"/>
          </w:tblCellMar>
        </w:tblPrEx>
        <w:trPr>
          <w:trHeight w:val="1488" w:hRule="atLeast"/>
          <w:jc w:val="center"/>
        </w:trPr>
        <w:tc>
          <w:tcPr>
            <w:tcW w:w="1663" w:type="dxa"/>
            <w:vAlign w:val="bottom"/>
          </w:tcPr>
          <w:p w14:paraId="698A9E5F">
            <w:pPr>
              <w:spacing w:line="360" w:lineRule="auto"/>
              <w:jc w:val="distribute"/>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编制时间</w:t>
            </w:r>
          </w:p>
        </w:tc>
        <w:tc>
          <w:tcPr>
            <w:tcW w:w="481" w:type="dxa"/>
            <w:vAlign w:val="bottom"/>
          </w:tcPr>
          <w:p w14:paraId="05EA9023">
            <w:pPr>
              <w:spacing w:line="360" w:lineRule="auto"/>
              <w:jc w:val="center"/>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w:t>
            </w:r>
          </w:p>
        </w:tc>
        <w:tc>
          <w:tcPr>
            <w:tcW w:w="3661" w:type="dxa"/>
            <w:gridSpan w:val="2"/>
            <w:tcBorders>
              <w:top w:val="single" w:color="auto" w:sz="4" w:space="0"/>
              <w:bottom w:val="single" w:color="auto" w:sz="4" w:space="0"/>
            </w:tcBorders>
            <w:vAlign w:val="bottom"/>
          </w:tcPr>
          <w:p w14:paraId="12A8383A">
            <w:pPr>
              <w:spacing w:line="360" w:lineRule="auto"/>
              <w:jc w:val="center"/>
              <w:rPr>
                <w:rFonts w:hint="eastAsia" w:ascii="宋体" w:hAnsi="宋体"/>
                <w:color w:val="000000" w:themeColor="text1"/>
                <w:sz w:val="24"/>
                <w:highlight w:val="none"/>
                <w14:textFill>
                  <w14:solidFill>
                    <w14:schemeClr w14:val="tx1"/>
                  </w14:solidFill>
                </w14:textFill>
              </w:rPr>
            </w:pPr>
          </w:p>
        </w:tc>
        <w:tc>
          <w:tcPr>
            <w:tcW w:w="2148" w:type="dxa"/>
            <w:vAlign w:val="bottom"/>
          </w:tcPr>
          <w:p w14:paraId="5A81D4AC">
            <w:pPr>
              <w:spacing w:line="360" w:lineRule="auto"/>
              <w:jc w:val="center"/>
              <w:rPr>
                <w:rFonts w:hint="eastAsia" w:ascii="宋体" w:hAnsi="宋体"/>
                <w:color w:val="000000" w:themeColor="text1"/>
                <w:sz w:val="24"/>
                <w:highlight w:val="none"/>
                <w14:textFill>
                  <w14:solidFill>
                    <w14:schemeClr w14:val="tx1"/>
                  </w14:solidFill>
                </w14:textFill>
              </w:rPr>
            </w:pPr>
          </w:p>
        </w:tc>
      </w:tr>
    </w:tbl>
    <w:p w14:paraId="4AEA2397">
      <w:pPr>
        <w:rPr>
          <w:rStyle w:val="46"/>
          <w:rFonts w:ascii="Times New Roman" w:hAnsi="Times New Roman" w:eastAsia="宋体"/>
          <w:b w:val="0"/>
          <w:color w:val="000000" w:themeColor="text1"/>
          <w:highlight w:val="none"/>
          <w14:textFill>
            <w14:solidFill>
              <w14:schemeClr w14:val="tx1"/>
            </w14:solidFill>
          </w14:textFill>
        </w:rPr>
      </w:pPr>
    </w:p>
    <w:p w14:paraId="60863C11">
      <w:pPr>
        <w:rPr>
          <w:rStyle w:val="46"/>
          <w:rFonts w:ascii="Times New Roman" w:hAnsi="Times New Roman" w:eastAsia="宋体"/>
          <w:b w:val="0"/>
          <w:color w:val="000000" w:themeColor="text1"/>
          <w:highlight w:val="none"/>
          <w14:textFill>
            <w14:solidFill>
              <w14:schemeClr w14:val="tx1"/>
            </w14:solidFill>
          </w14:textFill>
        </w:rPr>
        <w:sectPr>
          <w:pgSz w:w="11907" w:h="16840"/>
          <w:pgMar w:top="1417" w:right="1701" w:bottom="1417" w:left="1701" w:header="850" w:footer="1134" w:gutter="0"/>
          <w:pgNumType w:fmt="decimal"/>
          <w:cols w:space="0" w:num="1"/>
          <w:rtlGutter w:val="0"/>
          <w:docGrid w:linePitch="312" w:charSpace="0"/>
        </w:sectPr>
      </w:pPr>
    </w:p>
    <w:p w14:paraId="04EA75D1">
      <w:pPr>
        <w:pStyle w:val="53"/>
        <w:spacing w:before="120"/>
        <w:rPr>
          <w:rStyle w:val="46"/>
          <w:rFonts w:ascii="Times New Roman" w:hAnsi="Times New Roman" w:eastAsia="宋体" w:cs="Times New Roman"/>
          <w:b/>
          <w:bCs w:val="0"/>
          <w:color w:val="000000" w:themeColor="text1"/>
          <w:szCs w:val="24"/>
          <w:highlight w:val="none"/>
          <w14:textFill>
            <w14:solidFill>
              <w14:schemeClr w14:val="tx1"/>
            </w14:solidFill>
          </w14:textFill>
        </w:rPr>
      </w:pPr>
      <w:r>
        <w:rPr>
          <w:rStyle w:val="46"/>
          <w:rFonts w:ascii="Times New Roman" w:hAnsi="Times New Roman" w:eastAsia="宋体" w:cs="Times New Roman"/>
          <w:b/>
          <w:bCs w:val="0"/>
          <w:color w:val="000000" w:themeColor="text1"/>
          <w:szCs w:val="24"/>
          <w:highlight w:val="none"/>
          <w14:textFill>
            <w14:solidFill>
              <w14:schemeClr w14:val="tx1"/>
            </w14:solidFill>
          </w14:textFill>
        </w:rPr>
        <w:t>格式</w:t>
      </w:r>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6</w:t>
      </w:r>
      <w:r>
        <w:rPr>
          <w:rStyle w:val="46"/>
          <w:rFonts w:ascii="Times New Roman" w:hAnsi="Times New Roman" w:eastAsia="宋体" w:cs="Times New Roman"/>
          <w:b/>
          <w:bCs w:val="0"/>
          <w:color w:val="000000" w:themeColor="text1"/>
          <w:szCs w:val="24"/>
          <w:highlight w:val="none"/>
          <w14:textFill>
            <w14:solidFill>
              <w14:schemeClr w14:val="tx1"/>
            </w14:solidFill>
          </w14:textFill>
        </w:rPr>
        <w:t xml:space="preserve">  </w:t>
      </w:r>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工程量清单报价格式见第五篇第二章相应格式</w:t>
      </w:r>
    </w:p>
    <w:p w14:paraId="31B67A7D">
      <w:pPr>
        <w:rPr>
          <w:color w:val="000000" w:themeColor="text1"/>
          <w:highlight w:val="none"/>
          <w14:textFill>
            <w14:solidFill>
              <w14:schemeClr w14:val="tx1"/>
            </w14:solidFill>
          </w14:textFill>
        </w:rPr>
      </w:pPr>
    </w:p>
    <w:p w14:paraId="4085E3A7">
      <w:pPr>
        <w:rPr>
          <w:color w:val="000000" w:themeColor="text1"/>
          <w:highlight w:val="none"/>
          <w14:textFill>
            <w14:solidFill>
              <w14:schemeClr w14:val="tx1"/>
            </w14:solidFill>
          </w14:textFill>
        </w:rPr>
      </w:pPr>
    </w:p>
    <w:p w14:paraId="6B7B5A21">
      <w:pPr>
        <w:rPr>
          <w:rStyle w:val="46"/>
          <w:rFonts w:ascii="Times New Roman" w:hAnsi="Times New Roman" w:eastAsia="宋体"/>
          <w:color w:val="000000" w:themeColor="text1"/>
          <w:sz w:val="28"/>
          <w:szCs w:val="28"/>
          <w:highlight w:val="none"/>
          <w14:textFill>
            <w14:solidFill>
              <w14:schemeClr w14:val="tx1"/>
            </w14:solidFill>
          </w14:textFill>
        </w:rPr>
      </w:pPr>
      <w:r>
        <w:rPr>
          <w:rStyle w:val="46"/>
          <w:rFonts w:hint="eastAsia" w:ascii="Times New Roman" w:hAnsi="Times New Roman" w:eastAsia="宋体"/>
          <w:color w:val="000000" w:themeColor="text1"/>
          <w:sz w:val="28"/>
          <w:szCs w:val="28"/>
          <w:highlight w:val="none"/>
          <w14:textFill>
            <w14:solidFill>
              <w14:schemeClr w14:val="tx1"/>
            </w14:solidFill>
          </w14:textFill>
        </w:rPr>
        <w:t>报价格式见第五篇第二章相应格式</w:t>
      </w:r>
    </w:p>
    <w:p w14:paraId="763D835E">
      <w:pPr>
        <w:rPr>
          <w:color w:val="000000" w:themeColor="text1"/>
          <w:highlight w:val="none"/>
          <w14:textFill>
            <w14:solidFill>
              <w14:schemeClr w14:val="tx1"/>
            </w14:solidFill>
          </w14:textFill>
        </w:rPr>
      </w:pPr>
    </w:p>
    <w:p w14:paraId="30E5B632">
      <w:pPr>
        <w:rPr>
          <w:color w:val="000000" w:themeColor="text1"/>
          <w:highlight w:val="none"/>
          <w14:textFill>
            <w14:solidFill>
              <w14:schemeClr w14:val="tx1"/>
            </w14:solidFill>
          </w14:textFill>
        </w:rPr>
      </w:pPr>
    </w:p>
    <w:p w14:paraId="778B582E">
      <w:pPr>
        <w:rPr>
          <w:color w:val="000000" w:themeColor="text1"/>
          <w:highlight w:val="none"/>
          <w14:textFill>
            <w14:solidFill>
              <w14:schemeClr w14:val="tx1"/>
            </w14:solidFill>
          </w14:textFill>
        </w:rPr>
      </w:pPr>
    </w:p>
    <w:p w14:paraId="37C2C982">
      <w:pPr>
        <w:rPr>
          <w:color w:val="000000" w:themeColor="text1"/>
          <w:highlight w:val="none"/>
          <w14:textFill>
            <w14:solidFill>
              <w14:schemeClr w14:val="tx1"/>
            </w14:solidFill>
          </w14:textFill>
        </w:rPr>
      </w:pPr>
    </w:p>
    <w:p w14:paraId="46B9502D">
      <w:pPr>
        <w:rPr>
          <w:color w:val="000000" w:themeColor="text1"/>
          <w:highlight w:val="none"/>
          <w14:textFill>
            <w14:solidFill>
              <w14:schemeClr w14:val="tx1"/>
            </w14:solidFill>
          </w14:textFill>
        </w:rPr>
      </w:pPr>
    </w:p>
    <w:p w14:paraId="4E45A0EB">
      <w:pPr>
        <w:rPr>
          <w:color w:val="000000" w:themeColor="text1"/>
          <w:highlight w:val="none"/>
          <w14:textFill>
            <w14:solidFill>
              <w14:schemeClr w14:val="tx1"/>
            </w14:solidFill>
          </w14:textFill>
        </w:rPr>
      </w:pPr>
    </w:p>
    <w:p w14:paraId="603B37A7">
      <w:pPr>
        <w:rPr>
          <w:color w:val="000000" w:themeColor="text1"/>
          <w:highlight w:val="none"/>
          <w14:textFill>
            <w14:solidFill>
              <w14:schemeClr w14:val="tx1"/>
            </w14:solidFill>
          </w14:textFill>
        </w:rPr>
      </w:pPr>
    </w:p>
    <w:p w14:paraId="5AD2EB2A">
      <w:pPr>
        <w:rPr>
          <w:color w:val="000000" w:themeColor="text1"/>
          <w:highlight w:val="none"/>
          <w14:textFill>
            <w14:solidFill>
              <w14:schemeClr w14:val="tx1"/>
            </w14:solidFill>
          </w14:textFill>
        </w:rPr>
      </w:pPr>
    </w:p>
    <w:p w14:paraId="6894A0DE">
      <w:pPr>
        <w:rPr>
          <w:color w:val="000000" w:themeColor="text1"/>
          <w:highlight w:val="none"/>
          <w14:textFill>
            <w14:solidFill>
              <w14:schemeClr w14:val="tx1"/>
            </w14:solidFill>
          </w14:textFill>
        </w:rPr>
      </w:pPr>
    </w:p>
    <w:p w14:paraId="1E341ADA">
      <w:pPr>
        <w:pStyle w:val="3"/>
        <w:spacing w:before="240" w:beforeLines="100" w:after="120" w:afterLines="50" w:line="360" w:lineRule="auto"/>
        <w:jc w:val="center"/>
        <w:rPr>
          <w:rStyle w:val="46"/>
          <w:rFonts w:ascii="Times New Roman" w:hAnsi="Times New Roman" w:eastAsia="宋体"/>
          <w:b/>
          <w:bCs/>
          <w:color w:val="000000" w:themeColor="text1"/>
          <w:sz w:val="28"/>
          <w:szCs w:val="28"/>
          <w:highlight w:val="none"/>
          <w14:textFill>
            <w14:solidFill>
              <w14:schemeClr w14:val="tx1"/>
            </w14:solidFill>
          </w14:textFill>
        </w:rPr>
        <w:sectPr>
          <w:pgSz w:w="11907" w:h="16840"/>
          <w:pgMar w:top="1417" w:right="1701" w:bottom="1417" w:left="1701" w:header="850" w:footer="1134" w:gutter="0"/>
          <w:pgNumType w:fmt="decimal"/>
          <w:cols w:space="0" w:num="1"/>
          <w:rtlGutter w:val="0"/>
          <w:docGrid w:linePitch="312" w:charSpace="0"/>
        </w:sectPr>
      </w:pPr>
    </w:p>
    <w:p w14:paraId="0D3C8F85">
      <w:pPr>
        <w:pStyle w:val="3"/>
        <w:spacing w:before="240" w:beforeLines="100" w:after="120" w:afterLines="50" w:line="360" w:lineRule="auto"/>
        <w:jc w:val="center"/>
        <w:rPr>
          <w:rStyle w:val="46"/>
          <w:rFonts w:ascii="Times New Roman" w:hAnsi="Times New Roman" w:eastAsia="宋体"/>
          <w:b/>
          <w:bCs w:val="0"/>
          <w:color w:val="000000" w:themeColor="text1"/>
          <w:sz w:val="32"/>
          <w:highlight w:val="none"/>
          <w14:textFill>
            <w14:solidFill>
              <w14:schemeClr w14:val="tx1"/>
            </w14:solidFill>
          </w14:textFill>
        </w:rPr>
      </w:pPr>
      <w:r>
        <w:rPr>
          <w:rStyle w:val="46"/>
          <w:rFonts w:ascii="Times New Roman" w:hAnsi="Times New Roman" w:eastAsia="宋体"/>
          <w:b/>
          <w:bCs w:val="0"/>
          <w:color w:val="000000" w:themeColor="text1"/>
          <w:sz w:val="32"/>
          <w:highlight w:val="none"/>
          <w14:textFill>
            <w14:solidFill>
              <w14:schemeClr w14:val="tx1"/>
            </w14:solidFill>
          </w14:textFill>
        </w:rPr>
        <w:t>第</w:t>
      </w:r>
      <w:r>
        <w:rPr>
          <w:rStyle w:val="46"/>
          <w:rFonts w:hint="eastAsia" w:ascii="Times New Roman" w:hAnsi="Times New Roman" w:eastAsia="宋体"/>
          <w:b/>
          <w:bCs w:val="0"/>
          <w:color w:val="000000" w:themeColor="text1"/>
          <w:sz w:val="32"/>
          <w:highlight w:val="none"/>
          <w14:textFill>
            <w14:solidFill>
              <w14:schemeClr w14:val="tx1"/>
            </w14:solidFill>
          </w14:textFill>
        </w:rPr>
        <w:t>二</w:t>
      </w:r>
      <w:r>
        <w:rPr>
          <w:rStyle w:val="46"/>
          <w:rFonts w:ascii="Times New Roman" w:hAnsi="Times New Roman" w:eastAsia="宋体"/>
          <w:b/>
          <w:bCs w:val="0"/>
          <w:color w:val="000000" w:themeColor="text1"/>
          <w:sz w:val="32"/>
          <w:highlight w:val="none"/>
          <w14:textFill>
            <w14:solidFill>
              <w14:schemeClr w14:val="tx1"/>
            </w14:solidFill>
          </w14:textFill>
        </w:rPr>
        <w:t xml:space="preserve">章 </w:t>
      </w:r>
      <w:r>
        <w:rPr>
          <w:rStyle w:val="46"/>
          <w:rFonts w:hint="eastAsia" w:ascii="Times New Roman" w:hAnsi="Times New Roman" w:eastAsia="宋体"/>
          <w:b/>
          <w:bCs w:val="0"/>
          <w:color w:val="000000" w:themeColor="text1"/>
          <w:sz w:val="32"/>
          <w:highlight w:val="none"/>
          <w14:textFill>
            <w14:solidFill>
              <w14:schemeClr w14:val="tx1"/>
            </w14:solidFill>
          </w14:textFill>
        </w:rPr>
        <w:t>商务</w:t>
      </w:r>
      <w:r>
        <w:rPr>
          <w:rStyle w:val="46"/>
          <w:rFonts w:ascii="Times New Roman" w:hAnsi="Times New Roman" w:eastAsia="宋体"/>
          <w:b/>
          <w:bCs w:val="0"/>
          <w:color w:val="000000" w:themeColor="text1"/>
          <w:sz w:val="32"/>
          <w:highlight w:val="none"/>
          <w14:textFill>
            <w14:solidFill>
              <w14:schemeClr w14:val="tx1"/>
            </w14:solidFill>
          </w14:textFill>
        </w:rPr>
        <w:t>部分</w:t>
      </w:r>
      <w:bookmarkEnd w:id="1827"/>
      <w:bookmarkEnd w:id="1828"/>
      <w:bookmarkEnd w:id="1829"/>
      <w:bookmarkEnd w:id="1830"/>
      <w:bookmarkEnd w:id="1831"/>
      <w:bookmarkEnd w:id="1832"/>
      <w:bookmarkEnd w:id="1833"/>
      <w:r>
        <w:rPr>
          <w:rStyle w:val="46"/>
          <w:rFonts w:ascii="Times New Roman" w:hAnsi="Times New Roman" w:eastAsia="宋体"/>
          <w:b/>
          <w:bCs w:val="0"/>
          <w:color w:val="000000" w:themeColor="text1"/>
          <w:sz w:val="32"/>
          <w:highlight w:val="none"/>
          <w14:textFill>
            <w14:solidFill>
              <w14:schemeClr w14:val="tx1"/>
            </w14:solidFill>
          </w14:textFill>
        </w:rPr>
        <w:t>格式</w:t>
      </w:r>
      <w:bookmarkEnd w:id="1834"/>
    </w:p>
    <w:p w14:paraId="675AA5F3">
      <w:pPr>
        <w:pStyle w:val="53"/>
        <w:spacing w:before="120"/>
        <w:rPr>
          <w:rStyle w:val="46"/>
          <w:rFonts w:ascii="Times New Roman" w:hAnsi="Times New Roman" w:eastAsia="宋体" w:cs="Times New Roman"/>
          <w:b/>
          <w:bCs w:val="0"/>
          <w:color w:val="000000" w:themeColor="text1"/>
          <w:szCs w:val="24"/>
          <w:highlight w:val="none"/>
          <w14:textFill>
            <w14:solidFill>
              <w14:schemeClr w14:val="tx1"/>
            </w14:solidFill>
          </w14:textFill>
        </w:rPr>
      </w:pPr>
      <w:r>
        <w:rPr>
          <w:rStyle w:val="46"/>
          <w:rFonts w:ascii="Times New Roman" w:hAnsi="Times New Roman" w:eastAsia="宋体" w:cs="Times New Roman"/>
          <w:b/>
          <w:bCs w:val="0"/>
          <w:color w:val="000000" w:themeColor="text1"/>
          <w:szCs w:val="24"/>
          <w:highlight w:val="none"/>
          <w14:textFill>
            <w14:solidFill>
              <w14:schemeClr w14:val="tx1"/>
            </w14:solidFill>
          </w14:textFill>
        </w:rPr>
        <w:t>格式</w:t>
      </w:r>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7</w:t>
      </w:r>
      <w:r>
        <w:rPr>
          <w:rStyle w:val="46"/>
          <w:rFonts w:ascii="Times New Roman" w:hAnsi="Times New Roman" w:eastAsia="宋体" w:cs="Times New Roman"/>
          <w:b/>
          <w:bCs w:val="0"/>
          <w:color w:val="000000" w:themeColor="text1"/>
          <w:szCs w:val="24"/>
          <w:highlight w:val="none"/>
          <w14:textFill>
            <w14:solidFill>
              <w14:schemeClr w14:val="tx1"/>
            </w14:solidFill>
          </w14:textFill>
        </w:rPr>
        <w:t xml:space="preserve">  拟投入本工程主要施工机械表</w:t>
      </w:r>
    </w:p>
    <w:p w14:paraId="1B9D43CE">
      <w:pPr>
        <w:spacing w:line="360" w:lineRule="auto"/>
        <w:jc w:val="center"/>
        <w:rPr>
          <w:color w:val="000000" w:themeColor="text1"/>
          <w:sz w:val="32"/>
          <w:szCs w:val="32"/>
          <w:highlight w:val="none"/>
          <w14:textFill>
            <w14:solidFill>
              <w14:schemeClr w14:val="tx1"/>
            </w14:solidFill>
          </w14:textFill>
        </w:rPr>
      </w:pPr>
      <w:bookmarkStart w:id="1857" w:name="_Toc18407870"/>
    </w:p>
    <w:p w14:paraId="7B3EF838">
      <w:pPr>
        <w:spacing w:line="360" w:lineRule="auto"/>
        <w:jc w:val="center"/>
        <w:rPr>
          <w:b/>
          <w:color w:val="000000" w:themeColor="text1"/>
          <w:sz w:val="28"/>
          <w:szCs w:val="28"/>
          <w:highlight w:val="none"/>
          <w14:textFill>
            <w14:solidFill>
              <w14:schemeClr w14:val="tx1"/>
            </w14:solidFill>
          </w14:textFill>
        </w:rPr>
      </w:pPr>
      <w:r>
        <w:rPr>
          <w:b/>
          <w:color w:val="000000" w:themeColor="text1"/>
          <w:sz w:val="28"/>
          <w:szCs w:val="28"/>
          <w:highlight w:val="none"/>
          <w14:textFill>
            <w14:solidFill>
              <w14:schemeClr w14:val="tx1"/>
            </w14:solidFill>
          </w14:textFill>
        </w:rPr>
        <w:t>拟投入本工程主要施工机械表</w:t>
      </w:r>
      <w:bookmarkEnd w:id="1857"/>
    </w:p>
    <w:tbl>
      <w:tblPr>
        <w:tblStyle w:val="31"/>
        <w:tblW w:w="882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15"/>
        <w:gridCol w:w="1013"/>
        <w:gridCol w:w="1071"/>
        <w:gridCol w:w="1359"/>
        <w:gridCol w:w="947"/>
        <w:gridCol w:w="756"/>
        <w:gridCol w:w="754"/>
        <w:gridCol w:w="702"/>
        <w:gridCol w:w="755"/>
        <w:gridCol w:w="851"/>
      </w:tblGrid>
      <w:tr w14:paraId="6A49C7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16" w:hRule="atLeast"/>
          <w:jc w:val="center"/>
        </w:trPr>
        <w:tc>
          <w:tcPr>
            <w:tcW w:w="615" w:type="dxa"/>
            <w:vMerge w:val="restart"/>
            <w:vAlign w:val="center"/>
          </w:tcPr>
          <w:p w14:paraId="39C57A00">
            <w:pPr>
              <w:adjustRightIn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序号</w:t>
            </w:r>
          </w:p>
        </w:tc>
        <w:tc>
          <w:tcPr>
            <w:tcW w:w="1013" w:type="dxa"/>
            <w:vMerge w:val="restart"/>
            <w:vAlign w:val="center"/>
          </w:tcPr>
          <w:p w14:paraId="67E61D00">
            <w:pPr>
              <w:adjustRightIn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机械</w:t>
            </w:r>
            <w:r>
              <w:rPr>
                <w:color w:val="000000" w:themeColor="text1"/>
                <w:kern w:val="0"/>
                <w:szCs w:val="21"/>
                <w:highlight w:val="none"/>
                <w14:textFill>
                  <w14:solidFill>
                    <w14:schemeClr w14:val="tx1"/>
                  </w14:solidFill>
                </w14:textFill>
              </w:rPr>
              <w:br w:type="textWrapping"/>
            </w:r>
            <w:r>
              <w:rPr>
                <w:color w:val="000000" w:themeColor="text1"/>
                <w:kern w:val="0"/>
                <w:szCs w:val="21"/>
                <w:highlight w:val="none"/>
                <w14:textFill>
                  <w14:solidFill>
                    <w14:schemeClr w14:val="tx1"/>
                  </w14:solidFill>
                </w14:textFill>
              </w:rPr>
              <w:t>名称</w:t>
            </w:r>
          </w:p>
        </w:tc>
        <w:tc>
          <w:tcPr>
            <w:tcW w:w="1071" w:type="dxa"/>
            <w:vMerge w:val="restart"/>
            <w:vAlign w:val="center"/>
          </w:tcPr>
          <w:p w14:paraId="01F38263">
            <w:pPr>
              <w:adjustRightIn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规格</w:t>
            </w:r>
            <w:r>
              <w:rPr>
                <w:color w:val="000000" w:themeColor="text1"/>
                <w:kern w:val="0"/>
                <w:szCs w:val="21"/>
                <w:highlight w:val="none"/>
                <w14:textFill>
                  <w14:solidFill>
                    <w14:schemeClr w14:val="tx1"/>
                  </w14:solidFill>
                </w14:textFill>
              </w:rPr>
              <w:br w:type="textWrapping"/>
            </w:r>
            <w:r>
              <w:rPr>
                <w:color w:val="000000" w:themeColor="text1"/>
                <w:kern w:val="0"/>
                <w:szCs w:val="21"/>
                <w:highlight w:val="none"/>
                <w14:textFill>
                  <w14:solidFill>
                    <w14:schemeClr w14:val="tx1"/>
                  </w14:solidFill>
                </w14:textFill>
              </w:rPr>
              <w:t>型号</w:t>
            </w:r>
          </w:p>
        </w:tc>
        <w:tc>
          <w:tcPr>
            <w:tcW w:w="1359" w:type="dxa"/>
            <w:vMerge w:val="restart"/>
            <w:vAlign w:val="center"/>
          </w:tcPr>
          <w:p w14:paraId="75DDCD54">
            <w:pPr>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额定功率(Kw)或容量(m3)或吨位(t)</w:t>
            </w:r>
          </w:p>
        </w:tc>
        <w:tc>
          <w:tcPr>
            <w:tcW w:w="947" w:type="dxa"/>
            <w:vMerge w:val="restart"/>
            <w:vAlign w:val="center"/>
          </w:tcPr>
          <w:p w14:paraId="591B06A7">
            <w:pPr>
              <w:adjustRightIn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厂牌及出厂时间</w:t>
            </w:r>
          </w:p>
        </w:tc>
        <w:tc>
          <w:tcPr>
            <w:tcW w:w="2967" w:type="dxa"/>
            <w:gridSpan w:val="4"/>
            <w:vAlign w:val="center"/>
          </w:tcPr>
          <w:p w14:paraId="7CDB1E3D">
            <w:pPr>
              <w:adjustRightIn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数量(台)</w:t>
            </w:r>
          </w:p>
        </w:tc>
        <w:tc>
          <w:tcPr>
            <w:tcW w:w="851" w:type="dxa"/>
            <w:vMerge w:val="restart"/>
            <w:vAlign w:val="center"/>
          </w:tcPr>
          <w:p w14:paraId="7D2407BD">
            <w:pPr>
              <w:adjustRightInd w:val="0"/>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新旧</w:t>
            </w:r>
            <w:r>
              <w:rPr>
                <w:color w:val="000000" w:themeColor="text1"/>
                <w:kern w:val="0"/>
                <w:szCs w:val="21"/>
                <w:highlight w:val="none"/>
                <w14:textFill>
                  <w14:solidFill>
                    <w14:schemeClr w14:val="tx1"/>
                  </w14:solidFill>
                </w14:textFill>
              </w:rPr>
              <w:t>程度</w:t>
            </w:r>
            <w:r>
              <w:rPr>
                <w:color w:val="000000" w:themeColor="text1"/>
                <w:szCs w:val="21"/>
                <w:highlight w:val="none"/>
                <w14:textFill>
                  <w14:solidFill>
                    <w14:schemeClr w14:val="tx1"/>
                  </w14:solidFill>
                </w14:textFill>
              </w:rPr>
              <w:t>(%)</w:t>
            </w:r>
          </w:p>
        </w:tc>
      </w:tr>
      <w:tr w14:paraId="3955BA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615" w:type="dxa"/>
            <w:vMerge w:val="continue"/>
          </w:tcPr>
          <w:p w14:paraId="2B89DECC">
            <w:pPr>
              <w:adjustRightInd w:val="0"/>
              <w:jc w:val="center"/>
              <w:rPr>
                <w:color w:val="000000" w:themeColor="text1"/>
                <w:kern w:val="0"/>
                <w:szCs w:val="21"/>
                <w:highlight w:val="none"/>
                <w14:textFill>
                  <w14:solidFill>
                    <w14:schemeClr w14:val="tx1"/>
                  </w14:solidFill>
                </w14:textFill>
              </w:rPr>
            </w:pPr>
          </w:p>
        </w:tc>
        <w:tc>
          <w:tcPr>
            <w:tcW w:w="1013" w:type="dxa"/>
            <w:vMerge w:val="continue"/>
            <w:vAlign w:val="center"/>
          </w:tcPr>
          <w:p w14:paraId="63350030">
            <w:pPr>
              <w:adjustRightInd w:val="0"/>
              <w:jc w:val="center"/>
              <w:rPr>
                <w:color w:val="000000" w:themeColor="text1"/>
                <w:kern w:val="0"/>
                <w:szCs w:val="21"/>
                <w:highlight w:val="none"/>
                <w14:textFill>
                  <w14:solidFill>
                    <w14:schemeClr w14:val="tx1"/>
                  </w14:solidFill>
                </w14:textFill>
              </w:rPr>
            </w:pPr>
          </w:p>
        </w:tc>
        <w:tc>
          <w:tcPr>
            <w:tcW w:w="1071" w:type="dxa"/>
            <w:vMerge w:val="continue"/>
            <w:vAlign w:val="center"/>
          </w:tcPr>
          <w:p w14:paraId="0355279A">
            <w:pPr>
              <w:adjustRightInd w:val="0"/>
              <w:jc w:val="center"/>
              <w:rPr>
                <w:color w:val="000000" w:themeColor="text1"/>
                <w:kern w:val="0"/>
                <w:szCs w:val="21"/>
                <w:highlight w:val="none"/>
                <w14:textFill>
                  <w14:solidFill>
                    <w14:schemeClr w14:val="tx1"/>
                  </w14:solidFill>
                </w14:textFill>
              </w:rPr>
            </w:pPr>
          </w:p>
        </w:tc>
        <w:tc>
          <w:tcPr>
            <w:tcW w:w="1359" w:type="dxa"/>
            <w:vMerge w:val="continue"/>
            <w:vAlign w:val="center"/>
          </w:tcPr>
          <w:p w14:paraId="74DD0394">
            <w:pPr>
              <w:adjustRightInd w:val="0"/>
              <w:jc w:val="center"/>
              <w:rPr>
                <w:color w:val="000000" w:themeColor="text1"/>
                <w:kern w:val="0"/>
                <w:szCs w:val="21"/>
                <w:highlight w:val="none"/>
                <w14:textFill>
                  <w14:solidFill>
                    <w14:schemeClr w14:val="tx1"/>
                  </w14:solidFill>
                </w14:textFill>
              </w:rPr>
            </w:pPr>
          </w:p>
        </w:tc>
        <w:tc>
          <w:tcPr>
            <w:tcW w:w="947" w:type="dxa"/>
            <w:vMerge w:val="continue"/>
            <w:vAlign w:val="center"/>
          </w:tcPr>
          <w:p w14:paraId="5DDF2D4B">
            <w:pPr>
              <w:adjustRightInd w:val="0"/>
              <w:jc w:val="center"/>
              <w:rPr>
                <w:color w:val="000000" w:themeColor="text1"/>
                <w:kern w:val="0"/>
                <w:szCs w:val="21"/>
                <w:highlight w:val="none"/>
                <w14:textFill>
                  <w14:solidFill>
                    <w14:schemeClr w14:val="tx1"/>
                  </w14:solidFill>
                </w14:textFill>
              </w:rPr>
            </w:pPr>
          </w:p>
        </w:tc>
        <w:tc>
          <w:tcPr>
            <w:tcW w:w="756" w:type="dxa"/>
            <w:vMerge w:val="restart"/>
            <w:vAlign w:val="center"/>
          </w:tcPr>
          <w:p w14:paraId="55D96FA2">
            <w:pPr>
              <w:adjustRightIn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小计</w:t>
            </w:r>
          </w:p>
        </w:tc>
        <w:tc>
          <w:tcPr>
            <w:tcW w:w="2211" w:type="dxa"/>
            <w:gridSpan w:val="3"/>
            <w:vAlign w:val="center"/>
          </w:tcPr>
          <w:p w14:paraId="119C8E71">
            <w:pPr>
              <w:adjustRightIn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其中</w:t>
            </w:r>
          </w:p>
        </w:tc>
        <w:tc>
          <w:tcPr>
            <w:tcW w:w="851" w:type="dxa"/>
            <w:vMerge w:val="continue"/>
            <w:vAlign w:val="center"/>
          </w:tcPr>
          <w:p w14:paraId="3E1150CE">
            <w:pPr>
              <w:adjustRightInd w:val="0"/>
              <w:spacing w:line="360" w:lineRule="auto"/>
              <w:jc w:val="center"/>
              <w:rPr>
                <w:color w:val="000000" w:themeColor="text1"/>
                <w:szCs w:val="21"/>
                <w:highlight w:val="none"/>
                <w14:textFill>
                  <w14:solidFill>
                    <w14:schemeClr w14:val="tx1"/>
                  </w14:solidFill>
                </w14:textFill>
              </w:rPr>
            </w:pPr>
          </w:p>
        </w:tc>
      </w:tr>
      <w:tr w14:paraId="2469B7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1" w:hRule="atLeast"/>
          <w:jc w:val="center"/>
        </w:trPr>
        <w:tc>
          <w:tcPr>
            <w:tcW w:w="615" w:type="dxa"/>
            <w:vMerge w:val="continue"/>
          </w:tcPr>
          <w:p w14:paraId="28EC9E72">
            <w:pPr>
              <w:adjustRightInd w:val="0"/>
              <w:jc w:val="center"/>
              <w:rPr>
                <w:color w:val="000000" w:themeColor="text1"/>
                <w:kern w:val="0"/>
                <w:szCs w:val="21"/>
                <w:highlight w:val="none"/>
                <w14:textFill>
                  <w14:solidFill>
                    <w14:schemeClr w14:val="tx1"/>
                  </w14:solidFill>
                </w14:textFill>
              </w:rPr>
            </w:pPr>
          </w:p>
        </w:tc>
        <w:tc>
          <w:tcPr>
            <w:tcW w:w="1013" w:type="dxa"/>
            <w:vMerge w:val="continue"/>
            <w:vAlign w:val="center"/>
          </w:tcPr>
          <w:p w14:paraId="18874FF0">
            <w:pPr>
              <w:adjustRightInd w:val="0"/>
              <w:jc w:val="center"/>
              <w:rPr>
                <w:color w:val="000000" w:themeColor="text1"/>
                <w:kern w:val="0"/>
                <w:szCs w:val="21"/>
                <w:highlight w:val="none"/>
                <w14:textFill>
                  <w14:solidFill>
                    <w14:schemeClr w14:val="tx1"/>
                  </w14:solidFill>
                </w14:textFill>
              </w:rPr>
            </w:pPr>
          </w:p>
        </w:tc>
        <w:tc>
          <w:tcPr>
            <w:tcW w:w="1071" w:type="dxa"/>
            <w:vMerge w:val="continue"/>
            <w:vAlign w:val="center"/>
          </w:tcPr>
          <w:p w14:paraId="1A125978">
            <w:pPr>
              <w:adjustRightInd w:val="0"/>
              <w:jc w:val="center"/>
              <w:rPr>
                <w:color w:val="000000" w:themeColor="text1"/>
                <w:kern w:val="0"/>
                <w:szCs w:val="21"/>
                <w:highlight w:val="none"/>
                <w14:textFill>
                  <w14:solidFill>
                    <w14:schemeClr w14:val="tx1"/>
                  </w14:solidFill>
                </w14:textFill>
              </w:rPr>
            </w:pPr>
          </w:p>
        </w:tc>
        <w:tc>
          <w:tcPr>
            <w:tcW w:w="1359" w:type="dxa"/>
            <w:vMerge w:val="continue"/>
            <w:vAlign w:val="center"/>
          </w:tcPr>
          <w:p w14:paraId="4CFF1BAC">
            <w:pPr>
              <w:adjustRightInd w:val="0"/>
              <w:jc w:val="center"/>
              <w:rPr>
                <w:color w:val="000000" w:themeColor="text1"/>
                <w:kern w:val="0"/>
                <w:szCs w:val="21"/>
                <w:highlight w:val="none"/>
                <w14:textFill>
                  <w14:solidFill>
                    <w14:schemeClr w14:val="tx1"/>
                  </w14:solidFill>
                </w14:textFill>
              </w:rPr>
            </w:pPr>
          </w:p>
        </w:tc>
        <w:tc>
          <w:tcPr>
            <w:tcW w:w="947" w:type="dxa"/>
            <w:vMerge w:val="continue"/>
            <w:vAlign w:val="center"/>
          </w:tcPr>
          <w:p w14:paraId="71D56F78">
            <w:pPr>
              <w:adjustRightInd w:val="0"/>
              <w:jc w:val="center"/>
              <w:rPr>
                <w:color w:val="000000" w:themeColor="text1"/>
                <w:kern w:val="0"/>
                <w:szCs w:val="21"/>
                <w:highlight w:val="none"/>
                <w14:textFill>
                  <w14:solidFill>
                    <w14:schemeClr w14:val="tx1"/>
                  </w14:solidFill>
                </w14:textFill>
              </w:rPr>
            </w:pPr>
          </w:p>
        </w:tc>
        <w:tc>
          <w:tcPr>
            <w:tcW w:w="756" w:type="dxa"/>
            <w:vMerge w:val="continue"/>
            <w:vAlign w:val="center"/>
          </w:tcPr>
          <w:p w14:paraId="24225491">
            <w:pPr>
              <w:adjustRightInd w:val="0"/>
              <w:jc w:val="center"/>
              <w:rPr>
                <w:color w:val="000000" w:themeColor="text1"/>
                <w:kern w:val="0"/>
                <w:szCs w:val="21"/>
                <w:highlight w:val="none"/>
                <w14:textFill>
                  <w14:solidFill>
                    <w14:schemeClr w14:val="tx1"/>
                  </w14:solidFill>
                </w14:textFill>
              </w:rPr>
            </w:pPr>
          </w:p>
        </w:tc>
        <w:tc>
          <w:tcPr>
            <w:tcW w:w="754" w:type="dxa"/>
            <w:vAlign w:val="center"/>
          </w:tcPr>
          <w:p w14:paraId="54130FD2">
            <w:pPr>
              <w:adjustRightIn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自有</w:t>
            </w:r>
          </w:p>
        </w:tc>
        <w:tc>
          <w:tcPr>
            <w:tcW w:w="702" w:type="dxa"/>
            <w:vAlign w:val="center"/>
          </w:tcPr>
          <w:p w14:paraId="7A52E0A0">
            <w:pPr>
              <w:adjustRightIn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新购</w:t>
            </w:r>
          </w:p>
        </w:tc>
        <w:tc>
          <w:tcPr>
            <w:tcW w:w="755" w:type="dxa"/>
            <w:vAlign w:val="center"/>
          </w:tcPr>
          <w:p w14:paraId="58804532">
            <w:pPr>
              <w:adjustRightInd w:val="0"/>
              <w:jc w:val="center"/>
              <w:rPr>
                <w:color w:val="000000" w:themeColor="text1"/>
                <w:kern w:val="0"/>
                <w:szCs w:val="21"/>
                <w:highlight w:val="none"/>
                <w14:textFill>
                  <w14:solidFill>
                    <w14:schemeClr w14:val="tx1"/>
                  </w14:solidFill>
                </w14:textFill>
              </w:rPr>
            </w:pPr>
            <w:r>
              <w:rPr>
                <w:color w:val="000000" w:themeColor="text1"/>
                <w:kern w:val="0"/>
                <w:szCs w:val="21"/>
                <w:highlight w:val="none"/>
                <w14:textFill>
                  <w14:solidFill>
                    <w14:schemeClr w14:val="tx1"/>
                  </w14:solidFill>
                </w14:textFill>
              </w:rPr>
              <w:t>租赁</w:t>
            </w:r>
          </w:p>
        </w:tc>
        <w:tc>
          <w:tcPr>
            <w:tcW w:w="851" w:type="dxa"/>
            <w:vMerge w:val="continue"/>
            <w:vAlign w:val="center"/>
          </w:tcPr>
          <w:p w14:paraId="4BEB7EBB">
            <w:pPr>
              <w:adjustRightInd w:val="0"/>
              <w:spacing w:line="360" w:lineRule="auto"/>
              <w:jc w:val="center"/>
              <w:rPr>
                <w:color w:val="000000" w:themeColor="text1"/>
                <w:szCs w:val="21"/>
                <w:highlight w:val="none"/>
                <w14:textFill>
                  <w14:solidFill>
                    <w14:schemeClr w14:val="tx1"/>
                  </w14:solidFill>
                </w14:textFill>
              </w:rPr>
            </w:pPr>
          </w:p>
        </w:tc>
      </w:tr>
      <w:tr w14:paraId="23C8F3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06B2AFF5">
            <w:pPr>
              <w:spacing w:line="360" w:lineRule="auto"/>
              <w:jc w:val="center"/>
              <w:rPr>
                <w:color w:val="000000" w:themeColor="text1"/>
                <w:szCs w:val="21"/>
                <w:highlight w:val="none"/>
                <w14:textFill>
                  <w14:solidFill>
                    <w14:schemeClr w14:val="tx1"/>
                  </w14:solidFill>
                </w14:textFill>
              </w:rPr>
            </w:pPr>
          </w:p>
        </w:tc>
        <w:tc>
          <w:tcPr>
            <w:tcW w:w="1013" w:type="dxa"/>
            <w:vAlign w:val="center"/>
          </w:tcPr>
          <w:p w14:paraId="1014EB6D">
            <w:pPr>
              <w:spacing w:line="360" w:lineRule="auto"/>
              <w:jc w:val="center"/>
              <w:rPr>
                <w:color w:val="000000" w:themeColor="text1"/>
                <w:szCs w:val="21"/>
                <w:highlight w:val="none"/>
                <w14:textFill>
                  <w14:solidFill>
                    <w14:schemeClr w14:val="tx1"/>
                  </w14:solidFill>
                </w14:textFill>
              </w:rPr>
            </w:pPr>
          </w:p>
        </w:tc>
        <w:tc>
          <w:tcPr>
            <w:tcW w:w="1071" w:type="dxa"/>
            <w:vAlign w:val="center"/>
          </w:tcPr>
          <w:p w14:paraId="0D986887">
            <w:pPr>
              <w:adjustRightInd w:val="0"/>
              <w:spacing w:line="360" w:lineRule="auto"/>
              <w:jc w:val="center"/>
              <w:rPr>
                <w:color w:val="000000" w:themeColor="text1"/>
                <w:szCs w:val="21"/>
                <w:highlight w:val="none"/>
                <w14:textFill>
                  <w14:solidFill>
                    <w14:schemeClr w14:val="tx1"/>
                  </w14:solidFill>
                </w14:textFill>
              </w:rPr>
            </w:pPr>
          </w:p>
        </w:tc>
        <w:tc>
          <w:tcPr>
            <w:tcW w:w="1359" w:type="dxa"/>
            <w:vAlign w:val="center"/>
          </w:tcPr>
          <w:p w14:paraId="2AEEB1CD">
            <w:pPr>
              <w:adjustRightInd w:val="0"/>
              <w:spacing w:line="360" w:lineRule="auto"/>
              <w:jc w:val="center"/>
              <w:rPr>
                <w:color w:val="000000" w:themeColor="text1"/>
                <w:szCs w:val="21"/>
                <w:highlight w:val="none"/>
                <w14:textFill>
                  <w14:solidFill>
                    <w14:schemeClr w14:val="tx1"/>
                  </w14:solidFill>
                </w14:textFill>
              </w:rPr>
            </w:pPr>
          </w:p>
        </w:tc>
        <w:tc>
          <w:tcPr>
            <w:tcW w:w="947" w:type="dxa"/>
            <w:vAlign w:val="center"/>
          </w:tcPr>
          <w:p w14:paraId="2227C623">
            <w:pPr>
              <w:adjustRightInd w:val="0"/>
              <w:spacing w:line="360" w:lineRule="auto"/>
              <w:jc w:val="center"/>
              <w:rPr>
                <w:color w:val="000000" w:themeColor="text1"/>
                <w:szCs w:val="21"/>
                <w:highlight w:val="none"/>
                <w14:textFill>
                  <w14:solidFill>
                    <w14:schemeClr w14:val="tx1"/>
                  </w14:solidFill>
                </w14:textFill>
              </w:rPr>
            </w:pPr>
          </w:p>
        </w:tc>
        <w:tc>
          <w:tcPr>
            <w:tcW w:w="756" w:type="dxa"/>
            <w:vAlign w:val="center"/>
          </w:tcPr>
          <w:p w14:paraId="6AE8FD2F">
            <w:pPr>
              <w:adjustRightInd w:val="0"/>
              <w:spacing w:line="360" w:lineRule="auto"/>
              <w:jc w:val="center"/>
              <w:rPr>
                <w:color w:val="000000" w:themeColor="text1"/>
                <w:szCs w:val="21"/>
                <w:highlight w:val="none"/>
                <w14:textFill>
                  <w14:solidFill>
                    <w14:schemeClr w14:val="tx1"/>
                  </w14:solidFill>
                </w14:textFill>
              </w:rPr>
            </w:pPr>
          </w:p>
        </w:tc>
        <w:tc>
          <w:tcPr>
            <w:tcW w:w="754" w:type="dxa"/>
            <w:vAlign w:val="center"/>
          </w:tcPr>
          <w:p w14:paraId="0745F76D">
            <w:pPr>
              <w:adjustRightInd w:val="0"/>
              <w:spacing w:line="360" w:lineRule="auto"/>
              <w:jc w:val="center"/>
              <w:rPr>
                <w:color w:val="000000" w:themeColor="text1"/>
                <w:szCs w:val="21"/>
                <w:highlight w:val="none"/>
                <w14:textFill>
                  <w14:solidFill>
                    <w14:schemeClr w14:val="tx1"/>
                  </w14:solidFill>
                </w14:textFill>
              </w:rPr>
            </w:pPr>
          </w:p>
        </w:tc>
        <w:tc>
          <w:tcPr>
            <w:tcW w:w="702" w:type="dxa"/>
            <w:vAlign w:val="center"/>
          </w:tcPr>
          <w:p w14:paraId="2231D41C">
            <w:pPr>
              <w:adjustRightInd w:val="0"/>
              <w:spacing w:line="360" w:lineRule="auto"/>
              <w:jc w:val="center"/>
              <w:rPr>
                <w:color w:val="000000" w:themeColor="text1"/>
                <w:szCs w:val="21"/>
                <w:highlight w:val="none"/>
                <w14:textFill>
                  <w14:solidFill>
                    <w14:schemeClr w14:val="tx1"/>
                  </w14:solidFill>
                </w14:textFill>
              </w:rPr>
            </w:pPr>
          </w:p>
        </w:tc>
        <w:tc>
          <w:tcPr>
            <w:tcW w:w="755" w:type="dxa"/>
            <w:vAlign w:val="center"/>
          </w:tcPr>
          <w:p w14:paraId="6CA302E5">
            <w:pPr>
              <w:adjustRightInd w:val="0"/>
              <w:spacing w:line="360" w:lineRule="auto"/>
              <w:jc w:val="center"/>
              <w:rPr>
                <w:color w:val="000000" w:themeColor="text1"/>
                <w:szCs w:val="21"/>
                <w:highlight w:val="none"/>
                <w14:textFill>
                  <w14:solidFill>
                    <w14:schemeClr w14:val="tx1"/>
                  </w14:solidFill>
                </w14:textFill>
              </w:rPr>
            </w:pPr>
          </w:p>
        </w:tc>
        <w:tc>
          <w:tcPr>
            <w:tcW w:w="851" w:type="dxa"/>
            <w:vAlign w:val="center"/>
          </w:tcPr>
          <w:p w14:paraId="44B30B65">
            <w:pPr>
              <w:adjustRightInd w:val="0"/>
              <w:spacing w:line="360" w:lineRule="auto"/>
              <w:jc w:val="center"/>
              <w:rPr>
                <w:color w:val="000000" w:themeColor="text1"/>
                <w:szCs w:val="21"/>
                <w:highlight w:val="none"/>
                <w14:textFill>
                  <w14:solidFill>
                    <w14:schemeClr w14:val="tx1"/>
                  </w14:solidFill>
                </w14:textFill>
              </w:rPr>
            </w:pPr>
          </w:p>
        </w:tc>
      </w:tr>
      <w:tr w14:paraId="1331EC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6F2FF00B">
            <w:pPr>
              <w:spacing w:line="360" w:lineRule="auto"/>
              <w:jc w:val="center"/>
              <w:rPr>
                <w:color w:val="000000" w:themeColor="text1"/>
                <w:szCs w:val="21"/>
                <w:highlight w:val="none"/>
                <w14:textFill>
                  <w14:solidFill>
                    <w14:schemeClr w14:val="tx1"/>
                  </w14:solidFill>
                </w14:textFill>
              </w:rPr>
            </w:pPr>
          </w:p>
        </w:tc>
        <w:tc>
          <w:tcPr>
            <w:tcW w:w="1013" w:type="dxa"/>
            <w:vAlign w:val="center"/>
          </w:tcPr>
          <w:p w14:paraId="1D18C677">
            <w:pPr>
              <w:spacing w:line="360" w:lineRule="auto"/>
              <w:jc w:val="center"/>
              <w:rPr>
                <w:color w:val="000000" w:themeColor="text1"/>
                <w:szCs w:val="21"/>
                <w:highlight w:val="none"/>
                <w14:textFill>
                  <w14:solidFill>
                    <w14:schemeClr w14:val="tx1"/>
                  </w14:solidFill>
                </w14:textFill>
              </w:rPr>
            </w:pPr>
          </w:p>
        </w:tc>
        <w:tc>
          <w:tcPr>
            <w:tcW w:w="1071" w:type="dxa"/>
            <w:vAlign w:val="center"/>
          </w:tcPr>
          <w:p w14:paraId="5A828F6E">
            <w:pPr>
              <w:adjustRightInd w:val="0"/>
              <w:spacing w:line="360" w:lineRule="auto"/>
              <w:jc w:val="center"/>
              <w:rPr>
                <w:color w:val="000000" w:themeColor="text1"/>
                <w:szCs w:val="21"/>
                <w:highlight w:val="none"/>
                <w14:textFill>
                  <w14:solidFill>
                    <w14:schemeClr w14:val="tx1"/>
                  </w14:solidFill>
                </w14:textFill>
              </w:rPr>
            </w:pPr>
          </w:p>
        </w:tc>
        <w:tc>
          <w:tcPr>
            <w:tcW w:w="1359" w:type="dxa"/>
            <w:vAlign w:val="center"/>
          </w:tcPr>
          <w:p w14:paraId="5DC564BF">
            <w:pPr>
              <w:adjustRightInd w:val="0"/>
              <w:spacing w:line="360" w:lineRule="auto"/>
              <w:jc w:val="center"/>
              <w:rPr>
                <w:color w:val="000000" w:themeColor="text1"/>
                <w:szCs w:val="21"/>
                <w:highlight w:val="none"/>
                <w14:textFill>
                  <w14:solidFill>
                    <w14:schemeClr w14:val="tx1"/>
                  </w14:solidFill>
                </w14:textFill>
              </w:rPr>
            </w:pPr>
          </w:p>
        </w:tc>
        <w:tc>
          <w:tcPr>
            <w:tcW w:w="947" w:type="dxa"/>
            <w:vAlign w:val="center"/>
          </w:tcPr>
          <w:p w14:paraId="78B6E1E7">
            <w:pPr>
              <w:adjustRightInd w:val="0"/>
              <w:spacing w:line="360" w:lineRule="auto"/>
              <w:jc w:val="center"/>
              <w:rPr>
                <w:color w:val="000000" w:themeColor="text1"/>
                <w:szCs w:val="21"/>
                <w:highlight w:val="none"/>
                <w14:textFill>
                  <w14:solidFill>
                    <w14:schemeClr w14:val="tx1"/>
                  </w14:solidFill>
                </w14:textFill>
              </w:rPr>
            </w:pPr>
          </w:p>
        </w:tc>
        <w:tc>
          <w:tcPr>
            <w:tcW w:w="756" w:type="dxa"/>
            <w:vAlign w:val="center"/>
          </w:tcPr>
          <w:p w14:paraId="1B05580D">
            <w:pPr>
              <w:adjustRightInd w:val="0"/>
              <w:spacing w:line="360" w:lineRule="auto"/>
              <w:jc w:val="center"/>
              <w:rPr>
                <w:color w:val="000000" w:themeColor="text1"/>
                <w:szCs w:val="21"/>
                <w:highlight w:val="none"/>
                <w14:textFill>
                  <w14:solidFill>
                    <w14:schemeClr w14:val="tx1"/>
                  </w14:solidFill>
                </w14:textFill>
              </w:rPr>
            </w:pPr>
          </w:p>
        </w:tc>
        <w:tc>
          <w:tcPr>
            <w:tcW w:w="754" w:type="dxa"/>
            <w:vAlign w:val="center"/>
          </w:tcPr>
          <w:p w14:paraId="370FAB63">
            <w:pPr>
              <w:adjustRightInd w:val="0"/>
              <w:spacing w:line="360" w:lineRule="auto"/>
              <w:jc w:val="center"/>
              <w:rPr>
                <w:color w:val="000000" w:themeColor="text1"/>
                <w:szCs w:val="21"/>
                <w:highlight w:val="none"/>
                <w14:textFill>
                  <w14:solidFill>
                    <w14:schemeClr w14:val="tx1"/>
                  </w14:solidFill>
                </w14:textFill>
              </w:rPr>
            </w:pPr>
          </w:p>
        </w:tc>
        <w:tc>
          <w:tcPr>
            <w:tcW w:w="702" w:type="dxa"/>
            <w:vAlign w:val="center"/>
          </w:tcPr>
          <w:p w14:paraId="6F2EC56F">
            <w:pPr>
              <w:adjustRightInd w:val="0"/>
              <w:spacing w:line="360" w:lineRule="auto"/>
              <w:jc w:val="center"/>
              <w:rPr>
                <w:color w:val="000000" w:themeColor="text1"/>
                <w:szCs w:val="21"/>
                <w:highlight w:val="none"/>
                <w14:textFill>
                  <w14:solidFill>
                    <w14:schemeClr w14:val="tx1"/>
                  </w14:solidFill>
                </w14:textFill>
              </w:rPr>
            </w:pPr>
          </w:p>
        </w:tc>
        <w:tc>
          <w:tcPr>
            <w:tcW w:w="755" w:type="dxa"/>
            <w:vAlign w:val="center"/>
          </w:tcPr>
          <w:p w14:paraId="705936AC">
            <w:pPr>
              <w:adjustRightInd w:val="0"/>
              <w:spacing w:line="360" w:lineRule="auto"/>
              <w:jc w:val="center"/>
              <w:rPr>
                <w:color w:val="000000" w:themeColor="text1"/>
                <w:szCs w:val="21"/>
                <w:highlight w:val="none"/>
                <w14:textFill>
                  <w14:solidFill>
                    <w14:schemeClr w14:val="tx1"/>
                  </w14:solidFill>
                </w14:textFill>
              </w:rPr>
            </w:pPr>
          </w:p>
        </w:tc>
        <w:tc>
          <w:tcPr>
            <w:tcW w:w="851" w:type="dxa"/>
            <w:vAlign w:val="center"/>
          </w:tcPr>
          <w:p w14:paraId="29934E5C">
            <w:pPr>
              <w:adjustRightInd w:val="0"/>
              <w:spacing w:line="360" w:lineRule="auto"/>
              <w:jc w:val="center"/>
              <w:rPr>
                <w:color w:val="000000" w:themeColor="text1"/>
                <w:szCs w:val="21"/>
                <w:highlight w:val="none"/>
                <w14:textFill>
                  <w14:solidFill>
                    <w14:schemeClr w14:val="tx1"/>
                  </w14:solidFill>
                </w14:textFill>
              </w:rPr>
            </w:pPr>
          </w:p>
        </w:tc>
      </w:tr>
      <w:tr w14:paraId="2700DD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7D402783">
            <w:pPr>
              <w:spacing w:line="360" w:lineRule="auto"/>
              <w:jc w:val="center"/>
              <w:rPr>
                <w:color w:val="000000" w:themeColor="text1"/>
                <w:szCs w:val="21"/>
                <w:highlight w:val="none"/>
                <w14:textFill>
                  <w14:solidFill>
                    <w14:schemeClr w14:val="tx1"/>
                  </w14:solidFill>
                </w14:textFill>
              </w:rPr>
            </w:pPr>
          </w:p>
        </w:tc>
        <w:tc>
          <w:tcPr>
            <w:tcW w:w="1013" w:type="dxa"/>
            <w:vAlign w:val="center"/>
          </w:tcPr>
          <w:p w14:paraId="2138C082">
            <w:pPr>
              <w:spacing w:line="360" w:lineRule="auto"/>
              <w:jc w:val="center"/>
              <w:rPr>
                <w:color w:val="000000" w:themeColor="text1"/>
                <w:szCs w:val="21"/>
                <w:highlight w:val="none"/>
                <w14:textFill>
                  <w14:solidFill>
                    <w14:schemeClr w14:val="tx1"/>
                  </w14:solidFill>
                </w14:textFill>
              </w:rPr>
            </w:pPr>
          </w:p>
        </w:tc>
        <w:tc>
          <w:tcPr>
            <w:tcW w:w="1071" w:type="dxa"/>
            <w:vAlign w:val="center"/>
          </w:tcPr>
          <w:p w14:paraId="193DEEB4">
            <w:pPr>
              <w:spacing w:line="360" w:lineRule="auto"/>
              <w:jc w:val="center"/>
              <w:rPr>
                <w:color w:val="000000" w:themeColor="text1"/>
                <w:szCs w:val="21"/>
                <w:highlight w:val="none"/>
                <w14:textFill>
                  <w14:solidFill>
                    <w14:schemeClr w14:val="tx1"/>
                  </w14:solidFill>
                </w14:textFill>
              </w:rPr>
            </w:pPr>
          </w:p>
        </w:tc>
        <w:tc>
          <w:tcPr>
            <w:tcW w:w="1359" w:type="dxa"/>
            <w:vAlign w:val="center"/>
          </w:tcPr>
          <w:p w14:paraId="77FB410F">
            <w:pPr>
              <w:spacing w:line="360" w:lineRule="auto"/>
              <w:jc w:val="center"/>
              <w:rPr>
                <w:color w:val="000000" w:themeColor="text1"/>
                <w:szCs w:val="21"/>
                <w:highlight w:val="none"/>
                <w14:textFill>
                  <w14:solidFill>
                    <w14:schemeClr w14:val="tx1"/>
                  </w14:solidFill>
                </w14:textFill>
              </w:rPr>
            </w:pPr>
          </w:p>
        </w:tc>
        <w:tc>
          <w:tcPr>
            <w:tcW w:w="947" w:type="dxa"/>
            <w:vAlign w:val="center"/>
          </w:tcPr>
          <w:p w14:paraId="7CFBDC33">
            <w:pPr>
              <w:spacing w:line="360" w:lineRule="auto"/>
              <w:jc w:val="center"/>
              <w:rPr>
                <w:color w:val="000000" w:themeColor="text1"/>
                <w:szCs w:val="21"/>
                <w:highlight w:val="none"/>
                <w14:textFill>
                  <w14:solidFill>
                    <w14:schemeClr w14:val="tx1"/>
                  </w14:solidFill>
                </w14:textFill>
              </w:rPr>
            </w:pPr>
          </w:p>
        </w:tc>
        <w:tc>
          <w:tcPr>
            <w:tcW w:w="756" w:type="dxa"/>
            <w:vAlign w:val="center"/>
          </w:tcPr>
          <w:p w14:paraId="653B8530">
            <w:pPr>
              <w:spacing w:line="360" w:lineRule="auto"/>
              <w:jc w:val="center"/>
              <w:rPr>
                <w:color w:val="000000" w:themeColor="text1"/>
                <w:szCs w:val="21"/>
                <w:highlight w:val="none"/>
                <w14:textFill>
                  <w14:solidFill>
                    <w14:schemeClr w14:val="tx1"/>
                  </w14:solidFill>
                </w14:textFill>
              </w:rPr>
            </w:pPr>
          </w:p>
        </w:tc>
        <w:tc>
          <w:tcPr>
            <w:tcW w:w="754" w:type="dxa"/>
            <w:vAlign w:val="center"/>
          </w:tcPr>
          <w:p w14:paraId="37717B99">
            <w:pPr>
              <w:spacing w:line="360" w:lineRule="auto"/>
              <w:jc w:val="center"/>
              <w:rPr>
                <w:color w:val="000000" w:themeColor="text1"/>
                <w:szCs w:val="21"/>
                <w:highlight w:val="none"/>
                <w14:textFill>
                  <w14:solidFill>
                    <w14:schemeClr w14:val="tx1"/>
                  </w14:solidFill>
                </w14:textFill>
              </w:rPr>
            </w:pPr>
          </w:p>
        </w:tc>
        <w:tc>
          <w:tcPr>
            <w:tcW w:w="702" w:type="dxa"/>
            <w:vAlign w:val="center"/>
          </w:tcPr>
          <w:p w14:paraId="179F6B69">
            <w:pPr>
              <w:spacing w:line="360" w:lineRule="auto"/>
              <w:jc w:val="center"/>
              <w:rPr>
                <w:color w:val="000000" w:themeColor="text1"/>
                <w:szCs w:val="21"/>
                <w:highlight w:val="none"/>
                <w14:textFill>
                  <w14:solidFill>
                    <w14:schemeClr w14:val="tx1"/>
                  </w14:solidFill>
                </w14:textFill>
              </w:rPr>
            </w:pPr>
          </w:p>
        </w:tc>
        <w:tc>
          <w:tcPr>
            <w:tcW w:w="755" w:type="dxa"/>
            <w:vAlign w:val="center"/>
          </w:tcPr>
          <w:p w14:paraId="59E851EA">
            <w:pPr>
              <w:spacing w:line="360" w:lineRule="auto"/>
              <w:jc w:val="center"/>
              <w:rPr>
                <w:color w:val="000000" w:themeColor="text1"/>
                <w:szCs w:val="21"/>
                <w:highlight w:val="none"/>
                <w14:textFill>
                  <w14:solidFill>
                    <w14:schemeClr w14:val="tx1"/>
                  </w14:solidFill>
                </w14:textFill>
              </w:rPr>
            </w:pPr>
          </w:p>
        </w:tc>
        <w:tc>
          <w:tcPr>
            <w:tcW w:w="851" w:type="dxa"/>
            <w:vAlign w:val="center"/>
          </w:tcPr>
          <w:p w14:paraId="409B75BE">
            <w:pPr>
              <w:spacing w:line="360" w:lineRule="auto"/>
              <w:jc w:val="center"/>
              <w:rPr>
                <w:color w:val="000000" w:themeColor="text1"/>
                <w:szCs w:val="21"/>
                <w:highlight w:val="none"/>
                <w14:textFill>
                  <w14:solidFill>
                    <w14:schemeClr w14:val="tx1"/>
                  </w14:solidFill>
                </w14:textFill>
              </w:rPr>
            </w:pPr>
          </w:p>
        </w:tc>
      </w:tr>
      <w:tr w14:paraId="19CDD9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674DC5A0">
            <w:pPr>
              <w:spacing w:line="360" w:lineRule="auto"/>
              <w:jc w:val="center"/>
              <w:rPr>
                <w:color w:val="000000" w:themeColor="text1"/>
                <w:szCs w:val="21"/>
                <w:highlight w:val="none"/>
                <w14:textFill>
                  <w14:solidFill>
                    <w14:schemeClr w14:val="tx1"/>
                  </w14:solidFill>
                </w14:textFill>
              </w:rPr>
            </w:pPr>
          </w:p>
        </w:tc>
        <w:tc>
          <w:tcPr>
            <w:tcW w:w="1013" w:type="dxa"/>
            <w:vAlign w:val="center"/>
          </w:tcPr>
          <w:p w14:paraId="2DA37BBE">
            <w:pPr>
              <w:spacing w:line="360" w:lineRule="auto"/>
              <w:jc w:val="center"/>
              <w:rPr>
                <w:color w:val="000000" w:themeColor="text1"/>
                <w:szCs w:val="21"/>
                <w:highlight w:val="none"/>
                <w14:textFill>
                  <w14:solidFill>
                    <w14:schemeClr w14:val="tx1"/>
                  </w14:solidFill>
                </w14:textFill>
              </w:rPr>
            </w:pPr>
          </w:p>
        </w:tc>
        <w:tc>
          <w:tcPr>
            <w:tcW w:w="1071" w:type="dxa"/>
            <w:vAlign w:val="center"/>
          </w:tcPr>
          <w:p w14:paraId="73CF0216">
            <w:pPr>
              <w:adjustRightInd w:val="0"/>
              <w:spacing w:line="360" w:lineRule="auto"/>
              <w:jc w:val="center"/>
              <w:rPr>
                <w:color w:val="000000" w:themeColor="text1"/>
                <w:szCs w:val="21"/>
                <w:highlight w:val="none"/>
                <w14:textFill>
                  <w14:solidFill>
                    <w14:schemeClr w14:val="tx1"/>
                  </w14:solidFill>
                </w14:textFill>
              </w:rPr>
            </w:pPr>
          </w:p>
        </w:tc>
        <w:tc>
          <w:tcPr>
            <w:tcW w:w="1359" w:type="dxa"/>
            <w:vAlign w:val="center"/>
          </w:tcPr>
          <w:p w14:paraId="678FEC91">
            <w:pPr>
              <w:adjustRightInd w:val="0"/>
              <w:spacing w:line="360" w:lineRule="auto"/>
              <w:jc w:val="center"/>
              <w:rPr>
                <w:color w:val="000000" w:themeColor="text1"/>
                <w:szCs w:val="21"/>
                <w:highlight w:val="none"/>
                <w14:textFill>
                  <w14:solidFill>
                    <w14:schemeClr w14:val="tx1"/>
                  </w14:solidFill>
                </w14:textFill>
              </w:rPr>
            </w:pPr>
          </w:p>
        </w:tc>
        <w:tc>
          <w:tcPr>
            <w:tcW w:w="947" w:type="dxa"/>
            <w:vAlign w:val="center"/>
          </w:tcPr>
          <w:p w14:paraId="17736A25">
            <w:pPr>
              <w:adjustRightInd w:val="0"/>
              <w:spacing w:line="360" w:lineRule="auto"/>
              <w:jc w:val="center"/>
              <w:rPr>
                <w:color w:val="000000" w:themeColor="text1"/>
                <w:szCs w:val="21"/>
                <w:highlight w:val="none"/>
                <w14:textFill>
                  <w14:solidFill>
                    <w14:schemeClr w14:val="tx1"/>
                  </w14:solidFill>
                </w14:textFill>
              </w:rPr>
            </w:pPr>
          </w:p>
        </w:tc>
        <w:tc>
          <w:tcPr>
            <w:tcW w:w="756" w:type="dxa"/>
            <w:vAlign w:val="center"/>
          </w:tcPr>
          <w:p w14:paraId="41BBBD65">
            <w:pPr>
              <w:adjustRightInd w:val="0"/>
              <w:spacing w:line="360" w:lineRule="auto"/>
              <w:jc w:val="center"/>
              <w:rPr>
                <w:color w:val="000000" w:themeColor="text1"/>
                <w:szCs w:val="21"/>
                <w:highlight w:val="none"/>
                <w14:textFill>
                  <w14:solidFill>
                    <w14:schemeClr w14:val="tx1"/>
                  </w14:solidFill>
                </w14:textFill>
              </w:rPr>
            </w:pPr>
          </w:p>
        </w:tc>
        <w:tc>
          <w:tcPr>
            <w:tcW w:w="754" w:type="dxa"/>
            <w:vAlign w:val="center"/>
          </w:tcPr>
          <w:p w14:paraId="5A5DAF1F">
            <w:pPr>
              <w:adjustRightInd w:val="0"/>
              <w:spacing w:line="360" w:lineRule="auto"/>
              <w:jc w:val="center"/>
              <w:rPr>
                <w:color w:val="000000" w:themeColor="text1"/>
                <w:szCs w:val="21"/>
                <w:highlight w:val="none"/>
                <w14:textFill>
                  <w14:solidFill>
                    <w14:schemeClr w14:val="tx1"/>
                  </w14:solidFill>
                </w14:textFill>
              </w:rPr>
            </w:pPr>
          </w:p>
        </w:tc>
        <w:tc>
          <w:tcPr>
            <w:tcW w:w="702" w:type="dxa"/>
            <w:vAlign w:val="center"/>
          </w:tcPr>
          <w:p w14:paraId="57141386">
            <w:pPr>
              <w:adjustRightInd w:val="0"/>
              <w:spacing w:line="360" w:lineRule="auto"/>
              <w:jc w:val="center"/>
              <w:rPr>
                <w:color w:val="000000" w:themeColor="text1"/>
                <w:szCs w:val="21"/>
                <w:highlight w:val="none"/>
                <w14:textFill>
                  <w14:solidFill>
                    <w14:schemeClr w14:val="tx1"/>
                  </w14:solidFill>
                </w14:textFill>
              </w:rPr>
            </w:pPr>
          </w:p>
        </w:tc>
        <w:tc>
          <w:tcPr>
            <w:tcW w:w="755" w:type="dxa"/>
            <w:vAlign w:val="center"/>
          </w:tcPr>
          <w:p w14:paraId="383DDEA9">
            <w:pPr>
              <w:adjustRightInd w:val="0"/>
              <w:spacing w:line="360" w:lineRule="auto"/>
              <w:jc w:val="center"/>
              <w:rPr>
                <w:color w:val="000000" w:themeColor="text1"/>
                <w:szCs w:val="21"/>
                <w:highlight w:val="none"/>
                <w14:textFill>
                  <w14:solidFill>
                    <w14:schemeClr w14:val="tx1"/>
                  </w14:solidFill>
                </w14:textFill>
              </w:rPr>
            </w:pPr>
          </w:p>
        </w:tc>
        <w:tc>
          <w:tcPr>
            <w:tcW w:w="851" w:type="dxa"/>
            <w:vAlign w:val="center"/>
          </w:tcPr>
          <w:p w14:paraId="3893D136">
            <w:pPr>
              <w:adjustRightInd w:val="0"/>
              <w:spacing w:line="360" w:lineRule="auto"/>
              <w:jc w:val="center"/>
              <w:rPr>
                <w:color w:val="000000" w:themeColor="text1"/>
                <w:szCs w:val="21"/>
                <w:highlight w:val="none"/>
                <w14:textFill>
                  <w14:solidFill>
                    <w14:schemeClr w14:val="tx1"/>
                  </w14:solidFill>
                </w14:textFill>
              </w:rPr>
            </w:pPr>
          </w:p>
        </w:tc>
      </w:tr>
      <w:tr w14:paraId="42A870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092F87F0">
            <w:pPr>
              <w:spacing w:line="360" w:lineRule="auto"/>
              <w:jc w:val="center"/>
              <w:rPr>
                <w:color w:val="000000" w:themeColor="text1"/>
                <w:szCs w:val="21"/>
                <w:highlight w:val="none"/>
                <w14:textFill>
                  <w14:solidFill>
                    <w14:schemeClr w14:val="tx1"/>
                  </w14:solidFill>
                </w14:textFill>
              </w:rPr>
            </w:pPr>
          </w:p>
        </w:tc>
        <w:tc>
          <w:tcPr>
            <w:tcW w:w="1013" w:type="dxa"/>
            <w:vAlign w:val="center"/>
          </w:tcPr>
          <w:p w14:paraId="7F7EC64B">
            <w:pPr>
              <w:spacing w:line="360" w:lineRule="auto"/>
              <w:jc w:val="center"/>
              <w:rPr>
                <w:color w:val="000000" w:themeColor="text1"/>
                <w:szCs w:val="21"/>
                <w:highlight w:val="none"/>
                <w14:textFill>
                  <w14:solidFill>
                    <w14:schemeClr w14:val="tx1"/>
                  </w14:solidFill>
                </w14:textFill>
              </w:rPr>
            </w:pPr>
          </w:p>
        </w:tc>
        <w:tc>
          <w:tcPr>
            <w:tcW w:w="1071" w:type="dxa"/>
            <w:vAlign w:val="center"/>
          </w:tcPr>
          <w:p w14:paraId="3D8A2FB8">
            <w:pPr>
              <w:adjustRightInd w:val="0"/>
              <w:spacing w:line="360" w:lineRule="auto"/>
              <w:jc w:val="center"/>
              <w:rPr>
                <w:color w:val="000000" w:themeColor="text1"/>
                <w:szCs w:val="21"/>
                <w:highlight w:val="none"/>
                <w14:textFill>
                  <w14:solidFill>
                    <w14:schemeClr w14:val="tx1"/>
                  </w14:solidFill>
                </w14:textFill>
              </w:rPr>
            </w:pPr>
          </w:p>
        </w:tc>
        <w:tc>
          <w:tcPr>
            <w:tcW w:w="1359" w:type="dxa"/>
            <w:vAlign w:val="center"/>
          </w:tcPr>
          <w:p w14:paraId="79558513">
            <w:pPr>
              <w:adjustRightInd w:val="0"/>
              <w:spacing w:line="360" w:lineRule="auto"/>
              <w:jc w:val="center"/>
              <w:rPr>
                <w:color w:val="000000" w:themeColor="text1"/>
                <w:szCs w:val="21"/>
                <w:highlight w:val="none"/>
                <w14:textFill>
                  <w14:solidFill>
                    <w14:schemeClr w14:val="tx1"/>
                  </w14:solidFill>
                </w14:textFill>
              </w:rPr>
            </w:pPr>
          </w:p>
        </w:tc>
        <w:tc>
          <w:tcPr>
            <w:tcW w:w="947" w:type="dxa"/>
            <w:vAlign w:val="center"/>
          </w:tcPr>
          <w:p w14:paraId="60DF24EF">
            <w:pPr>
              <w:adjustRightInd w:val="0"/>
              <w:spacing w:line="360" w:lineRule="auto"/>
              <w:jc w:val="center"/>
              <w:rPr>
                <w:color w:val="000000" w:themeColor="text1"/>
                <w:szCs w:val="21"/>
                <w:highlight w:val="none"/>
                <w14:textFill>
                  <w14:solidFill>
                    <w14:schemeClr w14:val="tx1"/>
                  </w14:solidFill>
                </w14:textFill>
              </w:rPr>
            </w:pPr>
          </w:p>
        </w:tc>
        <w:tc>
          <w:tcPr>
            <w:tcW w:w="756" w:type="dxa"/>
            <w:vAlign w:val="center"/>
          </w:tcPr>
          <w:p w14:paraId="6B98C88D">
            <w:pPr>
              <w:adjustRightInd w:val="0"/>
              <w:spacing w:line="360" w:lineRule="auto"/>
              <w:jc w:val="center"/>
              <w:rPr>
                <w:color w:val="000000" w:themeColor="text1"/>
                <w:szCs w:val="21"/>
                <w:highlight w:val="none"/>
                <w14:textFill>
                  <w14:solidFill>
                    <w14:schemeClr w14:val="tx1"/>
                  </w14:solidFill>
                </w14:textFill>
              </w:rPr>
            </w:pPr>
          </w:p>
        </w:tc>
        <w:tc>
          <w:tcPr>
            <w:tcW w:w="754" w:type="dxa"/>
            <w:vAlign w:val="center"/>
          </w:tcPr>
          <w:p w14:paraId="5F52C05B">
            <w:pPr>
              <w:adjustRightInd w:val="0"/>
              <w:spacing w:line="360" w:lineRule="auto"/>
              <w:jc w:val="center"/>
              <w:rPr>
                <w:color w:val="000000" w:themeColor="text1"/>
                <w:szCs w:val="21"/>
                <w:highlight w:val="none"/>
                <w14:textFill>
                  <w14:solidFill>
                    <w14:schemeClr w14:val="tx1"/>
                  </w14:solidFill>
                </w14:textFill>
              </w:rPr>
            </w:pPr>
          </w:p>
        </w:tc>
        <w:tc>
          <w:tcPr>
            <w:tcW w:w="702" w:type="dxa"/>
            <w:vAlign w:val="center"/>
          </w:tcPr>
          <w:p w14:paraId="04AA5C12">
            <w:pPr>
              <w:adjustRightInd w:val="0"/>
              <w:spacing w:line="360" w:lineRule="auto"/>
              <w:jc w:val="center"/>
              <w:rPr>
                <w:color w:val="000000" w:themeColor="text1"/>
                <w:szCs w:val="21"/>
                <w:highlight w:val="none"/>
                <w14:textFill>
                  <w14:solidFill>
                    <w14:schemeClr w14:val="tx1"/>
                  </w14:solidFill>
                </w14:textFill>
              </w:rPr>
            </w:pPr>
          </w:p>
        </w:tc>
        <w:tc>
          <w:tcPr>
            <w:tcW w:w="755" w:type="dxa"/>
            <w:vAlign w:val="center"/>
          </w:tcPr>
          <w:p w14:paraId="169ADF6E">
            <w:pPr>
              <w:adjustRightInd w:val="0"/>
              <w:spacing w:line="360" w:lineRule="auto"/>
              <w:jc w:val="center"/>
              <w:rPr>
                <w:color w:val="000000" w:themeColor="text1"/>
                <w:szCs w:val="21"/>
                <w:highlight w:val="none"/>
                <w14:textFill>
                  <w14:solidFill>
                    <w14:schemeClr w14:val="tx1"/>
                  </w14:solidFill>
                </w14:textFill>
              </w:rPr>
            </w:pPr>
          </w:p>
        </w:tc>
        <w:tc>
          <w:tcPr>
            <w:tcW w:w="851" w:type="dxa"/>
            <w:vAlign w:val="center"/>
          </w:tcPr>
          <w:p w14:paraId="4E7A3DFA">
            <w:pPr>
              <w:adjustRightInd w:val="0"/>
              <w:spacing w:line="360" w:lineRule="auto"/>
              <w:jc w:val="center"/>
              <w:rPr>
                <w:color w:val="000000" w:themeColor="text1"/>
                <w:szCs w:val="21"/>
                <w:highlight w:val="none"/>
                <w14:textFill>
                  <w14:solidFill>
                    <w14:schemeClr w14:val="tx1"/>
                  </w14:solidFill>
                </w14:textFill>
              </w:rPr>
            </w:pPr>
          </w:p>
        </w:tc>
      </w:tr>
      <w:tr w14:paraId="6A4E91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52EE89F9">
            <w:pPr>
              <w:adjustRightInd w:val="0"/>
              <w:spacing w:line="360" w:lineRule="auto"/>
              <w:jc w:val="center"/>
              <w:rPr>
                <w:color w:val="000000" w:themeColor="text1"/>
                <w:szCs w:val="21"/>
                <w:highlight w:val="none"/>
                <w14:textFill>
                  <w14:solidFill>
                    <w14:schemeClr w14:val="tx1"/>
                  </w14:solidFill>
                </w14:textFill>
              </w:rPr>
            </w:pPr>
          </w:p>
        </w:tc>
        <w:tc>
          <w:tcPr>
            <w:tcW w:w="1013" w:type="dxa"/>
            <w:vAlign w:val="center"/>
          </w:tcPr>
          <w:p w14:paraId="242FF704">
            <w:pPr>
              <w:adjustRightInd w:val="0"/>
              <w:spacing w:line="360" w:lineRule="auto"/>
              <w:jc w:val="center"/>
              <w:rPr>
                <w:color w:val="000000" w:themeColor="text1"/>
                <w:szCs w:val="21"/>
                <w:highlight w:val="none"/>
                <w14:textFill>
                  <w14:solidFill>
                    <w14:schemeClr w14:val="tx1"/>
                  </w14:solidFill>
                </w14:textFill>
              </w:rPr>
            </w:pPr>
          </w:p>
        </w:tc>
        <w:tc>
          <w:tcPr>
            <w:tcW w:w="1071" w:type="dxa"/>
            <w:vAlign w:val="center"/>
          </w:tcPr>
          <w:p w14:paraId="5F241AF6">
            <w:pPr>
              <w:adjustRightInd w:val="0"/>
              <w:spacing w:line="360" w:lineRule="auto"/>
              <w:jc w:val="center"/>
              <w:rPr>
                <w:color w:val="000000" w:themeColor="text1"/>
                <w:szCs w:val="21"/>
                <w:highlight w:val="none"/>
                <w14:textFill>
                  <w14:solidFill>
                    <w14:schemeClr w14:val="tx1"/>
                  </w14:solidFill>
                </w14:textFill>
              </w:rPr>
            </w:pPr>
          </w:p>
        </w:tc>
        <w:tc>
          <w:tcPr>
            <w:tcW w:w="1359" w:type="dxa"/>
            <w:vAlign w:val="center"/>
          </w:tcPr>
          <w:p w14:paraId="072B264A">
            <w:pPr>
              <w:adjustRightInd w:val="0"/>
              <w:spacing w:line="360" w:lineRule="auto"/>
              <w:jc w:val="center"/>
              <w:rPr>
                <w:color w:val="000000" w:themeColor="text1"/>
                <w:szCs w:val="21"/>
                <w:highlight w:val="none"/>
                <w14:textFill>
                  <w14:solidFill>
                    <w14:schemeClr w14:val="tx1"/>
                  </w14:solidFill>
                </w14:textFill>
              </w:rPr>
            </w:pPr>
          </w:p>
        </w:tc>
        <w:tc>
          <w:tcPr>
            <w:tcW w:w="947" w:type="dxa"/>
            <w:vAlign w:val="center"/>
          </w:tcPr>
          <w:p w14:paraId="1D688CF9">
            <w:pPr>
              <w:adjustRightInd w:val="0"/>
              <w:spacing w:line="360" w:lineRule="auto"/>
              <w:jc w:val="center"/>
              <w:rPr>
                <w:color w:val="000000" w:themeColor="text1"/>
                <w:szCs w:val="21"/>
                <w:highlight w:val="none"/>
                <w14:textFill>
                  <w14:solidFill>
                    <w14:schemeClr w14:val="tx1"/>
                  </w14:solidFill>
                </w14:textFill>
              </w:rPr>
            </w:pPr>
          </w:p>
        </w:tc>
        <w:tc>
          <w:tcPr>
            <w:tcW w:w="756" w:type="dxa"/>
            <w:vAlign w:val="center"/>
          </w:tcPr>
          <w:p w14:paraId="4EF4E6C0">
            <w:pPr>
              <w:adjustRightInd w:val="0"/>
              <w:spacing w:line="360" w:lineRule="auto"/>
              <w:jc w:val="center"/>
              <w:rPr>
                <w:color w:val="000000" w:themeColor="text1"/>
                <w:szCs w:val="21"/>
                <w:highlight w:val="none"/>
                <w14:textFill>
                  <w14:solidFill>
                    <w14:schemeClr w14:val="tx1"/>
                  </w14:solidFill>
                </w14:textFill>
              </w:rPr>
            </w:pPr>
          </w:p>
        </w:tc>
        <w:tc>
          <w:tcPr>
            <w:tcW w:w="754" w:type="dxa"/>
            <w:vAlign w:val="center"/>
          </w:tcPr>
          <w:p w14:paraId="244539BB">
            <w:pPr>
              <w:adjustRightInd w:val="0"/>
              <w:spacing w:line="360" w:lineRule="auto"/>
              <w:jc w:val="center"/>
              <w:rPr>
                <w:color w:val="000000" w:themeColor="text1"/>
                <w:szCs w:val="21"/>
                <w:highlight w:val="none"/>
                <w14:textFill>
                  <w14:solidFill>
                    <w14:schemeClr w14:val="tx1"/>
                  </w14:solidFill>
                </w14:textFill>
              </w:rPr>
            </w:pPr>
          </w:p>
        </w:tc>
        <w:tc>
          <w:tcPr>
            <w:tcW w:w="702" w:type="dxa"/>
            <w:vAlign w:val="center"/>
          </w:tcPr>
          <w:p w14:paraId="0EC47694">
            <w:pPr>
              <w:adjustRightInd w:val="0"/>
              <w:spacing w:line="360" w:lineRule="auto"/>
              <w:jc w:val="center"/>
              <w:rPr>
                <w:color w:val="000000" w:themeColor="text1"/>
                <w:szCs w:val="21"/>
                <w:highlight w:val="none"/>
                <w14:textFill>
                  <w14:solidFill>
                    <w14:schemeClr w14:val="tx1"/>
                  </w14:solidFill>
                </w14:textFill>
              </w:rPr>
            </w:pPr>
          </w:p>
        </w:tc>
        <w:tc>
          <w:tcPr>
            <w:tcW w:w="755" w:type="dxa"/>
            <w:vAlign w:val="center"/>
          </w:tcPr>
          <w:p w14:paraId="2205D5B9">
            <w:pPr>
              <w:adjustRightInd w:val="0"/>
              <w:spacing w:line="360" w:lineRule="auto"/>
              <w:jc w:val="center"/>
              <w:rPr>
                <w:color w:val="000000" w:themeColor="text1"/>
                <w:szCs w:val="21"/>
                <w:highlight w:val="none"/>
                <w14:textFill>
                  <w14:solidFill>
                    <w14:schemeClr w14:val="tx1"/>
                  </w14:solidFill>
                </w14:textFill>
              </w:rPr>
            </w:pPr>
          </w:p>
        </w:tc>
        <w:tc>
          <w:tcPr>
            <w:tcW w:w="851" w:type="dxa"/>
            <w:vAlign w:val="center"/>
          </w:tcPr>
          <w:p w14:paraId="54E4D866">
            <w:pPr>
              <w:adjustRightInd w:val="0"/>
              <w:spacing w:line="360" w:lineRule="auto"/>
              <w:jc w:val="center"/>
              <w:rPr>
                <w:color w:val="000000" w:themeColor="text1"/>
                <w:szCs w:val="21"/>
                <w:highlight w:val="none"/>
                <w14:textFill>
                  <w14:solidFill>
                    <w14:schemeClr w14:val="tx1"/>
                  </w14:solidFill>
                </w14:textFill>
              </w:rPr>
            </w:pPr>
          </w:p>
        </w:tc>
      </w:tr>
      <w:tr w14:paraId="7EEB7C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99" w:hRule="atLeast"/>
          <w:jc w:val="center"/>
        </w:trPr>
        <w:tc>
          <w:tcPr>
            <w:tcW w:w="615" w:type="dxa"/>
          </w:tcPr>
          <w:p w14:paraId="633A64A4">
            <w:pPr>
              <w:adjustRightInd w:val="0"/>
              <w:spacing w:line="360" w:lineRule="auto"/>
              <w:jc w:val="center"/>
              <w:rPr>
                <w:color w:val="000000" w:themeColor="text1"/>
                <w:szCs w:val="21"/>
                <w:highlight w:val="none"/>
                <w14:textFill>
                  <w14:solidFill>
                    <w14:schemeClr w14:val="tx1"/>
                  </w14:solidFill>
                </w14:textFill>
              </w:rPr>
            </w:pPr>
          </w:p>
        </w:tc>
        <w:tc>
          <w:tcPr>
            <w:tcW w:w="1013" w:type="dxa"/>
            <w:vAlign w:val="center"/>
          </w:tcPr>
          <w:p w14:paraId="5233C503">
            <w:pPr>
              <w:adjustRightInd w:val="0"/>
              <w:spacing w:line="360" w:lineRule="auto"/>
              <w:jc w:val="center"/>
              <w:rPr>
                <w:color w:val="000000" w:themeColor="text1"/>
                <w:szCs w:val="21"/>
                <w:highlight w:val="none"/>
                <w14:textFill>
                  <w14:solidFill>
                    <w14:schemeClr w14:val="tx1"/>
                  </w14:solidFill>
                </w14:textFill>
              </w:rPr>
            </w:pPr>
          </w:p>
        </w:tc>
        <w:tc>
          <w:tcPr>
            <w:tcW w:w="1071" w:type="dxa"/>
            <w:vAlign w:val="center"/>
          </w:tcPr>
          <w:p w14:paraId="2719F156">
            <w:pPr>
              <w:adjustRightInd w:val="0"/>
              <w:spacing w:line="360" w:lineRule="auto"/>
              <w:jc w:val="center"/>
              <w:rPr>
                <w:color w:val="000000" w:themeColor="text1"/>
                <w:szCs w:val="21"/>
                <w:highlight w:val="none"/>
                <w14:textFill>
                  <w14:solidFill>
                    <w14:schemeClr w14:val="tx1"/>
                  </w14:solidFill>
                </w14:textFill>
              </w:rPr>
            </w:pPr>
          </w:p>
        </w:tc>
        <w:tc>
          <w:tcPr>
            <w:tcW w:w="1359" w:type="dxa"/>
            <w:vAlign w:val="center"/>
          </w:tcPr>
          <w:p w14:paraId="294C43A4">
            <w:pPr>
              <w:adjustRightInd w:val="0"/>
              <w:spacing w:line="360" w:lineRule="auto"/>
              <w:jc w:val="center"/>
              <w:rPr>
                <w:color w:val="000000" w:themeColor="text1"/>
                <w:szCs w:val="21"/>
                <w:highlight w:val="none"/>
                <w14:textFill>
                  <w14:solidFill>
                    <w14:schemeClr w14:val="tx1"/>
                  </w14:solidFill>
                </w14:textFill>
              </w:rPr>
            </w:pPr>
          </w:p>
        </w:tc>
        <w:tc>
          <w:tcPr>
            <w:tcW w:w="947" w:type="dxa"/>
            <w:vAlign w:val="center"/>
          </w:tcPr>
          <w:p w14:paraId="6DCBA46C">
            <w:pPr>
              <w:adjustRightInd w:val="0"/>
              <w:spacing w:line="360" w:lineRule="auto"/>
              <w:jc w:val="center"/>
              <w:rPr>
                <w:color w:val="000000" w:themeColor="text1"/>
                <w:szCs w:val="21"/>
                <w:highlight w:val="none"/>
                <w14:textFill>
                  <w14:solidFill>
                    <w14:schemeClr w14:val="tx1"/>
                  </w14:solidFill>
                </w14:textFill>
              </w:rPr>
            </w:pPr>
          </w:p>
        </w:tc>
        <w:tc>
          <w:tcPr>
            <w:tcW w:w="756" w:type="dxa"/>
            <w:vAlign w:val="center"/>
          </w:tcPr>
          <w:p w14:paraId="386FA5C4">
            <w:pPr>
              <w:adjustRightInd w:val="0"/>
              <w:spacing w:line="360" w:lineRule="auto"/>
              <w:jc w:val="center"/>
              <w:rPr>
                <w:color w:val="000000" w:themeColor="text1"/>
                <w:szCs w:val="21"/>
                <w:highlight w:val="none"/>
                <w14:textFill>
                  <w14:solidFill>
                    <w14:schemeClr w14:val="tx1"/>
                  </w14:solidFill>
                </w14:textFill>
              </w:rPr>
            </w:pPr>
          </w:p>
        </w:tc>
        <w:tc>
          <w:tcPr>
            <w:tcW w:w="754" w:type="dxa"/>
            <w:vAlign w:val="center"/>
          </w:tcPr>
          <w:p w14:paraId="2E3724A6">
            <w:pPr>
              <w:adjustRightInd w:val="0"/>
              <w:spacing w:line="360" w:lineRule="auto"/>
              <w:jc w:val="center"/>
              <w:rPr>
                <w:color w:val="000000" w:themeColor="text1"/>
                <w:szCs w:val="21"/>
                <w:highlight w:val="none"/>
                <w14:textFill>
                  <w14:solidFill>
                    <w14:schemeClr w14:val="tx1"/>
                  </w14:solidFill>
                </w14:textFill>
              </w:rPr>
            </w:pPr>
          </w:p>
        </w:tc>
        <w:tc>
          <w:tcPr>
            <w:tcW w:w="702" w:type="dxa"/>
            <w:vAlign w:val="center"/>
          </w:tcPr>
          <w:p w14:paraId="1485C2FB">
            <w:pPr>
              <w:adjustRightInd w:val="0"/>
              <w:spacing w:line="360" w:lineRule="auto"/>
              <w:jc w:val="center"/>
              <w:rPr>
                <w:color w:val="000000" w:themeColor="text1"/>
                <w:szCs w:val="21"/>
                <w:highlight w:val="none"/>
                <w14:textFill>
                  <w14:solidFill>
                    <w14:schemeClr w14:val="tx1"/>
                  </w14:solidFill>
                </w14:textFill>
              </w:rPr>
            </w:pPr>
          </w:p>
        </w:tc>
        <w:tc>
          <w:tcPr>
            <w:tcW w:w="755" w:type="dxa"/>
            <w:vAlign w:val="center"/>
          </w:tcPr>
          <w:p w14:paraId="6A95E661">
            <w:pPr>
              <w:adjustRightInd w:val="0"/>
              <w:spacing w:line="360" w:lineRule="auto"/>
              <w:jc w:val="center"/>
              <w:rPr>
                <w:color w:val="000000" w:themeColor="text1"/>
                <w:szCs w:val="21"/>
                <w:highlight w:val="none"/>
                <w14:textFill>
                  <w14:solidFill>
                    <w14:schemeClr w14:val="tx1"/>
                  </w14:solidFill>
                </w14:textFill>
              </w:rPr>
            </w:pPr>
          </w:p>
        </w:tc>
        <w:tc>
          <w:tcPr>
            <w:tcW w:w="851" w:type="dxa"/>
            <w:vAlign w:val="center"/>
          </w:tcPr>
          <w:p w14:paraId="13B41738">
            <w:pPr>
              <w:adjustRightInd w:val="0"/>
              <w:spacing w:line="360" w:lineRule="auto"/>
              <w:jc w:val="center"/>
              <w:rPr>
                <w:color w:val="000000" w:themeColor="text1"/>
                <w:szCs w:val="21"/>
                <w:highlight w:val="none"/>
                <w14:textFill>
                  <w14:solidFill>
                    <w14:schemeClr w14:val="tx1"/>
                  </w14:solidFill>
                </w14:textFill>
              </w:rPr>
            </w:pPr>
          </w:p>
        </w:tc>
      </w:tr>
      <w:tr w14:paraId="05D4BD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2B0523ED">
            <w:pPr>
              <w:adjustRightInd w:val="0"/>
              <w:spacing w:line="360" w:lineRule="auto"/>
              <w:jc w:val="center"/>
              <w:rPr>
                <w:color w:val="000000" w:themeColor="text1"/>
                <w:szCs w:val="21"/>
                <w:highlight w:val="none"/>
                <w14:textFill>
                  <w14:solidFill>
                    <w14:schemeClr w14:val="tx1"/>
                  </w14:solidFill>
                </w14:textFill>
              </w:rPr>
            </w:pPr>
          </w:p>
        </w:tc>
        <w:tc>
          <w:tcPr>
            <w:tcW w:w="1013" w:type="dxa"/>
            <w:vAlign w:val="center"/>
          </w:tcPr>
          <w:p w14:paraId="7F400858">
            <w:pPr>
              <w:adjustRightInd w:val="0"/>
              <w:spacing w:line="360" w:lineRule="auto"/>
              <w:jc w:val="center"/>
              <w:rPr>
                <w:color w:val="000000" w:themeColor="text1"/>
                <w:szCs w:val="21"/>
                <w:highlight w:val="none"/>
                <w14:textFill>
                  <w14:solidFill>
                    <w14:schemeClr w14:val="tx1"/>
                  </w14:solidFill>
                </w14:textFill>
              </w:rPr>
            </w:pPr>
          </w:p>
        </w:tc>
        <w:tc>
          <w:tcPr>
            <w:tcW w:w="1071" w:type="dxa"/>
            <w:vAlign w:val="center"/>
          </w:tcPr>
          <w:p w14:paraId="568D2296">
            <w:pPr>
              <w:adjustRightInd w:val="0"/>
              <w:spacing w:line="360" w:lineRule="auto"/>
              <w:jc w:val="center"/>
              <w:rPr>
                <w:color w:val="000000" w:themeColor="text1"/>
                <w:szCs w:val="21"/>
                <w:highlight w:val="none"/>
                <w14:textFill>
                  <w14:solidFill>
                    <w14:schemeClr w14:val="tx1"/>
                  </w14:solidFill>
                </w14:textFill>
              </w:rPr>
            </w:pPr>
          </w:p>
        </w:tc>
        <w:tc>
          <w:tcPr>
            <w:tcW w:w="1359" w:type="dxa"/>
            <w:vAlign w:val="center"/>
          </w:tcPr>
          <w:p w14:paraId="7F74AFD4">
            <w:pPr>
              <w:adjustRightInd w:val="0"/>
              <w:spacing w:line="360" w:lineRule="auto"/>
              <w:jc w:val="center"/>
              <w:rPr>
                <w:color w:val="000000" w:themeColor="text1"/>
                <w:szCs w:val="21"/>
                <w:highlight w:val="none"/>
                <w14:textFill>
                  <w14:solidFill>
                    <w14:schemeClr w14:val="tx1"/>
                  </w14:solidFill>
                </w14:textFill>
              </w:rPr>
            </w:pPr>
          </w:p>
        </w:tc>
        <w:tc>
          <w:tcPr>
            <w:tcW w:w="947" w:type="dxa"/>
            <w:vAlign w:val="center"/>
          </w:tcPr>
          <w:p w14:paraId="3A8A41F7">
            <w:pPr>
              <w:adjustRightInd w:val="0"/>
              <w:spacing w:line="360" w:lineRule="auto"/>
              <w:jc w:val="center"/>
              <w:rPr>
                <w:color w:val="000000" w:themeColor="text1"/>
                <w:szCs w:val="21"/>
                <w:highlight w:val="none"/>
                <w14:textFill>
                  <w14:solidFill>
                    <w14:schemeClr w14:val="tx1"/>
                  </w14:solidFill>
                </w14:textFill>
              </w:rPr>
            </w:pPr>
          </w:p>
        </w:tc>
        <w:tc>
          <w:tcPr>
            <w:tcW w:w="756" w:type="dxa"/>
            <w:vAlign w:val="center"/>
          </w:tcPr>
          <w:p w14:paraId="65117493">
            <w:pPr>
              <w:adjustRightInd w:val="0"/>
              <w:spacing w:line="360" w:lineRule="auto"/>
              <w:jc w:val="center"/>
              <w:rPr>
                <w:color w:val="000000" w:themeColor="text1"/>
                <w:szCs w:val="21"/>
                <w:highlight w:val="none"/>
                <w14:textFill>
                  <w14:solidFill>
                    <w14:schemeClr w14:val="tx1"/>
                  </w14:solidFill>
                </w14:textFill>
              </w:rPr>
            </w:pPr>
          </w:p>
        </w:tc>
        <w:tc>
          <w:tcPr>
            <w:tcW w:w="754" w:type="dxa"/>
            <w:vAlign w:val="center"/>
          </w:tcPr>
          <w:p w14:paraId="69B20F0E">
            <w:pPr>
              <w:adjustRightInd w:val="0"/>
              <w:spacing w:line="360" w:lineRule="auto"/>
              <w:jc w:val="center"/>
              <w:rPr>
                <w:color w:val="000000" w:themeColor="text1"/>
                <w:szCs w:val="21"/>
                <w:highlight w:val="none"/>
                <w14:textFill>
                  <w14:solidFill>
                    <w14:schemeClr w14:val="tx1"/>
                  </w14:solidFill>
                </w14:textFill>
              </w:rPr>
            </w:pPr>
          </w:p>
        </w:tc>
        <w:tc>
          <w:tcPr>
            <w:tcW w:w="702" w:type="dxa"/>
            <w:vAlign w:val="center"/>
          </w:tcPr>
          <w:p w14:paraId="6EF87C40">
            <w:pPr>
              <w:adjustRightInd w:val="0"/>
              <w:spacing w:line="360" w:lineRule="auto"/>
              <w:jc w:val="center"/>
              <w:rPr>
                <w:color w:val="000000" w:themeColor="text1"/>
                <w:szCs w:val="21"/>
                <w:highlight w:val="none"/>
                <w14:textFill>
                  <w14:solidFill>
                    <w14:schemeClr w14:val="tx1"/>
                  </w14:solidFill>
                </w14:textFill>
              </w:rPr>
            </w:pPr>
          </w:p>
        </w:tc>
        <w:tc>
          <w:tcPr>
            <w:tcW w:w="755" w:type="dxa"/>
            <w:vAlign w:val="center"/>
          </w:tcPr>
          <w:p w14:paraId="4DC3A03B">
            <w:pPr>
              <w:adjustRightInd w:val="0"/>
              <w:spacing w:line="360" w:lineRule="auto"/>
              <w:jc w:val="center"/>
              <w:rPr>
                <w:color w:val="000000" w:themeColor="text1"/>
                <w:szCs w:val="21"/>
                <w:highlight w:val="none"/>
                <w14:textFill>
                  <w14:solidFill>
                    <w14:schemeClr w14:val="tx1"/>
                  </w14:solidFill>
                </w14:textFill>
              </w:rPr>
            </w:pPr>
          </w:p>
        </w:tc>
        <w:tc>
          <w:tcPr>
            <w:tcW w:w="851" w:type="dxa"/>
            <w:vAlign w:val="center"/>
          </w:tcPr>
          <w:p w14:paraId="64E6D05F">
            <w:pPr>
              <w:adjustRightInd w:val="0"/>
              <w:spacing w:line="360" w:lineRule="auto"/>
              <w:jc w:val="center"/>
              <w:rPr>
                <w:color w:val="000000" w:themeColor="text1"/>
                <w:szCs w:val="21"/>
                <w:highlight w:val="none"/>
                <w14:textFill>
                  <w14:solidFill>
                    <w14:schemeClr w14:val="tx1"/>
                  </w14:solidFill>
                </w14:textFill>
              </w:rPr>
            </w:pPr>
          </w:p>
        </w:tc>
      </w:tr>
      <w:tr w14:paraId="2312F6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4D7C9425">
            <w:pPr>
              <w:adjustRightInd w:val="0"/>
              <w:spacing w:line="360" w:lineRule="auto"/>
              <w:jc w:val="center"/>
              <w:rPr>
                <w:color w:val="000000" w:themeColor="text1"/>
                <w:szCs w:val="21"/>
                <w:highlight w:val="none"/>
                <w14:textFill>
                  <w14:solidFill>
                    <w14:schemeClr w14:val="tx1"/>
                  </w14:solidFill>
                </w14:textFill>
              </w:rPr>
            </w:pPr>
          </w:p>
        </w:tc>
        <w:tc>
          <w:tcPr>
            <w:tcW w:w="1013" w:type="dxa"/>
            <w:vAlign w:val="center"/>
          </w:tcPr>
          <w:p w14:paraId="3F4C3F89">
            <w:pPr>
              <w:adjustRightInd w:val="0"/>
              <w:spacing w:line="360" w:lineRule="auto"/>
              <w:jc w:val="center"/>
              <w:rPr>
                <w:color w:val="000000" w:themeColor="text1"/>
                <w:szCs w:val="21"/>
                <w:highlight w:val="none"/>
                <w14:textFill>
                  <w14:solidFill>
                    <w14:schemeClr w14:val="tx1"/>
                  </w14:solidFill>
                </w14:textFill>
              </w:rPr>
            </w:pPr>
          </w:p>
        </w:tc>
        <w:tc>
          <w:tcPr>
            <w:tcW w:w="1071" w:type="dxa"/>
            <w:vAlign w:val="center"/>
          </w:tcPr>
          <w:p w14:paraId="6B2E3A6A">
            <w:pPr>
              <w:adjustRightInd w:val="0"/>
              <w:spacing w:line="360" w:lineRule="auto"/>
              <w:jc w:val="center"/>
              <w:rPr>
                <w:color w:val="000000" w:themeColor="text1"/>
                <w:szCs w:val="21"/>
                <w:highlight w:val="none"/>
                <w14:textFill>
                  <w14:solidFill>
                    <w14:schemeClr w14:val="tx1"/>
                  </w14:solidFill>
                </w14:textFill>
              </w:rPr>
            </w:pPr>
          </w:p>
        </w:tc>
        <w:tc>
          <w:tcPr>
            <w:tcW w:w="1359" w:type="dxa"/>
            <w:vAlign w:val="center"/>
          </w:tcPr>
          <w:p w14:paraId="6783F7EE">
            <w:pPr>
              <w:adjustRightInd w:val="0"/>
              <w:spacing w:line="360" w:lineRule="auto"/>
              <w:jc w:val="center"/>
              <w:rPr>
                <w:color w:val="000000" w:themeColor="text1"/>
                <w:szCs w:val="21"/>
                <w:highlight w:val="none"/>
                <w14:textFill>
                  <w14:solidFill>
                    <w14:schemeClr w14:val="tx1"/>
                  </w14:solidFill>
                </w14:textFill>
              </w:rPr>
            </w:pPr>
          </w:p>
        </w:tc>
        <w:tc>
          <w:tcPr>
            <w:tcW w:w="947" w:type="dxa"/>
            <w:vAlign w:val="center"/>
          </w:tcPr>
          <w:p w14:paraId="4CCB5661">
            <w:pPr>
              <w:adjustRightInd w:val="0"/>
              <w:spacing w:line="360" w:lineRule="auto"/>
              <w:jc w:val="center"/>
              <w:rPr>
                <w:color w:val="000000" w:themeColor="text1"/>
                <w:szCs w:val="21"/>
                <w:highlight w:val="none"/>
                <w14:textFill>
                  <w14:solidFill>
                    <w14:schemeClr w14:val="tx1"/>
                  </w14:solidFill>
                </w14:textFill>
              </w:rPr>
            </w:pPr>
          </w:p>
        </w:tc>
        <w:tc>
          <w:tcPr>
            <w:tcW w:w="756" w:type="dxa"/>
            <w:vAlign w:val="center"/>
          </w:tcPr>
          <w:p w14:paraId="2FBD96D0">
            <w:pPr>
              <w:adjustRightInd w:val="0"/>
              <w:spacing w:line="360" w:lineRule="auto"/>
              <w:jc w:val="center"/>
              <w:rPr>
                <w:color w:val="000000" w:themeColor="text1"/>
                <w:szCs w:val="21"/>
                <w:highlight w:val="none"/>
                <w14:textFill>
                  <w14:solidFill>
                    <w14:schemeClr w14:val="tx1"/>
                  </w14:solidFill>
                </w14:textFill>
              </w:rPr>
            </w:pPr>
          </w:p>
        </w:tc>
        <w:tc>
          <w:tcPr>
            <w:tcW w:w="754" w:type="dxa"/>
            <w:vAlign w:val="center"/>
          </w:tcPr>
          <w:p w14:paraId="174F7FA8">
            <w:pPr>
              <w:adjustRightInd w:val="0"/>
              <w:spacing w:line="360" w:lineRule="auto"/>
              <w:jc w:val="center"/>
              <w:rPr>
                <w:color w:val="000000" w:themeColor="text1"/>
                <w:szCs w:val="21"/>
                <w:highlight w:val="none"/>
                <w14:textFill>
                  <w14:solidFill>
                    <w14:schemeClr w14:val="tx1"/>
                  </w14:solidFill>
                </w14:textFill>
              </w:rPr>
            </w:pPr>
          </w:p>
        </w:tc>
        <w:tc>
          <w:tcPr>
            <w:tcW w:w="702" w:type="dxa"/>
            <w:vAlign w:val="center"/>
          </w:tcPr>
          <w:p w14:paraId="5FE11E8E">
            <w:pPr>
              <w:adjustRightInd w:val="0"/>
              <w:spacing w:line="360" w:lineRule="auto"/>
              <w:jc w:val="center"/>
              <w:rPr>
                <w:color w:val="000000" w:themeColor="text1"/>
                <w:szCs w:val="21"/>
                <w:highlight w:val="none"/>
                <w14:textFill>
                  <w14:solidFill>
                    <w14:schemeClr w14:val="tx1"/>
                  </w14:solidFill>
                </w14:textFill>
              </w:rPr>
            </w:pPr>
          </w:p>
        </w:tc>
        <w:tc>
          <w:tcPr>
            <w:tcW w:w="755" w:type="dxa"/>
            <w:vAlign w:val="center"/>
          </w:tcPr>
          <w:p w14:paraId="5A5E1536">
            <w:pPr>
              <w:adjustRightInd w:val="0"/>
              <w:spacing w:line="360" w:lineRule="auto"/>
              <w:jc w:val="center"/>
              <w:rPr>
                <w:color w:val="000000" w:themeColor="text1"/>
                <w:szCs w:val="21"/>
                <w:highlight w:val="none"/>
                <w14:textFill>
                  <w14:solidFill>
                    <w14:schemeClr w14:val="tx1"/>
                  </w14:solidFill>
                </w14:textFill>
              </w:rPr>
            </w:pPr>
          </w:p>
        </w:tc>
        <w:tc>
          <w:tcPr>
            <w:tcW w:w="851" w:type="dxa"/>
            <w:vAlign w:val="center"/>
          </w:tcPr>
          <w:p w14:paraId="66609A79">
            <w:pPr>
              <w:adjustRightInd w:val="0"/>
              <w:spacing w:line="360" w:lineRule="auto"/>
              <w:jc w:val="center"/>
              <w:rPr>
                <w:color w:val="000000" w:themeColor="text1"/>
                <w:szCs w:val="21"/>
                <w:highlight w:val="none"/>
                <w14:textFill>
                  <w14:solidFill>
                    <w14:schemeClr w14:val="tx1"/>
                  </w14:solidFill>
                </w14:textFill>
              </w:rPr>
            </w:pPr>
          </w:p>
        </w:tc>
      </w:tr>
      <w:tr w14:paraId="44834C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29812E0A">
            <w:pPr>
              <w:adjustRightInd w:val="0"/>
              <w:spacing w:line="360" w:lineRule="auto"/>
              <w:jc w:val="center"/>
              <w:rPr>
                <w:color w:val="000000" w:themeColor="text1"/>
                <w:szCs w:val="21"/>
                <w:highlight w:val="none"/>
                <w14:textFill>
                  <w14:solidFill>
                    <w14:schemeClr w14:val="tx1"/>
                  </w14:solidFill>
                </w14:textFill>
              </w:rPr>
            </w:pPr>
          </w:p>
        </w:tc>
        <w:tc>
          <w:tcPr>
            <w:tcW w:w="1013" w:type="dxa"/>
            <w:vAlign w:val="center"/>
          </w:tcPr>
          <w:p w14:paraId="5BD00594">
            <w:pPr>
              <w:adjustRightInd w:val="0"/>
              <w:spacing w:line="360" w:lineRule="auto"/>
              <w:jc w:val="center"/>
              <w:rPr>
                <w:color w:val="000000" w:themeColor="text1"/>
                <w:szCs w:val="21"/>
                <w:highlight w:val="none"/>
                <w14:textFill>
                  <w14:solidFill>
                    <w14:schemeClr w14:val="tx1"/>
                  </w14:solidFill>
                </w14:textFill>
              </w:rPr>
            </w:pPr>
          </w:p>
        </w:tc>
        <w:tc>
          <w:tcPr>
            <w:tcW w:w="1071" w:type="dxa"/>
            <w:vAlign w:val="center"/>
          </w:tcPr>
          <w:p w14:paraId="5672F7B3">
            <w:pPr>
              <w:adjustRightInd w:val="0"/>
              <w:spacing w:line="360" w:lineRule="auto"/>
              <w:jc w:val="center"/>
              <w:rPr>
                <w:color w:val="000000" w:themeColor="text1"/>
                <w:szCs w:val="21"/>
                <w:highlight w:val="none"/>
                <w14:textFill>
                  <w14:solidFill>
                    <w14:schemeClr w14:val="tx1"/>
                  </w14:solidFill>
                </w14:textFill>
              </w:rPr>
            </w:pPr>
          </w:p>
        </w:tc>
        <w:tc>
          <w:tcPr>
            <w:tcW w:w="1359" w:type="dxa"/>
            <w:vAlign w:val="center"/>
          </w:tcPr>
          <w:p w14:paraId="13956E50">
            <w:pPr>
              <w:adjustRightInd w:val="0"/>
              <w:spacing w:line="360" w:lineRule="auto"/>
              <w:jc w:val="center"/>
              <w:rPr>
                <w:color w:val="000000" w:themeColor="text1"/>
                <w:szCs w:val="21"/>
                <w:highlight w:val="none"/>
                <w14:textFill>
                  <w14:solidFill>
                    <w14:schemeClr w14:val="tx1"/>
                  </w14:solidFill>
                </w14:textFill>
              </w:rPr>
            </w:pPr>
          </w:p>
        </w:tc>
        <w:tc>
          <w:tcPr>
            <w:tcW w:w="947" w:type="dxa"/>
            <w:vAlign w:val="center"/>
          </w:tcPr>
          <w:p w14:paraId="66B5B632">
            <w:pPr>
              <w:adjustRightInd w:val="0"/>
              <w:spacing w:line="360" w:lineRule="auto"/>
              <w:jc w:val="center"/>
              <w:rPr>
                <w:color w:val="000000" w:themeColor="text1"/>
                <w:szCs w:val="21"/>
                <w:highlight w:val="none"/>
                <w14:textFill>
                  <w14:solidFill>
                    <w14:schemeClr w14:val="tx1"/>
                  </w14:solidFill>
                </w14:textFill>
              </w:rPr>
            </w:pPr>
          </w:p>
        </w:tc>
        <w:tc>
          <w:tcPr>
            <w:tcW w:w="756" w:type="dxa"/>
            <w:vAlign w:val="center"/>
          </w:tcPr>
          <w:p w14:paraId="641B92C6">
            <w:pPr>
              <w:adjustRightInd w:val="0"/>
              <w:spacing w:line="360" w:lineRule="auto"/>
              <w:jc w:val="center"/>
              <w:rPr>
                <w:color w:val="000000" w:themeColor="text1"/>
                <w:szCs w:val="21"/>
                <w:highlight w:val="none"/>
                <w14:textFill>
                  <w14:solidFill>
                    <w14:schemeClr w14:val="tx1"/>
                  </w14:solidFill>
                </w14:textFill>
              </w:rPr>
            </w:pPr>
          </w:p>
        </w:tc>
        <w:tc>
          <w:tcPr>
            <w:tcW w:w="754" w:type="dxa"/>
            <w:vAlign w:val="center"/>
          </w:tcPr>
          <w:p w14:paraId="10DAA461">
            <w:pPr>
              <w:adjustRightInd w:val="0"/>
              <w:spacing w:line="360" w:lineRule="auto"/>
              <w:jc w:val="center"/>
              <w:rPr>
                <w:color w:val="000000" w:themeColor="text1"/>
                <w:szCs w:val="21"/>
                <w:highlight w:val="none"/>
                <w14:textFill>
                  <w14:solidFill>
                    <w14:schemeClr w14:val="tx1"/>
                  </w14:solidFill>
                </w14:textFill>
              </w:rPr>
            </w:pPr>
          </w:p>
        </w:tc>
        <w:tc>
          <w:tcPr>
            <w:tcW w:w="702" w:type="dxa"/>
            <w:vAlign w:val="center"/>
          </w:tcPr>
          <w:p w14:paraId="2EE0C6AD">
            <w:pPr>
              <w:adjustRightInd w:val="0"/>
              <w:spacing w:line="360" w:lineRule="auto"/>
              <w:jc w:val="center"/>
              <w:rPr>
                <w:color w:val="000000" w:themeColor="text1"/>
                <w:szCs w:val="21"/>
                <w:highlight w:val="none"/>
                <w14:textFill>
                  <w14:solidFill>
                    <w14:schemeClr w14:val="tx1"/>
                  </w14:solidFill>
                </w14:textFill>
              </w:rPr>
            </w:pPr>
          </w:p>
        </w:tc>
        <w:tc>
          <w:tcPr>
            <w:tcW w:w="755" w:type="dxa"/>
            <w:vAlign w:val="center"/>
          </w:tcPr>
          <w:p w14:paraId="00329F7C">
            <w:pPr>
              <w:adjustRightInd w:val="0"/>
              <w:spacing w:line="360" w:lineRule="auto"/>
              <w:jc w:val="center"/>
              <w:rPr>
                <w:color w:val="000000" w:themeColor="text1"/>
                <w:szCs w:val="21"/>
                <w:highlight w:val="none"/>
                <w14:textFill>
                  <w14:solidFill>
                    <w14:schemeClr w14:val="tx1"/>
                  </w14:solidFill>
                </w14:textFill>
              </w:rPr>
            </w:pPr>
          </w:p>
        </w:tc>
        <w:tc>
          <w:tcPr>
            <w:tcW w:w="851" w:type="dxa"/>
            <w:vAlign w:val="center"/>
          </w:tcPr>
          <w:p w14:paraId="311D1A36">
            <w:pPr>
              <w:adjustRightInd w:val="0"/>
              <w:spacing w:line="360" w:lineRule="auto"/>
              <w:jc w:val="center"/>
              <w:rPr>
                <w:color w:val="000000" w:themeColor="text1"/>
                <w:szCs w:val="21"/>
                <w:highlight w:val="none"/>
                <w14:textFill>
                  <w14:solidFill>
                    <w14:schemeClr w14:val="tx1"/>
                  </w14:solidFill>
                </w14:textFill>
              </w:rPr>
            </w:pPr>
          </w:p>
        </w:tc>
      </w:tr>
      <w:tr w14:paraId="50286A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7C07A80A">
            <w:pPr>
              <w:adjustRightInd w:val="0"/>
              <w:spacing w:line="360" w:lineRule="auto"/>
              <w:jc w:val="center"/>
              <w:rPr>
                <w:color w:val="000000" w:themeColor="text1"/>
                <w:szCs w:val="21"/>
                <w:highlight w:val="none"/>
                <w14:textFill>
                  <w14:solidFill>
                    <w14:schemeClr w14:val="tx1"/>
                  </w14:solidFill>
                </w14:textFill>
              </w:rPr>
            </w:pPr>
          </w:p>
        </w:tc>
        <w:tc>
          <w:tcPr>
            <w:tcW w:w="1013" w:type="dxa"/>
            <w:vAlign w:val="center"/>
          </w:tcPr>
          <w:p w14:paraId="4CC67421">
            <w:pPr>
              <w:adjustRightInd w:val="0"/>
              <w:spacing w:line="360" w:lineRule="auto"/>
              <w:jc w:val="center"/>
              <w:rPr>
                <w:color w:val="000000" w:themeColor="text1"/>
                <w:szCs w:val="21"/>
                <w:highlight w:val="none"/>
                <w14:textFill>
                  <w14:solidFill>
                    <w14:schemeClr w14:val="tx1"/>
                  </w14:solidFill>
                </w14:textFill>
              </w:rPr>
            </w:pPr>
          </w:p>
        </w:tc>
        <w:tc>
          <w:tcPr>
            <w:tcW w:w="1071" w:type="dxa"/>
            <w:vAlign w:val="center"/>
          </w:tcPr>
          <w:p w14:paraId="7461F06D">
            <w:pPr>
              <w:adjustRightInd w:val="0"/>
              <w:spacing w:line="360" w:lineRule="auto"/>
              <w:jc w:val="center"/>
              <w:rPr>
                <w:color w:val="000000" w:themeColor="text1"/>
                <w:szCs w:val="21"/>
                <w:highlight w:val="none"/>
                <w14:textFill>
                  <w14:solidFill>
                    <w14:schemeClr w14:val="tx1"/>
                  </w14:solidFill>
                </w14:textFill>
              </w:rPr>
            </w:pPr>
          </w:p>
        </w:tc>
        <w:tc>
          <w:tcPr>
            <w:tcW w:w="1359" w:type="dxa"/>
            <w:vAlign w:val="center"/>
          </w:tcPr>
          <w:p w14:paraId="6C5168A7">
            <w:pPr>
              <w:adjustRightInd w:val="0"/>
              <w:spacing w:line="360" w:lineRule="auto"/>
              <w:jc w:val="center"/>
              <w:rPr>
                <w:color w:val="000000" w:themeColor="text1"/>
                <w:szCs w:val="21"/>
                <w:highlight w:val="none"/>
                <w14:textFill>
                  <w14:solidFill>
                    <w14:schemeClr w14:val="tx1"/>
                  </w14:solidFill>
                </w14:textFill>
              </w:rPr>
            </w:pPr>
          </w:p>
        </w:tc>
        <w:tc>
          <w:tcPr>
            <w:tcW w:w="947" w:type="dxa"/>
            <w:vAlign w:val="center"/>
          </w:tcPr>
          <w:p w14:paraId="0A28AD9B">
            <w:pPr>
              <w:adjustRightInd w:val="0"/>
              <w:spacing w:line="360" w:lineRule="auto"/>
              <w:jc w:val="center"/>
              <w:rPr>
                <w:color w:val="000000" w:themeColor="text1"/>
                <w:szCs w:val="21"/>
                <w:highlight w:val="none"/>
                <w14:textFill>
                  <w14:solidFill>
                    <w14:schemeClr w14:val="tx1"/>
                  </w14:solidFill>
                </w14:textFill>
              </w:rPr>
            </w:pPr>
          </w:p>
        </w:tc>
        <w:tc>
          <w:tcPr>
            <w:tcW w:w="756" w:type="dxa"/>
            <w:vAlign w:val="center"/>
          </w:tcPr>
          <w:p w14:paraId="5598CC2E">
            <w:pPr>
              <w:adjustRightInd w:val="0"/>
              <w:spacing w:line="360" w:lineRule="auto"/>
              <w:jc w:val="center"/>
              <w:rPr>
                <w:color w:val="000000" w:themeColor="text1"/>
                <w:szCs w:val="21"/>
                <w:highlight w:val="none"/>
                <w14:textFill>
                  <w14:solidFill>
                    <w14:schemeClr w14:val="tx1"/>
                  </w14:solidFill>
                </w14:textFill>
              </w:rPr>
            </w:pPr>
          </w:p>
        </w:tc>
        <w:tc>
          <w:tcPr>
            <w:tcW w:w="754" w:type="dxa"/>
            <w:vAlign w:val="center"/>
          </w:tcPr>
          <w:p w14:paraId="61DDD561">
            <w:pPr>
              <w:adjustRightInd w:val="0"/>
              <w:spacing w:line="360" w:lineRule="auto"/>
              <w:jc w:val="center"/>
              <w:rPr>
                <w:color w:val="000000" w:themeColor="text1"/>
                <w:szCs w:val="21"/>
                <w:highlight w:val="none"/>
                <w14:textFill>
                  <w14:solidFill>
                    <w14:schemeClr w14:val="tx1"/>
                  </w14:solidFill>
                </w14:textFill>
              </w:rPr>
            </w:pPr>
          </w:p>
        </w:tc>
        <w:tc>
          <w:tcPr>
            <w:tcW w:w="702" w:type="dxa"/>
            <w:vAlign w:val="center"/>
          </w:tcPr>
          <w:p w14:paraId="164FCDD2">
            <w:pPr>
              <w:adjustRightInd w:val="0"/>
              <w:spacing w:line="360" w:lineRule="auto"/>
              <w:jc w:val="center"/>
              <w:rPr>
                <w:color w:val="000000" w:themeColor="text1"/>
                <w:szCs w:val="21"/>
                <w:highlight w:val="none"/>
                <w14:textFill>
                  <w14:solidFill>
                    <w14:schemeClr w14:val="tx1"/>
                  </w14:solidFill>
                </w14:textFill>
              </w:rPr>
            </w:pPr>
          </w:p>
        </w:tc>
        <w:tc>
          <w:tcPr>
            <w:tcW w:w="755" w:type="dxa"/>
            <w:vAlign w:val="center"/>
          </w:tcPr>
          <w:p w14:paraId="0E97B421">
            <w:pPr>
              <w:adjustRightInd w:val="0"/>
              <w:spacing w:line="360" w:lineRule="auto"/>
              <w:jc w:val="center"/>
              <w:rPr>
                <w:color w:val="000000" w:themeColor="text1"/>
                <w:szCs w:val="21"/>
                <w:highlight w:val="none"/>
                <w14:textFill>
                  <w14:solidFill>
                    <w14:schemeClr w14:val="tx1"/>
                  </w14:solidFill>
                </w14:textFill>
              </w:rPr>
            </w:pPr>
          </w:p>
        </w:tc>
        <w:tc>
          <w:tcPr>
            <w:tcW w:w="851" w:type="dxa"/>
            <w:vAlign w:val="center"/>
          </w:tcPr>
          <w:p w14:paraId="6CE60A5C">
            <w:pPr>
              <w:adjustRightInd w:val="0"/>
              <w:spacing w:line="360" w:lineRule="auto"/>
              <w:jc w:val="center"/>
              <w:rPr>
                <w:color w:val="000000" w:themeColor="text1"/>
                <w:szCs w:val="21"/>
                <w:highlight w:val="none"/>
                <w14:textFill>
                  <w14:solidFill>
                    <w14:schemeClr w14:val="tx1"/>
                  </w14:solidFill>
                </w14:textFill>
              </w:rPr>
            </w:pPr>
          </w:p>
        </w:tc>
      </w:tr>
      <w:tr w14:paraId="47854D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3984CD25">
            <w:pPr>
              <w:adjustRightInd w:val="0"/>
              <w:spacing w:line="360" w:lineRule="auto"/>
              <w:jc w:val="center"/>
              <w:rPr>
                <w:color w:val="000000" w:themeColor="text1"/>
                <w:szCs w:val="21"/>
                <w:highlight w:val="none"/>
                <w14:textFill>
                  <w14:solidFill>
                    <w14:schemeClr w14:val="tx1"/>
                  </w14:solidFill>
                </w14:textFill>
              </w:rPr>
            </w:pPr>
          </w:p>
        </w:tc>
        <w:tc>
          <w:tcPr>
            <w:tcW w:w="1013" w:type="dxa"/>
            <w:vAlign w:val="center"/>
          </w:tcPr>
          <w:p w14:paraId="36BEE51A">
            <w:pPr>
              <w:adjustRightInd w:val="0"/>
              <w:spacing w:line="360" w:lineRule="auto"/>
              <w:jc w:val="center"/>
              <w:rPr>
                <w:color w:val="000000" w:themeColor="text1"/>
                <w:szCs w:val="21"/>
                <w:highlight w:val="none"/>
                <w14:textFill>
                  <w14:solidFill>
                    <w14:schemeClr w14:val="tx1"/>
                  </w14:solidFill>
                </w14:textFill>
              </w:rPr>
            </w:pPr>
          </w:p>
        </w:tc>
        <w:tc>
          <w:tcPr>
            <w:tcW w:w="1071" w:type="dxa"/>
            <w:vAlign w:val="center"/>
          </w:tcPr>
          <w:p w14:paraId="5467D60F">
            <w:pPr>
              <w:adjustRightInd w:val="0"/>
              <w:spacing w:line="360" w:lineRule="auto"/>
              <w:jc w:val="center"/>
              <w:rPr>
                <w:color w:val="000000" w:themeColor="text1"/>
                <w:szCs w:val="21"/>
                <w:highlight w:val="none"/>
                <w14:textFill>
                  <w14:solidFill>
                    <w14:schemeClr w14:val="tx1"/>
                  </w14:solidFill>
                </w14:textFill>
              </w:rPr>
            </w:pPr>
          </w:p>
        </w:tc>
        <w:tc>
          <w:tcPr>
            <w:tcW w:w="1359" w:type="dxa"/>
            <w:vAlign w:val="center"/>
          </w:tcPr>
          <w:p w14:paraId="2E8BDF75">
            <w:pPr>
              <w:adjustRightInd w:val="0"/>
              <w:spacing w:line="360" w:lineRule="auto"/>
              <w:jc w:val="center"/>
              <w:rPr>
                <w:color w:val="000000" w:themeColor="text1"/>
                <w:szCs w:val="21"/>
                <w:highlight w:val="none"/>
                <w14:textFill>
                  <w14:solidFill>
                    <w14:schemeClr w14:val="tx1"/>
                  </w14:solidFill>
                </w14:textFill>
              </w:rPr>
            </w:pPr>
          </w:p>
        </w:tc>
        <w:tc>
          <w:tcPr>
            <w:tcW w:w="947" w:type="dxa"/>
            <w:vAlign w:val="center"/>
          </w:tcPr>
          <w:p w14:paraId="47085575">
            <w:pPr>
              <w:adjustRightInd w:val="0"/>
              <w:spacing w:line="360" w:lineRule="auto"/>
              <w:jc w:val="center"/>
              <w:rPr>
                <w:color w:val="000000" w:themeColor="text1"/>
                <w:szCs w:val="21"/>
                <w:highlight w:val="none"/>
                <w14:textFill>
                  <w14:solidFill>
                    <w14:schemeClr w14:val="tx1"/>
                  </w14:solidFill>
                </w14:textFill>
              </w:rPr>
            </w:pPr>
          </w:p>
        </w:tc>
        <w:tc>
          <w:tcPr>
            <w:tcW w:w="756" w:type="dxa"/>
            <w:vAlign w:val="center"/>
          </w:tcPr>
          <w:p w14:paraId="25C34E0F">
            <w:pPr>
              <w:adjustRightInd w:val="0"/>
              <w:spacing w:line="360" w:lineRule="auto"/>
              <w:jc w:val="center"/>
              <w:rPr>
                <w:color w:val="000000" w:themeColor="text1"/>
                <w:szCs w:val="21"/>
                <w:highlight w:val="none"/>
                <w14:textFill>
                  <w14:solidFill>
                    <w14:schemeClr w14:val="tx1"/>
                  </w14:solidFill>
                </w14:textFill>
              </w:rPr>
            </w:pPr>
          </w:p>
        </w:tc>
        <w:tc>
          <w:tcPr>
            <w:tcW w:w="754" w:type="dxa"/>
            <w:vAlign w:val="center"/>
          </w:tcPr>
          <w:p w14:paraId="50966625">
            <w:pPr>
              <w:adjustRightInd w:val="0"/>
              <w:spacing w:line="360" w:lineRule="auto"/>
              <w:jc w:val="center"/>
              <w:rPr>
                <w:color w:val="000000" w:themeColor="text1"/>
                <w:szCs w:val="21"/>
                <w:highlight w:val="none"/>
                <w14:textFill>
                  <w14:solidFill>
                    <w14:schemeClr w14:val="tx1"/>
                  </w14:solidFill>
                </w14:textFill>
              </w:rPr>
            </w:pPr>
          </w:p>
        </w:tc>
        <w:tc>
          <w:tcPr>
            <w:tcW w:w="702" w:type="dxa"/>
            <w:vAlign w:val="center"/>
          </w:tcPr>
          <w:p w14:paraId="34D98B55">
            <w:pPr>
              <w:adjustRightInd w:val="0"/>
              <w:spacing w:line="360" w:lineRule="auto"/>
              <w:jc w:val="center"/>
              <w:rPr>
                <w:color w:val="000000" w:themeColor="text1"/>
                <w:szCs w:val="21"/>
                <w:highlight w:val="none"/>
                <w14:textFill>
                  <w14:solidFill>
                    <w14:schemeClr w14:val="tx1"/>
                  </w14:solidFill>
                </w14:textFill>
              </w:rPr>
            </w:pPr>
          </w:p>
        </w:tc>
        <w:tc>
          <w:tcPr>
            <w:tcW w:w="755" w:type="dxa"/>
            <w:vAlign w:val="center"/>
          </w:tcPr>
          <w:p w14:paraId="18C31951">
            <w:pPr>
              <w:adjustRightInd w:val="0"/>
              <w:spacing w:line="360" w:lineRule="auto"/>
              <w:jc w:val="center"/>
              <w:rPr>
                <w:color w:val="000000" w:themeColor="text1"/>
                <w:szCs w:val="21"/>
                <w:highlight w:val="none"/>
                <w14:textFill>
                  <w14:solidFill>
                    <w14:schemeClr w14:val="tx1"/>
                  </w14:solidFill>
                </w14:textFill>
              </w:rPr>
            </w:pPr>
          </w:p>
        </w:tc>
        <w:tc>
          <w:tcPr>
            <w:tcW w:w="851" w:type="dxa"/>
            <w:vAlign w:val="center"/>
          </w:tcPr>
          <w:p w14:paraId="0FAEFF50">
            <w:pPr>
              <w:adjustRightInd w:val="0"/>
              <w:spacing w:line="360" w:lineRule="auto"/>
              <w:jc w:val="center"/>
              <w:rPr>
                <w:color w:val="000000" w:themeColor="text1"/>
                <w:szCs w:val="21"/>
                <w:highlight w:val="none"/>
                <w14:textFill>
                  <w14:solidFill>
                    <w14:schemeClr w14:val="tx1"/>
                  </w14:solidFill>
                </w14:textFill>
              </w:rPr>
            </w:pPr>
          </w:p>
        </w:tc>
      </w:tr>
      <w:tr w14:paraId="643867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15" w:type="dxa"/>
          </w:tcPr>
          <w:p w14:paraId="5FEB71ED">
            <w:pPr>
              <w:adjustRightInd w:val="0"/>
              <w:spacing w:line="360" w:lineRule="auto"/>
              <w:jc w:val="center"/>
              <w:rPr>
                <w:color w:val="000000" w:themeColor="text1"/>
                <w:szCs w:val="21"/>
                <w:highlight w:val="none"/>
                <w14:textFill>
                  <w14:solidFill>
                    <w14:schemeClr w14:val="tx1"/>
                  </w14:solidFill>
                </w14:textFill>
              </w:rPr>
            </w:pPr>
          </w:p>
        </w:tc>
        <w:tc>
          <w:tcPr>
            <w:tcW w:w="1013" w:type="dxa"/>
            <w:vAlign w:val="center"/>
          </w:tcPr>
          <w:p w14:paraId="667E73A0">
            <w:pPr>
              <w:adjustRightInd w:val="0"/>
              <w:spacing w:line="360" w:lineRule="auto"/>
              <w:jc w:val="center"/>
              <w:rPr>
                <w:color w:val="000000" w:themeColor="text1"/>
                <w:szCs w:val="21"/>
                <w:highlight w:val="none"/>
                <w14:textFill>
                  <w14:solidFill>
                    <w14:schemeClr w14:val="tx1"/>
                  </w14:solidFill>
                </w14:textFill>
              </w:rPr>
            </w:pPr>
          </w:p>
        </w:tc>
        <w:tc>
          <w:tcPr>
            <w:tcW w:w="1071" w:type="dxa"/>
            <w:vAlign w:val="center"/>
          </w:tcPr>
          <w:p w14:paraId="1C26BBDC">
            <w:pPr>
              <w:adjustRightInd w:val="0"/>
              <w:spacing w:line="360" w:lineRule="auto"/>
              <w:jc w:val="center"/>
              <w:rPr>
                <w:color w:val="000000" w:themeColor="text1"/>
                <w:szCs w:val="21"/>
                <w:highlight w:val="none"/>
                <w14:textFill>
                  <w14:solidFill>
                    <w14:schemeClr w14:val="tx1"/>
                  </w14:solidFill>
                </w14:textFill>
              </w:rPr>
            </w:pPr>
          </w:p>
        </w:tc>
        <w:tc>
          <w:tcPr>
            <w:tcW w:w="1359" w:type="dxa"/>
            <w:vAlign w:val="center"/>
          </w:tcPr>
          <w:p w14:paraId="1501AEA2">
            <w:pPr>
              <w:adjustRightInd w:val="0"/>
              <w:spacing w:line="360" w:lineRule="auto"/>
              <w:jc w:val="center"/>
              <w:rPr>
                <w:color w:val="000000" w:themeColor="text1"/>
                <w:szCs w:val="21"/>
                <w:highlight w:val="none"/>
                <w14:textFill>
                  <w14:solidFill>
                    <w14:schemeClr w14:val="tx1"/>
                  </w14:solidFill>
                </w14:textFill>
              </w:rPr>
            </w:pPr>
          </w:p>
        </w:tc>
        <w:tc>
          <w:tcPr>
            <w:tcW w:w="947" w:type="dxa"/>
            <w:vAlign w:val="center"/>
          </w:tcPr>
          <w:p w14:paraId="7C9529CE">
            <w:pPr>
              <w:adjustRightInd w:val="0"/>
              <w:spacing w:line="360" w:lineRule="auto"/>
              <w:jc w:val="center"/>
              <w:rPr>
                <w:color w:val="000000" w:themeColor="text1"/>
                <w:szCs w:val="21"/>
                <w:highlight w:val="none"/>
                <w14:textFill>
                  <w14:solidFill>
                    <w14:schemeClr w14:val="tx1"/>
                  </w14:solidFill>
                </w14:textFill>
              </w:rPr>
            </w:pPr>
          </w:p>
        </w:tc>
        <w:tc>
          <w:tcPr>
            <w:tcW w:w="756" w:type="dxa"/>
            <w:vAlign w:val="center"/>
          </w:tcPr>
          <w:p w14:paraId="0171C371">
            <w:pPr>
              <w:adjustRightInd w:val="0"/>
              <w:spacing w:line="360" w:lineRule="auto"/>
              <w:jc w:val="center"/>
              <w:rPr>
                <w:color w:val="000000" w:themeColor="text1"/>
                <w:szCs w:val="21"/>
                <w:highlight w:val="none"/>
                <w14:textFill>
                  <w14:solidFill>
                    <w14:schemeClr w14:val="tx1"/>
                  </w14:solidFill>
                </w14:textFill>
              </w:rPr>
            </w:pPr>
          </w:p>
        </w:tc>
        <w:tc>
          <w:tcPr>
            <w:tcW w:w="754" w:type="dxa"/>
            <w:vAlign w:val="center"/>
          </w:tcPr>
          <w:p w14:paraId="0463866B">
            <w:pPr>
              <w:adjustRightInd w:val="0"/>
              <w:spacing w:line="360" w:lineRule="auto"/>
              <w:jc w:val="center"/>
              <w:rPr>
                <w:color w:val="000000" w:themeColor="text1"/>
                <w:szCs w:val="21"/>
                <w:highlight w:val="none"/>
                <w14:textFill>
                  <w14:solidFill>
                    <w14:schemeClr w14:val="tx1"/>
                  </w14:solidFill>
                </w14:textFill>
              </w:rPr>
            </w:pPr>
          </w:p>
        </w:tc>
        <w:tc>
          <w:tcPr>
            <w:tcW w:w="702" w:type="dxa"/>
            <w:vAlign w:val="center"/>
          </w:tcPr>
          <w:p w14:paraId="79286B78">
            <w:pPr>
              <w:adjustRightInd w:val="0"/>
              <w:spacing w:line="360" w:lineRule="auto"/>
              <w:jc w:val="center"/>
              <w:rPr>
                <w:color w:val="000000" w:themeColor="text1"/>
                <w:szCs w:val="21"/>
                <w:highlight w:val="none"/>
                <w14:textFill>
                  <w14:solidFill>
                    <w14:schemeClr w14:val="tx1"/>
                  </w14:solidFill>
                </w14:textFill>
              </w:rPr>
            </w:pPr>
          </w:p>
        </w:tc>
        <w:tc>
          <w:tcPr>
            <w:tcW w:w="755" w:type="dxa"/>
            <w:vAlign w:val="center"/>
          </w:tcPr>
          <w:p w14:paraId="1EAFD390">
            <w:pPr>
              <w:adjustRightInd w:val="0"/>
              <w:spacing w:line="360" w:lineRule="auto"/>
              <w:jc w:val="center"/>
              <w:rPr>
                <w:color w:val="000000" w:themeColor="text1"/>
                <w:szCs w:val="21"/>
                <w:highlight w:val="none"/>
                <w14:textFill>
                  <w14:solidFill>
                    <w14:schemeClr w14:val="tx1"/>
                  </w14:solidFill>
                </w14:textFill>
              </w:rPr>
            </w:pPr>
          </w:p>
        </w:tc>
        <w:tc>
          <w:tcPr>
            <w:tcW w:w="851" w:type="dxa"/>
            <w:vAlign w:val="center"/>
          </w:tcPr>
          <w:p w14:paraId="5A54045E">
            <w:pPr>
              <w:adjustRightInd w:val="0"/>
              <w:spacing w:line="360" w:lineRule="auto"/>
              <w:jc w:val="center"/>
              <w:rPr>
                <w:color w:val="000000" w:themeColor="text1"/>
                <w:szCs w:val="21"/>
                <w:highlight w:val="none"/>
                <w14:textFill>
                  <w14:solidFill>
                    <w14:schemeClr w14:val="tx1"/>
                  </w14:solidFill>
                </w14:textFill>
              </w:rPr>
            </w:pPr>
          </w:p>
        </w:tc>
      </w:tr>
    </w:tbl>
    <w:p w14:paraId="62F34BFC">
      <w:pPr>
        <w:spacing w:line="360" w:lineRule="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注：新购和租赁为响应单位计划在本工程中新购或租赁的数量。</w:t>
      </w:r>
      <w:bookmarkEnd w:id="1722"/>
      <w:bookmarkEnd w:id="1723"/>
      <w:bookmarkEnd w:id="1835"/>
      <w:bookmarkStart w:id="1858" w:name="_Toc54281200"/>
      <w:bookmarkStart w:id="1859" w:name="_Toc53949584"/>
      <w:bookmarkStart w:id="1860" w:name="_Toc54280348"/>
      <w:bookmarkStart w:id="1861" w:name="_Toc54280774"/>
      <w:bookmarkStart w:id="1862" w:name="_Toc54291530"/>
      <w:bookmarkStart w:id="1863" w:name="_Toc53949163"/>
      <w:bookmarkStart w:id="1864" w:name="_Toc145499835"/>
      <w:bookmarkStart w:id="1865" w:name="_Toc53948742"/>
      <w:bookmarkStart w:id="1866" w:name="_Toc54281626"/>
      <w:bookmarkStart w:id="1867" w:name="_Toc144872182"/>
      <w:bookmarkStart w:id="1868" w:name="_Toc54278965"/>
    </w:p>
    <w:p w14:paraId="2AB6EFF2">
      <w:pPr>
        <w:spacing w:line="360" w:lineRule="auto"/>
        <w:rPr>
          <w:color w:val="000000" w:themeColor="text1"/>
          <w:szCs w:val="21"/>
          <w:highlight w:val="none"/>
          <w14:textFill>
            <w14:solidFill>
              <w14:schemeClr w14:val="tx1"/>
            </w14:solidFill>
          </w14:textFill>
        </w:rPr>
      </w:pPr>
    </w:p>
    <w:p w14:paraId="471FD1E2">
      <w:pPr>
        <w:spacing w:line="360" w:lineRule="auto"/>
        <w:rPr>
          <w:rStyle w:val="46"/>
          <w:rFonts w:ascii="Times New Roman" w:hAnsi="Times New Roman" w:eastAsia="宋体"/>
          <w:b w:val="0"/>
          <w:bCs w:val="0"/>
          <w:color w:val="000000" w:themeColor="text1"/>
          <w:sz w:val="21"/>
          <w:szCs w:val="21"/>
          <w:highlight w:val="none"/>
          <w14:textFill>
            <w14:solidFill>
              <w14:schemeClr w14:val="tx1"/>
            </w14:solidFill>
          </w14:textFill>
        </w:rPr>
      </w:pPr>
    </w:p>
    <w:bookmarkEnd w:id="1858"/>
    <w:bookmarkEnd w:id="1859"/>
    <w:bookmarkEnd w:id="1860"/>
    <w:bookmarkEnd w:id="1861"/>
    <w:bookmarkEnd w:id="1862"/>
    <w:bookmarkEnd w:id="1863"/>
    <w:bookmarkEnd w:id="1864"/>
    <w:bookmarkEnd w:id="1865"/>
    <w:bookmarkEnd w:id="1866"/>
    <w:bookmarkEnd w:id="1867"/>
    <w:bookmarkEnd w:id="1868"/>
    <w:p w14:paraId="2392EF87">
      <w:pPr>
        <w:pStyle w:val="53"/>
        <w:spacing w:before="120"/>
        <w:rPr>
          <w:rStyle w:val="46"/>
          <w:rFonts w:ascii="Times New Roman" w:hAnsi="Times New Roman" w:eastAsia="宋体" w:cs="Times New Roman"/>
          <w:b/>
          <w:bCs/>
          <w:color w:val="000000" w:themeColor="text1"/>
          <w:szCs w:val="24"/>
          <w:highlight w:val="none"/>
          <w14:textFill>
            <w14:solidFill>
              <w14:schemeClr w14:val="tx1"/>
            </w14:solidFill>
          </w14:textFill>
        </w:rPr>
        <w:sectPr>
          <w:pgSz w:w="11907" w:h="16840"/>
          <w:pgMar w:top="1417" w:right="1701" w:bottom="1417" w:left="1701" w:header="850" w:footer="1134" w:gutter="0"/>
          <w:pgNumType w:fmt="decimal"/>
          <w:cols w:space="0" w:num="1"/>
          <w:rtlGutter w:val="0"/>
          <w:docGrid w:linePitch="312" w:charSpace="0"/>
        </w:sectPr>
      </w:pPr>
      <w:bookmarkStart w:id="1869" w:name="_Toc54291531"/>
      <w:bookmarkStart w:id="1870" w:name="_Toc54281201"/>
      <w:bookmarkStart w:id="1871" w:name="_Toc53948743"/>
      <w:bookmarkStart w:id="1872" w:name="_Toc144872183"/>
      <w:bookmarkStart w:id="1873" w:name="_Toc54278966"/>
      <w:bookmarkStart w:id="1874" w:name="_Toc54280775"/>
      <w:bookmarkStart w:id="1875" w:name="_Toc145499836"/>
      <w:bookmarkStart w:id="1876" w:name="_Toc53949585"/>
      <w:bookmarkStart w:id="1877" w:name="_Toc54281627"/>
      <w:bookmarkStart w:id="1878" w:name="_Toc54280349"/>
      <w:bookmarkStart w:id="1879" w:name="_Toc53949164"/>
      <w:bookmarkStart w:id="1880" w:name="_Toc18407868"/>
    </w:p>
    <w:p w14:paraId="2E53A675">
      <w:pPr>
        <w:pStyle w:val="53"/>
        <w:spacing w:before="120"/>
        <w:rPr>
          <w:rStyle w:val="46"/>
          <w:rFonts w:ascii="Times New Roman" w:hAnsi="Times New Roman" w:eastAsia="宋体" w:cs="Times New Roman"/>
          <w:b/>
          <w:bCs w:val="0"/>
          <w:color w:val="000000" w:themeColor="text1"/>
          <w:szCs w:val="24"/>
          <w:highlight w:val="none"/>
          <w14:textFill>
            <w14:solidFill>
              <w14:schemeClr w14:val="tx1"/>
            </w14:solidFill>
          </w14:textFill>
        </w:rPr>
      </w:pPr>
      <w:r>
        <w:rPr>
          <w:rStyle w:val="46"/>
          <w:rFonts w:ascii="Times New Roman" w:hAnsi="Times New Roman" w:eastAsia="宋体" w:cs="Times New Roman"/>
          <w:b/>
          <w:bCs w:val="0"/>
          <w:color w:val="000000" w:themeColor="text1"/>
          <w:szCs w:val="24"/>
          <w:highlight w:val="none"/>
          <w14:textFill>
            <w14:solidFill>
              <w14:schemeClr w14:val="tx1"/>
            </w14:solidFill>
          </w14:textFill>
        </w:rPr>
        <w:t>格式</w:t>
      </w:r>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 xml:space="preserve">8 </w:t>
      </w:r>
      <w:r>
        <w:rPr>
          <w:rStyle w:val="46"/>
          <w:rFonts w:ascii="Times New Roman" w:hAnsi="Times New Roman" w:eastAsia="宋体" w:cs="Times New Roman"/>
          <w:b/>
          <w:bCs w:val="0"/>
          <w:color w:val="000000" w:themeColor="text1"/>
          <w:szCs w:val="24"/>
          <w:highlight w:val="none"/>
          <w14:textFill>
            <w14:solidFill>
              <w14:schemeClr w14:val="tx1"/>
            </w14:solidFill>
          </w14:textFill>
        </w:rPr>
        <w:t xml:space="preserve"> 拟投入本合同工程主要人员汇总表</w:t>
      </w:r>
      <w:bookmarkEnd w:id="1869"/>
      <w:bookmarkEnd w:id="1870"/>
      <w:bookmarkEnd w:id="1871"/>
      <w:bookmarkEnd w:id="1872"/>
      <w:bookmarkEnd w:id="1873"/>
      <w:bookmarkEnd w:id="1874"/>
      <w:bookmarkEnd w:id="1875"/>
      <w:bookmarkEnd w:id="1876"/>
      <w:bookmarkEnd w:id="1877"/>
      <w:bookmarkEnd w:id="1878"/>
      <w:bookmarkEnd w:id="1879"/>
    </w:p>
    <w:p w14:paraId="5A25A3D4">
      <w:pPr>
        <w:spacing w:line="360" w:lineRule="auto"/>
        <w:jc w:val="center"/>
        <w:rPr>
          <w:color w:val="000000" w:themeColor="text1"/>
          <w:sz w:val="32"/>
          <w:szCs w:val="32"/>
          <w:highlight w:val="none"/>
          <w14:textFill>
            <w14:solidFill>
              <w14:schemeClr w14:val="tx1"/>
            </w14:solidFill>
          </w14:textFill>
        </w:rPr>
      </w:pPr>
    </w:p>
    <w:p w14:paraId="710AE73C">
      <w:pPr>
        <w:spacing w:line="360" w:lineRule="auto"/>
        <w:jc w:val="center"/>
        <w:rPr>
          <w:b/>
          <w:color w:val="000000" w:themeColor="text1"/>
          <w:sz w:val="28"/>
          <w:szCs w:val="28"/>
          <w:highlight w:val="none"/>
          <w14:textFill>
            <w14:solidFill>
              <w14:schemeClr w14:val="tx1"/>
            </w14:solidFill>
          </w14:textFill>
        </w:rPr>
      </w:pPr>
      <w:r>
        <w:rPr>
          <w:b/>
          <w:color w:val="000000" w:themeColor="text1"/>
          <w:sz w:val="28"/>
          <w:szCs w:val="28"/>
          <w:highlight w:val="none"/>
          <w14:textFill>
            <w14:solidFill>
              <w14:schemeClr w14:val="tx1"/>
            </w14:solidFill>
          </w14:textFill>
        </w:rPr>
        <w:t>拟投入本合同工程主要人员汇总表</w:t>
      </w:r>
      <w:bookmarkEnd w:id="1880"/>
    </w:p>
    <w:p w14:paraId="4A55E63A">
      <w:pPr>
        <w:adjustRightInd w:val="0"/>
        <w:spacing w:line="360" w:lineRule="auto"/>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响应单位：</w:t>
      </w:r>
    </w:p>
    <w:tbl>
      <w:tblPr>
        <w:tblStyle w:val="31"/>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97"/>
        <w:gridCol w:w="1234"/>
        <w:gridCol w:w="1012"/>
        <w:gridCol w:w="1132"/>
        <w:gridCol w:w="817"/>
        <w:gridCol w:w="1371"/>
        <w:gridCol w:w="1086"/>
        <w:gridCol w:w="1226"/>
      </w:tblGrid>
      <w:tr w14:paraId="5B5697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5C6E1B9B">
            <w:pPr>
              <w:ind w:right="-63" w:rightChars="-30"/>
              <w:jc w:val="center"/>
              <w:rPr>
                <w:color w:val="000000" w:themeColor="text1"/>
                <w:sz w:val="18"/>
                <w:szCs w:val="18"/>
                <w:highlight w:val="none"/>
                <w14:textFill>
                  <w14:solidFill>
                    <w14:schemeClr w14:val="tx1"/>
                  </w14:solidFill>
                </w14:textFill>
              </w:rPr>
            </w:pPr>
            <w:r>
              <w:rPr>
                <w:color w:val="000000" w:themeColor="text1"/>
                <w:sz w:val="18"/>
                <w:szCs w:val="18"/>
                <w:highlight w:val="none"/>
                <w14:textFill>
                  <w14:solidFill>
                    <w14:schemeClr w14:val="tx1"/>
                  </w14:solidFill>
                </w14:textFill>
              </w:rPr>
              <w:t>序号</w:t>
            </w:r>
          </w:p>
        </w:tc>
        <w:tc>
          <w:tcPr>
            <w:tcW w:w="728" w:type="pct"/>
            <w:vAlign w:val="center"/>
          </w:tcPr>
          <w:p w14:paraId="0725EFAA">
            <w:pPr>
              <w:jc w:val="center"/>
              <w:rPr>
                <w:color w:val="000000" w:themeColor="text1"/>
                <w:sz w:val="18"/>
                <w:szCs w:val="18"/>
                <w:highlight w:val="none"/>
                <w14:textFill>
                  <w14:solidFill>
                    <w14:schemeClr w14:val="tx1"/>
                  </w14:solidFill>
                </w14:textFill>
              </w:rPr>
            </w:pPr>
            <w:r>
              <w:rPr>
                <w:color w:val="000000" w:themeColor="text1"/>
                <w:sz w:val="18"/>
                <w:szCs w:val="18"/>
                <w:highlight w:val="none"/>
                <w14:textFill>
                  <w14:solidFill>
                    <w14:schemeClr w14:val="tx1"/>
                  </w14:solidFill>
                </w14:textFill>
              </w:rPr>
              <w:t>姓名</w:t>
            </w:r>
          </w:p>
        </w:tc>
        <w:tc>
          <w:tcPr>
            <w:tcW w:w="597" w:type="pct"/>
            <w:vAlign w:val="center"/>
          </w:tcPr>
          <w:p w14:paraId="556804E1">
            <w:pPr>
              <w:ind w:left="-87" w:leftChars="-47" w:right="-107" w:rightChars="-51" w:hanging="12" w:hangingChars="7"/>
              <w:jc w:val="center"/>
              <w:rPr>
                <w:color w:val="000000" w:themeColor="text1"/>
                <w:sz w:val="18"/>
                <w:szCs w:val="18"/>
                <w:highlight w:val="none"/>
                <w14:textFill>
                  <w14:solidFill>
                    <w14:schemeClr w14:val="tx1"/>
                  </w14:solidFill>
                </w14:textFill>
              </w:rPr>
            </w:pPr>
            <w:r>
              <w:rPr>
                <w:color w:val="000000" w:themeColor="text1"/>
                <w:sz w:val="18"/>
                <w:szCs w:val="18"/>
                <w:highlight w:val="none"/>
                <w14:textFill>
                  <w14:solidFill>
                    <w14:schemeClr w14:val="tx1"/>
                  </w14:solidFill>
                </w14:textFill>
              </w:rPr>
              <w:t>年龄</w:t>
            </w:r>
          </w:p>
        </w:tc>
        <w:tc>
          <w:tcPr>
            <w:tcW w:w="668" w:type="pct"/>
            <w:vAlign w:val="center"/>
          </w:tcPr>
          <w:p w14:paraId="12900774">
            <w:pPr>
              <w:ind w:left="-126" w:leftChars="-60" w:right="-105" w:rightChars="-50"/>
              <w:jc w:val="center"/>
              <w:rPr>
                <w:color w:val="000000" w:themeColor="text1"/>
                <w:sz w:val="18"/>
                <w:szCs w:val="18"/>
                <w:highlight w:val="none"/>
                <w14:textFill>
                  <w14:solidFill>
                    <w14:schemeClr w14:val="tx1"/>
                  </w14:solidFill>
                </w14:textFill>
              </w:rPr>
            </w:pPr>
            <w:r>
              <w:rPr>
                <w:color w:val="000000" w:themeColor="text1"/>
                <w:sz w:val="18"/>
                <w:szCs w:val="18"/>
                <w:highlight w:val="none"/>
                <w14:textFill>
                  <w14:solidFill>
                    <w14:schemeClr w14:val="tx1"/>
                  </w14:solidFill>
                </w14:textFill>
              </w:rPr>
              <w:t>性别</w:t>
            </w:r>
          </w:p>
        </w:tc>
        <w:tc>
          <w:tcPr>
            <w:tcW w:w="482" w:type="pct"/>
            <w:vAlign w:val="center"/>
          </w:tcPr>
          <w:p w14:paraId="3A7AAD34">
            <w:pPr>
              <w:jc w:val="center"/>
              <w:rPr>
                <w:color w:val="000000" w:themeColor="text1"/>
                <w:sz w:val="18"/>
                <w:szCs w:val="18"/>
                <w:highlight w:val="none"/>
                <w14:textFill>
                  <w14:solidFill>
                    <w14:schemeClr w14:val="tx1"/>
                  </w14:solidFill>
                </w14:textFill>
              </w:rPr>
            </w:pPr>
            <w:r>
              <w:rPr>
                <w:color w:val="000000" w:themeColor="text1"/>
                <w:sz w:val="18"/>
                <w:szCs w:val="18"/>
                <w:highlight w:val="none"/>
                <w14:textFill>
                  <w14:solidFill>
                    <w14:schemeClr w14:val="tx1"/>
                  </w14:solidFill>
                </w14:textFill>
              </w:rPr>
              <w:t>学历</w:t>
            </w:r>
          </w:p>
        </w:tc>
        <w:tc>
          <w:tcPr>
            <w:tcW w:w="809" w:type="pct"/>
            <w:vAlign w:val="center"/>
          </w:tcPr>
          <w:p w14:paraId="0F538959">
            <w:pPr>
              <w:jc w:val="center"/>
              <w:rPr>
                <w:color w:val="000000" w:themeColor="text1"/>
                <w:sz w:val="18"/>
                <w:szCs w:val="18"/>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主要施工履历</w:t>
            </w:r>
          </w:p>
        </w:tc>
        <w:tc>
          <w:tcPr>
            <w:tcW w:w="641" w:type="pct"/>
            <w:vAlign w:val="center"/>
          </w:tcPr>
          <w:p w14:paraId="12C8CC90">
            <w:pPr>
              <w:jc w:val="center"/>
              <w:rPr>
                <w:color w:val="000000" w:themeColor="text1"/>
                <w:sz w:val="18"/>
                <w:szCs w:val="18"/>
                <w:highlight w:val="none"/>
                <w14:textFill>
                  <w14:solidFill>
                    <w14:schemeClr w14:val="tx1"/>
                  </w14:solidFill>
                </w14:textFill>
              </w:rPr>
            </w:pPr>
            <w:r>
              <w:rPr>
                <w:rFonts w:hint="eastAsia"/>
                <w:color w:val="000000" w:themeColor="text1"/>
                <w:sz w:val="18"/>
                <w:szCs w:val="18"/>
                <w:highlight w:val="none"/>
                <w14:textFill>
                  <w14:solidFill>
                    <w14:schemeClr w14:val="tx1"/>
                  </w14:solidFill>
                </w14:textFill>
              </w:rPr>
              <w:t>相关</w:t>
            </w:r>
            <w:r>
              <w:rPr>
                <w:color w:val="000000" w:themeColor="text1"/>
                <w:sz w:val="18"/>
                <w:szCs w:val="18"/>
                <w:highlight w:val="none"/>
                <w14:textFill>
                  <w14:solidFill>
                    <w14:schemeClr w14:val="tx1"/>
                  </w14:solidFill>
                </w14:textFill>
              </w:rPr>
              <w:t>证书</w:t>
            </w:r>
          </w:p>
        </w:tc>
        <w:tc>
          <w:tcPr>
            <w:tcW w:w="724" w:type="pct"/>
            <w:vAlign w:val="center"/>
          </w:tcPr>
          <w:p w14:paraId="3C5C70C0">
            <w:pPr>
              <w:jc w:val="center"/>
              <w:rPr>
                <w:color w:val="000000" w:themeColor="text1"/>
                <w:sz w:val="18"/>
                <w:szCs w:val="18"/>
                <w:highlight w:val="none"/>
                <w14:textFill>
                  <w14:solidFill>
                    <w14:schemeClr w14:val="tx1"/>
                  </w14:solidFill>
                </w14:textFill>
              </w:rPr>
            </w:pPr>
            <w:r>
              <w:rPr>
                <w:color w:val="000000" w:themeColor="text1"/>
                <w:sz w:val="18"/>
                <w:szCs w:val="18"/>
                <w:highlight w:val="none"/>
                <w14:textFill>
                  <w14:solidFill>
                    <w14:schemeClr w14:val="tx1"/>
                  </w14:solidFill>
                </w14:textFill>
              </w:rPr>
              <w:t>拟在本项目</w:t>
            </w:r>
          </w:p>
          <w:p w14:paraId="415E57AE">
            <w:pPr>
              <w:jc w:val="center"/>
              <w:rPr>
                <w:color w:val="000000" w:themeColor="text1"/>
                <w:sz w:val="18"/>
                <w:szCs w:val="18"/>
                <w:highlight w:val="none"/>
                <w14:textFill>
                  <w14:solidFill>
                    <w14:schemeClr w14:val="tx1"/>
                  </w14:solidFill>
                </w14:textFill>
              </w:rPr>
            </w:pPr>
            <w:r>
              <w:rPr>
                <w:color w:val="000000" w:themeColor="text1"/>
                <w:sz w:val="18"/>
                <w:szCs w:val="18"/>
                <w:highlight w:val="none"/>
                <w14:textFill>
                  <w14:solidFill>
                    <w14:schemeClr w14:val="tx1"/>
                  </w14:solidFill>
                </w14:textFill>
              </w:rPr>
              <w:t>担任职务</w:t>
            </w:r>
          </w:p>
        </w:tc>
      </w:tr>
      <w:tr w14:paraId="6E32B1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240131A0">
            <w:pPr>
              <w:jc w:val="center"/>
              <w:rPr>
                <w:color w:val="000000" w:themeColor="text1"/>
                <w:sz w:val="18"/>
                <w:szCs w:val="18"/>
                <w:highlight w:val="none"/>
                <w14:textFill>
                  <w14:solidFill>
                    <w14:schemeClr w14:val="tx1"/>
                  </w14:solidFill>
                </w14:textFill>
              </w:rPr>
            </w:pPr>
          </w:p>
        </w:tc>
        <w:tc>
          <w:tcPr>
            <w:tcW w:w="728" w:type="pct"/>
            <w:vAlign w:val="center"/>
          </w:tcPr>
          <w:p w14:paraId="5CD99772">
            <w:pPr>
              <w:jc w:val="center"/>
              <w:rPr>
                <w:color w:val="000000" w:themeColor="text1"/>
                <w:sz w:val="18"/>
                <w:szCs w:val="18"/>
                <w:highlight w:val="none"/>
                <w14:textFill>
                  <w14:solidFill>
                    <w14:schemeClr w14:val="tx1"/>
                  </w14:solidFill>
                </w14:textFill>
              </w:rPr>
            </w:pPr>
          </w:p>
        </w:tc>
        <w:tc>
          <w:tcPr>
            <w:tcW w:w="597" w:type="pct"/>
            <w:vAlign w:val="center"/>
          </w:tcPr>
          <w:p w14:paraId="2293E5D4">
            <w:pPr>
              <w:jc w:val="center"/>
              <w:rPr>
                <w:color w:val="000000" w:themeColor="text1"/>
                <w:sz w:val="18"/>
                <w:szCs w:val="18"/>
                <w:highlight w:val="none"/>
                <w14:textFill>
                  <w14:solidFill>
                    <w14:schemeClr w14:val="tx1"/>
                  </w14:solidFill>
                </w14:textFill>
              </w:rPr>
            </w:pPr>
          </w:p>
        </w:tc>
        <w:tc>
          <w:tcPr>
            <w:tcW w:w="668" w:type="pct"/>
            <w:vAlign w:val="center"/>
          </w:tcPr>
          <w:p w14:paraId="1EE4C1B2">
            <w:pPr>
              <w:jc w:val="center"/>
              <w:rPr>
                <w:color w:val="000000" w:themeColor="text1"/>
                <w:sz w:val="18"/>
                <w:szCs w:val="18"/>
                <w:highlight w:val="none"/>
                <w14:textFill>
                  <w14:solidFill>
                    <w14:schemeClr w14:val="tx1"/>
                  </w14:solidFill>
                </w14:textFill>
              </w:rPr>
            </w:pPr>
          </w:p>
        </w:tc>
        <w:tc>
          <w:tcPr>
            <w:tcW w:w="482" w:type="pct"/>
            <w:vAlign w:val="center"/>
          </w:tcPr>
          <w:p w14:paraId="48E78EAC">
            <w:pPr>
              <w:jc w:val="center"/>
              <w:rPr>
                <w:color w:val="000000" w:themeColor="text1"/>
                <w:sz w:val="18"/>
                <w:szCs w:val="18"/>
                <w:highlight w:val="none"/>
                <w14:textFill>
                  <w14:solidFill>
                    <w14:schemeClr w14:val="tx1"/>
                  </w14:solidFill>
                </w14:textFill>
              </w:rPr>
            </w:pPr>
          </w:p>
        </w:tc>
        <w:tc>
          <w:tcPr>
            <w:tcW w:w="809" w:type="pct"/>
            <w:vAlign w:val="center"/>
          </w:tcPr>
          <w:p w14:paraId="7659417C">
            <w:pPr>
              <w:jc w:val="center"/>
              <w:rPr>
                <w:color w:val="000000" w:themeColor="text1"/>
                <w:sz w:val="18"/>
                <w:szCs w:val="18"/>
                <w:highlight w:val="none"/>
                <w14:textFill>
                  <w14:solidFill>
                    <w14:schemeClr w14:val="tx1"/>
                  </w14:solidFill>
                </w14:textFill>
              </w:rPr>
            </w:pPr>
          </w:p>
        </w:tc>
        <w:tc>
          <w:tcPr>
            <w:tcW w:w="641" w:type="pct"/>
            <w:vAlign w:val="center"/>
          </w:tcPr>
          <w:p w14:paraId="59322C8E">
            <w:pPr>
              <w:jc w:val="center"/>
              <w:rPr>
                <w:color w:val="000000" w:themeColor="text1"/>
                <w:sz w:val="18"/>
                <w:szCs w:val="18"/>
                <w:highlight w:val="none"/>
                <w14:textFill>
                  <w14:solidFill>
                    <w14:schemeClr w14:val="tx1"/>
                  </w14:solidFill>
                </w14:textFill>
              </w:rPr>
            </w:pPr>
          </w:p>
        </w:tc>
        <w:tc>
          <w:tcPr>
            <w:tcW w:w="724" w:type="pct"/>
            <w:vAlign w:val="center"/>
          </w:tcPr>
          <w:p w14:paraId="74E41CD3">
            <w:pPr>
              <w:jc w:val="center"/>
              <w:rPr>
                <w:color w:val="000000" w:themeColor="text1"/>
                <w:sz w:val="18"/>
                <w:szCs w:val="18"/>
                <w:highlight w:val="none"/>
                <w14:textFill>
                  <w14:solidFill>
                    <w14:schemeClr w14:val="tx1"/>
                  </w14:solidFill>
                </w14:textFill>
              </w:rPr>
            </w:pPr>
          </w:p>
        </w:tc>
      </w:tr>
      <w:tr w14:paraId="7C0884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29C8D17B">
            <w:pPr>
              <w:jc w:val="center"/>
              <w:rPr>
                <w:color w:val="000000" w:themeColor="text1"/>
                <w:sz w:val="18"/>
                <w:szCs w:val="18"/>
                <w:highlight w:val="none"/>
                <w14:textFill>
                  <w14:solidFill>
                    <w14:schemeClr w14:val="tx1"/>
                  </w14:solidFill>
                </w14:textFill>
              </w:rPr>
            </w:pPr>
          </w:p>
        </w:tc>
        <w:tc>
          <w:tcPr>
            <w:tcW w:w="728" w:type="pct"/>
            <w:vAlign w:val="center"/>
          </w:tcPr>
          <w:p w14:paraId="181934ED">
            <w:pPr>
              <w:jc w:val="center"/>
              <w:rPr>
                <w:color w:val="000000" w:themeColor="text1"/>
                <w:sz w:val="18"/>
                <w:szCs w:val="18"/>
                <w:highlight w:val="none"/>
                <w14:textFill>
                  <w14:solidFill>
                    <w14:schemeClr w14:val="tx1"/>
                  </w14:solidFill>
                </w14:textFill>
              </w:rPr>
            </w:pPr>
          </w:p>
        </w:tc>
        <w:tc>
          <w:tcPr>
            <w:tcW w:w="597" w:type="pct"/>
            <w:vAlign w:val="center"/>
          </w:tcPr>
          <w:p w14:paraId="1A102864">
            <w:pPr>
              <w:jc w:val="center"/>
              <w:rPr>
                <w:color w:val="000000" w:themeColor="text1"/>
                <w:sz w:val="18"/>
                <w:szCs w:val="18"/>
                <w:highlight w:val="none"/>
                <w14:textFill>
                  <w14:solidFill>
                    <w14:schemeClr w14:val="tx1"/>
                  </w14:solidFill>
                </w14:textFill>
              </w:rPr>
            </w:pPr>
          </w:p>
        </w:tc>
        <w:tc>
          <w:tcPr>
            <w:tcW w:w="668" w:type="pct"/>
            <w:vAlign w:val="center"/>
          </w:tcPr>
          <w:p w14:paraId="78EA31F5">
            <w:pPr>
              <w:jc w:val="center"/>
              <w:rPr>
                <w:color w:val="000000" w:themeColor="text1"/>
                <w:sz w:val="18"/>
                <w:szCs w:val="18"/>
                <w:highlight w:val="none"/>
                <w14:textFill>
                  <w14:solidFill>
                    <w14:schemeClr w14:val="tx1"/>
                  </w14:solidFill>
                </w14:textFill>
              </w:rPr>
            </w:pPr>
          </w:p>
        </w:tc>
        <w:tc>
          <w:tcPr>
            <w:tcW w:w="482" w:type="pct"/>
            <w:vAlign w:val="center"/>
          </w:tcPr>
          <w:p w14:paraId="4B8B7598">
            <w:pPr>
              <w:jc w:val="center"/>
              <w:rPr>
                <w:color w:val="000000" w:themeColor="text1"/>
                <w:sz w:val="18"/>
                <w:szCs w:val="18"/>
                <w:highlight w:val="none"/>
                <w14:textFill>
                  <w14:solidFill>
                    <w14:schemeClr w14:val="tx1"/>
                  </w14:solidFill>
                </w14:textFill>
              </w:rPr>
            </w:pPr>
          </w:p>
        </w:tc>
        <w:tc>
          <w:tcPr>
            <w:tcW w:w="809" w:type="pct"/>
            <w:vAlign w:val="center"/>
          </w:tcPr>
          <w:p w14:paraId="402B3025">
            <w:pPr>
              <w:jc w:val="center"/>
              <w:rPr>
                <w:color w:val="000000" w:themeColor="text1"/>
                <w:sz w:val="18"/>
                <w:szCs w:val="18"/>
                <w:highlight w:val="none"/>
                <w14:textFill>
                  <w14:solidFill>
                    <w14:schemeClr w14:val="tx1"/>
                  </w14:solidFill>
                </w14:textFill>
              </w:rPr>
            </w:pPr>
          </w:p>
        </w:tc>
        <w:tc>
          <w:tcPr>
            <w:tcW w:w="641" w:type="pct"/>
            <w:vAlign w:val="center"/>
          </w:tcPr>
          <w:p w14:paraId="53E2D2CF">
            <w:pPr>
              <w:jc w:val="center"/>
              <w:rPr>
                <w:color w:val="000000" w:themeColor="text1"/>
                <w:sz w:val="18"/>
                <w:szCs w:val="18"/>
                <w:highlight w:val="none"/>
                <w14:textFill>
                  <w14:solidFill>
                    <w14:schemeClr w14:val="tx1"/>
                  </w14:solidFill>
                </w14:textFill>
              </w:rPr>
            </w:pPr>
          </w:p>
        </w:tc>
        <w:tc>
          <w:tcPr>
            <w:tcW w:w="724" w:type="pct"/>
            <w:vAlign w:val="center"/>
          </w:tcPr>
          <w:p w14:paraId="3FBE2119">
            <w:pPr>
              <w:jc w:val="center"/>
              <w:rPr>
                <w:color w:val="000000" w:themeColor="text1"/>
                <w:sz w:val="18"/>
                <w:szCs w:val="18"/>
                <w:highlight w:val="none"/>
                <w14:textFill>
                  <w14:solidFill>
                    <w14:schemeClr w14:val="tx1"/>
                  </w14:solidFill>
                </w14:textFill>
              </w:rPr>
            </w:pPr>
          </w:p>
        </w:tc>
      </w:tr>
      <w:tr w14:paraId="116830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6DBD4F50">
            <w:pPr>
              <w:jc w:val="center"/>
              <w:rPr>
                <w:color w:val="000000" w:themeColor="text1"/>
                <w:sz w:val="18"/>
                <w:szCs w:val="18"/>
                <w:highlight w:val="none"/>
                <w14:textFill>
                  <w14:solidFill>
                    <w14:schemeClr w14:val="tx1"/>
                  </w14:solidFill>
                </w14:textFill>
              </w:rPr>
            </w:pPr>
          </w:p>
        </w:tc>
        <w:tc>
          <w:tcPr>
            <w:tcW w:w="728" w:type="pct"/>
            <w:vAlign w:val="center"/>
          </w:tcPr>
          <w:p w14:paraId="1298A361">
            <w:pPr>
              <w:jc w:val="center"/>
              <w:rPr>
                <w:color w:val="000000" w:themeColor="text1"/>
                <w:sz w:val="18"/>
                <w:szCs w:val="18"/>
                <w:highlight w:val="none"/>
                <w14:textFill>
                  <w14:solidFill>
                    <w14:schemeClr w14:val="tx1"/>
                  </w14:solidFill>
                </w14:textFill>
              </w:rPr>
            </w:pPr>
          </w:p>
        </w:tc>
        <w:tc>
          <w:tcPr>
            <w:tcW w:w="597" w:type="pct"/>
            <w:vAlign w:val="center"/>
          </w:tcPr>
          <w:p w14:paraId="04C088B3">
            <w:pPr>
              <w:jc w:val="center"/>
              <w:rPr>
                <w:color w:val="000000" w:themeColor="text1"/>
                <w:sz w:val="18"/>
                <w:szCs w:val="18"/>
                <w:highlight w:val="none"/>
                <w14:textFill>
                  <w14:solidFill>
                    <w14:schemeClr w14:val="tx1"/>
                  </w14:solidFill>
                </w14:textFill>
              </w:rPr>
            </w:pPr>
          </w:p>
        </w:tc>
        <w:tc>
          <w:tcPr>
            <w:tcW w:w="668" w:type="pct"/>
            <w:vAlign w:val="center"/>
          </w:tcPr>
          <w:p w14:paraId="6948E0F0">
            <w:pPr>
              <w:jc w:val="center"/>
              <w:rPr>
                <w:color w:val="000000" w:themeColor="text1"/>
                <w:sz w:val="18"/>
                <w:szCs w:val="18"/>
                <w:highlight w:val="none"/>
                <w14:textFill>
                  <w14:solidFill>
                    <w14:schemeClr w14:val="tx1"/>
                  </w14:solidFill>
                </w14:textFill>
              </w:rPr>
            </w:pPr>
          </w:p>
        </w:tc>
        <w:tc>
          <w:tcPr>
            <w:tcW w:w="482" w:type="pct"/>
            <w:vAlign w:val="center"/>
          </w:tcPr>
          <w:p w14:paraId="2BEA53F2">
            <w:pPr>
              <w:jc w:val="center"/>
              <w:rPr>
                <w:color w:val="000000" w:themeColor="text1"/>
                <w:sz w:val="18"/>
                <w:szCs w:val="18"/>
                <w:highlight w:val="none"/>
                <w14:textFill>
                  <w14:solidFill>
                    <w14:schemeClr w14:val="tx1"/>
                  </w14:solidFill>
                </w14:textFill>
              </w:rPr>
            </w:pPr>
          </w:p>
        </w:tc>
        <w:tc>
          <w:tcPr>
            <w:tcW w:w="809" w:type="pct"/>
            <w:vAlign w:val="center"/>
          </w:tcPr>
          <w:p w14:paraId="57A32EF3">
            <w:pPr>
              <w:jc w:val="center"/>
              <w:rPr>
                <w:color w:val="000000" w:themeColor="text1"/>
                <w:sz w:val="18"/>
                <w:szCs w:val="18"/>
                <w:highlight w:val="none"/>
                <w14:textFill>
                  <w14:solidFill>
                    <w14:schemeClr w14:val="tx1"/>
                  </w14:solidFill>
                </w14:textFill>
              </w:rPr>
            </w:pPr>
          </w:p>
        </w:tc>
        <w:tc>
          <w:tcPr>
            <w:tcW w:w="641" w:type="pct"/>
            <w:vAlign w:val="center"/>
          </w:tcPr>
          <w:p w14:paraId="2A4CF76C">
            <w:pPr>
              <w:jc w:val="center"/>
              <w:rPr>
                <w:color w:val="000000" w:themeColor="text1"/>
                <w:sz w:val="18"/>
                <w:szCs w:val="18"/>
                <w:highlight w:val="none"/>
                <w14:textFill>
                  <w14:solidFill>
                    <w14:schemeClr w14:val="tx1"/>
                  </w14:solidFill>
                </w14:textFill>
              </w:rPr>
            </w:pPr>
          </w:p>
        </w:tc>
        <w:tc>
          <w:tcPr>
            <w:tcW w:w="724" w:type="pct"/>
            <w:vAlign w:val="center"/>
          </w:tcPr>
          <w:p w14:paraId="65BCA739">
            <w:pPr>
              <w:jc w:val="center"/>
              <w:rPr>
                <w:color w:val="000000" w:themeColor="text1"/>
                <w:sz w:val="18"/>
                <w:szCs w:val="18"/>
                <w:highlight w:val="none"/>
                <w14:textFill>
                  <w14:solidFill>
                    <w14:schemeClr w14:val="tx1"/>
                  </w14:solidFill>
                </w14:textFill>
              </w:rPr>
            </w:pPr>
          </w:p>
        </w:tc>
      </w:tr>
      <w:tr w14:paraId="57DDBB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651446E2">
            <w:pPr>
              <w:jc w:val="center"/>
              <w:rPr>
                <w:color w:val="000000" w:themeColor="text1"/>
                <w:sz w:val="18"/>
                <w:szCs w:val="18"/>
                <w:highlight w:val="none"/>
                <w14:textFill>
                  <w14:solidFill>
                    <w14:schemeClr w14:val="tx1"/>
                  </w14:solidFill>
                </w14:textFill>
              </w:rPr>
            </w:pPr>
          </w:p>
        </w:tc>
        <w:tc>
          <w:tcPr>
            <w:tcW w:w="728" w:type="pct"/>
            <w:vAlign w:val="center"/>
          </w:tcPr>
          <w:p w14:paraId="55F049E8">
            <w:pPr>
              <w:jc w:val="center"/>
              <w:rPr>
                <w:color w:val="000000" w:themeColor="text1"/>
                <w:sz w:val="18"/>
                <w:szCs w:val="18"/>
                <w:highlight w:val="none"/>
                <w14:textFill>
                  <w14:solidFill>
                    <w14:schemeClr w14:val="tx1"/>
                  </w14:solidFill>
                </w14:textFill>
              </w:rPr>
            </w:pPr>
          </w:p>
        </w:tc>
        <w:tc>
          <w:tcPr>
            <w:tcW w:w="597" w:type="pct"/>
            <w:vAlign w:val="center"/>
          </w:tcPr>
          <w:p w14:paraId="7E502225">
            <w:pPr>
              <w:jc w:val="center"/>
              <w:rPr>
                <w:color w:val="000000" w:themeColor="text1"/>
                <w:sz w:val="18"/>
                <w:szCs w:val="18"/>
                <w:highlight w:val="none"/>
                <w14:textFill>
                  <w14:solidFill>
                    <w14:schemeClr w14:val="tx1"/>
                  </w14:solidFill>
                </w14:textFill>
              </w:rPr>
            </w:pPr>
          </w:p>
        </w:tc>
        <w:tc>
          <w:tcPr>
            <w:tcW w:w="668" w:type="pct"/>
            <w:vAlign w:val="center"/>
          </w:tcPr>
          <w:p w14:paraId="633ACF9D">
            <w:pPr>
              <w:jc w:val="center"/>
              <w:rPr>
                <w:color w:val="000000" w:themeColor="text1"/>
                <w:sz w:val="18"/>
                <w:szCs w:val="18"/>
                <w:highlight w:val="none"/>
                <w14:textFill>
                  <w14:solidFill>
                    <w14:schemeClr w14:val="tx1"/>
                  </w14:solidFill>
                </w14:textFill>
              </w:rPr>
            </w:pPr>
          </w:p>
        </w:tc>
        <w:tc>
          <w:tcPr>
            <w:tcW w:w="482" w:type="pct"/>
            <w:vAlign w:val="center"/>
          </w:tcPr>
          <w:p w14:paraId="623BA2B5">
            <w:pPr>
              <w:jc w:val="center"/>
              <w:rPr>
                <w:color w:val="000000" w:themeColor="text1"/>
                <w:sz w:val="18"/>
                <w:szCs w:val="18"/>
                <w:highlight w:val="none"/>
                <w14:textFill>
                  <w14:solidFill>
                    <w14:schemeClr w14:val="tx1"/>
                  </w14:solidFill>
                </w14:textFill>
              </w:rPr>
            </w:pPr>
          </w:p>
        </w:tc>
        <w:tc>
          <w:tcPr>
            <w:tcW w:w="809" w:type="pct"/>
            <w:vAlign w:val="center"/>
          </w:tcPr>
          <w:p w14:paraId="24DDF071">
            <w:pPr>
              <w:jc w:val="center"/>
              <w:rPr>
                <w:color w:val="000000" w:themeColor="text1"/>
                <w:sz w:val="18"/>
                <w:szCs w:val="18"/>
                <w:highlight w:val="none"/>
                <w14:textFill>
                  <w14:solidFill>
                    <w14:schemeClr w14:val="tx1"/>
                  </w14:solidFill>
                </w14:textFill>
              </w:rPr>
            </w:pPr>
          </w:p>
        </w:tc>
        <w:tc>
          <w:tcPr>
            <w:tcW w:w="641" w:type="pct"/>
            <w:vAlign w:val="center"/>
          </w:tcPr>
          <w:p w14:paraId="715DEE19">
            <w:pPr>
              <w:jc w:val="center"/>
              <w:rPr>
                <w:color w:val="000000" w:themeColor="text1"/>
                <w:sz w:val="18"/>
                <w:szCs w:val="18"/>
                <w:highlight w:val="none"/>
                <w14:textFill>
                  <w14:solidFill>
                    <w14:schemeClr w14:val="tx1"/>
                  </w14:solidFill>
                </w14:textFill>
              </w:rPr>
            </w:pPr>
          </w:p>
        </w:tc>
        <w:tc>
          <w:tcPr>
            <w:tcW w:w="724" w:type="pct"/>
            <w:vAlign w:val="center"/>
          </w:tcPr>
          <w:p w14:paraId="3B842720">
            <w:pPr>
              <w:jc w:val="center"/>
              <w:rPr>
                <w:color w:val="000000" w:themeColor="text1"/>
                <w:sz w:val="18"/>
                <w:szCs w:val="18"/>
                <w:highlight w:val="none"/>
                <w14:textFill>
                  <w14:solidFill>
                    <w14:schemeClr w14:val="tx1"/>
                  </w14:solidFill>
                </w14:textFill>
              </w:rPr>
            </w:pPr>
          </w:p>
        </w:tc>
      </w:tr>
      <w:tr w14:paraId="68AFF3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7079DA98">
            <w:pPr>
              <w:jc w:val="center"/>
              <w:rPr>
                <w:color w:val="000000" w:themeColor="text1"/>
                <w:sz w:val="18"/>
                <w:szCs w:val="18"/>
                <w:highlight w:val="none"/>
                <w14:textFill>
                  <w14:solidFill>
                    <w14:schemeClr w14:val="tx1"/>
                  </w14:solidFill>
                </w14:textFill>
              </w:rPr>
            </w:pPr>
          </w:p>
        </w:tc>
        <w:tc>
          <w:tcPr>
            <w:tcW w:w="728" w:type="pct"/>
            <w:vAlign w:val="center"/>
          </w:tcPr>
          <w:p w14:paraId="0DC3EB7D">
            <w:pPr>
              <w:jc w:val="center"/>
              <w:rPr>
                <w:color w:val="000000" w:themeColor="text1"/>
                <w:sz w:val="18"/>
                <w:szCs w:val="18"/>
                <w:highlight w:val="none"/>
                <w14:textFill>
                  <w14:solidFill>
                    <w14:schemeClr w14:val="tx1"/>
                  </w14:solidFill>
                </w14:textFill>
              </w:rPr>
            </w:pPr>
          </w:p>
        </w:tc>
        <w:tc>
          <w:tcPr>
            <w:tcW w:w="597" w:type="pct"/>
            <w:vAlign w:val="center"/>
          </w:tcPr>
          <w:p w14:paraId="302DCE09">
            <w:pPr>
              <w:jc w:val="center"/>
              <w:rPr>
                <w:color w:val="000000" w:themeColor="text1"/>
                <w:sz w:val="18"/>
                <w:szCs w:val="18"/>
                <w:highlight w:val="none"/>
                <w14:textFill>
                  <w14:solidFill>
                    <w14:schemeClr w14:val="tx1"/>
                  </w14:solidFill>
                </w14:textFill>
              </w:rPr>
            </w:pPr>
          </w:p>
        </w:tc>
        <w:tc>
          <w:tcPr>
            <w:tcW w:w="668" w:type="pct"/>
            <w:vAlign w:val="center"/>
          </w:tcPr>
          <w:p w14:paraId="68460EE0">
            <w:pPr>
              <w:jc w:val="center"/>
              <w:rPr>
                <w:color w:val="000000" w:themeColor="text1"/>
                <w:sz w:val="18"/>
                <w:szCs w:val="18"/>
                <w:highlight w:val="none"/>
                <w14:textFill>
                  <w14:solidFill>
                    <w14:schemeClr w14:val="tx1"/>
                  </w14:solidFill>
                </w14:textFill>
              </w:rPr>
            </w:pPr>
          </w:p>
        </w:tc>
        <w:tc>
          <w:tcPr>
            <w:tcW w:w="482" w:type="pct"/>
            <w:vAlign w:val="center"/>
          </w:tcPr>
          <w:p w14:paraId="62B59EE2">
            <w:pPr>
              <w:jc w:val="center"/>
              <w:rPr>
                <w:color w:val="000000" w:themeColor="text1"/>
                <w:sz w:val="18"/>
                <w:szCs w:val="18"/>
                <w:highlight w:val="none"/>
                <w14:textFill>
                  <w14:solidFill>
                    <w14:schemeClr w14:val="tx1"/>
                  </w14:solidFill>
                </w14:textFill>
              </w:rPr>
            </w:pPr>
          </w:p>
        </w:tc>
        <w:tc>
          <w:tcPr>
            <w:tcW w:w="809" w:type="pct"/>
            <w:vAlign w:val="center"/>
          </w:tcPr>
          <w:p w14:paraId="6C9D3970">
            <w:pPr>
              <w:jc w:val="center"/>
              <w:rPr>
                <w:color w:val="000000" w:themeColor="text1"/>
                <w:sz w:val="18"/>
                <w:szCs w:val="18"/>
                <w:highlight w:val="none"/>
                <w14:textFill>
                  <w14:solidFill>
                    <w14:schemeClr w14:val="tx1"/>
                  </w14:solidFill>
                </w14:textFill>
              </w:rPr>
            </w:pPr>
          </w:p>
        </w:tc>
        <w:tc>
          <w:tcPr>
            <w:tcW w:w="641" w:type="pct"/>
            <w:vAlign w:val="center"/>
          </w:tcPr>
          <w:p w14:paraId="66B168C2">
            <w:pPr>
              <w:jc w:val="center"/>
              <w:rPr>
                <w:color w:val="000000" w:themeColor="text1"/>
                <w:sz w:val="18"/>
                <w:szCs w:val="18"/>
                <w:highlight w:val="none"/>
                <w14:textFill>
                  <w14:solidFill>
                    <w14:schemeClr w14:val="tx1"/>
                  </w14:solidFill>
                </w14:textFill>
              </w:rPr>
            </w:pPr>
          </w:p>
        </w:tc>
        <w:tc>
          <w:tcPr>
            <w:tcW w:w="724" w:type="pct"/>
            <w:vAlign w:val="center"/>
          </w:tcPr>
          <w:p w14:paraId="3F0CCA0C">
            <w:pPr>
              <w:jc w:val="center"/>
              <w:rPr>
                <w:color w:val="000000" w:themeColor="text1"/>
                <w:sz w:val="18"/>
                <w:szCs w:val="18"/>
                <w:highlight w:val="none"/>
                <w14:textFill>
                  <w14:solidFill>
                    <w14:schemeClr w14:val="tx1"/>
                  </w14:solidFill>
                </w14:textFill>
              </w:rPr>
            </w:pPr>
          </w:p>
        </w:tc>
      </w:tr>
      <w:tr w14:paraId="1BC925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4120E1C4">
            <w:pPr>
              <w:jc w:val="center"/>
              <w:rPr>
                <w:color w:val="000000" w:themeColor="text1"/>
                <w:sz w:val="18"/>
                <w:szCs w:val="18"/>
                <w:highlight w:val="none"/>
                <w14:textFill>
                  <w14:solidFill>
                    <w14:schemeClr w14:val="tx1"/>
                  </w14:solidFill>
                </w14:textFill>
              </w:rPr>
            </w:pPr>
          </w:p>
        </w:tc>
        <w:tc>
          <w:tcPr>
            <w:tcW w:w="728" w:type="pct"/>
            <w:vAlign w:val="center"/>
          </w:tcPr>
          <w:p w14:paraId="2581E3FD">
            <w:pPr>
              <w:jc w:val="center"/>
              <w:rPr>
                <w:color w:val="000000" w:themeColor="text1"/>
                <w:sz w:val="18"/>
                <w:szCs w:val="18"/>
                <w:highlight w:val="none"/>
                <w14:textFill>
                  <w14:solidFill>
                    <w14:schemeClr w14:val="tx1"/>
                  </w14:solidFill>
                </w14:textFill>
              </w:rPr>
            </w:pPr>
          </w:p>
        </w:tc>
        <w:tc>
          <w:tcPr>
            <w:tcW w:w="597" w:type="pct"/>
            <w:vAlign w:val="center"/>
          </w:tcPr>
          <w:p w14:paraId="031414D7">
            <w:pPr>
              <w:jc w:val="center"/>
              <w:rPr>
                <w:color w:val="000000" w:themeColor="text1"/>
                <w:sz w:val="18"/>
                <w:szCs w:val="18"/>
                <w:highlight w:val="none"/>
                <w14:textFill>
                  <w14:solidFill>
                    <w14:schemeClr w14:val="tx1"/>
                  </w14:solidFill>
                </w14:textFill>
              </w:rPr>
            </w:pPr>
          </w:p>
        </w:tc>
        <w:tc>
          <w:tcPr>
            <w:tcW w:w="668" w:type="pct"/>
            <w:vAlign w:val="center"/>
          </w:tcPr>
          <w:p w14:paraId="34702ADD">
            <w:pPr>
              <w:jc w:val="center"/>
              <w:rPr>
                <w:color w:val="000000" w:themeColor="text1"/>
                <w:sz w:val="18"/>
                <w:szCs w:val="18"/>
                <w:highlight w:val="none"/>
                <w14:textFill>
                  <w14:solidFill>
                    <w14:schemeClr w14:val="tx1"/>
                  </w14:solidFill>
                </w14:textFill>
              </w:rPr>
            </w:pPr>
          </w:p>
        </w:tc>
        <w:tc>
          <w:tcPr>
            <w:tcW w:w="482" w:type="pct"/>
            <w:vAlign w:val="center"/>
          </w:tcPr>
          <w:p w14:paraId="4E2920F3">
            <w:pPr>
              <w:jc w:val="center"/>
              <w:rPr>
                <w:color w:val="000000" w:themeColor="text1"/>
                <w:sz w:val="18"/>
                <w:szCs w:val="18"/>
                <w:highlight w:val="none"/>
                <w14:textFill>
                  <w14:solidFill>
                    <w14:schemeClr w14:val="tx1"/>
                  </w14:solidFill>
                </w14:textFill>
              </w:rPr>
            </w:pPr>
          </w:p>
        </w:tc>
        <w:tc>
          <w:tcPr>
            <w:tcW w:w="809" w:type="pct"/>
            <w:vAlign w:val="center"/>
          </w:tcPr>
          <w:p w14:paraId="1AE1F1C2">
            <w:pPr>
              <w:jc w:val="center"/>
              <w:rPr>
                <w:color w:val="000000" w:themeColor="text1"/>
                <w:sz w:val="18"/>
                <w:szCs w:val="18"/>
                <w:highlight w:val="none"/>
                <w14:textFill>
                  <w14:solidFill>
                    <w14:schemeClr w14:val="tx1"/>
                  </w14:solidFill>
                </w14:textFill>
              </w:rPr>
            </w:pPr>
          </w:p>
        </w:tc>
        <w:tc>
          <w:tcPr>
            <w:tcW w:w="641" w:type="pct"/>
            <w:vAlign w:val="center"/>
          </w:tcPr>
          <w:p w14:paraId="69044D08">
            <w:pPr>
              <w:jc w:val="center"/>
              <w:rPr>
                <w:color w:val="000000" w:themeColor="text1"/>
                <w:sz w:val="18"/>
                <w:szCs w:val="18"/>
                <w:highlight w:val="none"/>
                <w14:textFill>
                  <w14:solidFill>
                    <w14:schemeClr w14:val="tx1"/>
                  </w14:solidFill>
                </w14:textFill>
              </w:rPr>
            </w:pPr>
          </w:p>
        </w:tc>
        <w:tc>
          <w:tcPr>
            <w:tcW w:w="724" w:type="pct"/>
            <w:vAlign w:val="center"/>
          </w:tcPr>
          <w:p w14:paraId="650C1687">
            <w:pPr>
              <w:jc w:val="center"/>
              <w:rPr>
                <w:color w:val="000000" w:themeColor="text1"/>
                <w:sz w:val="18"/>
                <w:szCs w:val="18"/>
                <w:highlight w:val="none"/>
                <w14:textFill>
                  <w14:solidFill>
                    <w14:schemeClr w14:val="tx1"/>
                  </w14:solidFill>
                </w14:textFill>
              </w:rPr>
            </w:pPr>
          </w:p>
        </w:tc>
      </w:tr>
      <w:tr w14:paraId="7AA824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0EA0BA5A">
            <w:pPr>
              <w:jc w:val="center"/>
              <w:rPr>
                <w:color w:val="000000" w:themeColor="text1"/>
                <w:sz w:val="18"/>
                <w:szCs w:val="18"/>
                <w:highlight w:val="none"/>
                <w14:textFill>
                  <w14:solidFill>
                    <w14:schemeClr w14:val="tx1"/>
                  </w14:solidFill>
                </w14:textFill>
              </w:rPr>
            </w:pPr>
          </w:p>
        </w:tc>
        <w:tc>
          <w:tcPr>
            <w:tcW w:w="728" w:type="pct"/>
            <w:vAlign w:val="center"/>
          </w:tcPr>
          <w:p w14:paraId="4719BDC0">
            <w:pPr>
              <w:jc w:val="center"/>
              <w:rPr>
                <w:color w:val="000000" w:themeColor="text1"/>
                <w:sz w:val="18"/>
                <w:szCs w:val="18"/>
                <w:highlight w:val="none"/>
                <w14:textFill>
                  <w14:solidFill>
                    <w14:schemeClr w14:val="tx1"/>
                  </w14:solidFill>
                </w14:textFill>
              </w:rPr>
            </w:pPr>
          </w:p>
        </w:tc>
        <w:tc>
          <w:tcPr>
            <w:tcW w:w="597" w:type="pct"/>
            <w:vAlign w:val="center"/>
          </w:tcPr>
          <w:p w14:paraId="41914B49">
            <w:pPr>
              <w:jc w:val="center"/>
              <w:rPr>
                <w:color w:val="000000" w:themeColor="text1"/>
                <w:sz w:val="18"/>
                <w:szCs w:val="18"/>
                <w:highlight w:val="none"/>
                <w14:textFill>
                  <w14:solidFill>
                    <w14:schemeClr w14:val="tx1"/>
                  </w14:solidFill>
                </w14:textFill>
              </w:rPr>
            </w:pPr>
          </w:p>
        </w:tc>
        <w:tc>
          <w:tcPr>
            <w:tcW w:w="668" w:type="pct"/>
            <w:vAlign w:val="center"/>
          </w:tcPr>
          <w:p w14:paraId="7E0215DE">
            <w:pPr>
              <w:jc w:val="center"/>
              <w:rPr>
                <w:color w:val="000000" w:themeColor="text1"/>
                <w:sz w:val="18"/>
                <w:szCs w:val="18"/>
                <w:highlight w:val="none"/>
                <w14:textFill>
                  <w14:solidFill>
                    <w14:schemeClr w14:val="tx1"/>
                  </w14:solidFill>
                </w14:textFill>
              </w:rPr>
            </w:pPr>
          </w:p>
        </w:tc>
        <w:tc>
          <w:tcPr>
            <w:tcW w:w="482" w:type="pct"/>
            <w:vAlign w:val="center"/>
          </w:tcPr>
          <w:p w14:paraId="310DEA7F">
            <w:pPr>
              <w:jc w:val="center"/>
              <w:rPr>
                <w:color w:val="000000" w:themeColor="text1"/>
                <w:sz w:val="18"/>
                <w:szCs w:val="18"/>
                <w:highlight w:val="none"/>
                <w14:textFill>
                  <w14:solidFill>
                    <w14:schemeClr w14:val="tx1"/>
                  </w14:solidFill>
                </w14:textFill>
              </w:rPr>
            </w:pPr>
          </w:p>
        </w:tc>
        <w:tc>
          <w:tcPr>
            <w:tcW w:w="809" w:type="pct"/>
            <w:vAlign w:val="center"/>
          </w:tcPr>
          <w:p w14:paraId="7DE9E5EC">
            <w:pPr>
              <w:jc w:val="center"/>
              <w:rPr>
                <w:color w:val="000000" w:themeColor="text1"/>
                <w:sz w:val="18"/>
                <w:szCs w:val="18"/>
                <w:highlight w:val="none"/>
                <w14:textFill>
                  <w14:solidFill>
                    <w14:schemeClr w14:val="tx1"/>
                  </w14:solidFill>
                </w14:textFill>
              </w:rPr>
            </w:pPr>
          </w:p>
        </w:tc>
        <w:tc>
          <w:tcPr>
            <w:tcW w:w="641" w:type="pct"/>
            <w:vAlign w:val="center"/>
          </w:tcPr>
          <w:p w14:paraId="11267C22">
            <w:pPr>
              <w:jc w:val="center"/>
              <w:rPr>
                <w:color w:val="000000" w:themeColor="text1"/>
                <w:sz w:val="18"/>
                <w:szCs w:val="18"/>
                <w:highlight w:val="none"/>
                <w14:textFill>
                  <w14:solidFill>
                    <w14:schemeClr w14:val="tx1"/>
                  </w14:solidFill>
                </w14:textFill>
              </w:rPr>
            </w:pPr>
          </w:p>
        </w:tc>
        <w:tc>
          <w:tcPr>
            <w:tcW w:w="724" w:type="pct"/>
            <w:vAlign w:val="center"/>
          </w:tcPr>
          <w:p w14:paraId="0C74DF53">
            <w:pPr>
              <w:jc w:val="center"/>
              <w:rPr>
                <w:color w:val="000000" w:themeColor="text1"/>
                <w:sz w:val="18"/>
                <w:szCs w:val="18"/>
                <w:highlight w:val="none"/>
                <w14:textFill>
                  <w14:solidFill>
                    <w14:schemeClr w14:val="tx1"/>
                  </w14:solidFill>
                </w14:textFill>
              </w:rPr>
            </w:pPr>
          </w:p>
        </w:tc>
      </w:tr>
      <w:tr w14:paraId="234B88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1F96E365">
            <w:pPr>
              <w:jc w:val="center"/>
              <w:rPr>
                <w:color w:val="000000" w:themeColor="text1"/>
                <w:sz w:val="18"/>
                <w:szCs w:val="18"/>
                <w:highlight w:val="none"/>
                <w14:textFill>
                  <w14:solidFill>
                    <w14:schemeClr w14:val="tx1"/>
                  </w14:solidFill>
                </w14:textFill>
              </w:rPr>
            </w:pPr>
          </w:p>
        </w:tc>
        <w:tc>
          <w:tcPr>
            <w:tcW w:w="728" w:type="pct"/>
            <w:vAlign w:val="center"/>
          </w:tcPr>
          <w:p w14:paraId="7A9E6717">
            <w:pPr>
              <w:jc w:val="center"/>
              <w:rPr>
                <w:color w:val="000000" w:themeColor="text1"/>
                <w:sz w:val="18"/>
                <w:szCs w:val="18"/>
                <w:highlight w:val="none"/>
                <w14:textFill>
                  <w14:solidFill>
                    <w14:schemeClr w14:val="tx1"/>
                  </w14:solidFill>
                </w14:textFill>
              </w:rPr>
            </w:pPr>
          </w:p>
        </w:tc>
        <w:tc>
          <w:tcPr>
            <w:tcW w:w="597" w:type="pct"/>
            <w:vAlign w:val="center"/>
          </w:tcPr>
          <w:p w14:paraId="29E5CF8C">
            <w:pPr>
              <w:jc w:val="center"/>
              <w:rPr>
                <w:color w:val="000000" w:themeColor="text1"/>
                <w:sz w:val="18"/>
                <w:szCs w:val="18"/>
                <w:highlight w:val="none"/>
                <w14:textFill>
                  <w14:solidFill>
                    <w14:schemeClr w14:val="tx1"/>
                  </w14:solidFill>
                </w14:textFill>
              </w:rPr>
            </w:pPr>
          </w:p>
        </w:tc>
        <w:tc>
          <w:tcPr>
            <w:tcW w:w="668" w:type="pct"/>
            <w:vAlign w:val="center"/>
          </w:tcPr>
          <w:p w14:paraId="705800CD">
            <w:pPr>
              <w:jc w:val="center"/>
              <w:rPr>
                <w:color w:val="000000" w:themeColor="text1"/>
                <w:sz w:val="18"/>
                <w:szCs w:val="18"/>
                <w:highlight w:val="none"/>
                <w14:textFill>
                  <w14:solidFill>
                    <w14:schemeClr w14:val="tx1"/>
                  </w14:solidFill>
                </w14:textFill>
              </w:rPr>
            </w:pPr>
          </w:p>
        </w:tc>
        <w:tc>
          <w:tcPr>
            <w:tcW w:w="482" w:type="pct"/>
            <w:vAlign w:val="center"/>
          </w:tcPr>
          <w:p w14:paraId="7B23BB98">
            <w:pPr>
              <w:jc w:val="center"/>
              <w:rPr>
                <w:color w:val="000000" w:themeColor="text1"/>
                <w:sz w:val="18"/>
                <w:szCs w:val="18"/>
                <w:highlight w:val="none"/>
                <w14:textFill>
                  <w14:solidFill>
                    <w14:schemeClr w14:val="tx1"/>
                  </w14:solidFill>
                </w14:textFill>
              </w:rPr>
            </w:pPr>
          </w:p>
        </w:tc>
        <w:tc>
          <w:tcPr>
            <w:tcW w:w="809" w:type="pct"/>
            <w:vAlign w:val="center"/>
          </w:tcPr>
          <w:p w14:paraId="24E0B1A1">
            <w:pPr>
              <w:jc w:val="center"/>
              <w:rPr>
                <w:color w:val="000000" w:themeColor="text1"/>
                <w:sz w:val="18"/>
                <w:szCs w:val="18"/>
                <w:highlight w:val="none"/>
                <w14:textFill>
                  <w14:solidFill>
                    <w14:schemeClr w14:val="tx1"/>
                  </w14:solidFill>
                </w14:textFill>
              </w:rPr>
            </w:pPr>
          </w:p>
        </w:tc>
        <w:tc>
          <w:tcPr>
            <w:tcW w:w="641" w:type="pct"/>
            <w:vAlign w:val="center"/>
          </w:tcPr>
          <w:p w14:paraId="5B0B2742">
            <w:pPr>
              <w:jc w:val="center"/>
              <w:rPr>
                <w:color w:val="000000" w:themeColor="text1"/>
                <w:sz w:val="18"/>
                <w:szCs w:val="18"/>
                <w:highlight w:val="none"/>
                <w14:textFill>
                  <w14:solidFill>
                    <w14:schemeClr w14:val="tx1"/>
                  </w14:solidFill>
                </w14:textFill>
              </w:rPr>
            </w:pPr>
          </w:p>
        </w:tc>
        <w:tc>
          <w:tcPr>
            <w:tcW w:w="724" w:type="pct"/>
            <w:vAlign w:val="center"/>
          </w:tcPr>
          <w:p w14:paraId="55EDEA8A">
            <w:pPr>
              <w:jc w:val="center"/>
              <w:rPr>
                <w:color w:val="000000" w:themeColor="text1"/>
                <w:sz w:val="18"/>
                <w:szCs w:val="18"/>
                <w:highlight w:val="none"/>
                <w14:textFill>
                  <w14:solidFill>
                    <w14:schemeClr w14:val="tx1"/>
                  </w14:solidFill>
                </w14:textFill>
              </w:rPr>
            </w:pPr>
          </w:p>
        </w:tc>
      </w:tr>
      <w:tr w14:paraId="063474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23C52975">
            <w:pPr>
              <w:jc w:val="center"/>
              <w:rPr>
                <w:color w:val="000000" w:themeColor="text1"/>
                <w:sz w:val="18"/>
                <w:szCs w:val="18"/>
                <w:highlight w:val="none"/>
                <w14:textFill>
                  <w14:solidFill>
                    <w14:schemeClr w14:val="tx1"/>
                  </w14:solidFill>
                </w14:textFill>
              </w:rPr>
            </w:pPr>
          </w:p>
        </w:tc>
        <w:tc>
          <w:tcPr>
            <w:tcW w:w="728" w:type="pct"/>
            <w:vAlign w:val="center"/>
          </w:tcPr>
          <w:p w14:paraId="5DD44458">
            <w:pPr>
              <w:jc w:val="center"/>
              <w:rPr>
                <w:color w:val="000000" w:themeColor="text1"/>
                <w:sz w:val="18"/>
                <w:szCs w:val="18"/>
                <w:highlight w:val="none"/>
                <w14:textFill>
                  <w14:solidFill>
                    <w14:schemeClr w14:val="tx1"/>
                  </w14:solidFill>
                </w14:textFill>
              </w:rPr>
            </w:pPr>
          </w:p>
        </w:tc>
        <w:tc>
          <w:tcPr>
            <w:tcW w:w="597" w:type="pct"/>
            <w:vAlign w:val="center"/>
          </w:tcPr>
          <w:p w14:paraId="334ED1D1">
            <w:pPr>
              <w:jc w:val="center"/>
              <w:rPr>
                <w:color w:val="000000" w:themeColor="text1"/>
                <w:sz w:val="18"/>
                <w:szCs w:val="18"/>
                <w:highlight w:val="none"/>
                <w14:textFill>
                  <w14:solidFill>
                    <w14:schemeClr w14:val="tx1"/>
                  </w14:solidFill>
                </w14:textFill>
              </w:rPr>
            </w:pPr>
          </w:p>
        </w:tc>
        <w:tc>
          <w:tcPr>
            <w:tcW w:w="668" w:type="pct"/>
            <w:vAlign w:val="center"/>
          </w:tcPr>
          <w:p w14:paraId="71D3FD57">
            <w:pPr>
              <w:jc w:val="center"/>
              <w:rPr>
                <w:color w:val="000000" w:themeColor="text1"/>
                <w:sz w:val="18"/>
                <w:szCs w:val="18"/>
                <w:highlight w:val="none"/>
                <w14:textFill>
                  <w14:solidFill>
                    <w14:schemeClr w14:val="tx1"/>
                  </w14:solidFill>
                </w14:textFill>
              </w:rPr>
            </w:pPr>
          </w:p>
        </w:tc>
        <w:tc>
          <w:tcPr>
            <w:tcW w:w="482" w:type="pct"/>
            <w:vAlign w:val="center"/>
          </w:tcPr>
          <w:p w14:paraId="6CAAD835">
            <w:pPr>
              <w:jc w:val="center"/>
              <w:rPr>
                <w:color w:val="000000" w:themeColor="text1"/>
                <w:sz w:val="18"/>
                <w:szCs w:val="18"/>
                <w:highlight w:val="none"/>
                <w14:textFill>
                  <w14:solidFill>
                    <w14:schemeClr w14:val="tx1"/>
                  </w14:solidFill>
                </w14:textFill>
              </w:rPr>
            </w:pPr>
          </w:p>
        </w:tc>
        <w:tc>
          <w:tcPr>
            <w:tcW w:w="809" w:type="pct"/>
            <w:vAlign w:val="center"/>
          </w:tcPr>
          <w:p w14:paraId="71354EC7">
            <w:pPr>
              <w:jc w:val="center"/>
              <w:rPr>
                <w:color w:val="000000" w:themeColor="text1"/>
                <w:sz w:val="18"/>
                <w:szCs w:val="18"/>
                <w:highlight w:val="none"/>
                <w14:textFill>
                  <w14:solidFill>
                    <w14:schemeClr w14:val="tx1"/>
                  </w14:solidFill>
                </w14:textFill>
              </w:rPr>
            </w:pPr>
          </w:p>
        </w:tc>
        <w:tc>
          <w:tcPr>
            <w:tcW w:w="641" w:type="pct"/>
            <w:vAlign w:val="center"/>
          </w:tcPr>
          <w:p w14:paraId="251C2D4B">
            <w:pPr>
              <w:jc w:val="center"/>
              <w:rPr>
                <w:color w:val="000000" w:themeColor="text1"/>
                <w:sz w:val="18"/>
                <w:szCs w:val="18"/>
                <w:highlight w:val="none"/>
                <w14:textFill>
                  <w14:solidFill>
                    <w14:schemeClr w14:val="tx1"/>
                  </w14:solidFill>
                </w14:textFill>
              </w:rPr>
            </w:pPr>
          </w:p>
        </w:tc>
        <w:tc>
          <w:tcPr>
            <w:tcW w:w="724" w:type="pct"/>
            <w:vAlign w:val="center"/>
          </w:tcPr>
          <w:p w14:paraId="4502599B">
            <w:pPr>
              <w:jc w:val="center"/>
              <w:rPr>
                <w:color w:val="000000" w:themeColor="text1"/>
                <w:sz w:val="18"/>
                <w:szCs w:val="18"/>
                <w:highlight w:val="none"/>
                <w14:textFill>
                  <w14:solidFill>
                    <w14:schemeClr w14:val="tx1"/>
                  </w14:solidFill>
                </w14:textFill>
              </w:rPr>
            </w:pPr>
          </w:p>
        </w:tc>
      </w:tr>
      <w:tr w14:paraId="437E92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2564B4F3">
            <w:pPr>
              <w:jc w:val="center"/>
              <w:rPr>
                <w:color w:val="000000" w:themeColor="text1"/>
                <w:sz w:val="18"/>
                <w:szCs w:val="18"/>
                <w:highlight w:val="none"/>
                <w14:textFill>
                  <w14:solidFill>
                    <w14:schemeClr w14:val="tx1"/>
                  </w14:solidFill>
                </w14:textFill>
              </w:rPr>
            </w:pPr>
          </w:p>
        </w:tc>
        <w:tc>
          <w:tcPr>
            <w:tcW w:w="728" w:type="pct"/>
            <w:vAlign w:val="center"/>
          </w:tcPr>
          <w:p w14:paraId="237E9F34">
            <w:pPr>
              <w:jc w:val="center"/>
              <w:rPr>
                <w:color w:val="000000" w:themeColor="text1"/>
                <w:sz w:val="18"/>
                <w:szCs w:val="18"/>
                <w:highlight w:val="none"/>
                <w14:textFill>
                  <w14:solidFill>
                    <w14:schemeClr w14:val="tx1"/>
                  </w14:solidFill>
                </w14:textFill>
              </w:rPr>
            </w:pPr>
          </w:p>
        </w:tc>
        <w:tc>
          <w:tcPr>
            <w:tcW w:w="597" w:type="pct"/>
            <w:vAlign w:val="center"/>
          </w:tcPr>
          <w:p w14:paraId="4BAE47F6">
            <w:pPr>
              <w:jc w:val="center"/>
              <w:rPr>
                <w:color w:val="000000" w:themeColor="text1"/>
                <w:sz w:val="18"/>
                <w:szCs w:val="18"/>
                <w:highlight w:val="none"/>
                <w14:textFill>
                  <w14:solidFill>
                    <w14:schemeClr w14:val="tx1"/>
                  </w14:solidFill>
                </w14:textFill>
              </w:rPr>
            </w:pPr>
          </w:p>
        </w:tc>
        <w:tc>
          <w:tcPr>
            <w:tcW w:w="668" w:type="pct"/>
            <w:vAlign w:val="center"/>
          </w:tcPr>
          <w:p w14:paraId="780B7970">
            <w:pPr>
              <w:jc w:val="center"/>
              <w:rPr>
                <w:color w:val="000000" w:themeColor="text1"/>
                <w:sz w:val="18"/>
                <w:szCs w:val="18"/>
                <w:highlight w:val="none"/>
                <w14:textFill>
                  <w14:solidFill>
                    <w14:schemeClr w14:val="tx1"/>
                  </w14:solidFill>
                </w14:textFill>
              </w:rPr>
            </w:pPr>
          </w:p>
        </w:tc>
        <w:tc>
          <w:tcPr>
            <w:tcW w:w="482" w:type="pct"/>
            <w:vAlign w:val="center"/>
          </w:tcPr>
          <w:p w14:paraId="6B3EAC0E">
            <w:pPr>
              <w:jc w:val="center"/>
              <w:rPr>
                <w:color w:val="000000" w:themeColor="text1"/>
                <w:sz w:val="18"/>
                <w:szCs w:val="18"/>
                <w:highlight w:val="none"/>
                <w14:textFill>
                  <w14:solidFill>
                    <w14:schemeClr w14:val="tx1"/>
                  </w14:solidFill>
                </w14:textFill>
              </w:rPr>
            </w:pPr>
          </w:p>
        </w:tc>
        <w:tc>
          <w:tcPr>
            <w:tcW w:w="809" w:type="pct"/>
            <w:vAlign w:val="center"/>
          </w:tcPr>
          <w:p w14:paraId="5E5B845A">
            <w:pPr>
              <w:jc w:val="center"/>
              <w:rPr>
                <w:color w:val="000000" w:themeColor="text1"/>
                <w:sz w:val="18"/>
                <w:szCs w:val="18"/>
                <w:highlight w:val="none"/>
                <w14:textFill>
                  <w14:solidFill>
                    <w14:schemeClr w14:val="tx1"/>
                  </w14:solidFill>
                </w14:textFill>
              </w:rPr>
            </w:pPr>
          </w:p>
        </w:tc>
        <w:tc>
          <w:tcPr>
            <w:tcW w:w="641" w:type="pct"/>
            <w:vAlign w:val="center"/>
          </w:tcPr>
          <w:p w14:paraId="77F166DB">
            <w:pPr>
              <w:jc w:val="center"/>
              <w:rPr>
                <w:color w:val="000000" w:themeColor="text1"/>
                <w:sz w:val="18"/>
                <w:szCs w:val="18"/>
                <w:highlight w:val="none"/>
                <w14:textFill>
                  <w14:solidFill>
                    <w14:schemeClr w14:val="tx1"/>
                  </w14:solidFill>
                </w14:textFill>
              </w:rPr>
            </w:pPr>
          </w:p>
        </w:tc>
        <w:tc>
          <w:tcPr>
            <w:tcW w:w="724" w:type="pct"/>
            <w:vAlign w:val="center"/>
          </w:tcPr>
          <w:p w14:paraId="0303CA8F">
            <w:pPr>
              <w:jc w:val="center"/>
              <w:rPr>
                <w:color w:val="000000" w:themeColor="text1"/>
                <w:sz w:val="18"/>
                <w:szCs w:val="18"/>
                <w:highlight w:val="none"/>
                <w14:textFill>
                  <w14:solidFill>
                    <w14:schemeClr w14:val="tx1"/>
                  </w14:solidFill>
                </w14:textFill>
              </w:rPr>
            </w:pPr>
          </w:p>
        </w:tc>
      </w:tr>
      <w:tr w14:paraId="42B2D4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69B824EC">
            <w:pPr>
              <w:jc w:val="center"/>
              <w:rPr>
                <w:color w:val="000000" w:themeColor="text1"/>
                <w:sz w:val="18"/>
                <w:szCs w:val="18"/>
                <w:highlight w:val="none"/>
                <w14:textFill>
                  <w14:solidFill>
                    <w14:schemeClr w14:val="tx1"/>
                  </w14:solidFill>
                </w14:textFill>
              </w:rPr>
            </w:pPr>
          </w:p>
        </w:tc>
        <w:tc>
          <w:tcPr>
            <w:tcW w:w="728" w:type="pct"/>
            <w:vAlign w:val="center"/>
          </w:tcPr>
          <w:p w14:paraId="586D6007">
            <w:pPr>
              <w:jc w:val="center"/>
              <w:rPr>
                <w:color w:val="000000" w:themeColor="text1"/>
                <w:sz w:val="18"/>
                <w:szCs w:val="18"/>
                <w:highlight w:val="none"/>
                <w14:textFill>
                  <w14:solidFill>
                    <w14:schemeClr w14:val="tx1"/>
                  </w14:solidFill>
                </w14:textFill>
              </w:rPr>
            </w:pPr>
          </w:p>
        </w:tc>
        <w:tc>
          <w:tcPr>
            <w:tcW w:w="597" w:type="pct"/>
            <w:vAlign w:val="center"/>
          </w:tcPr>
          <w:p w14:paraId="7709D4C4">
            <w:pPr>
              <w:jc w:val="center"/>
              <w:rPr>
                <w:color w:val="000000" w:themeColor="text1"/>
                <w:sz w:val="18"/>
                <w:szCs w:val="18"/>
                <w:highlight w:val="none"/>
                <w14:textFill>
                  <w14:solidFill>
                    <w14:schemeClr w14:val="tx1"/>
                  </w14:solidFill>
                </w14:textFill>
              </w:rPr>
            </w:pPr>
          </w:p>
        </w:tc>
        <w:tc>
          <w:tcPr>
            <w:tcW w:w="668" w:type="pct"/>
            <w:vAlign w:val="center"/>
          </w:tcPr>
          <w:p w14:paraId="4F345671">
            <w:pPr>
              <w:jc w:val="center"/>
              <w:rPr>
                <w:color w:val="000000" w:themeColor="text1"/>
                <w:sz w:val="18"/>
                <w:szCs w:val="18"/>
                <w:highlight w:val="none"/>
                <w14:textFill>
                  <w14:solidFill>
                    <w14:schemeClr w14:val="tx1"/>
                  </w14:solidFill>
                </w14:textFill>
              </w:rPr>
            </w:pPr>
          </w:p>
        </w:tc>
        <w:tc>
          <w:tcPr>
            <w:tcW w:w="482" w:type="pct"/>
            <w:vAlign w:val="center"/>
          </w:tcPr>
          <w:p w14:paraId="25E514FA">
            <w:pPr>
              <w:jc w:val="center"/>
              <w:rPr>
                <w:color w:val="000000" w:themeColor="text1"/>
                <w:sz w:val="18"/>
                <w:szCs w:val="18"/>
                <w:highlight w:val="none"/>
                <w14:textFill>
                  <w14:solidFill>
                    <w14:schemeClr w14:val="tx1"/>
                  </w14:solidFill>
                </w14:textFill>
              </w:rPr>
            </w:pPr>
          </w:p>
        </w:tc>
        <w:tc>
          <w:tcPr>
            <w:tcW w:w="809" w:type="pct"/>
            <w:vAlign w:val="center"/>
          </w:tcPr>
          <w:p w14:paraId="6062922F">
            <w:pPr>
              <w:jc w:val="center"/>
              <w:rPr>
                <w:color w:val="000000" w:themeColor="text1"/>
                <w:sz w:val="18"/>
                <w:szCs w:val="18"/>
                <w:highlight w:val="none"/>
                <w14:textFill>
                  <w14:solidFill>
                    <w14:schemeClr w14:val="tx1"/>
                  </w14:solidFill>
                </w14:textFill>
              </w:rPr>
            </w:pPr>
          </w:p>
        </w:tc>
        <w:tc>
          <w:tcPr>
            <w:tcW w:w="641" w:type="pct"/>
            <w:vAlign w:val="center"/>
          </w:tcPr>
          <w:p w14:paraId="408F0D56">
            <w:pPr>
              <w:jc w:val="center"/>
              <w:rPr>
                <w:color w:val="000000" w:themeColor="text1"/>
                <w:sz w:val="18"/>
                <w:szCs w:val="18"/>
                <w:highlight w:val="none"/>
                <w14:textFill>
                  <w14:solidFill>
                    <w14:schemeClr w14:val="tx1"/>
                  </w14:solidFill>
                </w14:textFill>
              </w:rPr>
            </w:pPr>
          </w:p>
        </w:tc>
        <w:tc>
          <w:tcPr>
            <w:tcW w:w="724" w:type="pct"/>
            <w:vAlign w:val="center"/>
          </w:tcPr>
          <w:p w14:paraId="4AFF642C">
            <w:pPr>
              <w:jc w:val="center"/>
              <w:rPr>
                <w:color w:val="000000" w:themeColor="text1"/>
                <w:sz w:val="18"/>
                <w:szCs w:val="18"/>
                <w:highlight w:val="none"/>
                <w14:textFill>
                  <w14:solidFill>
                    <w14:schemeClr w14:val="tx1"/>
                  </w14:solidFill>
                </w14:textFill>
              </w:rPr>
            </w:pPr>
          </w:p>
        </w:tc>
      </w:tr>
      <w:tr w14:paraId="230890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6183E87E">
            <w:pPr>
              <w:jc w:val="center"/>
              <w:rPr>
                <w:color w:val="000000" w:themeColor="text1"/>
                <w:sz w:val="18"/>
                <w:szCs w:val="18"/>
                <w:highlight w:val="none"/>
                <w14:textFill>
                  <w14:solidFill>
                    <w14:schemeClr w14:val="tx1"/>
                  </w14:solidFill>
                </w14:textFill>
              </w:rPr>
            </w:pPr>
          </w:p>
        </w:tc>
        <w:tc>
          <w:tcPr>
            <w:tcW w:w="728" w:type="pct"/>
            <w:vAlign w:val="center"/>
          </w:tcPr>
          <w:p w14:paraId="1C7B118D">
            <w:pPr>
              <w:jc w:val="center"/>
              <w:rPr>
                <w:color w:val="000000" w:themeColor="text1"/>
                <w:sz w:val="18"/>
                <w:szCs w:val="18"/>
                <w:highlight w:val="none"/>
                <w14:textFill>
                  <w14:solidFill>
                    <w14:schemeClr w14:val="tx1"/>
                  </w14:solidFill>
                </w14:textFill>
              </w:rPr>
            </w:pPr>
          </w:p>
        </w:tc>
        <w:tc>
          <w:tcPr>
            <w:tcW w:w="597" w:type="pct"/>
            <w:vAlign w:val="center"/>
          </w:tcPr>
          <w:p w14:paraId="385D17A7">
            <w:pPr>
              <w:jc w:val="center"/>
              <w:rPr>
                <w:color w:val="000000" w:themeColor="text1"/>
                <w:sz w:val="18"/>
                <w:szCs w:val="18"/>
                <w:highlight w:val="none"/>
                <w14:textFill>
                  <w14:solidFill>
                    <w14:schemeClr w14:val="tx1"/>
                  </w14:solidFill>
                </w14:textFill>
              </w:rPr>
            </w:pPr>
          </w:p>
        </w:tc>
        <w:tc>
          <w:tcPr>
            <w:tcW w:w="668" w:type="pct"/>
            <w:vAlign w:val="center"/>
          </w:tcPr>
          <w:p w14:paraId="66613BCE">
            <w:pPr>
              <w:jc w:val="center"/>
              <w:rPr>
                <w:color w:val="000000" w:themeColor="text1"/>
                <w:sz w:val="18"/>
                <w:szCs w:val="18"/>
                <w:highlight w:val="none"/>
                <w14:textFill>
                  <w14:solidFill>
                    <w14:schemeClr w14:val="tx1"/>
                  </w14:solidFill>
                </w14:textFill>
              </w:rPr>
            </w:pPr>
          </w:p>
        </w:tc>
        <w:tc>
          <w:tcPr>
            <w:tcW w:w="482" w:type="pct"/>
            <w:vAlign w:val="center"/>
          </w:tcPr>
          <w:p w14:paraId="3B403B62">
            <w:pPr>
              <w:jc w:val="center"/>
              <w:rPr>
                <w:color w:val="000000" w:themeColor="text1"/>
                <w:sz w:val="18"/>
                <w:szCs w:val="18"/>
                <w:highlight w:val="none"/>
                <w14:textFill>
                  <w14:solidFill>
                    <w14:schemeClr w14:val="tx1"/>
                  </w14:solidFill>
                </w14:textFill>
              </w:rPr>
            </w:pPr>
          </w:p>
        </w:tc>
        <w:tc>
          <w:tcPr>
            <w:tcW w:w="809" w:type="pct"/>
            <w:vAlign w:val="center"/>
          </w:tcPr>
          <w:p w14:paraId="2A32E782">
            <w:pPr>
              <w:jc w:val="center"/>
              <w:rPr>
                <w:color w:val="000000" w:themeColor="text1"/>
                <w:sz w:val="18"/>
                <w:szCs w:val="18"/>
                <w:highlight w:val="none"/>
                <w14:textFill>
                  <w14:solidFill>
                    <w14:schemeClr w14:val="tx1"/>
                  </w14:solidFill>
                </w14:textFill>
              </w:rPr>
            </w:pPr>
          </w:p>
        </w:tc>
        <w:tc>
          <w:tcPr>
            <w:tcW w:w="641" w:type="pct"/>
            <w:vAlign w:val="center"/>
          </w:tcPr>
          <w:p w14:paraId="7DE835F2">
            <w:pPr>
              <w:jc w:val="center"/>
              <w:rPr>
                <w:color w:val="000000" w:themeColor="text1"/>
                <w:sz w:val="18"/>
                <w:szCs w:val="18"/>
                <w:highlight w:val="none"/>
                <w14:textFill>
                  <w14:solidFill>
                    <w14:schemeClr w14:val="tx1"/>
                  </w14:solidFill>
                </w14:textFill>
              </w:rPr>
            </w:pPr>
          </w:p>
        </w:tc>
        <w:tc>
          <w:tcPr>
            <w:tcW w:w="724" w:type="pct"/>
            <w:vAlign w:val="center"/>
          </w:tcPr>
          <w:p w14:paraId="506A8F4E">
            <w:pPr>
              <w:jc w:val="center"/>
              <w:rPr>
                <w:color w:val="000000" w:themeColor="text1"/>
                <w:sz w:val="18"/>
                <w:szCs w:val="18"/>
                <w:highlight w:val="none"/>
                <w14:textFill>
                  <w14:solidFill>
                    <w14:schemeClr w14:val="tx1"/>
                  </w14:solidFill>
                </w14:textFill>
              </w:rPr>
            </w:pPr>
          </w:p>
        </w:tc>
      </w:tr>
      <w:tr w14:paraId="67A273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352" w:type="pct"/>
            <w:vAlign w:val="center"/>
          </w:tcPr>
          <w:p w14:paraId="1A8B586F">
            <w:pPr>
              <w:jc w:val="center"/>
              <w:rPr>
                <w:color w:val="000000" w:themeColor="text1"/>
                <w:sz w:val="18"/>
                <w:szCs w:val="18"/>
                <w:highlight w:val="none"/>
                <w14:textFill>
                  <w14:solidFill>
                    <w14:schemeClr w14:val="tx1"/>
                  </w14:solidFill>
                </w14:textFill>
              </w:rPr>
            </w:pPr>
          </w:p>
        </w:tc>
        <w:tc>
          <w:tcPr>
            <w:tcW w:w="728" w:type="pct"/>
            <w:vAlign w:val="center"/>
          </w:tcPr>
          <w:p w14:paraId="6ECC4AA7">
            <w:pPr>
              <w:jc w:val="center"/>
              <w:rPr>
                <w:color w:val="000000" w:themeColor="text1"/>
                <w:sz w:val="18"/>
                <w:szCs w:val="18"/>
                <w:highlight w:val="none"/>
                <w14:textFill>
                  <w14:solidFill>
                    <w14:schemeClr w14:val="tx1"/>
                  </w14:solidFill>
                </w14:textFill>
              </w:rPr>
            </w:pPr>
          </w:p>
        </w:tc>
        <w:tc>
          <w:tcPr>
            <w:tcW w:w="597" w:type="pct"/>
            <w:vAlign w:val="center"/>
          </w:tcPr>
          <w:p w14:paraId="2E58C894">
            <w:pPr>
              <w:jc w:val="center"/>
              <w:rPr>
                <w:color w:val="000000" w:themeColor="text1"/>
                <w:sz w:val="18"/>
                <w:szCs w:val="18"/>
                <w:highlight w:val="none"/>
                <w14:textFill>
                  <w14:solidFill>
                    <w14:schemeClr w14:val="tx1"/>
                  </w14:solidFill>
                </w14:textFill>
              </w:rPr>
            </w:pPr>
          </w:p>
        </w:tc>
        <w:tc>
          <w:tcPr>
            <w:tcW w:w="668" w:type="pct"/>
            <w:vAlign w:val="center"/>
          </w:tcPr>
          <w:p w14:paraId="1F139C6D">
            <w:pPr>
              <w:jc w:val="center"/>
              <w:rPr>
                <w:color w:val="000000" w:themeColor="text1"/>
                <w:sz w:val="18"/>
                <w:szCs w:val="18"/>
                <w:highlight w:val="none"/>
                <w14:textFill>
                  <w14:solidFill>
                    <w14:schemeClr w14:val="tx1"/>
                  </w14:solidFill>
                </w14:textFill>
              </w:rPr>
            </w:pPr>
          </w:p>
        </w:tc>
        <w:tc>
          <w:tcPr>
            <w:tcW w:w="482" w:type="pct"/>
            <w:vAlign w:val="center"/>
          </w:tcPr>
          <w:p w14:paraId="4E64C016">
            <w:pPr>
              <w:jc w:val="center"/>
              <w:rPr>
                <w:color w:val="000000" w:themeColor="text1"/>
                <w:sz w:val="18"/>
                <w:szCs w:val="18"/>
                <w:highlight w:val="none"/>
                <w14:textFill>
                  <w14:solidFill>
                    <w14:schemeClr w14:val="tx1"/>
                  </w14:solidFill>
                </w14:textFill>
              </w:rPr>
            </w:pPr>
          </w:p>
        </w:tc>
        <w:tc>
          <w:tcPr>
            <w:tcW w:w="809" w:type="pct"/>
            <w:vAlign w:val="center"/>
          </w:tcPr>
          <w:p w14:paraId="0A29F891">
            <w:pPr>
              <w:jc w:val="center"/>
              <w:rPr>
                <w:color w:val="000000" w:themeColor="text1"/>
                <w:sz w:val="18"/>
                <w:szCs w:val="18"/>
                <w:highlight w:val="none"/>
                <w14:textFill>
                  <w14:solidFill>
                    <w14:schemeClr w14:val="tx1"/>
                  </w14:solidFill>
                </w14:textFill>
              </w:rPr>
            </w:pPr>
          </w:p>
        </w:tc>
        <w:tc>
          <w:tcPr>
            <w:tcW w:w="641" w:type="pct"/>
            <w:vAlign w:val="center"/>
          </w:tcPr>
          <w:p w14:paraId="07318DB9">
            <w:pPr>
              <w:jc w:val="center"/>
              <w:rPr>
                <w:color w:val="000000" w:themeColor="text1"/>
                <w:sz w:val="18"/>
                <w:szCs w:val="18"/>
                <w:highlight w:val="none"/>
                <w14:textFill>
                  <w14:solidFill>
                    <w14:schemeClr w14:val="tx1"/>
                  </w14:solidFill>
                </w14:textFill>
              </w:rPr>
            </w:pPr>
          </w:p>
        </w:tc>
        <w:tc>
          <w:tcPr>
            <w:tcW w:w="724" w:type="pct"/>
            <w:vAlign w:val="center"/>
          </w:tcPr>
          <w:p w14:paraId="1316AAC8">
            <w:pPr>
              <w:jc w:val="center"/>
              <w:rPr>
                <w:color w:val="000000" w:themeColor="text1"/>
                <w:sz w:val="18"/>
                <w:szCs w:val="18"/>
                <w:highlight w:val="none"/>
                <w14:textFill>
                  <w14:solidFill>
                    <w14:schemeClr w14:val="tx1"/>
                  </w14:solidFill>
                </w14:textFill>
              </w:rPr>
            </w:pPr>
          </w:p>
        </w:tc>
      </w:tr>
    </w:tbl>
    <w:p w14:paraId="5E33F6D7">
      <w:pPr>
        <w:spacing w:line="360"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注：主要人员指项目负责人、技术、生产、商务、质量、安全、物资、设备等负责人。</w:t>
      </w:r>
    </w:p>
    <w:p w14:paraId="0A917DCF">
      <w:pPr>
        <w:spacing w:line="360" w:lineRule="auto"/>
        <w:rPr>
          <w:color w:val="000000" w:themeColor="text1"/>
          <w:szCs w:val="21"/>
          <w:highlight w:val="none"/>
          <w14:textFill>
            <w14:solidFill>
              <w14:schemeClr w14:val="tx1"/>
            </w14:solidFill>
          </w14:textFill>
        </w:rPr>
      </w:pPr>
    </w:p>
    <w:p w14:paraId="0A9430AA">
      <w:pPr>
        <w:spacing w:line="360" w:lineRule="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响应单位： (盖章)   　法定代表人或授权代理人：(签字) 　 日期：  年 月 日</w:t>
      </w:r>
    </w:p>
    <w:p w14:paraId="721BA1A7">
      <w:pPr>
        <w:spacing w:line="360" w:lineRule="auto"/>
        <w:rPr>
          <w:color w:val="000000" w:themeColor="text1"/>
          <w:szCs w:val="21"/>
          <w:highlight w:val="none"/>
          <w14:textFill>
            <w14:solidFill>
              <w14:schemeClr w14:val="tx1"/>
            </w14:solidFill>
          </w14:textFill>
        </w:rPr>
      </w:pPr>
    </w:p>
    <w:p w14:paraId="291570D7">
      <w:pPr>
        <w:spacing w:line="360" w:lineRule="auto"/>
        <w:rPr>
          <w:color w:val="000000" w:themeColor="text1"/>
          <w:szCs w:val="21"/>
          <w:highlight w:val="none"/>
          <w14:textFill>
            <w14:solidFill>
              <w14:schemeClr w14:val="tx1"/>
            </w14:solidFill>
          </w14:textFill>
        </w:rPr>
      </w:pPr>
    </w:p>
    <w:p w14:paraId="7AF9EA21">
      <w:pPr>
        <w:spacing w:line="360" w:lineRule="auto"/>
        <w:rPr>
          <w:color w:val="000000" w:themeColor="text1"/>
          <w:szCs w:val="21"/>
          <w:highlight w:val="none"/>
          <w14:textFill>
            <w14:solidFill>
              <w14:schemeClr w14:val="tx1"/>
            </w14:solidFill>
          </w14:textFill>
        </w:rPr>
        <w:sectPr>
          <w:pgSz w:w="11907" w:h="16840"/>
          <w:pgMar w:top="1417" w:right="1701" w:bottom="1417" w:left="1701" w:header="850" w:footer="1134" w:gutter="0"/>
          <w:pgNumType w:fmt="decimal"/>
          <w:cols w:space="0" w:num="1"/>
          <w:rtlGutter w:val="0"/>
          <w:docGrid w:linePitch="312" w:charSpace="0"/>
        </w:sectPr>
      </w:pPr>
    </w:p>
    <w:p w14:paraId="4E9B899B">
      <w:pPr>
        <w:pStyle w:val="53"/>
        <w:spacing w:before="120"/>
        <w:rPr>
          <w:rStyle w:val="46"/>
          <w:rFonts w:ascii="Times New Roman" w:hAnsi="Times New Roman" w:eastAsia="宋体" w:cs="Times New Roman"/>
          <w:b/>
          <w:bCs w:val="0"/>
          <w:color w:val="000000" w:themeColor="text1"/>
          <w:szCs w:val="24"/>
          <w:highlight w:val="none"/>
          <w14:textFill>
            <w14:solidFill>
              <w14:schemeClr w14:val="tx1"/>
            </w14:solidFill>
          </w14:textFill>
        </w:rPr>
      </w:pPr>
      <w:r>
        <w:rPr>
          <w:rStyle w:val="46"/>
          <w:rFonts w:ascii="Times New Roman" w:hAnsi="Times New Roman" w:eastAsia="宋体" w:cs="Times New Roman"/>
          <w:b/>
          <w:bCs w:val="0"/>
          <w:color w:val="000000" w:themeColor="text1"/>
          <w:szCs w:val="24"/>
          <w:highlight w:val="none"/>
          <w14:textFill>
            <w14:solidFill>
              <w14:schemeClr w14:val="tx1"/>
            </w14:solidFill>
          </w14:textFill>
        </w:rPr>
        <w:t>格式</w:t>
      </w:r>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9</w:t>
      </w:r>
      <w:r>
        <w:rPr>
          <w:rStyle w:val="46"/>
          <w:rFonts w:ascii="Times New Roman" w:hAnsi="Times New Roman" w:eastAsia="宋体" w:cs="Times New Roman"/>
          <w:b/>
          <w:bCs w:val="0"/>
          <w:color w:val="000000" w:themeColor="text1"/>
          <w:szCs w:val="24"/>
          <w:highlight w:val="none"/>
          <w14:textFill>
            <w14:solidFill>
              <w14:schemeClr w14:val="tx1"/>
            </w14:solidFill>
          </w14:textFill>
        </w:rPr>
        <w:t xml:space="preserve">  </w:t>
      </w:r>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拟投入本合同工程主要人员简历表</w:t>
      </w:r>
    </w:p>
    <w:p w14:paraId="3FFADD58">
      <w:pPr>
        <w:jc w:val="center"/>
        <w:rPr>
          <w:b/>
          <w:bCs/>
          <w:color w:val="000000" w:themeColor="text1"/>
          <w:sz w:val="28"/>
          <w:szCs w:val="28"/>
          <w:highlight w:val="none"/>
          <w14:textFill>
            <w14:solidFill>
              <w14:schemeClr w14:val="tx1"/>
            </w14:solidFill>
          </w14:textFill>
        </w:rPr>
      </w:pPr>
      <w:r>
        <w:rPr>
          <w:b/>
          <w:bCs/>
          <w:color w:val="000000" w:themeColor="text1"/>
          <w:sz w:val="28"/>
          <w:szCs w:val="28"/>
          <w:highlight w:val="none"/>
          <w14:textFill>
            <w14:solidFill>
              <w14:schemeClr w14:val="tx1"/>
            </w14:solidFill>
          </w14:textFill>
        </w:rPr>
        <w:t>拟投入本合同工程主要人员简历表</w:t>
      </w:r>
    </w:p>
    <w:p w14:paraId="160A513D">
      <w:pPr>
        <w:rPr>
          <w:color w:val="000000" w:themeColor="text1"/>
          <w:highlight w:val="none"/>
          <w14:textFill>
            <w14:solidFill>
              <w14:schemeClr w14:val="tx1"/>
            </w14:solidFill>
          </w14:textFill>
        </w:rPr>
      </w:pPr>
    </w:p>
    <w:tbl>
      <w:tblPr>
        <w:tblStyle w:val="31"/>
        <w:tblW w:w="884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1250"/>
        <w:gridCol w:w="27"/>
        <w:gridCol w:w="24"/>
        <w:gridCol w:w="1474"/>
        <w:gridCol w:w="839"/>
        <w:gridCol w:w="235"/>
        <w:gridCol w:w="1399"/>
        <w:gridCol w:w="341"/>
        <w:gridCol w:w="1564"/>
        <w:gridCol w:w="391"/>
        <w:gridCol w:w="1300"/>
      </w:tblGrid>
      <w:tr w14:paraId="3E8DAA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460" w:hRule="atLeast"/>
          <w:jc w:val="center"/>
        </w:trPr>
        <w:tc>
          <w:tcPr>
            <w:tcW w:w="1250" w:type="dxa"/>
            <w:vAlign w:val="center"/>
          </w:tcPr>
          <w:p w14:paraId="24DB4397">
            <w:pPr>
              <w:widowControl/>
              <w:autoSpaceDE w:val="0"/>
              <w:autoSpaceDN w:val="0"/>
              <w:spacing w:line="380" w:lineRule="exact"/>
              <w:jc w:val="center"/>
              <w:textAlignment w:val="bottom"/>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姓名</w:t>
            </w:r>
          </w:p>
        </w:tc>
        <w:tc>
          <w:tcPr>
            <w:tcW w:w="1525" w:type="dxa"/>
            <w:gridSpan w:val="3"/>
            <w:vAlign w:val="center"/>
          </w:tcPr>
          <w:p w14:paraId="0ABCB4B3">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p>
        </w:tc>
        <w:tc>
          <w:tcPr>
            <w:tcW w:w="1074" w:type="dxa"/>
            <w:gridSpan w:val="2"/>
            <w:vAlign w:val="center"/>
          </w:tcPr>
          <w:p w14:paraId="046CFD64">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年龄</w:t>
            </w:r>
          </w:p>
        </w:tc>
        <w:tc>
          <w:tcPr>
            <w:tcW w:w="1399" w:type="dxa"/>
          </w:tcPr>
          <w:p w14:paraId="644187F1">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p>
        </w:tc>
        <w:tc>
          <w:tcPr>
            <w:tcW w:w="1905" w:type="dxa"/>
            <w:gridSpan w:val="2"/>
          </w:tcPr>
          <w:p w14:paraId="4109259B">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专业</w:t>
            </w:r>
          </w:p>
        </w:tc>
        <w:tc>
          <w:tcPr>
            <w:tcW w:w="1691" w:type="dxa"/>
            <w:gridSpan w:val="2"/>
          </w:tcPr>
          <w:p w14:paraId="16F48B38">
            <w:pPr>
              <w:widowControl/>
              <w:wordWrap w:val="0"/>
              <w:autoSpaceDE w:val="0"/>
              <w:autoSpaceDN w:val="0"/>
              <w:spacing w:line="380" w:lineRule="exact"/>
              <w:textAlignment w:val="bottom"/>
              <w:rPr>
                <w:color w:val="000000" w:themeColor="text1"/>
                <w:szCs w:val="21"/>
                <w:highlight w:val="none"/>
                <w14:textFill>
                  <w14:solidFill>
                    <w14:schemeClr w14:val="tx1"/>
                  </w14:solidFill>
                </w14:textFill>
              </w:rPr>
            </w:pPr>
          </w:p>
        </w:tc>
      </w:tr>
      <w:tr w14:paraId="76427A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jc w:val="center"/>
        </w:trPr>
        <w:tc>
          <w:tcPr>
            <w:tcW w:w="1250" w:type="dxa"/>
            <w:vAlign w:val="center"/>
          </w:tcPr>
          <w:p w14:paraId="5BBFA6DA">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职称</w:t>
            </w:r>
          </w:p>
        </w:tc>
        <w:tc>
          <w:tcPr>
            <w:tcW w:w="1525" w:type="dxa"/>
            <w:gridSpan w:val="3"/>
            <w:vAlign w:val="center"/>
          </w:tcPr>
          <w:p w14:paraId="6270E5C4">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p>
        </w:tc>
        <w:tc>
          <w:tcPr>
            <w:tcW w:w="1074" w:type="dxa"/>
            <w:gridSpan w:val="2"/>
            <w:vAlign w:val="center"/>
          </w:tcPr>
          <w:p w14:paraId="202B719D">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公司单位职务</w:t>
            </w:r>
          </w:p>
        </w:tc>
        <w:tc>
          <w:tcPr>
            <w:tcW w:w="1399" w:type="dxa"/>
          </w:tcPr>
          <w:p w14:paraId="3DB24C9B">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p>
        </w:tc>
        <w:tc>
          <w:tcPr>
            <w:tcW w:w="1905" w:type="dxa"/>
            <w:gridSpan w:val="2"/>
          </w:tcPr>
          <w:p w14:paraId="7C31B577">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拟在本</w:t>
            </w:r>
          </w:p>
          <w:p w14:paraId="1A0B8A4C">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工程担任职务</w:t>
            </w:r>
          </w:p>
        </w:tc>
        <w:tc>
          <w:tcPr>
            <w:tcW w:w="1691" w:type="dxa"/>
            <w:gridSpan w:val="2"/>
          </w:tcPr>
          <w:p w14:paraId="47C54706">
            <w:pPr>
              <w:widowControl/>
              <w:wordWrap w:val="0"/>
              <w:autoSpaceDE w:val="0"/>
              <w:autoSpaceDN w:val="0"/>
              <w:spacing w:line="380" w:lineRule="exact"/>
              <w:textAlignment w:val="bottom"/>
              <w:rPr>
                <w:color w:val="000000" w:themeColor="text1"/>
                <w:szCs w:val="21"/>
                <w:highlight w:val="none"/>
                <w14:textFill>
                  <w14:solidFill>
                    <w14:schemeClr w14:val="tx1"/>
                  </w14:solidFill>
                </w14:textFill>
              </w:rPr>
            </w:pPr>
          </w:p>
        </w:tc>
      </w:tr>
      <w:tr w14:paraId="20EF1E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503" w:hRule="atLeast"/>
          <w:jc w:val="center"/>
        </w:trPr>
        <w:tc>
          <w:tcPr>
            <w:tcW w:w="1250" w:type="dxa"/>
            <w:vAlign w:val="center"/>
          </w:tcPr>
          <w:p w14:paraId="6F668CCF">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毕业学校</w:t>
            </w:r>
          </w:p>
        </w:tc>
        <w:tc>
          <w:tcPr>
            <w:tcW w:w="7594" w:type="dxa"/>
            <w:gridSpan w:val="10"/>
            <w:vAlign w:val="center"/>
          </w:tcPr>
          <w:p w14:paraId="4C34CED2">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______年___月毕业于___________________学校___________专业，学制______年</w:t>
            </w:r>
          </w:p>
        </w:tc>
      </w:tr>
      <w:tr w14:paraId="7B8BD2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jc w:val="center"/>
        </w:trPr>
        <w:tc>
          <w:tcPr>
            <w:tcW w:w="8844" w:type="dxa"/>
            <w:gridSpan w:val="11"/>
            <w:vAlign w:val="center"/>
          </w:tcPr>
          <w:p w14:paraId="1067DCBC">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经历</w:t>
            </w:r>
          </w:p>
        </w:tc>
      </w:tr>
      <w:tr w14:paraId="00613D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jc w:val="center"/>
        </w:trPr>
        <w:tc>
          <w:tcPr>
            <w:tcW w:w="1301" w:type="dxa"/>
            <w:gridSpan w:val="3"/>
            <w:vAlign w:val="center"/>
          </w:tcPr>
          <w:p w14:paraId="3E0C717B">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____年～_____年</w:t>
            </w:r>
          </w:p>
        </w:tc>
        <w:tc>
          <w:tcPr>
            <w:tcW w:w="4288" w:type="dxa"/>
            <w:gridSpan w:val="5"/>
            <w:vAlign w:val="center"/>
          </w:tcPr>
          <w:p w14:paraId="7E6A4BEE">
            <w:pPr>
              <w:pStyle w:val="84"/>
              <w:widowControl/>
              <w:wordWrap w:val="0"/>
              <w:adjustRightInd/>
              <w:snapToGrid/>
              <w:spacing w:line="380" w:lineRule="exact"/>
              <w:textAlignment w:val="bottom"/>
              <w:rPr>
                <w:color w:val="000000" w:themeColor="text1"/>
                <w:spacing w:val="0"/>
                <w:kern w:val="2"/>
                <w:szCs w:val="21"/>
                <w:highlight w:val="none"/>
                <w14:textFill>
                  <w14:solidFill>
                    <w14:schemeClr w14:val="tx1"/>
                  </w14:solidFill>
                </w14:textFill>
              </w:rPr>
            </w:pPr>
            <w:r>
              <w:rPr>
                <w:color w:val="000000" w:themeColor="text1"/>
                <w:spacing w:val="0"/>
                <w:kern w:val="2"/>
                <w:szCs w:val="21"/>
                <w:highlight w:val="none"/>
                <w14:textFill>
                  <w14:solidFill>
                    <w14:schemeClr w14:val="tx1"/>
                  </w14:solidFill>
                </w14:textFill>
              </w:rPr>
              <w:t>参加过的工程项目名称</w:t>
            </w:r>
          </w:p>
        </w:tc>
        <w:tc>
          <w:tcPr>
            <w:tcW w:w="1955" w:type="dxa"/>
            <w:gridSpan w:val="2"/>
            <w:vAlign w:val="center"/>
          </w:tcPr>
          <w:p w14:paraId="4EEFD7E8">
            <w:pPr>
              <w:pStyle w:val="84"/>
              <w:widowControl/>
              <w:wordWrap w:val="0"/>
              <w:adjustRightInd/>
              <w:snapToGrid/>
              <w:spacing w:line="380" w:lineRule="exact"/>
              <w:textAlignment w:val="bottom"/>
              <w:rPr>
                <w:color w:val="000000" w:themeColor="text1"/>
                <w:spacing w:val="0"/>
                <w:kern w:val="2"/>
                <w:szCs w:val="21"/>
                <w:highlight w:val="none"/>
                <w14:textFill>
                  <w14:solidFill>
                    <w14:schemeClr w14:val="tx1"/>
                  </w14:solidFill>
                </w14:textFill>
              </w:rPr>
            </w:pPr>
            <w:r>
              <w:rPr>
                <w:color w:val="000000" w:themeColor="text1"/>
                <w:spacing w:val="0"/>
                <w:kern w:val="2"/>
                <w:szCs w:val="21"/>
                <w:highlight w:val="none"/>
                <w14:textFill>
                  <w14:solidFill>
                    <w14:schemeClr w14:val="tx1"/>
                  </w14:solidFill>
                </w14:textFill>
              </w:rPr>
              <w:t>担任何职</w:t>
            </w:r>
          </w:p>
        </w:tc>
        <w:tc>
          <w:tcPr>
            <w:tcW w:w="1300" w:type="dxa"/>
            <w:vAlign w:val="center"/>
          </w:tcPr>
          <w:p w14:paraId="623AAF3A">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发包人及联系电话</w:t>
            </w:r>
          </w:p>
        </w:tc>
      </w:tr>
      <w:tr w14:paraId="193282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301" w:type="dxa"/>
            <w:gridSpan w:val="3"/>
            <w:vAlign w:val="center"/>
          </w:tcPr>
          <w:p w14:paraId="2D6E2FA6">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p>
        </w:tc>
        <w:tc>
          <w:tcPr>
            <w:tcW w:w="4288" w:type="dxa"/>
            <w:gridSpan w:val="5"/>
            <w:vAlign w:val="center"/>
          </w:tcPr>
          <w:p w14:paraId="7726B670">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p>
        </w:tc>
        <w:tc>
          <w:tcPr>
            <w:tcW w:w="1955" w:type="dxa"/>
            <w:gridSpan w:val="2"/>
          </w:tcPr>
          <w:p w14:paraId="2331EBB0">
            <w:pPr>
              <w:widowControl/>
              <w:wordWrap w:val="0"/>
              <w:autoSpaceDE w:val="0"/>
              <w:autoSpaceDN w:val="0"/>
              <w:spacing w:line="380" w:lineRule="exact"/>
              <w:textAlignment w:val="bottom"/>
              <w:rPr>
                <w:color w:val="000000" w:themeColor="text1"/>
                <w:szCs w:val="21"/>
                <w:highlight w:val="none"/>
                <w14:textFill>
                  <w14:solidFill>
                    <w14:schemeClr w14:val="tx1"/>
                  </w14:solidFill>
                </w14:textFill>
              </w:rPr>
            </w:pPr>
          </w:p>
        </w:tc>
        <w:tc>
          <w:tcPr>
            <w:tcW w:w="1300" w:type="dxa"/>
          </w:tcPr>
          <w:p w14:paraId="4D2B824C">
            <w:pPr>
              <w:widowControl/>
              <w:wordWrap w:val="0"/>
              <w:autoSpaceDE w:val="0"/>
              <w:autoSpaceDN w:val="0"/>
              <w:spacing w:line="380" w:lineRule="exact"/>
              <w:textAlignment w:val="bottom"/>
              <w:rPr>
                <w:color w:val="000000" w:themeColor="text1"/>
                <w:szCs w:val="21"/>
                <w:highlight w:val="none"/>
                <w14:textFill>
                  <w14:solidFill>
                    <w14:schemeClr w14:val="tx1"/>
                  </w14:solidFill>
                </w14:textFill>
              </w:rPr>
            </w:pPr>
          </w:p>
        </w:tc>
      </w:tr>
      <w:tr w14:paraId="584875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301" w:type="dxa"/>
            <w:gridSpan w:val="3"/>
            <w:vAlign w:val="center"/>
          </w:tcPr>
          <w:p w14:paraId="41CF54EC">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p>
        </w:tc>
        <w:tc>
          <w:tcPr>
            <w:tcW w:w="4288" w:type="dxa"/>
            <w:gridSpan w:val="5"/>
            <w:vAlign w:val="center"/>
          </w:tcPr>
          <w:p w14:paraId="49F9B2A8">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p>
        </w:tc>
        <w:tc>
          <w:tcPr>
            <w:tcW w:w="1955" w:type="dxa"/>
            <w:gridSpan w:val="2"/>
          </w:tcPr>
          <w:p w14:paraId="0B47B778">
            <w:pPr>
              <w:widowControl/>
              <w:wordWrap w:val="0"/>
              <w:autoSpaceDE w:val="0"/>
              <w:autoSpaceDN w:val="0"/>
              <w:spacing w:line="380" w:lineRule="exact"/>
              <w:textAlignment w:val="bottom"/>
              <w:rPr>
                <w:color w:val="000000" w:themeColor="text1"/>
                <w:szCs w:val="21"/>
                <w:highlight w:val="none"/>
                <w14:textFill>
                  <w14:solidFill>
                    <w14:schemeClr w14:val="tx1"/>
                  </w14:solidFill>
                </w14:textFill>
              </w:rPr>
            </w:pPr>
          </w:p>
        </w:tc>
        <w:tc>
          <w:tcPr>
            <w:tcW w:w="1300" w:type="dxa"/>
          </w:tcPr>
          <w:p w14:paraId="5956214D">
            <w:pPr>
              <w:widowControl/>
              <w:wordWrap w:val="0"/>
              <w:autoSpaceDE w:val="0"/>
              <w:autoSpaceDN w:val="0"/>
              <w:spacing w:line="380" w:lineRule="exact"/>
              <w:textAlignment w:val="bottom"/>
              <w:rPr>
                <w:color w:val="000000" w:themeColor="text1"/>
                <w:szCs w:val="21"/>
                <w:highlight w:val="none"/>
                <w14:textFill>
                  <w14:solidFill>
                    <w14:schemeClr w14:val="tx1"/>
                  </w14:solidFill>
                </w14:textFill>
              </w:rPr>
            </w:pPr>
          </w:p>
        </w:tc>
      </w:tr>
      <w:tr w14:paraId="48905B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301" w:type="dxa"/>
            <w:gridSpan w:val="3"/>
            <w:vAlign w:val="center"/>
          </w:tcPr>
          <w:p w14:paraId="6ECA79CC">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p>
        </w:tc>
        <w:tc>
          <w:tcPr>
            <w:tcW w:w="4288" w:type="dxa"/>
            <w:gridSpan w:val="5"/>
            <w:vAlign w:val="center"/>
          </w:tcPr>
          <w:p w14:paraId="68AF763A">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p>
        </w:tc>
        <w:tc>
          <w:tcPr>
            <w:tcW w:w="1955" w:type="dxa"/>
            <w:gridSpan w:val="2"/>
          </w:tcPr>
          <w:p w14:paraId="2E57774C">
            <w:pPr>
              <w:widowControl/>
              <w:wordWrap w:val="0"/>
              <w:autoSpaceDE w:val="0"/>
              <w:autoSpaceDN w:val="0"/>
              <w:spacing w:line="380" w:lineRule="exact"/>
              <w:textAlignment w:val="bottom"/>
              <w:rPr>
                <w:color w:val="000000" w:themeColor="text1"/>
                <w:szCs w:val="21"/>
                <w:highlight w:val="none"/>
                <w14:textFill>
                  <w14:solidFill>
                    <w14:schemeClr w14:val="tx1"/>
                  </w14:solidFill>
                </w14:textFill>
              </w:rPr>
            </w:pPr>
          </w:p>
        </w:tc>
        <w:tc>
          <w:tcPr>
            <w:tcW w:w="1300" w:type="dxa"/>
          </w:tcPr>
          <w:p w14:paraId="6C886B7C">
            <w:pPr>
              <w:widowControl/>
              <w:wordWrap w:val="0"/>
              <w:autoSpaceDE w:val="0"/>
              <w:autoSpaceDN w:val="0"/>
              <w:spacing w:line="380" w:lineRule="exact"/>
              <w:textAlignment w:val="bottom"/>
              <w:rPr>
                <w:color w:val="000000" w:themeColor="text1"/>
                <w:szCs w:val="21"/>
                <w:highlight w:val="none"/>
                <w14:textFill>
                  <w14:solidFill>
                    <w14:schemeClr w14:val="tx1"/>
                  </w14:solidFill>
                </w14:textFill>
              </w:rPr>
            </w:pPr>
          </w:p>
        </w:tc>
      </w:tr>
      <w:tr w14:paraId="385E4F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301" w:type="dxa"/>
            <w:gridSpan w:val="3"/>
            <w:vAlign w:val="center"/>
          </w:tcPr>
          <w:p w14:paraId="651F7728">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p>
        </w:tc>
        <w:tc>
          <w:tcPr>
            <w:tcW w:w="4288" w:type="dxa"/>
            <w:gridSpan w:val="5"/>
            <w:vAlign w:val="center"/>
          </w:tcPr>
          <w:p w14:paraId="032B1AA4">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p>
        </w:tc>
        <w:tc>
          <w:tcPr>
            <w:tcW w:w="1955" w:type="dxa"/>
            <w:gridSpan w:val="2"/>
          </w:tcPr>
          <w:p w14:paraId="27A9C8A4">
            <w:pPr>
              <w:widowControl/>
              <w:wordWrap w:val="0"/>
              <w:autoSpaceDE w:val="0"/>
              <w:autoSpaceDN w:val="0"/>
              <w:spacing w:line="380" w:lineRule="exact"/>
              <w:textAlignment w:val="bottom"/>
              <w:rPr>
                <w:color w:val="000000" w:themeColor="text1"/>
                <w:szCs w:val="21"/>
                <w:highlight w:val="none"/>
                <w14:textFill>
                  <w14:solidFill>
                    <w14:schemeClr w14:val="tx1"/>
                  </w14:solidFill>
                </w14:textFill>
              </w:rPr>
            </w:pPr>
          </w:p>
        </w:tc>
        <w:tc>
          <w:tcPr>
            <w:tcW w:w="1300" w:type="dxa"/>
          </w:tcPr>
          <w:p w14:paraId="378304DC">
            <w:pPr>
              <w:widowControl/>
              <w:wordWrap w:val="0"/>
              <w:autoSpaceDE w:val="0"/>
              <w:autoSpaceDN w:val="0"/>
              <w:spacing w:line="380" w:lineRule="exact"/>
              <w:textAlignment w:val="bottom"/>
              <w:rPr>
                <w:color w:val="000000" w:themeColor="text1"/>
                <w:szCs w:val="21"/>
                <w:highlight w:val="none"/>
                <w14:textFill>
                  <w14:solidFill>
                    <w14:schemeClr w14:val="tx1"/>
                  </w14:solidFill>
                </w14:textFill>
              </w:rPr>
            </w:pPr>
          </w:p>
        </w:tc>
      </w:tr>
      <w:tr w14:paraId="0F5669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680" w:hRule="atLeast"/>
          <w:jc w:val="center"/>
        </w:trPr>
        <w:tc>
          <w:tcPr>
            <w:tcW w:w="1301" w:type="dxa"/>
            <w:gridSpan w:val="3"/>
            <w:vAlign w:val="center"/>
          </w:tcPr>
          <w:p w14:paraId="150E6B59">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p>
        </w:tc>
        <w:tc>
          <w:tcPr>
            <w:tcW w:w="4288" w:type="dxa"/>
            <w:gridSpan w:val="5"/>
            <w:vAlign w:val="center"/>
          </w:tcPr>
          <w:p w14:paraId="6538FE4F">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p>
        </w:tc>
        <w:tc>
          <w:tcPr>
            <w:tcW w:w="1955" w:type="dxa"/>
            <w:gridSpan w:val="2"/>
          </w:tcPr>
          <w:p w14:paraId="568119C1">
            <w:pPr>
              <w:widowControl/>
              <w:wordWrap w:val="0"/>
              <w:autoSpaceDE w:val="0"/>
              <w:autoSpaceDN w:val="0"/>
              <w:spacing w:line="380" w:lineRule="exact"/>
              <w:textAlignment w:val="bottom"/>
              <w:rPr>
                <w:color w:val="000000" w:themeColor="text1"/>
                <w:szCs w:val="21"/>
                <w:highlight w:val="none"/>
                <w14:textFill>
                  <w14:solidFill>
                    <w14:schemeClr w14:val="tx1"/>
                  </w14:solidFill>
                </w14:textFill>
              </w:rPr>
            </w:pPr>
          </w:p>
        </w:tc>
        <w:tc>
          <w:tcPr>
            <w:tcW w:w="1300" w:type="dxa"/>
          </w:tcPr>
          <w:p w14:paraId="31C5E106">
            <w:pPr>
              <w:widowControl/>
              <w:wordWrap w:val="0"/>
              <w:autoSpaceDE w:val="0"/>
              <w:autoSpaceDN w:val="0"/>
              <w:spacing w:line="380" w:lineRule="exact"/>
              <w:textAlignment w:val="bottom"/>
              <w:rPr>
                <w:color w:val="000000" w:themeColor="text1"/>
                <w:szCs w:val="21"/>
                <w:highlight w:val="none"/>
                <w14:textFill>
                  <w14:solidFill>
                    <w14:schemeClr w14:val="tx1"/>
                  </w14:solidFill>
                </w14:textFill>
              </w:rPr>
            </w:pPr>
          </w:p>
        </w:tc>
      </w:tr>
      <w:tr w14:paraId="2F5860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614" w:type="dxa"/>
            <w:gridSpan w:val="5"/>
            <w:vAlign w:val="center"/>
          </w:tcPr>
          <w:p w14:paraId="01271B9A">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获奖情况</w:t>
            </w:r>
          </w:p>
        </w:tc>
        <w:tc>
          <w:tcPr>
            <w:tcW w:w="5230" w:type="dxa"/>
            <w:gridSpan w:val="6"/>
          </w:tcPr>
          <w:p w14:paraId="545A82CA">
            <w:pPr>
              <w:widowControl/>
              <w:wordWrap w:val="0"/>
              <w:autoSpaceDE w:val="0"/>
              <w:autoSpaceDN w:val="0"/>
              <w:spacing w:line="380" w:lineRule="exact"/>
              <w:textAlignment w:val="bottom"/>
              <w:rPr>
                <w:color w:val="000000" w:themeColor="text1"/>
                <w:szCs w:val="21"/>
                <w:highlight w:val="none"/>
                <w14:textFill>
                  <w14:solidFill>
                    <w14:schemeClr w14:val="tx1"/>
                  </w14:solidFill>
                </w14:textFill>
              </w:rPr>
            </w:pPr>
          </w:p>
        </w:tc>
      </w:tr>
      <w:tr w14:paraId="050EDC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77" w:type="dxa"/>
            <w:gridSpan w:val="2"/>
            <w:vMerge w:val="restart"/>
            <w:vAlign w:val="center"/>
          </w:tcPr>
          <w:p w14:paraId="6C860FC7">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目前任职项目状况</w:t>
            </w:r>
          </w:p>
        </w:tc>
        <w:tc>
          <w:tcPr>
            <w:tcW w:w="2337" w:type="dxa"/>
            <w:gridSpan w:val="3"/>
            <w:vAlign w:val="center"/>
          </w:tcPr>
          <w:p w14:paraId="6E1842CC">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项目名称</w:t>
            </w:r>
          </w:p>
        </w:tc>
        <w:tc>
          <w:tcPr>
            <w:tcW w:w="5230" w:type="dxa"/>
            <w:gridSpan w:val="6"/>
            <w:vAlign w:val="center"/>
          </w:tcPr>
          <w:p w14:paraId="33C76F8A">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p>
        </w:tc>
      </w:tr>
      <w:tr w14:paraId="73C016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77" w:type="dxa"/>
            <w:gridSpan w:val="2"/>
            <w:vMerge w:val="continue"/>
          </w:tcPr>
          <w:p w14:paraId="262CD18B">
            <w:pPr>
              <w:widowControl/>
              <w:wordWrap w:val="0"/>
              <w:autoSpaceDE w:val="0"/>
              <w:autoSpaceDN w:val="0"/>
              <w:spacing w:line="380" w:lineRule="exact"/>
              <w:textAlignment w:val="bottom"/>
              <w:rPr>
                <w:color w:val="000000" w:themeColor="text1"/>
                <w:szCs w:val="21"/>
                <w:highlight w:val="none"/>
                <w14:textFill>
                  <w14:solidFill>
                    <w14:schemeClr w14:val="tx1"/>
                  </w14:solidFill>
                </w14:textFill>
              </w:rPr>
            </w:pPr>
          </w:p>
        </w:tc>
        <w:tc>
          <w:tcPr>
            <w:tcW w:w="2337" w:type="dxa"/>
            <w:gridSpan w:val="3"/>
            <w:vAlign w:val="center"/>
          </w:tcPr>
          <w:p w14:paraId="206F9531">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担任职位</w:t>
            </w:r>
          </w:p>
        </w:tc>
        <w:tc>
          <w:tcPr>
            <w:tcW w:w="5230" w:type="dxa"/>
            <w:gridSpan w:val="6"/>
            <w:vAlign w:val="center"/>
          </w:tcPr>
          <w:p w14:paraId="73BB4E84">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p>
        </w:tc>
      </w:tr>
      <w:tr w14:paraId="458A41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77" w:type="dxa"/>
            <w:gridSpan w:val="2"/>
            <w:vMerge w:val="continue"/>
          </w:tcPr>
          <w:p w14:paraId="2B26C3BB">
            <w:pPr>
              <w:widowControl/>
              <w:wordWrap w:val="0"/>
              <w:autoSpaceDE w:val="0"/>
              <w:autoSpaceDN w:val="0"/>
              <w:spacing w:line="380" w:lineRule="exact"/>
              <w:textAlignment w:val="bottom"/>
              <w:rPr>
                <w:color w:val="000000" w:themeColor="text1"/>
                <w:szCs w:val="21"/>
                <w:highlight w:val="none"/>
                <w14:textFill>
                  <w14:solidFill>
                    <w14:schemeClr w14:val="tx1"/>
                  </w14:solidFill>
                </w14:textFill>
              </w:rPr>
            </w:pPr>
          </w:p>
        </w:tc>
        <w:tc>
          <w:tcPr>
            <w:tcW w:w="2337" w:type="dxa"/>
            <w:gridSpan w:val="3"/>
            <w:vAlign w:val="center"/>
          </w:tcPr>
          <w:p w14:paraId="092F9D9A">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可以调离日期</w:t>
            </w:r>
          </w:p>
        </w:tc>
        <w:tc>
          <w:tcPr>
            <w:tcW w:w="5230" w:type="dxa"/>
            <w:gridSpan w:val="6"/>
            <w:vAlign w:val="center"/>
          </w:tcPr>
          <w:p w14:paraId="02BDC70F">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p>
        </w:tc>
      </w:tr>
      <w:tr w14:paraId="460F8A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3614" w:type="dxa"/>
            <w:gridSpan w:val="5"/>
            <w:vAlign w:val="center"/>
          </w:tcPr>
          <w:p w14:paraId="63EF3957">
            <w:pPr>
              <w:widowControl/>
              <w:wordWrap w:val="0"/>
              <w:autoSpaceDE w:val="0"/>
              <w:autoSpaceDN w:val="0"/>
              <w:spacing w:line="380" w:lineRule="exact"/>
              <w:jc w:val="center"/>
              <w:textAlignment w:val="bottom"/>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备注</w:t>
            </w:r>
          </w:p>
        </w:tc>
        <w:tc>
          <w:tcPr>
            <w:tcW w:w="5230" w:type="dxa"/>
            <w:gridSpan w:val="6"/>
          </w:tcPr>
          <w:p w14:paraId="6B779B5D">
            <w:pPr>
              <w:widowControl/>
              <w:wordWrap w:val="0"/>
              <w:autoSpaceDE w:val="0"/>
              <w:autoSpaceDN w:val="0"/>
              <w:spacing w:line="380" w:lineRule="exact"/>
              <w:textAlignment w:val="bottom"/>
              <w:rPr>
                <w:color w:val="000000" w:themeColor="text1"/>
                <w:szCs w:val="21"/>
                <w:highlight w:val="none"/>
                <w14:textFill>
                  <w14:solidFill>
                    <w14:schemeClr w14:val="tx1"/>
                  </w14:solidFill>
                </w14:textFill>
              </w:rPr>
            </w:pPr>
          </w:p>
          <w:p w14:paraId="66903A0A">
            <w:pPr>
              <w:widowControl/>
              <w:wordWrap w:val="0"/>
              <w:autoSpaceDE w:val="0"/>
              <w:autoSpaceDN w:val="0"/>
              <w:spacing w:line="380" w:lineRule="exact"/>
              <w:textAlignment w:val="bottom"/>
              <w:rPr>
                <w:color w:val="000000" w:themeColor="text1"/>
                <w:szCs w:val="21"/>
                <w:highlight w:val="none"/>
                <w14:textFill>
                  <w14:solidFill>
                    <w14:schemeClr w14:val="tx1"/>
                  </w14:solidFill>
                </w14:textFill>
              </w:rPr>
            </w:pPr>
          </w:p>
        </w:tc>
      </w:tr>
    </w:tbl>
    <w:p w14:paraId="5D355D9B">
      <w:pPr>
        <w:spacing w:line="360" w:lineRule="auto"/>
        <w:rPr>
          <w:color w:val="000000" w:themeColor="text1"/>
          <w:szCs w:val="21"/>
          <w:highlight w:val="none"/>
          <w14:textFill>
            <w14:solidFill>
              <w14:schemeClr w14:val="tx1"/>
            </w14:solidFill>
          </w14:textFill>
        </w:rPr>
      </w:pPr>
    </w:p>
    <w:p w14:paraId="6354DB0C">
      <w:pPr>
        <w:spacing w:line="440" w:lineRule="exact"/>
        <w:ind w:right="-40" w:rightChars="-19" w:firstLine="420" w:firstLineChars="200"/>
        <w:rPr>
          <w:rFonts w:hint="eastAsia" w:ascii="宋体" w:hAnsi="宋体"/>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注：</w:t>
      </w:r>
      <w:r>
        <w:rPr>
          <w:rFonts w:hint="eastAsia" w:ascii="宋体" w:hAnsi="宋体"/>
          <w:color w:val="000000" w:themeColor="text1"/>
          <w:szCs w:val="21"/>
          <w:highlight w:val="none"/>
          <w14:textFill>
            <w14:solidFill>
              <w14:schemeClr w14:val="tx1"/>
            </w14:solidFill>
          </w14:textFill>
        </w:rPr>
        <w:t>本表后应附拟投入本工程人员的身份证、职称资格证书、等其他相关证书的复印件。</w:t>
      </w:r>
    </w:p>
    <w:p w14:paraId="49645019">
      <w:pPr>
        <w:spacing w:line="360" w:lineRule="auto"/>
        <w:rPr>
          <w:color w:val="000000" w:themeColor="text1"/>
          <w:szCs w:val="21"/>
          <w:highlight w:val="none"/>
          <w14:textFill>
            <w14:solidFill>
              <w14:schemeClr w14:val="tx1"/>
            </w14:solidFill>
          </w14:textFill>
        </w:rPr>
      </w:pPr>
    </w:p>
    <w:p w14:paraId="2861A8C6">
      <w:pPr>
        <w:spacing w:line="360" w:lineRule="auto"/>
        <w:rPr>
          <w:color w:val="000000" w:themeColor="text1"/>
          <w:szCs w:val="21"/>
          <w:highlight w:val="none"/>
          <w14:textFill>
            <w14:solidFill>
              <w14:schemeClr w14:val="tx1"/>
            </w14:solidFill>
          </w14:textFill>
        </w:rPr>
      </w:pPr>
    </w:p>
    <w:p w14:paraId="2A975574">
      <w:pPr>
        <w:pStyle w:val="53"/>
        <w:spacing w:before="120"/>
        <w:rPr>
          <w:rStyle w:val="46"/>
          <w:rFonts w:ascii="Times New Roman" w:hAnsi="Times New Roman" w:eastAsia="宋体" w:cs="Times New Roman"/>
          <w:b/>
          <w:bCs/>
          <w:color w:val="000000" w:themeColor="text1"/>
          <w:szCs w:val="24"/>
          <w:highlight w:val="none"/>
          <w14:textFill>
            <w14:solidFill>
              <w14:schemeClr w14:val="tx1"/>
            </w14:solidFill>
          </w14:textFill>
        </w:rPr>
        <w:sectPr>
          <w:pgSz w:w="11907" w:h="16840"/>
          <w:pgMar w:top="1417" w:right="1701" w:bottom="1417" w:left="1701" w:header="850" w:footer="1134" w:gutter="0"/>
          <w:pgNumType w:fmt="decimal"/>
          <w:cols w:space="0" w:num="1"/>
          <w:rtlGutter w:val="0"/>
          <w:docGrid w:linePitch="312" w:charSpace="0"/>
        </w:sectPr>
      </w:pPr>
    </w:p>
    <w:p w14:paraId="6BBF9663">
      <w:pPr>
        <w:pStyle w:val="53"/>
        <w:spacing w:before="120"/>
        <w:rPr>
          <w:rStyle w:val="46"/>
          <w:rFonts w:ascii="Times New Roman" w:hAnsi="Times New Roman" w:eastAsia="宋体" w:cs="Times New Roman"/>
          <w:b/>
          <w:bCs w:val="0"/>
          <w:color w:val="000000" w:themeColor="text1"/>
          <w:szCs w:val="24"/>
          <w:highlight w:val="none"/>
          <w14:textFill>
            <w14:solidFill>
              <w14:schemeClr w14:val="tx1"/>
            </w14:solidFill>
          </w14:textFill>
        </w:rPr>
      </w:pPr>
      <w:r>
        <w:rPr>
          <w:rStyle w:val="46"/>
          <w:rFonts w:ascii="Times New Roman" w:hAnsi="Times New Roman" w:eastAsia="宋体" w:cs="Times New Roman"/>
          <w:b/>
          <w:bCs w:val="0"/>
          <w:color w:val="000000" w:themeColor="text1"/>
          <w:szCs w:val="24"/>
          <w:highlight w:val="none"/>
          <w14:textFill>
            <w14:solidFill>
              <w14:schemeClr w14:val="tx1"/>
            </w14:solidFill>
          </w14:textFill>
        </w:rPr>
        <w:t>格式</w:t>
      </w:r>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1</w:t>
      </w:r>
      <w:r>
        <w:rPr>
          <w:rStyle w:val="46"/>
          <w:rFonts w:ascii="Times New Roman" w:hAnsi="Times New Roman" w:eastAsia="宋体" w:cs="Times New Roman"/>
          <w:b/>
          <w:bCs w:val="0"/>
          <w:color w:val="000000" w:themeColor="text1"/>
          <w:szCs w:val="24"/>
          <w:highlight w:val="none"/>
          <w14:textFill>
            <w14:solidFill>
              <w14:schemeClr w14:val="tx1"/>
            </w14:solidFill>
          </w14:textFill>
        </w:rPr>
        <w:t>0  近5年</w:t>
      </w:r>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内</w:t>
      </w:r>
      <w:r>
        <w:rPr>
          <w:rStyle w:val="46"/>
          <w:rFonts w:ascii="Times New Roman" w:hAnsi="Times New Roman" w:eastAsia="宋体" w:cs="Times New Roman"/>
          <w:b/>
          <w:bCs w:val="0"/>
          <w:color w:val="000000" w:themeColor="text1"/>
          <w:szCs w:val="24"/>
          <w:highlight w:val="none"/>
          <w14:textFill>
            <w14:solidFill>
              <w14:schemeClr w14:val="tx1"/>
            </w14:solidFill>
          </w14:textFill>
        </w:rPr>
        <w:t>类似工程情况一览表</w:t>
      </w:r>
    </w:p>
    <w:p w14:paraId="2FF947CE">
      <w:pPr>
        <w:spacing w:line="360" w:lineRule="auto"/>
        <w:jc w:val="center"/>
        <w:rPr>
          <w:color w:val="000000" w:themeColor="text1"/>
          <w:highlight w:val="none"/>
          <w14:textFill>
            <w14:solidFill>
              <w14:schemeClr w14:val="tx1"/>
            </w14:solidFill>
          </w14:textFill>
        </w:rPr>
      </w:pPr>
    </w:p>
    <w:p w14:paraId="09447CC9">
      <w:pPr>
        <w:spacing w:line="360" w:lineRule="auto"/>
        <w:jc w:val="center"/>
        <w:rPr>
          <w:b/>
          <w:color w:val="000000" w:themeColor="text1"/>
          <w:sz w:val="28"/>
          <w:szCs w:val="28"/>
          <w:highlight w:val="none"/>
          <w14:textFill>
            <w14:solidFill>
              <w14:schemeClr w14:val="tx1"/>
            </w14:solidFill>
          </w14:textFill>
        </w:rPr>
      </w:pPr>
      <w:r>
        <w:rPr>
          <w:b/>
          <w:color w:val="000000" w:themeColor="text1"/>
          <w:sz w:val="28"/>
          <w:szCs w:val="28"/>
          <w:highlight w:val="none"/>
          <w14:textFill>
            <w14:solidFill>
              <w14:schemeClr w14:val="tx1"/>
            </w14:solidFill>
          </w14:textFill>
        </w:rPr>
        <w:t>近5年</w:t>
      </w:r>
      <w:r>
        <w:rPr>
          <w:rFonts w:hint="eastAsia"/>
          <w:b/>
          <w:color w:val="000000" w:themeColor="text1"/>
          <w:sz w:val="28"/>
          <w:szCs w:val="28"/>
          <w:highlight w:val="none"/>
          <w14:textFill>
            <w14:solidFill>
              <w14:schemeClr w14:val="tx1"/>
            </w14:solidFill>
          </w14:textFill>
        </w:rPr>
        <w:t>内</w:t>
      </w:r>
      <w:r>
        <w:rPr>
          <w:b/>
          <w:color w:val="000000" w:themeColor="text1"/>
          <w:sz w:val="28"/>
          <w:szCs w:val="28"/>
          <w:highlight w:val="none"/>
          <w14:textFill>
            <w14:solidFill>
              <w14:schemeClr w14:val="tx1"/>
            </w14:solidFill>
          </w14:textFill>
        </w:rPr>
        <w:t>类似工程情况一览表</w:t>
      </w:r>
    </w:p>
    <w:p w14:paraId="2373E16B">
      <w:pPr>
        <w:adjustRightInd w:val="0"/>
        <w:spacing w:line="360" w:lineRule="auto"/>
        <w:rPr>
          <w:color w:val="000000" w:themeColor="text1"/>
          <w:sz w:val="32"/>
          <w:szCs w:val="32"/>
          <w:highlight w:val="none"/>
          <w14:textFill>
            <w14:solidFill>
              <w14:schemeClr w14:val="tx1"/>
            </w14:solidFill>
          </w14:textFill>
        </w:rPr>
      </w:pPr>
      <w:r>
        <w:rPr>
          <w:color w:val="000000" w:themeColor="text1"/>
          <w:sz w:val="24"/>
          <w:highlight w:val="none"/>
          <w14:textFill>
            <w14:solidFill>
              <w14:schemeClr w14:val="tx1"/>
            </w14:solidFill>
          </w14:textFill>
        </w:rPr>
        <w:t>响应单位：</w:t>
      </w:r>
    </w:p>
    <w:tbl>
      <w:tblPr>
        <w:tblStyle w:val="31"/>
        <w:tblW w:w="874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793"/>
        <w:gridCol w:w="1390"/>
        <w:gridCol w:w="1391"/>
        <w:gridCol w:w="1390"/>
        <w:gridCol w:w="1391"/>
        <w:gridCol w:w="1391"/>
      </w:tblGrid>
      <w:tr w14:paraId="7593B3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tcBorders>
              <w:top w:val="single" w:color="auto" w:sz="12" w:space="0"/>
              <w:bottom w:val="single" w:color="auto" w:sz="4" w:space="0"/>
              <w:tl2br w:val="single" w:color="auto" w:sz="4" w:space="0"/>
            </w:tcBorders>
            <w:vAlign w:val="center"/>
          </w:tcPr>
          <w:p w14:paraId="2F9B9AC4">
            <w:pPr>
              <w:jc w:val="righ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工程名称</w:t>
            </w:r>
          </w:p>
          <w:p w14:paraId="7F8D2352">
            <w:pP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指标</w:t>
            </w:r>
          </w:p>
        </w:tc>
        <w:tc>
          <w:tcPr>
            <w:tcW w:w="1390" w:type="dxa"/>
            <w:vAlign w:val="center"/>
          </w:tcPr>
          <w:p w14:paraId="649103FD">
            <w:pPr>
              <w:jc w:val="center"/>
              <w:rPr>
                <w:color w:val="000000" w:themeColor="text1"/>
                <w:szCs w:val="21"/>
                <w:highlight w:val="none"/>
                <w14:textFill>
                  <w14:solidFill>
                    <w14:schemeClr w14:val="tx1"/>
                  </w14:solidFill>
                </w14:textFill>
              </w:rPr>
            </w:pPr>
          </w:p>
        </w:tc>
        <w:tc>
          <w:tcPr>
            <w:tcW w:w="1391" w:type="dxa"/>
            <w:vAlign w:val="center"/>
          </w:tcPr>
          <w:p w14:paraId="2A52DCD9">
            <w:pPr>
              <w:jc w:val="center"/>
              <w:rPr>
                <w:color w:val="000000" w:themeColor="text1"/>
                <w:szCs w:val="21"/>
                <w:highlight w:val="none"/>
                <w14:textFill>
                  <w14:solidFill>
                    <w14:schemeClr w14:val="tx1"/>
                  </w14:solidFill>
                </w14:textFill>
              </w:rPr>
            </w:pPr>
          </w:p>
        </w:tc>
        <w:tc>
          <w:tcPr>
            <w:tcW w:w="1390" w:type="dxa"/>
            <w:vAlign w:val="center"/>
          </w:tcPr>
          <w:p w14:paraId="47EF45CD">
            <w:pPr>
              <w:jc w:val="center"/>
              <w:rPr>
                <w:color w:val="000000" w:themeColor="text1"/>
                <w:szCs w:val="21"/>
                <w:highlight w:val="none"/>
                <w14:textFill>
                  <w14:solidFill>
                    <w14:schemeClr w14:val="tx1"/>
                  </w14:solidFill>
                </w14:textFill>
              </w:rPr>
            </w:pPr>
          </w:p>
        </w:tc>
        <w:tc>
          <w:tcPr>
            <w:tcW w:w="1391" w:type="dxa"/>
            <w:vAlign w:val="center"/>
          </w:tcPr>
          <w:p w14:paraId="4155A290">
            <w:pPr>
              <w:jc w:val="center"/>
              <w:rPr>
                <w:color w:val="000000" w:themeColor="text1"/>
                <w:szCs w:val="21"/>
                <w:highlight w:val="none"/>
                <w14:textFill>
                  <w14:solidFill>
                    <w14:schemeClr w14:val="tx1"/>
                  </w14:solidFill>
                </w14:textFill>
              </w:rPr>
            </w:pPr>
          </w:p>
        </w:tc>
        <w:tc>
          <w:tcPr>
            <w:tcW w:w="1391" w:type="dxa"/>
            <w:vAlign w:val="center"/>
          </w:tcPr>
          <w:p w14:paraId="0D4A4708">
            <w:pPr>
              <w:jc w:val="center"/>
              <w:rPr>
                <w:color w:val="000000" w:themeColor="text1"/>
                <w:szCs w:val="21"/>
                <w:highlight w:val="none"/>
                <w14:textFill>
                  <w14:solidFill>
                    <w14:schemeClr w14:val="tx1"/>
                  </w14:solidFill>
                </w14:textFill>
              </w:rPr>
            </w:pPr>
          </w:p>
        </w:tc>
      </w:tr>
      <w:tr w14:paraId="688D1B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tcBorders>
              <w:top w:val="single" w:color="auto" w:sz="4" w:space="0"/>
            </w:tcBorders>
            <w:vAlign w:val="center"/>
          </w:tcPr>
          <w:p w14:paraId="3E64CA23">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合 同 段</w:t>
            </w:r>
          </w:p>
        </w:tc>
        <w:tc>
          <w:tcPr>
            <w:tcW w:w="1390" w:type="dxa"/>
            <w:vAlign w:val="center"/>
          </w:tcPr>
          <w:p w14:paraId="3BAB6979">
            <w:pPr>
              <w:jc w:val="center"/>
              <w:rPr>
                <w:color w:val="000000" w:themeColor="text1"/>
                <w:szCs w:val="21"/>
                <w:highlight w:val="none"/>
                <w14:textFill>
                  <w14:solidFill>
                    <w14:schemeClr w14:val="tx1"/>
                  </w14:solidFill>
                </w14:textFill>
              </w:rPr>
            </w:pPr>
          </w:p>
        </w:tc>
        <w:tc>
          <w:tcPr>
            <w:tcW w:w="1391" w:type="dxa"/>
            <w:vAlign w:val="center"/>
          </w:tcPr>
          <w:p w14:paraId="39FA08BF">
            <w:pPr>
              <w:jc w:val="center"/>
              <w:rPr>
                <w:color w:val="000000" w:themeColor="text1"/>
                <w:szCs w:val="21"/>
                <w:highlight w:val="none"/>
                <w14:textFill>
                  <w14:solidFill>
                    <w14:schemeClr w14:val="tx1"/>
                  </w14:solidFill>
                </w14:textFill>
              </w:rPr>
            </w:pPr>
          </w:p>
        </w:tc>
        <w:tc>
          <w:tcPr>
            <w:tcW w:w="1390" w:type="dxa"/>
            <w:vAlign w:val="center"/>
          </w:tcPr>
          <w:p w14:paraId="482E4D4B">
            <w:pPr>
              <w:jc w:val="center"/>
              <w:rPr>
                <w:color w:val="000000" w:themeColor="text1"/>
                <w:szCs w:val="21"/>
                <w:highlight w:val="none"/>
                <w14:textFill>
                  <w14:solidFill>
                    <w14:schemeClr w14:val="tx1"/>
                  </w14:solidFill>
                </w14:textFill>
              </w:rPr>
            </w:pPr>
          </w:p>
        </w:tc>
        <w:tc>
          <w:tcPr>
            <w:tcW w:w="1391" w:type="dxa"/>
            <w:vAlign w:val="center"/>
          </w:tcPr>
          <w:p w14:paraId="33582225">
            <w:pPr>
              <w:jc w:val="center"/>
              <w:rPr>
                <w:color w:val="000000" w:themeColor="text1"/>
                <w:szCs w:val="21"/>
                <w:highlight w:val="none"/>
                <w14:textFill>
                  <w14:solidFill>
                    <w14:schemeClr w14:val="tx1"/>
                  </w14:solidFill>
                </w14:textFill>
              </w:rPr>
            </w:pPr>
          </w:p>
        </w:tc>
        <w:tc>
          <w:tcPr>
            <w:tcW w:w="1391" w:type="dxa"/>
            <w:vAlign w:val="center"/>
          </w:tcPr>
          <w:p w14:paraId="5722AE7F">
            <w:pPr>
              <w:jc w:val="center"/>
              <w:rPr>
                <w:color w:val="000000" w:themeColor="text1"/>
                <w:szCs w:val="21"/>
                <w:highlight w:val="none"/>
                <w14:textFill>
                  <w14:solidFill>
                    <w14:schemeClr w14:val="tx1"/>
                  </w14:solidFill>
                </w14:textFill>
              </w:rPr>
            </w:pPr>
          </w:p>
        </w:tc>
      </w:tr>
      <w:tr w14:paraId="730B9D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08703CE6">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建设地点</w:t>
            </w:r>
          </w:p>
        </w:tc>
        <w:tc>
          <w:tcPr>
            <w:tcW w:w="1390" w:type="dxa"/>
            <w:vAlign w:val="center"/>
          </w:tcPr>
          <w:p w14:paraId="54DD0A96">
            <w:pPr>
              <w:jc w:val="center"/>
              <w:rPr>
                <w:color w:val="000000" w:themeColor="text1"/>
                <w:szCs w:val="21"/>
                <w:highlight w:val="none"/>
                <w14:textFill>
                  <w14:solidFill>
                    <w14:schemeClr w14:val="tx1"/>
                  </w14:solidFill>
                </w14:textFill>
              </w:rPr>
            </w:pPr>
          </w:p>
        </w:tc>
        <w:tc>
          <w:tcPr>
            <w:tcW w:w="1391" w:type="dxa"/>
            <w:vAlign w:val="center"/>
          </w:tcPr>
          <w:p w14:paraId="3EEBFDD3">
            <w:pPr>
              <w:jc w:val="center"/>
              <w:rPr>
                <w:color w:val="000000" w:themeColor="text1"/>
                <w:szCs w:val="21"/>
                <w:highlight w:val="none"/>
                <w14:textFill>
                  <w14:solidFill>
                    <w14:schemeClr w14:val="tx1"/>
                  </w14:solidFill>
                </w14:textFill>
              </w:rPr>
            </w:pPr>
          </w:p>
        </w:tc>
        <w:tc>
          <w:tcPr>
            <w:tcW w:w="1390" w:type="dxa"/>
            <w:vAlign w:val="center"/>
          </w:tcPr>
          <w:p w14:paraId="7E755F9D">
            <w:pPr>
              <w:jc w:val="center"/>
              <w:rPr>
                <w:color w:val="000000" w:themeColor="text1"/>
                <w:szCs w:val="21"/>
                <w:highlight w:val="none"/>
                <w14:textFill>
                  <w14:solidFill>
                    <w14:schemeClr w14:val="tx1"/>
                  </w14:solidFill>
                </w14:textFill>
              </w:rPr>
            </w:pPr>
          </w:p>
        </w:tc>
        <w:tc>
          <w:tcPr>
            <w:tcW w:w="1391" w:type="dxa"/>
            <w:vAlign w:val="center"/>
          </w:tcPr>
          <w:p w14:paraId="77E213AD">
            <w:pPr>
              <w:jc w:val="center"/>
              <w:rPr>
                <w:color w:val="000000" w:themeColor="text1"/>
                <w:szCs w:val="21"/>
                <w:highlight w:val="none"/>
                <w14:textFill>
                  <w14:solidFill>
                    <w14:schemeClr w14:val="tx1"/>
                  </w14:solidFill>
                </w14:textFill>
              </w:rPr>
            </w:pPr>
          </w:p>
        </w:tc>
        <w:tc>
          <w:tcPr>
            <w:tcW w:w="1391" w:type="dxa"/>
            <w:vAlign w:val="center"/>
          </w:tcPr>
          <w:p w14:paraId="3719C79D">
            <w:pPr>
              <w:jc w:val="center"/>
              <w:rPr>
                <w:color w:val="000000" w:themeColor="text1"/>
                <w:szCs w:val="21"/>
                <w:highlight w:val="none"/>
                <w14:textFill>
                  <w14:solidFill>
                    <w14:schemeClr w14:val="tx1"/>
                  </w14:solidFill>
                </w14:textFill>
              </w:rPr>
            </w:pPr>
          </w:p>
        </w:tc>
      </w:tr>
      <w:tr w14:paraId="18D22C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1FB6DA1B">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工程规模</w:t>
            </w:r>
          </w:p>
        </w:tc>
        <w:tc>
          <w:tcPr>
            <w:tcW w:w="1390" w:type="dxa"/>
            <w:vAlign w:val="center"/>
          </w:tcPr>
          <w:p w14:paraId="44D9F016">
            <w:pPr>
              <w:jc w:val="center"/>
              <w:rPr>
                <w:color w:val="000000" w:themeColor="text1"/>
                <w:szCs w:val="21"/>
                <w:highlight w:val="none"/>
                <w14:textFill>
                  <w14:solidFill>
                    <w14:schemeClr w14:val="tx1"/>
                  </w14:solidFill>
                </w14:textFill>
              </w:rPr>
            </w:pPr>
          </w:p>
        </w:tc>
        <w:tc>
          <w:tcPr>
            <w:tcW w:w="1391" w:type="dxa"/>
            <w:vAlign w:val="center"/>
          </w:tcPr>
          <w:p w14:paraId="77DC5142">
            <w:pPr>
              <w:jc w:val="center"/>
              <w:rPr>
                <w:color w:val="000000" w:themeColor="text1"/>
                <w:szCs w:val="21"/>
                <w:highlight w:val="none"/>
                <w14:textFill>
                  <w14:solidFill>
                    <w14:schemeClr w14:val="tx1"/>
                  </w14:solidFill>
                </w14:textFill>
              </w:rPr>
            </w:pPr>
          </w:p>
        </w:tc>
        <w:tc>
          <w:tcPr>
            <w:tcW w:w="1390" w:type="dxa"/>
            <w:vAlign w:val="center"/>
          </w:tcPr>
          <w:p w14:paraId="5A2645F0">
            <w:pPr>
              <w:jc w:val="center"/>
              <w:rPr>
                <w:color w:val="000000" w:themeColor="text1"/>
                <w:szCs w:val="21"/>
                <w:highlight w:val="none"/>
                <w14:textFill>
                  <w14:solidFill>
                    <w14:schemeClr w14:val="tx1"/>
                  </w14:solidFill>
                </w14:textFill>
              </w:rPr>
            </w:pPr>
          </w:p>
        </w:tc>
        <w:tc>
          <w:tcPr>
            <w:tcW w:w="1391" w:type="dxa"/>
            <w:vAlign w:val="center"/>
          </w:tcPr>
          <w:p w14:paraId="0955F6DC">
            <w:pPr>
              <w:jc w:val="center"/>
              <w:rPr>
                <w:color w:val="000000" w:themeColor="text1"/>
                <w:szCs w:val="21"/>
                <w:highlight w:val="none"/>
                <w14:textFill>
                  <w14:solidFill>
                    <w14:schemeClr w14:val="tx1"/>
                  </w14:solidFill>
                </w14:textFill>
              </w:rPr>
            </w:pPr>
          </w:p>
        </w:tc>
        <w:tc>
          <w:tcPr>
            <w:tcW w:w="1391" w:type="dxa"/>
            <w:vAlign w:val="center"/>
          </w:tcPr>
          <w:p w14:paraId="41EC1443">
            <w:pPr>
              <w:jc w:val="center"/>
              <w:rPr>
                <w:color w:val="000000" w:themeColor="text1"/>
                <w:szCs w:val="21"/>
                <w:highlight w:val="none"/>
                <w14:textFill>
                  <w14:solidFill>
                    <w14:schemeClr w14:val="tx1"/>
                  </w14:solidFill>
                </w14:textFill>
              </w:rPr>
            </w:pPr>
          </w:p>
        </w:tc>
      </w:tr>
      <w:tr w14:paraId="767EE6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5214361B">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结构形式</w:t>
            </w:r>
          </w:p>
        </w:tc>
        <w:tc>
          <w:tcPr>
            <w:tcW w:w="1390" w:type="dxa"/>
            <w:vAlign w:val="center"/>
          </w:tcPr>
          <w:p w14:paraId="6C6C87FE">
            <w:pPr>
              <w:jc w:val="center"/>
              <w:rPr>
                <w:color w:val="000000" w:themeColor="text1"/>
                <w:szCs w:val="21"/>
                <w:highlight w:val="none"/>
                <w14:textFill>
                  <w14:solidFill>
                    <w14:schemeClr w14:val="tx1"/>
                  </w14:solidFill>
                </w14:textFill>
              </w:rPr>
            </w:pPr>
          </w:p>
        </w:tc>
        <w:tc>
          <w:tcPr>
            <w:tcW w:w="1391" w:type="dxa"/>
            <w:vAlign w:val="center"/>
          </w:tcPr>
          <w:p w14:paraId="1AAA017A">
            <w:pPr>
              <w:jc w:val="center"/>
              <w:rPr>
                <w:color w:val="000000" w:themeColor="text1"/>
                <w:szCs w:val="21"/>
                <w:highlight w:val="none"/>
                <w14:textFill>
                  <w14:solidFill>
                    <w14:schemeClr w14:val="tx1"/>
                  </w14:solidFill>
                </w14:textFill>
              </w:rPr>
            </w:pPr>
          </w:p>
        </w:tc>
        <w:tc>
          <w:tcPr>
            <w:tcW w:w="1390" w:type="dxa"/>
            <w:vAlign w:val="center"/>
          </w:tcPr>
          <w:p w14:paraId="070775DF">
            <w:pPr>
              <w:jc w:val="center"/>
              <w:rPr>
                <w:color w:val="000000" w:themeColor="text1"/>
                <w:szCs w:val="21"/>
                <w:highlight w:val="none"/>
                <w14:textFill>
                  <w14:solidFill>
                    <w14:schemeClr w14:val="tx1"/>
                  </w14:solidFill>
                </w14:textFill>
              </w:rPr>
            </w:pPr>
          </w:p>
        </w:tc>
        <w:tc>
          <w:tcPr>
            <w:tcW w:w="1391" w:type="dxa"/>
            <w:vAlign w:val="center"/>
          </w:tcPr>
          <w:p w14:paraId="4441A99A">
            <w:pPr>
              <w:jc w:val="center"/>
              <w:rPr>
                <w:color w:val="000000" w:themeColor="text1"/>
                <w:szCs w:val="21"/>
                <w:highlight w:val="none"/>
                <w14:textFill>
                  <w14:solidFill>
                    <w14:schemeClr w14:val="tx1"/>
                  </w14:solidFill>
                </w14:textFill>
              </w:rPr>
            </w:pPr>
          </w:p>
        </w:tc>
        <w:tc>
          <w:tcPr>
            <w:tcW w:w="1391" w:type="dxa"/>
            <w:vAlign w:val="center"/>
          </w:tcPr>
          <w:p w14:paraId="26145EA0">
            <w:pPr>
              <w:jc w:val="center"/>
              <w:rPr>
                <w:color w:val="000000" w:themeColor="text1"/>
                <w:szCs w:val="21"/>
                <w:highlight w:val="none"/>
                <w14:textFill>
                  <w14:solidFill>
                    <w14:schemeClr w14:val="tx1"/>
                  </w14:solidFill>
                </w14:textFill>
              </w:rPr>
            </w:pPr>
          </w:p>
        </w:tc>
      </w:tr>
      <w:tr w14:paraId="7DED3B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7D544C69">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质量要求</w:t>
            </w:r>
          </w:p>
        </w:tc>
        <w:tc>
          <w:tcPr>
            <w:tcW w:w="1390" w:type="dxa"/>
            <w:vAlign w:val="center"/>
          </w:tcPr>
          <w:p w14:paraId="260461A4">
            <w:pPr>
              <w:jc w:val="center"/>
              <w:rPr>
                <w:color w:val="000000" w:themeColor="text1"/>
                <w:szCs w:val="21"/>
                <w:highlight w:val="none"/>
                <w14:textFill>
                  <w14:solidFill>
                    <w14:schemeClr w14:val="tx1"/>
                  </w14:solidFill>
                </w14:textFill>
              </w:rPr>
            </w:pPr>
          </w:p>
        </w:tc>
        <w:tc>
          <w:tcPr>
            <w:tcW w:w="1391" w:type="dxa"/>
            <w:vAlign w:val="center"/>
          </w:tcPr>
          <w:p w14:paraId="1122900C">
            <w:pPr>
              <w:jc w:val="center"/>
              <w:rPr>
                <w:color w:val="000000" w:themeColor="text1"/>
                <w:szCs w:val="21"/>
                <w:highlight w:val="none"/>
                <w14:textFill>
                  <w14:solidFill>
                    <w14:schemeClr w14:val="tx1"/>
                  </w14:solidFill>
                </w14:textFill>
              </w:rPr>
            </w:pPr>
          </w:p>
        </w:tc>
        <w:tc>
          <w:tcPr>
            <w:tcW w:w="1390" w:type="dxa"/>
            <w:vAlign w:val="center"/>
          </w:tcPr>
          <w:p w14:paraId="75FCCA10">
            <w:pPr>
              <w:jc w:val="center"/>
              <w:rPr>
                <w:color w:val="000000" w:themeColor="text1"/>
                <w:szCs w:val="21"/>
                <w:highlight w:val="none"/>
                <w14:textFill>
                  <w14:solidFill>
                    <w14:schemeClr w14:val="tx1"/>
                  </w14:solidFill>
                </w14:textFill>
              </w:rPr>
            </w:pPr>
          </w:p>
        </w:tc>
        <w:tc>
          <w:tcPr>
            <w:tcW w:w="1391" w:type="dxa"/>
            <w:vAlign w:val="center"/>
          </w:tcPr>
          <w:p w14:paraId="7DE0C05E">
            <w:pPr>
              <w:jc w:val="center"/>
              <w:rPr>
                <w:color w:val="000000" w:themeColor="text1"/>
                <w:szCs w:val="21"/>
                <w:highlight w:val="none"/>
                <w14:textFill>
                  <w14:solidFill>
                    <w14:schemeClr w14:val="tx1"/>
                  </w14:solidFill>
                </w14:textFill>
              </w:rPr>
            </w:pPr>
          </w:p>
        </w:tc>
        <w:tc>
          <w:tcPr>
            <w:tcW w:w="1391" w:type="dxa"/>
            <w:vAlign w:val="center"/>
          </w:tcPr>
          <w:p w14:paraId="3240E064">
            <w:pPr>
              <w:jc w:val="center"/>
              <w:rPr>
                <w:color w:val="000000" w:themeColor="text1"/>
                <w:szCs w:val="21"/>
                <w:highlight w:val="none"/>
                <w14:textFill>
                  <w14:solidFill>
                    <w14:schemeClr w14:val="tx1"/>
                  </w14:solidFill>
                </w14:textFill>
              </w:rPr>
            </w:pPr>
          </w:p>
        </w:tc>
      </w:tr>
      <w:tr w14:paraId="34A778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110198C3">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施工方法</w:t>
            </w:r>
          </w:p>
        </w:tc>
        <w:tc>
          <w:tcPr>
            <w:tcW w:w="1390" w:type="dxa"/>
            <w:vAlign w:val="center"/>
          </w:tcPr>
          <w:p w14:paraId="054E206C">
            <w:pPr>
              <w:jc w:val="center"/>
              <w:rPr>
                <w:color w:val="000000" w:themeColor="text1"/>
                <w:szCs w:val="21"/>
                <w:highlight w:val="none"/>
                <w14:textFill>
                  <w14:solidFill>
                    <w14:schemeClr w14:val="tx1"/>
                  </w14:solidFill>
                </w14:textFill>
              </w:rPr>
            </w:pPr>
          </w:p>
        </w:tc>
        <w:tc>
          <w:tcPr>
            <w:tcW w:w="1391" w:type="dxa"/>
            <w:vAlign w:val="center"/>
          </w:tcPr>
          <w:p w14:paraId="213E8FD3">
            <w:pPr>
              <w:jc w:val="center"/>
              <w:rPr>
                <w:color w:val="000000" w:themeColor="text1"/>
                <w:szCs w:val="21"/>
                <w:highlight w:val="none"/>
                <w14:textFill>
                  <w14:solidFill>
                    <w14:schemeClr w14:val="tx1"/>
                  </w14:solidFill>
                </w14:textFill>
              </w:rPr>
            </w:pPr>
          </w:p>
        </w:tc>
        <w:tc>
          <w:tcPr>
            <w:tcW w:w="1390" w:type="dxa"/>
            <w:vAlign w:val="center"/>
          </w:tcPr>
          <w:p w14:paraId="78205B27">
            <w:pPr>
              <w:jc w:val="center"/>
              <w:rPr>
                <w:color w:val="000000" w:themeColor="text1"/>
                <w:szCs w:val="21"/>
                <w:highlight w:val="none"/>
                <w14:textFill>
                  <w14:solidFill>
                    <w14:schemeClr w14:val="tx1"/>
                  </w14:solidFill>
                </w14:textFill>
              </w:rPr>
            </w:pPr>
          </w:p>
        </w:tc>
        <w:tc>
          <w:tcPr>
            <w:tcW w:w="1391" w:type="dxa"/>
            <w:vAlign w:val="center"/>
          </w:tcPr>
          <w:p w14:paraId="0C55EEA4">
            <w:pPr>
              <w:jc w:val="center"/>
              <w:rPr>
                <w:color w:val="000000" w:themeColor="text1"/>
                <w:szCs w:val="21"/>
                <w:highlight w:val="none"/>
                <w14:textFill>
                  <w14:solidFill>
                    <w14:schemeClr w14:val="tx1"/>
                  </w14:solidFill>
                </w14:textFill>
              </w:rPr>
            </w:pPr>
          </w:p>
        </w:tc>
        <w:tc>
          <w:tcPr>
            <w:tcW w:w="1391" w:type="dxa"/>
            <w:vAlign w:val="center"/>
          </w:tcPr>
          <w:p w14:paraId="57B0CCA3">
            <w:pPr>
              <w:jc w:val="center"/>
              <w:rPr>
                <w:color w:val="000000" w:themeColor="text1"/>
                <w:szCs w:val="21"/>
                <w:highlight w:val="none"/>
                <w14:textFill>
                  <w14:solidFill>
                    <w14:schemeClr w14:val="tx1"/>
                  </w14:solidFill>
                </w14:textFill>
              </w:rPr>
            </w:pPr>
          </w:p>
        </w:tc>
      </w:tr>
      <w:tr w14:paraId="6B0E30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17D45C20">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竣工日期</w:t>
            </w:r>
          </w:p>
        </w:tc>
        <w:tc>
          <w:tcPr>
            <w:tcW w:w="1390" w:type="dxa"/>
            <w:vAlign w:val="center"/>
          </w:tcPr>
          <w:p w14:paraId="48DF070C">
            <w:pPr>
              <w:jc w:val="center"/>
              <w:rPr>
                <w:color w:val="000000" w:themeColor="text1"/>
                <w:szCs w:val="21"/>
                <w:highlight w:val="none"/>
                <w14:textFill>
                  <w14:solidFill>
                    <w14:schemeClr w14:val="tx1"/>
                  </w14:solidFill>
                </w14:textFill>
              </w:rPr>
            </w:pPr>
          </w:p>
        </w:tc>
        <w:tc>
          <w:tcPr>
            <w:tcW w:w="1391" w:type="dxa"/>
            <w:vAlign w:val="center"/>
          </w:tcPr>
          <w:p w14:paraId="2F1E45E1">
            <w:pPr>
              <w:jc w:val="center"/>
              <w:rPr>
                <w:color w:val="000000" w:themeColor="text1"/>
                <w:szCs w:val="21"/>
                <w:highlight w:val="none"/>
                <w14:textFill>
                  <w14:solidFill>
                    <w14:schemeClr w14:val="tx1"/>
                  </w14:solidFill>
                </w14:textFill>
              </w:rPr>
            </w:pPr>
          </w:p>
        </w:tc>
        <w:tc>
          <w:tcPr>
            <w:tcW w:w="1390" w:type="dxa"/>
            <w:vAlign w:val="center"/>
          </w:tcPr>
          <w:p w14:paraId="376B9F82">
            <w:pPr>
              <w:jc w:val="center"/>
              <w:rPr>
                <w:color w:val="000000" w:themeColor="text1"/>
                <w:szCs w:val="21"/>
                <w:highlight w:val="none"/>
                <w14:textFill>
                  <w14:solidFill>
                    <w14:schemeClr w14:val="tx1"/>
                  </w14:solidFill>
                </w14:textFill>
              </w:rPr>
            </w:pPr>
          </w:p>
        </w:tc>
        <w:tc>
          <w:tcPr>
            <w:tcW w:w="1391" w:type="dxa"/>
            <w:vAlign w:val="center"/>
          </w:tcPr>
          <w:p w14:paraId="36D2FEBE">
            <w:pPr>
              <w:jc w:val="center"/>
              <w:rPr>
                <w:color w:val="000000" w:themeColor="text1"/>
                <w:szCs w:val="21"/>
                <w:highlight w:val="none"/>
                <w14:textFill>
                  <w14:solidFill>
                    <w14:schemeClr w14:val="tx1"/>
                  </w14:solidFill>
                </w14:textFill>
              </w:rPr>
            </w:pPr>
          </w:p>
        </w:tc>
        <w:tc>
          <w:tcPr>
            <w:tcW w:w="1391" w:type="dxa"/>
            <w:vAlign w:val="center"/>
          </w:tcPr>
          <w:p w14:paraId="5783818F">
            <w:pPr>
              <w:jc w:val="center"/>
              <w:rPr>
                <w:color w:val="000000" w:themeColor="text1"/>
                <w:szCs w:val="21"/>
                <w:highlight w:val="none"/>
                <w14:textFill>
                  <w14:solidFill>
                    <w14:schemeClr w14:val="tx1"/>
                  </w14:solidFill>
                </w14:textFill>
              </w:rPr>
            </w:pPr>
          </w:p>
        </w:tc>
      </w:tr>
      <w:tr w14:paraId="608EBA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1A5B1766">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实际工期</w:t>
            </w:r>
          </w:p>
        </w:tc>
        <w:tc>
          <w:tcPr>
            <w:tcW w:w="1390" w:type="dxa"/>
            <w:vAlign w:val="center"/>
          </w:tcPr>
          <w:p w14:paraId="339D7102">
            <w:pPr>
              <w:jc w:val="center"/>
              <w:rPr>
                <w:color w:val="000000" w:themeColor="text1"/>
                <w:szCs w:val="21"/>
                <w:highlight w:val="none"/>
                <w14:textFill>
                  <w14:solidFill>
                    <w14:schemeClr w14:val="tx1"/>
                  </w14:solidFill>
                </w14:textFill>
              </w:rPr>
            </w:pPr>
          </w:p>
        </w:tc>
        <w:tc>
          <w:tcPr>
            <w:tcW w:w="1391" w:type="dxa"/>
            <w:vAlign w:val="center"/>
          </w:tcPr>
          <w:p w14:paraId="3A05221C">
            <w:pPr>
              <w:jc w:val="center"/>
              <w:rPr>
                <w:color w:val="000000" w:themeColor="text1"/>
                <w:szCs w:val="21"/>
                <w:highlight w:val="none"/>
                <w14:textFill>
                  <w14:solidFill>
                    <w14:schemeClr w14:val="tx1"/>
                  </w14:solidFill>
                </w14:textFill>
              </w:rPr>
            </w:pPr>
          </w:p>
        </w:tc>
        <w:tc>
          <w:tcPr>
            <w:tcW w:w="1390" w:type="dxa"/>
            <w:vAlign w:val="center"/>
          </w:tcPr>
          <w:p w14:paraId="71FA517A">
            <w:pPr>
              <w:jc w:val="center"/>
              <w:rPr>
                <w:color w:val="000000" w:themeColor="text1"/>
                <w:szCs w:val="21"/>
                <w:highlight w:val="none"/>
                <w14:textFill>
                  <w14:solidFill>
                    <w14:schemeClr w14:val="tx1"/>
                  </w14:solidFill>
                </w14:textFill>
              </w:rPr>
            </w:pPr>
          </w:p>
        </w:tc>
        <w:tc>
          <w:tcPr>
            <w:tcW w:w="1391" w:type="dxa"/>
            <w:vAlign w:val="center"/>
          </w:tcPr>
          <w:p w14:paraId="2B14B633">
            <w:pPr>
              <w:jc w:val="center"/>
              <w:rPr>
                <w:color w:val="000000" w:themeColor="text1"/>
                <w:szCs w:val="21"/>
                <w:highlight w:val="none"/>
                <w14:textFill>
                  <w14:solidFill>
                    <w14:schemeClr w14:val="tx1"/>
                  </w14:solidFill>
                </w14:textFill>
              </w:rPr>
            </w:pPr>
          </w:p>
        </w:tc>
        <w:tc>
          <w:tcPr>
            <w:tcW w:w="1391" w:type="dxa"/>
            <w:vAlign w:val="center"/>
          </w:tcPr>
          <w:p w14:paraId="549E8630">
            <w:pPr>
              <w:jc w:val="center"/>
              <w:rPr>
                <w:color w:val="000000" w:themeColor="text1"/>
                <w:szCs w:val="21"/>
                <w:highlight w:val="none"/>
                <w14:textFill>
                  <w14:solidFill>
                    <w14:schemeClr w14:val="tx1"/>
                  </w14:solidFill>
                </w14:textFill>
              </w:rPr>
            </w:pPr>
          </w:p>
        </w:tc>
      </w:tr>
      <w:tr w14:paraId="0CFEB7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5E86490A">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合同工期</w:t>
            </w:r>
          </w:p>
        </w:tc>
        <w:tc>
          <w:tcPr>
            <w:tcW w:w="1390" w:type="dxa"/>
            <w:vAlign w:val="center"/>
          </w:tcPr>
          <w:p w14:paraId="60ACFD6A">
            <w:pPr>
              <w:jc w:val="center"/>
              <w:rPr>
                <w:color w:val="000000" w:themeColor="text1"/>
                <w:szCs w:val="21"/>
                <w:highlight w:val="none"/>
                <w14:textFill>
                  <w14:solidFill>
                    <w14:schemeClr w14:val="tx1"/>
                  </w14:solidFill>
                </w14:textFill>
              </w:rPr>
            </w:pPr>
          </w:p>
        </w:tc>
        <w:tc>
          <w:tcPr>
            <w:tcW w:w="1391" w:type="dxa"/>
            <w:vAlign w:val="center"/>
          </w:tcPr>
          <w:p w14:paraId="6782C437">
            <w:pPr>
              <w:jc w:val="center"/>
              <w:rPr>
                <w:color w:val="000000" w:themeColor="text1"/>
                <w:szCs w:val="21"/>
                <w:highlight w:val="none"/>
                <w14:textFill>
                  <w14:solidFill>
                    <w14:schemeClr w14:val="tx1"/>
                  </w14:solidFill>
                </w14:textFill>
              </w:rPr>
            </w:pPr>
          </w:p>
        </w:tc>
        <w:tc>
          <w:tcPr>
            <w:tcW w:w="1390" w:type="dxa"/>
            <w:vAlign w:val="center"/>
          </w:tcPr>
          <w:p w14:paraId="1EAE63B9">
            <w:pPr>
              <w:jc w:val="center"/>
              <w:rPr>
                <w:color w:val="000000" w:themeColor="text1"/>
                <w:szCs w:val="21"/>
                <w:highlight w:val="none"/>
                <w14:textFill>
                  <w14:solidFill>
                    <w14:schemeClr w14:val="tx1"/>
                  </w14:solidFill>
                </w14:textFill>
              </w:rPr>
            </w:pPr>
          </w:p>
        </w:tc>
        <w:tc>
          <w:tcPr>
            <w:tcW w:w="1391" w:type="dxa"/>
            <w:vAlign w:val="center"/>
          </w:tcPr>
          <w:p w14:paraId="23347FB5">
            <w:pPr>
              <w:jc w:val="center"/>
              <w:rPr>
                <w:color w:val="000000" w:themeColor="text1"/>
                <w:szCs w:val="21"/>
                <w:highlight w:val="none"/>
                <w14:textFill>
                  <w14:solidFill>
                    <w14:schemeClr w14:val="tx1"/>
                  </w14:solidFill>
                </w14:textFill>
              </w:rPr>
            </w:pPr>
          </w:p>
        </w:tc>
        <w:tc>
          <w:tcPr>
            <w:tcW w:w="1391" w:type="dxa"/>
            <w:vAlign w:val="center"/>
          </w:tcPr>
          <w:p w14:paraId="301411E1">
            <w:pPr>
              <w:jc w:val="center"/>
              <w:rPr>
                <w:color w:val="000000" w:themeColor="text1"/>
                <w:szCs w:val="21"/>
                <w:highlight w:val="none"/>
                <w14:textFill>
                  <w14:solidFill>
                    <w14:schemeClr w14:val="tx1"/>
                  </w14:solidFill>
                </w14:textFill>
              </w:rPr>
            </w:pPr>
          </w:p>
        </w:tc>
      </w:tr>
      <w:tr w14:paraId="5FC4A3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22CE11DB">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结算总价</w:t>
            </w:r>
          </w:p>
        </w:tc>
        <w:tc>
          <w:tcPr>
            <w:tcW w:w="1390" w:type="dxa"/>
            <w:vAlign w:val="center"/>
          </w:tcPr>
          <w:p w14:paraId="568FBD92">
            <w:pPr>
              <w:jc w:val="center"/>
              <w:rPr>
                <w:color w:val="000000" w:themeColor="text1"/>
                <w:szCs w:val="21"/>
                <w:highlight w:val="none"/>
                <w14:textFill>
                  <w14:solidFill>
                    <w14:schemeClr w14:val="tx1"/>
                  </w14:solidFill>
                </w14:textFill>
              </w:rPr>
            </w:pPr>
          </w:p>
        </w:tc>
        <w:tc>
          <w:tcPr>
            <w:tcW w:w="1391" w:type="dxa"/>
            <w:vAlign w:val="center"/>
          </w:tcPr>
          <w:p w14:paraId="63688106">
            <w:pPr>
              <w:jc w:val="center"/>
              <w:rPr>
                <w:color w:val="000000" w:themeColor="text1"/>
                <w:szCs w:val="21"/>
                <w:highlight w:val="none"/>
                <w14:textFill>
                  <w14:solidFill>
                    <w14:schemeClr w14:val="tx1"/>
                  </w14:solidFill>
                </w14:textFill>
              </w:rPr>
            </w:pPr>
          </w:p>
        </w:tc>
        <w:tc>
          <w:tcPr>
            <w:tcW w:w="1390" w:type="dxa"/>
            <w:vAlign w:val="center"/>
          </w:tcPr>
          <w:p w14:paraId="3B2AAE1A">
            <w:pPr>
              <w:jc w:val="center"/>
              <w:rPr>
                <w:color w:val="000000" w:themeColor="text1"/>
                <w:szCs w:val="21"/>
                <w:highlight w:val="none"/>
                <w14:textFill>
                  <w14:solidFill>
                    <w14:schemeClr w14:val="tx1"/>
                  </w14:solidFill>
                </w14:textFill>
              </w:rPr>
            </w:pPr>
          </w:p>
        </w:tc>
        <w:tc>
          <w:tcPr>
            <w:tcW w:w="1391" w:type="dxa"/>
            <w:vAlign w:val="center"/>
          </w:tcPr>
          <w:p w14:paraId="6F65FD00">
            <w:pPr>
              <w:jc w:val="center"/>
              <w:rPr>
                <w:color w:val="000000" w:themeColor="text1"/>
                <w:szCs w:val="21"/>
                <w:highlight w:val="none"/>
                <w14:textFill>
                  <w14:solidFill>
                    <w14:schemeClr w14:val="tx1"/>
                  </w14:solidFill>
                </w14:textFill>
              </w:rPr>
            </w:pPr>
          </w:p>
        </w:tc>
        <w:tc>
          <w:tcPr>
            <w:tcW w:w="1391" w:type="dxa"/>
            <w:vAlign w:val="center"/>
          </w:tcPr>
          <w:p w14:paraId="36A7D5DF">
            <w:pPr>
              <w:jc w:val="center"/>
              <w:rPr>
                <w:color w:val="000000" w:themeColor="text1"/>
                <w:szCs w:val="21"/>
                <w:highlight w:val="none"/>
                <w14:textFill>
                  <w14:solidFill>
                    <w14:schemeClr w14:val="tx1"/>
                  </w14:solidFill>
                </w14:textFill>
              </w:rPr>
            </w:pPr>
          </w:p>
        </w:tc>
      </w:tr>
      <w:tr w14:paraId="16EC63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15AE32C9">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合同总价</w:t>
            </w:r>
          </w:p>
        </w:tc>
        <w:tc>
          <w:tcPr>
            <w:tcW w:w="1390" w:type="dxa"/>
            <w:vAlign w:val="center"/>
          </w:tcPr>
          <w:p w14:paraId="56DEFF31">
            <w:pPr>
              <w:jc w:val="center"/>
              <w:rPr>
                <w:color w:val="000000" w:themeColor="text1"/>
                <w:szCs w:val="21"/>
                <w:highlight w:val="none"/>
                <w14:textFill>
                  <w14:solidFill>
                    <w14:schemeClr w14:val="tx1"/>
                  </w14:solidFill>
                </w14:textFill>
              </w:rPr>
            </w:pPr>
          </w:p>
        </w:tc>
        <w:tc>
          <w:tcPr>
            <w:tcW w:w="1391" w:type="dxa"/>
            <w:vAlign w:val="center"/>
          </w:tcPr>
          <w:p w14:paraId="43F0E127">
            <w:pPr>
              <w:jc w:val="center"/>
              <w:rPr>
                <w:color w:val="000000" w:themeColor="text1"/>
                <w:szCs w:val="21"/>
                <w:highlight w:val="none"/>
                <w14:textFill>
                  <w14:solidFill>
                    <w14:schemeClr w14:val="tx1"/>
                  </w14:solidFill>
                </w14:textFill>
              </w:rPr>
            </w:pPr>
          </w:p>
        </w:tc>
        <w:tc>
          <w:tcPr>
            <w:tcW w:w="1390" w:type="dxa"/>
            <w:vAlign w:val="center"/>
          </w:tcPr>
          <w:p w14:paraId="0AFA73A8">
            <w:pPr>
              <w:jc w:val="center"/>
              <w:rPr>
                <w:color w:val="000000" w:themeColor="text1"/>
                <w:szCs w:val="21"/>
                <w:highlight w:val="none"/>
                <w14:textFill>
                  <w14:solidFill>
                    <w14:schemeClr w14:val="tx1"/>
                  </w14:solidFill>
                </w14:textFill>
              </w:rPr>
            </w:pPr>
          </w:p>
        </w:tc>
        <w:tc>
          <w:tcPr>
            <w:tcW w:w="1391" w:type="dxa"/>
            <w:vAlign w:val="center"/>
          </w:tcPr>
          <w:p w14:paraId="4533A961">
            <w:pPr>
              <w:jc w:val="center"/>
              <w:rPr>
                <w:color w:val="000000" w:themeColor="text1"/>
                <w:szCs w:val="21"/>
                <w:highlight w:val="none"/>
                <w14:textFill>
                  <w14:solidFill>
                    <w14:schemeClr w14:val="tx1"/>
                  </w14:solidFill>
                </w14:textFill>
              </w:rPr>
            </w:pPr>
          </w:p>
        </w:tc>
        <w:tc>
          <w:tcPr>
            <w:tcW w:w="1391" w:type="dxa"/>
            <w:vAlign w:val="center"/>
          </w:tcPr>
          <w:p w14:paraId="69F5D4AA">
            <w:pPr>
              <w:jc w:val="center"/>
              <w:rPr>
                <w:color w:val="000000" w:themeColor="text1"/>
                <w:szCs w:val="21"/>
                <w:highlight w:val="none"/>
                <w14:textFill>
                  <w14:solidFill>
                    <w14:schemeClr w14:val="tx1"/>
                  </w14:solidFill>
                </w14:textFill>
              </w:rPr>
            </w:pPr>
          </w:p>
        </w:tc>
      </w:tr>
      <w:tr w14:paraId="6DA597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93" w:type="dxa"/>
            <w:vAlign w:val="center"/>
          </w:tcPr>
          <w:p w14:paraId="05A6E636">
            <w:pPr>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备    注</w:t>
            </w:r>
          </w:p>
        </w:tc>
        <w:tc>
          <w:tcPr>
            <w:tcW w:w="1390" w:type="dxa"/>
            <w:vAlign w:val="center"/>
          </w:tcPr>
          <w:p w14:paraId="6EDA660E">
            <w:pPr>
              <w:jc w:val="center"/>
              <w:rPr>
                <w:color w:val="000000" w:themeColor="text1"/>
                <w:szCs w:val="21"/>
                <w:highlight w:val="none"/>
                <w14:textFill>
                  <w14:solidFill>
                    <w14:schemeClr w14:val="tx1"/>
                  </w14:solidFill>
                </w14:textFill>
              </w:rPr>
            </w:pPr>
          </w:p>
        </w:tc>
        <w:tc>
          <w:tcPr>
            <w:tcW w:w="1391" w:type="dxa"/>
            <w:vAlign w:val="center"/>
          </w:tcPr>
          <w:p w14:paraId="4B8A0904">
            <w:pPr>
              <w:jc w:val="center"/>
              <w:rPr>
                <w:color w:val="000000" w:themeColor="text1"/>
                <w:szCs w:val="21"/>
                <w:highlight w:val="none"/>
                <w14:textFill>
                  <w14:solidFill>
                    <w14:schemeClr w14:val="tx1"/>
                  </w14:solidFill>
                </w14:textFill>
              </w:rPr>
            </w:pPr>
          </w:p>
        </w:tc>
        <w:tc>
          <w:tcPr>
            <w:tcW w:w="1390" w:type="dxa"/>
            <w:vAlign w:val="center"/>
          </w:tcPr>
          <w:p w14:paraId="0988C7E2">
            <w:pPr>
              <w:jc w:val="center"/>
              <w:rPr>
                <w:color w:val="000000" w:themeColor="text1"/>
                <w:szCs w:val="21"/>
                <w:highlight w:val="none"/>
                <w14:textFill>
                  <w14:solidFill>
                    <w14:schemeClr w14:val="tx1"/>
                  </w14:solidFill>
                </w14:textFill>
              </w:rPr>
            </w:pPr>
          </w:p>
        </w:tc>
        <w:tc>
          <w:tcPr>
            <w:tcW w:w="1391" w:type="dxa"/>
            <w:vAlign w:val="center"/>
          </w:tcPr>
          <w:p w14:paraId="5F68CC04">
            <w:pPr>
              <w:jc w:val="center"/>
              <w:rPr>
                <w:color w:val="000000" w:themeColor="text1"/>
                <w:szCs w:val="21"/>
                <w:highlight w:val="none"/>
                <w14:textFill>
                  <w14:solidFill>
                    <w14:schemeClr w14:val="tx1"/>
                  </w14:solidFill>
                </w14:textFill>
              </w:rPr>
            </w:pPr>
          </w:p>
        </w:tc>
        <w:tc>
          <w:tcPr>
            <w:tcW w:w="1391" w:type="dxa"/>
            <w:vAlign w:val="center"/>
          </w:tcPr>
          <w:p w14:paraId="5267A805">
            <w:pPr>
              <w:jc w:val="center"/>
              <w:rPr>
                <w:color w:val="000000" w:themeColor="text1"/>
                <w:szCs w:val="21"/>
                <w:highlight w:val="none"/>
                <w14:textFill>
                  <w14:solidFill>
                    <w14:schemeClr w14:val="tx1"/>
                  </w14:solidFill>
                </w14:textFill>
              </w:rPr>
            </w:pPr>
          </w:p>
        </w:tc>
      </w:tr>
    </w:tbl>
    <w:p w14:paraId="04A7EDAF">
      <w:pPr>
        <w:spacing w:line="360" w:lineRule="auto"/>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注：有获工程奖项的需附相关证明材料。</w:t>
      </w:r>
    </w:p>
    <w:p w14:paraId="3956030E">
      <w:pPr>
        <w:spacing w:line="360" w:lineRule="auto"/>
        <w:ind w:firstLine="420" w:firstLineChars="200"/>
        <w:rPr>
          <w:color w:val="000000" w:themeColor="text1"/>
          <w:highlight w:val="none"/>
          <w14:textFill>
            <w14:solidFill>
              <w14:schemeClr w14:val="tx1"/>
            </w14:solidFill>
          </w14:textFill>
        </w:rPr>
      </w:pPr>
    </w:p>
    <w:p w14:paraId="33BFF792">
      <w:pPr>
        <w:spacing w:line="360" w:lineRule="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响应单位： (盖章)   　法定代表人或授权代理人：(签字) 　 日期：  年 月 日</w:t>
      </w:r>
    </w:p>
    <w:p w14:paraId="66895A74">
      <w:pPr>
        <w:spacing w:line="360" w:lineRule="auto"/>
        <w:rPr>
          <w:color w:val="000000" w:themeColor="text1"/>
          <w:szCs w:val="21"/>
          <w:highlight w:val="none"/>
          <w14:textFill>
            <w14:solidFill>
              <w14:schemeClr w14:val="tx1"/>
            </w14:solidFill>
          </w14:textFill>
        </w:rPr>
      </w:pPr>
    </w:p>
    <w:p w14:paraId="3E5FF9BE">
      <w:pPr>
        <w:spacing w:line="360" w:lineRule="auto"/>
        <w:rPr>
          <w:color w:val="000000" w:themeColor="text1"/>
          <w:szCs w:val="21"/>
          <w:highlight w:val="none"/>
          <w14:textFill>
            <w14:solidFill>
              <w14:schemeClr w14:val="tx1"/>
            </w14:solidFill>
          </w14:textFill>
        </w:rPr>
      </w:pPr>
    </w:p>
    <w:p w14:paraId="04562BCA">
      <w:pPr>
        <w:pStyle w:val="53"/>
        <w:spacing w:before="120"/>
        <w:rPr>
          <w:rStyle w:val="46"/>
          <w:rFonts w:ascii="Times New Roman" w:hAnsi="Times New Roman" w:eastAsia="宋体" w:cs="Times New Roman"/>
          <w:b/>
          <w:bCs/>
          <w:color w:val="000000" w:themeColor="text1"/>
          <w:szCs w:val="24"/>
          <w:highlight w:val="none"/>
          <w14:textFill>
            <w14:solidFill>
              <w14:schemeClr w14:val="tx1"/>
            </w14:solidFill>
          </w14:textFill>
        </w:rPr>
        <w:sectPr>
          <w:pgSz w:w="11907" w:h="16840"/>
          <w:pgMar w:top="1417" w:right="1701" w:bottom="1417" w:left="1701" w:header="850" w:footer="1134" w:gutter="0"/>
          <w:pgNumType w:fmt="decimal"/>
          <w:cols w:space="0" w:num="1"/>
          <w:rtlGutter w:val="0"/>
          <w:docGrid w:linePitch="312" w:charSpace="0"/>
        </w:sectPr>
      </w:pPr>
    </w:p>
    <w:p w14:paraId="384CA6C8">
      <w:pPr>
        <w:pStyle w:val="53"/>
        <w:spacing w:before="120"/>
        <w:rPr>
          <w:rStyle w:val="46"/>
          <w:rFonts w:ascii="Times New Roman" w:hAnsi="Times New Roman" w:eastAsia="宋体" w:cs="Times New Roman"/>
          <w:b/>
          <w:bCs w:val="0"/>
          <w:color w:val="000000" w:themeColor="text1"/>
          <w:szCs w:val="24"/>
          <w:highlight w:val="none"/>
          <w14:textFill>
            <w14:solidFill>
              <w14:schemeClr w14:val="tx1"/>
            </w14:solidFill>
          </w14:textFill>
        </w:rPr>
      </w:pPr>
      <w:r>
        <w:rPr>
          <w:rStyle w:val="46"/>
          <w:rFonts w:ascii="Times New Roman" w:hAnsi="Times New Roman" w:eastAsia="宋体" w:cs="Times New Roman"/>
          <w:b/>
          <w:bCs w:val="0"/>
          <w:color w:val="000000" w:themeColor="text1"/>
          <w:szCs w:val="24"/>
          <w:highlight w:val="none"/>
          <w14:textFill>
            <w14:solidFill>
              <w14:schemeClr w14:val="tx1"/>
            </w14:solidFill>
          </w14:textFill>
        </w:rPr>
        <w:t>格式</w:t>
      </w:r>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1</w:t>
      </w:r>
      <w:r>
        <w:rPr>
          <w:rStyle w:val="46"/>
          <w:rFonts w:ascii="Times New Roman" w:hAnsi="Times New Roman" w:eastAsia="宋体" w:cs="Times New Roman"/>
          <w:b/>
          <w:bCs w:val="0"/>
          <w:color w:val="000000" w:themeColor="text1"/>
          <w:szCs w:val="24"/>
          <w:highlight w:val="none"/>
          <w14:textFill>
            <w14:solidFill>
              <w14:schemeClr w14:val="tx1"/>
            </w14:solidFill>
          </w14:textFill>
        </w:rPr>
        <w:t xml:space="preserve">1  </w:t>
      </w:r>
      <w:r>
        <w:rPr>
          <w:rStyle w:val="46"/>
          <w:rFonts w:hint="eastAsia" w:ascii="Times New Roman" w:hAnsi="Times New Roman" w:eastAsia="宋体" w:cs="Times New Roman"/>
          <w:b/>
          <w:bCs w:val="0"/>
          <w:color w:val="000000" w:themeColor="text1"/>
          <w:szCs w:val="24"/>
          <w:highlight w:val="none"/>
          <w14:textFill>
            <w14:solidFill>
              <w14:schemeClr w14:val="tx1"/>
            </w14:solidFill>
          </w14:textFill>
        </w:rPr>
        <w:t>响应单位的纳税资格的确认</w:t>
      </w:r>
    </w:p>
    <w:p w14:paraId="6FA72956">
      <w:pPr>
        <w:spacing w:line="360" w:lineRule="auto"/>
        <w:jc w:val="center"/>
        <w:rPr>
          <w:color w:val="000000" w:themeColor="text1"/>
          <w:highlight w:val="none"/>
          <w14:textFill>
            <w14:solidFill>
              <w14:schemeClr w14:val="tx1"/>
            </w14:solidFill>
          </w14:textFill>
        </w:rPr>
      </w:pPr>
    </w:p>
    <w:p w14:paraId="7AE9C18C">
      <w:pPr>
        <w:spacing w:line="360" w:lineRule="auto"/>
        <w:jc w:val="center"/>
        <w:rPr>
          <w:b/>
          <w:color w:val="000000" w:themeColor="text1"/>
          <w:sz w:val="28"/>
          <w:szCs w:val="28"/>
          <w:highlight w:val="none"/>
          <w14:textFill>
            <w14:solidFill>
              <w14:schemeClr w14:val="tx1"/>
            </w14:solidFill>
          </w14:textFill>
        </w:rPr>
      </w:pPr>
      <w:r>
        <w:rPr>
          <w:rFonts w:hint="eastAsia"/>
          <w:b/>
          <w:bCs/>
          <w:color w:val="000000" w:themeColor="text1"/>
          <w:sz w:val="28"/>
          <w:szCs w:val="28"/>
          <w:highlight w:val="none"/>
          <w14:textFill>
            <w14:solidFill>
              <w14:schemeClr w14:val="tx1"/>
            </w14:solidFill>
          </w14:textFill>
        </w:rPr>
        <w:t>响应单位的纳税资格的确认</w:t>
      </w:r>
      <w:r>
        <w:rPr>
          <w:b/>
          <w:color w:val="000000" w:themeColor="text1"/>
          <w:sz w:val="28"/>
          <w:szCs w:val="28"/>
          <w:highlight w:val="none"/>
          <w14:textFill>
            <w14:solidFill>
              <w14:schemeClr w14:val="tx1"/>
            </w14:solidFill>
          </w14:textFill>
        </w:rPr>
        <w:t>表</w:t>
      </w:r>
    </w:p>
    <w:p w14:paraId="74B31B0E">
      <w:pPr>
        <w:adjustRightInd w:val="0"/>
        <w:spacing w:line="360" w:lineRule="auto"/>
        <w:rPr>
          <w:color w:val="000000" w:themeColor="text1"/>
          <w:sz w:val="32"/>
          <w:szCs w:val="32"/>
          <w:highlight w:val="none"/>
          <w14:textFill>
            <w14:solidFill>
              <w14:schemeClr w14:val="tx1"/>
            </w14:solidFill>
          </w14:textFill>
        </w:rPr>
      </w:pPr>
      <w:r>
        <w:rPr>
          <w:color w:val="000000" w:themeColor="text1"/>
          <w:sz w:val="24"/>
          <w:highlight w:val="none"/>
          <w14:textFill>
            <w14:solidFill>
              <w14:schemeClr w14:val="tx1"/>
            </w14:solidFill>
          </w14:textFill>
        </w:rPr>
        <w:t>响应单位：</w:t>
      </w:r>
    </w:p>
    <w:tbl>
      <w:tblPr>
        <w:tblStyle w:val="31"/>
        <w:tblW w:w="876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35"/>
        <w:gridCol w:w="2386"/>
        <w:gridCol w:w="2008"/>
        <w:gridCol w:w="1168"/>
        <w:gridCol w:w="959"/>
        <w:gridCol w:w="1309"/>
      </w:tblGrid>
      <w:tr w14:paraId="0FDF05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1621EA64">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序号</w:t>
            </w:r>
          </w:p>
        </w:tc>
        <w:tc>
          <w:tcPr>
            <w:tcW w:w="7830" w:type="dxa"/>
            <w:gridSpan w:val="5"/>
            <w:vAlign w:val="center"/>
          </w:tcPr>
          <w:p w14:paraId="2E29AD03">
            <w:pPr>
              <w:jc w:val="center"/>
              <w:rPr>
                <w:b/>
                <w:color w:val="000000" w:themeColor="text1"/>
                <w:szCs w:val="21"/>
                <w:highlight w:val="none"/>
                <w14:textFill>
                  <w14:solidFill>
                    <w14:schemeClr w14:val="tx1"/>
                  </w14:solidFill>
                </w14:textFill>
              </w:rPr>
            </w:pPr>
            <w:r>
              <w:rPr>
                <w:rFonts w:hint="eastAsia"/>
                <w:b/>
                <w:color w:val="000000" w:themeColor="text1"/>
                <w:szCs w:val="21"/>
                <w:highlight w:val="none"/>
                <w14:textFill>
                  <w14:solidFill>
                    <w14:schemeClr w14:val="tx1"/>
                  </w14:solidFill>
                </w14:textFill>
              </w:rPr>
              <w:t>确认内容</w:t>
            </w:r>
          </w:p>
        </w:tc>
      </w:tr>
      <w:tr w14:paraId="46FC1E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tcBorders>
              <w:top w:val="single" w:color="auto" w:sz="4" w:space="0"/>
            </w:tcBorders>
            <w:vAlign w:val="center"/>
          </w:tcPr>
          <w:p w14:paraId="79EDC49C">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w:t>
            </w:r>
          </w:p>
        </w:tc>
        <w:tc>
          <w:tcPr>
            <w:tcW w:w="2386" w:type="dxa"/>
            <w:vAlign w:val="center"/>
          </w:tcPr>
          <w:p w14:paraId="319C97A6">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响应单位全称</w:t>
            </w:r>
          </w:p>
        </w:tc>
        <w:tc>
          <w:tcPr>
            <w:tcW w:w="5444" w:type="dxa"/>
            <w:gridSpan w:val="4"/>
            <w:vAlign w:val="center"/>
          </w:tcPr>
          <w:p w14:paraId="5F728243">
            <w:pPr>
              <w:jc w:val="center"/>
              <w:rPr>
                <w:rFonts w:hint="eastAsia" w:ascii="宋体" w:hAnsi="宋体"/>
                <w:color w:val="000000" w:themeColor="text1"/>
                <w:kern w:val="0"/>
                <w:szCs w:val="21"/>
                <w:highlight w:val="none"/>
                <w14:textFill>
                  <w14:solidFill>
                    <w14:schemeClr w14:val="tx1"/>
                  </w14:solidFill>
                </w14:textFill>
              </w:rPr>
            </w:pPr>
          </w:p>
        </w:tc>
      </w:tr>
      <w:tr w14:paraId="266E9B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tcBorders>
              <w:top w:val="single" w:color="auto" w:sz="4" w:space="0"/>
            </w:tcBorders>
            <w:vAlign w:val="center"/>
          </w:tcPr>
          <w:p w14:paraId="5132BB7A">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w:t>
            </w:r>
          </w:p>
        </w:tc>
        <w:tc>
          <w:tcPr>
            <w:tcW w:w="2386" w:type="dxa"/>
            <w:vAlign w:val="center"/>
          </w:tcPr>
          <w:p w14:paraId="224F1A3A">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纳税义务人的纳税资格</w:t>
            </w:r>
          </w:p>
        </w:tc>
        <w:tc>
          <w:tcPr>
            <w:tcW w:w="2008" w:type="dxa"/>
            <w:vAlign w:val="center"/>
          </w:tcPr>
          <w:p w14:paraId="4FADF3EB">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一般纳税人（   ）</w:t>
            </w:r>
          </w:p>
        </w:tc>
        <w:tc>
          <w:tcPr>
            <w:tcW w:w="2127" w:type="dxa"/>
            <w:gridSpan w:val="2"/>
            <w:vAlign w:val="center"/>
          </w:tcPr>
          <w:p w14:paraId="5F7357D5">
            <w:pPr>
              <w:jc w:val="center"/>
              <w:rPr>
                <w:color w:val="000000" w:themeColor="text1"/>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小规模纳税人</w:t>
            </w:r>
            <w:r>
              <w:rPr>
                <w:rFonts w:hint="eastAsia" w:ascii="宋体" w:hAnsi="宋体"/>
                <w:color w:val="000000" w:themeColor="text1"/>
                <w:szCs w:val="21"/>
                <w:highlight w:val="none"/>
                <w14:textFill>
                  <w14:solidFill>
                    <w14:schemeClr w14:val="tx1"/>
                  </w14:solidFill>
                </w14:textFill>
              </w:rPr>
              <w:t>（   ）</w:t>
            </w:r>
          </w:p>
        </w:tc>
        <w:tc>
          <w:tcPr>
            <w:tcW w:w="1309" w:type="dxa"/>
            <w:vAlign w:val="center"/>
          </w:tcPr>
          <w:p w14:paraId="66FD81EF">
            <w:pPr>
              <w:jc w:val="center"/>
              <w:rPr>
                <w:color w:val="000000" w:themeColor="text1"/>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其他</w:t>
            </w:r>
            <w:r>
              <w:rPr>
                <w:rFonts w:hint="eastAsia" w:ascii="宋体" w:hAnsi="宋体"/>
                <w:color w:val="000000" w:themeColor="text1"/>
                <w:szCs w:val="21"/>
                <w:highlight w:val="none"/>
                <w14:textFill>
                  <w14:solidFill>
                    <w14:schemeClr w14:val="tx1"/>
                  </w14:solidFill>
                </w14:textFill>
              </w:rPr>
              <w:t>（   ）</w:t>
            </w:r>
          </w:p>
        </w:tc>
      </w:tr>
      <w:tr w14:paraId="6CDD8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7C5C93A3">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w:t>
            </w:r>
          </w:p>
        </w:tc>
        <w:tc>
          <w:tcPr>
            <w:tcW w:w="2386" w:type="dxa"/>
            <w:vAlign w:val="center"/>
          </w:tcPr>
          <w:p w14:paraId="0698D7F1">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响应单位提供的票据</w:t>
            </w:r>
          </w:p>
        </w:tc>
        <w:tc>
          <w:tcPr>
            <w:tcW w:w="3176" w:type="dxa"/>
            <w:gridSpan w:val="2"/>
            <w:vAlign w:val="center"/>
          </w:tcPr>
          <w:p w14:paraId="30A0F89E">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增值税专用发票（   ）</w:t>
            </w:r>
          </w:p>
        </w:tc>
        <w:tc>
          <w:tcPr>
            <w:tcW w:w="2268" w:type="dxa"/>
            <w:gridSpan w:val="2"/>
            <w:vAlign w:val="center"/>
          </w:tcPr>
          <w:p w14:paraId="2A6E847D">
            <w:pPr>
              <w:jc w:val="center"/>
              <w:rPr>
                <w:color w:val="000000" w:themeColor="text1"/>
                <w:szCs w:val="21"/>
                <w:highlight w:val="none"/>
                <w14:textFill>
                  <w14:solidFill>
                    <w14:schemeClr w14:val="tx1"/>
                  </w14:solidFill>
                </w14:textFill>
              </w:rPr>
            </w:pPr>
            <w:r>
              <w:rPr>
                <w:rFonts w:hint="eastAsia" w:ascii="宋体" w:hAnsi="宋体"/>
                <w:color w:val="000000" w:themeColor="text1"/>
                <w:kern w:val="0"/>
                <w:szCs w:val="21"/>
                <w:highlight w:val="none"/>
                <w14:textFill>
                  <w14:solidFill>
                    <w14:schemeClr w14:val="tx1"/>
                  </w14:solidFill>
                </w14:textFill>
              </w:rPr>
              <w:t>增值税普通发票</w:t>
            </w:r>
            <w:r>
              <w:rPr>
                <w:rFonts w:hint="eastAsia" w:ascii="宋体" w:hAnsi="宋体"/>
                <w:color w:val="000000" w:themeColor="text1"/>
                <w:szCs w:val="21"/>
                <w:highlight w:val="none"/>
                <w14:textFill>
                  <w14:solidFill>
                    <w14:schemeClr w14:val="tx1"/>
                  </w14:solidFill>
                </w14:textFill>
              </w:rPr>
              <w:t>（   ）</w:t>
            </w:r>
          </w:p>
        </w:tc>
      </w:tr>
      <w:tr w14:paraId="2490DE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0990F1CE">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w:t>
            </w:r>
          </w:p>
        </w:tc>
        <w:tc>
          <w:tcPr>
            <w:tcW w:w="2386" w:type="dxa"/>
            <w:vAlign w:val="center"/>
          </w:tcPr>
          <w:p w14:paraId="18992768">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本次报价增值税率是</w:t>
            </w:r>
          </w:p>
        </w:tc>
        <w:tc>
          <w:tcPr>
            <w:tcW w:w="5444" w:type="dxa"/>
            <w:gridSpan w:val="4"/>
            <w:vAlign w:val="center"/>
          </w:tcPr>
          <w:p w14:paraId="468983C4">
            <w:pPr>
              <w:jc w:val="center"/>
              <w:rPr>
                <w:color w:val="000000" w:themeColor="text1"/>
                <w:szCs w:val="21"/>
                <w:highlight w:val="non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 xml:space="preserve">        %</w:t>
            </w:r>
          </w:p>
        </w:tc>
      </w:tr>
      <w:tr w14:paraId="6D8927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64C32E0F">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5</w:t>
            </w:r>
          </w:p>
        </w:tc>
        <w:tc>
          <w:tcPr>
            <w:tcW w:w="2386" w:type="dxa"/>
            <w:vAlign w:val="center"/>
          </w:tcPr>
          <w:p w14:paraId="2ECAEADD">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纳税人识别号</w:t>
            </w:r>
          </w:p>
        </w:tc>
        <w:tc>
          <w:tcPr>
            <w:tcW w:w="5444" w:type="dxa"/>
            <w:gridSpan w:val="4"/>
            <w:vAlign w:val="center"/>
          </w:tcPr>
          <w:p w14:paraId="39A0EBF7">
            <w:pPr>
              <w:jc w:val="center"/>
              <w:rPr>
                <w:color w:val="000000" w:themeColor="text1"/>
                <w:szCs w:val="21"/>
                <w:highlight w:val="none"/>
                <w14:textFill>
                  <w14:solidFill>
                    <w14:schemeClr w14:val="tx1"/>
                  </w14:solidFill>
                </w14:textFill>
              </w:rPr>
            </w:pPr>
          </w:p>
        </w:tc>
      </w:tr>
      <w:tr w14:paraId="1D539F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41C662AA">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6</w:t>
            </w:r>
          </w:p>
        </w:tc>
        <w:tc>
          <w:tcPr>
            <w:tcW w:w="2386" w:type="dxa"/>
            <w:vAlign w:val="center"/>
          </w:tcPr>
          <w:p w14:paraId="72C3E7E6">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开户行</w:t>
            </w:r>
          </w:p>
        </w:tc>
        <w:tc>
          <w:tcPr>
            <w:tcW w:w="5444" w:type="dxa"/>
            <w:gridSpan w:val="4"/>
            <w:vAlign w:val="center"/>
          </w:tcPr>
          <w:p w14:paraId="60A46215">
            <w:pPr>
              <w:jc w:val="center"/>
              <w:rPr>
                <w:color w:val="000000" w:themeColor="text1"/>
                <w:szCs w:val="21"/>
                <w:highlight w:val="none"/>
                <w14:textFill>
                  <w14:solidFill>
                    <w14:schemeClr w14:val="tx1"/>
                  </w14:solidFill>
                </w14:textFill>
              </w:rPr>
            </w:pPr>
          </w:p>
        </w:tc>
      </w:tr>
      <w:tr w14:paraId="71972F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2C1957EC">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7</w:t>
            </w:r>
          </w:p>
        </w:tc>
        <w:tc>
          <w:tcPr>
            <w:tcW w:w="2386" w:type="dxa"/>
            <w:vAlign w:val="center"/>
          </w:tcPr>
          <w:p w14:paraId="634EBB58">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账号</w:t>
            </w:r>
          </w:p>
        </w:tc>
        <w:tc>
          <w:tcPr>
            <w:tcW w:w="5444" w:type="dxa"/>
            <w:gridSpan w:val="4"/>
            <w:vAlign w:val="center"/>
          </w:tcPr>
          <w:p w14:paraId="5E760B2A">
            <w:pPr>
              <w:jc w:val="center"/>
              <w:rPr>
                <w:color w:val="000000" w:themeColor="text1"/>
                <w:szCs w:val="21"/>
                <w:highlight w:val="none"/>
                <w14:textFill>
                  <w14:solidFill>
                    <w14:schemeClr w14:val="tx1"/>
                  </w14:solidFill>
                </w14:textFill>
              </w:rPr>
            </w:pPr>
          </w:p>
        </w:tc>
      </w:tr>
      <w:tr w14:paraId="45682C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4FFA119D">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8</w:t>
            </w:r>
          </w:p>
        </w:tc>
        <w:tc>
          <w:tcPr>
            <w:tcW w:w="2386" w:type="dxa"/>
            <w:vAlign w:val="center"/>
          </w:tcPr>
          <w:p w14:paraId="47829178">
            <w:pPr>
              <w:jc w:val="center"/>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地址：</w:t>
            </w:r>
          </w:p>
        </w:tc>
        <w:tc>
          <w:tcPr>
            <w:tcW w:w="5444" w:type="dxa"/>
            <w:gridSpan w:val="4"/>
            <w:vAlign w:val="center"/>
          </w:tcPr>
          <w:p w14:paraId="771395D6">
            <w:pPr>
              <w:jc w:val="center"/>
              <w:rPr>
                <w:color w:val="000000" w:themeColor="text1"/>
                <w:szCs w:val="21"/>
                <w:highlight w:val="none"/>
                <w14:textFill>
                  <w14:solidFill>
                    <w14:schemeClr w14:val="tx1"/>
                  </w14:solidFill>
                </w14:textFill>
              </w:rPr>
            </w:pPr>
          </w:p>
        </w:tc>
      </w:tr>
      <w:tr w14:paraId="07693A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35" w:type="dxa"/>
            <w:vAlign w:val="center"/>
          </w:tcPr>
          <w:p w14:paraId="48800AC8">
            <w:pPr>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9</w:t>
            </w:r>
          </w:p>
        </w:tc>
        <w:tc>
          <w:tcPr>
            <w:tcW w:w="2386" w:type="dxa"/>
            <w:vAlign w:val="center"/>
          </w:tcPr>
          <w:p w14:paraId="732A8427">
            <w:pPr>
              <w:jc w:val="center"/>
              <w:rPr>
                <w:rFonts w:hint="eastAsia"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电话</w:t>
            </w:r>
          </w:p>
        </w:tc>
        <w:tc>
          <w:tcPr>
            <w:tcW w:w="5444" w:type="dxa"/>
            <w:gridSpan w:val="4"/>
            <w:vAlign w:val="center"/>
          </w:tcPr>
          <w:p w14:paraId="411CC2C8">
            <w:pPr>
              <w:jc w:val="center"/>
              <w:rPr>
                <w:color w:val="000000" w:themeColor="text1"/>
                <w:szCs w:val="21"/>
                <w:highlight w:val="none"/>
                <w14:textFill>
                  <w14:solidFill>
                    <w14:schemeClr w14:val="tx1"/>
                  </w14:solidFill>
                </w14:textFill>
              </w:rPr>
            </w:pPr>
          </w:p>
        </w:tc>
      </w:tr>
    </w:tbl>
    <w:p w14:paraId="6B021454">
      <w:pPr>
        <w:spacing w:line="360" w:lineRule="auto"/>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注：需附税务登记证相关证明材料。</w:t>
      </w:r>
    </w:p>
    <w:p w14:paraId="49D2C164">
      <w:pPr>
        <w:spacing w:line="360" w:lineRule="auto"/>
        <w:ind w:firstLine="420" w:firstLineChars="200"/>
        <w:rPr>
          <w:color w:val="000000" w:themeColor="text1"/>
          <w:highlight w:val="none"/>
          <w14:textFill>
            <w14:solidFill>
              <w14:schemeClr w14:val="tx1"/>
            </w14:solidFill>
          </w14:textFill>
        </w:rPr>
      </w:pPr>
    </w:p>
    <w:p w14:paraId="3552024E">
      <w:pPr>
        <w:spacing w:line="360" w:lineRule="auto"/>
        <w:rPr>
          <w:color w:val="000000" w:themeColor="text1"/>
          <w:szCs w:val="21"/>
          <w:highlight w:val="none"/>
          <w14:textFill>
            <w14:solidFill>
              <w14:schemeClr w14:val="tx1"/>
            </w14:solidFill>
          </w14:textFill>
        </w:rPr>
      </w:pPr>
    </w:p>
    <w:p w14:paraId="262F302C">
      <w:pPr>
        <w:spacing w:line="360" w:lineRule="auto"/>
        <w:rPr>
          <w:color w:val="000000" w:themeColor="text1"/>
          <w:szCs w:val="21"/>
          <w:highlight w:val="none"/>
          <w14:textFill>
            <w14:solidFill>
              <w14:schemeClr w14:val="tx1"/>
            </w14:solidFill>
          </w14:textFill>
        </w:rPr>
      </w:pPr>
    </w:p>
    <w:p w14:paraId="7B57C68C">
      <w:pPr>
        <w:spacing w:line="360" w:lineRule="auto"/>
        <w:rPr>
          <w:color w:val="000000" w:themeColor="text1"/>
          <w:highlight w:val="none"/>
          <w14:textFill>
            <w14:solidFill>
              <w14:schemeClr w14:val="tx1"/>
            </w14:solidFill>
          </w14:textFill>
        </w:rPr>
      </w:pPr>
      <w:r>
        <w:rPr>
          <w:color w:val="000000" w:themeColor="text1"/>
          <w:szCs w:val="21"/>
          <w:highlight w:val="none"/>
          <w14:textFill>
            <w14:solidFill>
              <w14:schemeClr w14:val="tx1"/>
            </w14:solidFill>
          </w14:textFill>
        </w:rPr>
        <w:t>响应单位： (盖章)   　法定代表人或授权代理人：(签字) 　 日期：  年 月 日</w:t>
      </w:r>
    </w:p>
    <w:p w14:paraId="7168DC65">
      <w:pPr>
        <w:spacing w:line="360" w:lineRule="auto"/>
        <w:rPr>
          <w:color w:val="000000" w:themeColor="text1"/>
          <w:highlight w:val="none"/>
          <w14:textFill>
            <w14:solidFill>
              <w14:schemeClr w14:val="tx1"/>
            </w14:solidFill>
          </w14:textFill>
        </w:rPr>
      </w:pPr>
    </w:p>
    <w:p w14:paraId="5EDC127D">
      <w:pPr>
        <w:spacing w:line="360" w:lineRule="auto"/>
        <w:rPr>
          <w:color w:val="000000" w:themeColor="text1"/>
          <w:highlight w:val="none"/>
          <w14:textFill>
            <w14:solidFill>
              <w14:schemeClr w14:val="tx1"/>
            </w14:solidFill>
          </w14:textFill>
        </w:rPr>
      </w:pPr>
    </w:p>
    <w:p w14:paraId="3BBE32BB">
      <w:pPr>
        <w:rPr>
          <w:rStyle w:val="46"/>
          <w:rFonts w:ascii="Times New Roman" w:hAnsi="Times New Roman" w:eastAsia="宋体"/>
          <w:b w:val="0"/>
          <w:color w:val="000000" w:themeColor="text1"/>
          <w:sz w:val="28"/>
          <w:szCs w:val="28"/>
          <w:highlight w:val="none"/>
          <w14:textFill>
            <w14:solidFill>
              <w14:schemeClr w14:val="tx1"/>
            </w14:solidFill>
          </w14:textFill>
        </w:rPr>
      </w:pPr>
    </w:p>
    <w:p w14:paraId="0AAD0A4D">
      <w:pPr>
        <w:rPr>
          <w:rStyle w:val="46"/>
          <w:rFonts w:ascii="Times New Roman" w:hAnsi="Times New Roman" w:eastAsia="宋体"/>
          <w:b w:val="0"/>
          <w:color w:val="000000" w:themeColor="text1"/>
          <w:sz w:val="28"/>
          <w:szCs w:val="28"/>
          <w:highlight w:val="none"/>
          <w14:textFill>
            <w14:solidFill>
              <w14:schemeClr w14:val="tx1"/>
            </w14:solidFill>
          </w14:textFill>
        </w:rPr>
      </w:pPr>
    </w:p>
    <w:p w14:paraId="26C5FEBA">
      <w:pPr>
        <w:rPr>
          <w:rStyle w:val="46"/>
          <w:rFonts w:ascii="Times New Roman" w:hAnsi="Times New Roman" w:eastAsia="宋体"/>
          <w:b w:val="0"/>
          <w:color w:val="000000" w:themeColor="text1"/>
          <w:sz w:val="28"/>
          <w:szCs w:val="28"/>
          <w:highlight w:val="none"/>
          <w14:textFill>
            <w14:solidFill>
              <w14:schemeClr w14:val="tx1"/>
            </w14:solidFill>
          </w14:textFill>
        </w:rPr>
        <w:sectPr>
          <w:pgSz w:w="11907" w:h="16840"/>
          <w:pgMar w:top="1417" w:right="1701" w:bottom="1417" w:left="1701" w:header="850" w:footer="1134" w:gutter="0"/>
          <w:pgNumType w:fmt="decimal"/>
          <w:cols w:space="0" w:num="1"/>
          <w:rtlGutter w:val="0"/>
          <w:docGrid w:linePitch="312" w:charSpace="0"/>
        </w:sectPr>
      </w:pPr>
    </w:p>
    <w:p w14:paraId="248F4C92">
      <w:pPr>
        <w:rPr>
          <w:rStyle w:val="46"/>
          <w:rFonts w:ascii="Times New Roman" w:hAnsi="Times New Roman" w:eastAsia="宋体"/>
          <w:b w:val="0"/>
          <w:color w:val="000000" w:themeColor="text1"/>
          <w:sz w:val="28"/>
          <w:szCs w:val="28"/>
          <w:highlight w:val="none"/>
          <w14:textFill>
            <w14:solidFill>
              <w14:schemeClr w14:val="tx1"/>
            </w14:solidFill>
          </w14:textFill>
        </w:rPr>
      </w:pPr>
    </w:p>
    <w:p w14:paraId="28794DE3">
      <w:pPr>
        <w:jc w:val="center"/>
        <w:rPr>
          <w:rFonts w:ascii="宋体"/>
          <w:b/>
          <w:color w:val="000000" w:themeColor="text1"/>
          <w:spacing w:val="20"/>
          <w:sz w:val="32"/>
          <w:szCs w:val="32"/>
          <w:highlight w:val="none"/>
          <w14:textFill>
            <w14:solidFill>
              <w14:schemeClr w14:val="tx1"/>
            </w14:solidFill>
          </w14:textFill>
        </w:rPr>
      </w:pPr>
      <w:r>
        <w:rPr>
          <w:rFonts w:hint="eastAsia" w:ascii="宋体" w:hAnsi="宋体"/>
          <w:b/>
          <w:color w:val="000000" w:themeColor="text1"/>
          <w:spacing w:val="20"/>
          <w:sz w:val="32"/>
          <w:szCs w:val="32"/>
          <w:highlight w:val="none"/>
          <w14:textFill>
            <w14:solidFill>
              <w14:schemeClr w14:val="tx1"/>
            </w14:solidFill>
          </w14:textFill>
        </w:rPr>
        <w:t>公司简介、资质证明、业绩证明等</w:t>
      </w:r>
    </w:p>
    <w:p w14:paraId="50ADD6EE">
      <w:pPr>
        <w:jc w:val="center"/>
        <w:rPr>
          <w:color w:val="000000" w:themeColor="text1"/>
          <w:spacing w:val="20"/>
          <w:sz w:val="28"/>
          <w:szCs w:val="28"/>
          <w:highlight w:val="none"/>
          <w14:textFill>
            <w14:solidFill>
              <w14:schemeClr w14:val="tx1"/>
            </w14:solidFill>
          </w14:textFill>
        </w:rPr>
      </w:pPr>
      <w:r>
        <w:rPr>
          <w:rFonts w:hint="eastAsia"/>
          <w:color w:val="000000" w:themeColor="text1"/>
          <w:spacing w:val="20"/>
          <w:sz w:val="28"/>
          <w:szCs w:val="28"/>
          <w:highlight w:val="none"/>
          <w14:textFill>
            <w14:solidFill>
              <w14:schemeClr w14:val="tx1"/>
            </w14:solidFill>
          </w14:textFill>
        </w:rPr>
        <w:t>（需每页加盖公章）</w:t>
      </w:r>
    </w:p>
    <w:p w14:paraId="2F858682">
      <w:pPr>
        <w:rPr>
          <w:rStyle w:val="46"/>
          <w:rFonts w:ascii="Times New Roman" w:hAnsi="Times New Roman" w:eastAsia="宋体"/>
          <w:b w:val="0"/>
          <w:color w:val="000000" w:themeColor="text1"/>
          <w:sz w:val="28"/>
          <w:szCs w:val="28"/>
          <w:highlight w:val="none"/>
          <w14:textFill>
            <w14:solidFill>
              <w14:schemeClr w14:val="tx1"/>
            </w14:solidFill>
          </w14:textFill>
        </w:rPr>
        <w:sectPr>
          <w:pgSz w:w="11907" w:h="16840"/>
          <w:pgMar w:top="1417" w:right="1701" w:bottom="1417" w:left="1701" w:header="850" w:footer="1134" w:gutter="0"/>
          <w:pgNumType w:fmt="decimal"/>
          <w:cols w:space="0" w:num="1"/>
          <w:rtlGutter w:val="0"/>
          <w:docGrid w:linePitch="312" w:charSpace="0"/>
        </w:sectPr>
      </w:pPr>
    </w:p>
    <w:p w14:paraId="08191DAB">
      <w:pPr>
        <w:pStyle w:val="3"/>
        <w:numPr>
          <w:ilvl w:val="0"/>
          <w:numId w:val="14"/>
        </w:numPr>
        <w:spacing w:before="240" w:beforeLines="100" w:after="120" w:afterLines="50" w:line="360" w:lineRule="auto"/>
        <w:jc w:val="center"/>
        <w:rPr>
          <w:rStyle w:val="46"/>
          <w:rFonts w:ascii="Times New Roman" w:hAnsi="Times New Roman" w:eastAsia="宋体"/>
          <w:b/>
          <w:bCs w:val="0"/>
          <w:color w:val="000000" w:themeColor="text1"/>
          <w:sz w:val="32"/>
          <w:highlight w:val="none"/>
          <w14:textFill>
            <w14:solidFill>
              <w14:schemeClr w14:val="tx1"/>
            </w14:solidFill>
          </w14:textFill>
        </w:rPr>
      </w:pPr>
      <w:r>
        <w:rPr>
          <w:rStyle w:val="46"/>
          <w:rFonts w:hint="eastAsia" w:ascii="Times New Roman" w:hAnsi="Times New Roman" w:eastAsia="宋体"/>
          <w:b/>
          <w:bCs w:val="0"/>
          <w:color w:val="000000" w:themeColor="text1"/>
          <w:sz w:val="32"/>
          <w:highlight w:val="none"/>
          <w14:textFill>
            <w14:solidFill>
              <w14:schemeClr w14:val="tx1"/>
            </w14:solidFill>
          </w14:textFill>
        </w:rPr>
        <w:t>技术</w:t>
      </w:r>
      <w:r>
        <w:rPr>
          <w:rStyle w:val="46"/>
          <w:rFonts w:ascii="Times New Roman" w:hAnsi="Times New Roman" w:eastAsia="宋体"/>
          <w:b/>
          <w:bCs w:val="0"/>
          <w:color w:val="000000" w:themeColor="text1"/>
          <w:sz w:val="32"/>
          <w:highlight w:val="none"/>
          <w14:textFill>
            <w14:solidFill>
              <w14:schemeClr w14:val="tx1"/>
            </w14:solidFill>
          </w14:textFill>
        </w:rPr>
        <w:t>部分</w:t>
      </w:r>
    </w:p>
    <w:p w14:paraId="4693CF1C">
      <w:pPr>
        <w:rPr>
          <w:color w:val="000000" w:themeColor="text1"/>
          <w:highlight w:val="none"/>
          <w14:textFill>
            <w14:solidFill>
              <w14:schemeClr w14:val="tx1"/>
            </w14:solidFill>
          </w14:textFill>
        </w:rPr>
      </w:pPr>
    </w:p>
    <w:p w14:paraId="2F7D4289">
      <w:pPr>
        <w:pStyle w:val="3"/>
        <w:spacing w:before="240" w:beforeLines="100" w:after="120" w:afterLines="50" w:line="360" w:lineRule="auto"/>
        <w:rPr>
          <w:rStyle w:val="46"/>
          <w:rFonts w:ascii="Times New Roman" w:hAnsi="Times New Roman" w:eastAsia="宋体"/>
          <w:b/>
          <w:bCs w:val="0"/>
          <w:color w:val="000000" w:themeColor="text1"/>
          <w:sz w:val="28"/>
          <w:szCs w:val="28"/>
          <w:highlight w:val="none"/>
          <w14:textFill>
            <w14:solidFill>
              <w14:schemeClr w14:val="tx1"/>
            </w14:solidFill>
          </w14:textFill>
        </w:rPr>
      </w:pPr>
      <w:r>
        <w:rPr>
          <w:rStyle w:val="46"/>
          <w:rFonts w:hint="eastAsia" w:ascii="Times New Roman" w:hAnsi="Times New Roman" w:eastAsia="宋体"/>
          <w:b/>
          <w:bCs w:val="0"/>
          <w:color w:val="000000" w:themeColor="text1"/>
          <w:sz w:val="28"/>
          <w:szCs w:val="28"/>
          <w:highlight w:val="none"/>
          <w14:textFill>
            <w14:solidFill>
              <w14:schemeClr w14:val="tx1"/>
            </w14:solidFill>
          </w14:textFill>
        </w:rPr>
        <w:t>技术方案</w:t>
      </w:r>
      <w:r>
        <w:rPr>
          <w:rStyle w:val="46"/>
          <w:rFonts w:ascii="Times New Roman" w:hAnsi="Times New Roman" w:eastAsia="宋体"/>
          <w:b/>
          <w:bCs w:val="0"/>
          <w:color w:val="000000" w:themeColor="text1"/>
          <w:sz w:val="28"/>
          <w:szCs w:val="28"/>
          <w:highlight w:val="none"/>
          <w14:textFill>
            <w14:solidFill>
              <w14:schemeClr w14:val="tx1"/>
            </w14:solidFill>
          </w14:textFill>
        </w:rPr>
        <w:t>格式</w:t>
      </w:r>
    </w:p>
    <w:p w14:paraId="736E41AE">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技术部分文件按照采购文件第二篇“响应单位须知”第三章“响应文件”15.4所列内容编制，格式可参照如下：</w:t>
      </w:r>
    </w:p>
    <w:p w14:paraId="67DAAE17">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1.工程概述：主要对拟投施工</w:t>
      </w:r>
      <w:r>
        <w:rPr>
          <w:rFonts w:hint="eastAsia" w:ascii="宋体" w:hAnsi="宋体"/>
          <w:color w:val="000000" w:themeColor="text1"/>
          <w:sz w:val="24"/>
          <w:highlight w:val="none"/>
          <w14:textFill>
            <w14:solidFill>
              <w14:schemeClr w14:val="tx1"/>
            </w14:solidFill>
          </w14:textFill>
        </w:rPr>
        <w:t>段落</w:t>
      </w:r>
      <w:r>
        <w:rPr>
          <w:rFonts w:ascii="宋体" w:hAnsi="宋体"/>
          <w:color w:val="000000" w:themeColor="text1"/>
          <w:sz w:val="24"/>
          <w:highlight w:val="none"/>
          <w14:textFill>
            <w14:solidFill>
              <w14:schemeClr w14:val="tx1"/>
            </w14:solidFill>
          </w14:textFill>
        </w:rPr>
        <w:t>的工程总体概况进行简单描述。</w:t>
      </w:r>
    </w:p>
    <w:p w14:paraId="4B558830">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施工</w:t>
      </w:r>
      <w:r>
        <w:rPr>
          <w:rFonts w:ascii="宋体" w:hAnsi="宋体"/>
          <w:color w:val="000000" w:themeColor="text1"/>
          <w:sz w:val="24"/>
          <w:highlight w:val="none"/>
          <w14:textFill>
            <w14:solidFill>
              <w14:schemeClr w14:val="tx1"/>
            </w14:solidFill>
          </w14:textFill>
        </w:rPr>
        <w:t>范围</w:t>
      </w: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依据</w:t>
      </w:r>
      <w:r>
        <w:rPr>
          <w:rFonts w:hint="eastAsia" w:ascii="宋体" w:hAnsi="宋体"/>
          <w:color w:val="000000" w:themeColor="text1"/>
          <w:sz w:val="24"/>
          <w:highlight w:val="none"/>
          <w14:textFill>
            <w14:solidFill>
              <w14:schemeClr w14:val="tx1"/>
            </w14:solidFill>
          </w14:textFill>
        </w:rPr>
        <w:t>施工</w:t>
      </w:r>
      <w:r>
        <w:rPr>
          <w:rFonts w:ascii="宋体" w:hAnsi="宋体"/>
          <w:color w:val="000000" w:themeColor="text1"/>
          <w:sz w:val="24"/>
          <w:highlight w:val="none"/>
          <w14:textFill>
            <w14:solidFill>
              <w14:schemeClr w14:val="tx1"/>
            </w14:solidFill>
          </w14:textFill>
        </w:rPr>
        <w:t>合同中</w:t>
      </w:r>
      <w:r>
        <w:rPr>
          <w:rFonts w:hint="eastAsia" w:ascii="宋体" w:hAnsi="宋体"/>
          <w:color w:val="000000" w:themeColor="text1"/>
          <w:sz w:val="24"/>
          <w:highlight w:val="none"/>
          <w14:textFill>
            <w14:solidFill>
              <w14:schemeClr w14:val="tx1"/>
            </w14:solidFill>
          </w14:textFill>
        </w:rPr>
        <w:t>约</w:t>
      </w:r>
      <w:r>
        <w:rPr>
          <w:rFonts w:ascii="宋体" w:hAnsi="宋体"/>
          <w:color w:val="000000" w:themeColor="text1"/>
          <w:sz w:val="24"/>
          <w:highlight w:val="none"/>
          <w14:textFill>
            <w14:solidFill>
              <w14:schemeClr w14:val="tx1"/>
            </w14:solidFill>
          </w14:textFill>
        </w:rPr>
        <w:t>定的</w:t>
      </w:r>
      <w:r>
        <w:rPr>
          <w:rFonts w:hint="eastAsia" w:ascii="宋体" w:hAnsi="宋体"/>
          <w:color w:val="000000" w:themeColor="text1"/>
          <w:sz w:val="24"/>
          <w:highlight w:val="none"/>
          <w14:textFill>
            <w14:solidFill>
              <w14:schemeClr w14:val="tx1"/>
            </w14:solidFill>
          </w14:textFill>
        </w:rPr>
        <w:t>施工范围</w:t>
      </w:r>
      <w:r>
        <w:rPr>
          <w:rFonts w:ascii="宋体" w:hAnsi="宋体"/>
          <w:color w:val="000000" w:themeColor="text1"/>
          <w:sz w:val="24"/>
          <w:highlight w:val="none"/>
          <w14:textFill>
            <w14:solidFill>
              <w14:schemeClr w14:val="tx1"/>
            </w14:solidFill>
          </w14:textFill>
        </w:rPr>
        <w:t>范围，对拟投施工</w:t>
      </w:r>
      <w:r>
        <w:rPr>
          <w:rFonts w:hint="eastAsia" w:ascii="宋体" w:hAnsi="宋体"/>
          <w:color w:val="000000" w:themeColor="text1"/>
          <w:sz w:val="24"/>
          <w:highlight w:val="none"/>
          <w14:textFill>
            <w14:solidFill>
              <w14:schemeClr w14:val="tx1"/>
            </w14:solidFill>
          </w14:textFill>
        </w:rPr>
        <w:t>段落</w:t>
      </w:r>
      <w:r>
        <w:rPr>
          <w:rFonts w:ascii="宋体" w:hAnsi="宋体"/>
          <w:color w:val="000000" w:themeColor="text1"/>
          <w:sz w:val="24"/>
          <w:highlight w:val="none"/>
          <w14:textFill>
            <w14:solidFill>
              <w14:schemeClr w14:val="tx1"/>
            </w14:solidFill>
          </w14:textFill>
        </w:rPr>
        <w:t>的</w:t>
      </w:r>
      <w:r>
        <w:rPr>
          <w:rFonts w:hint="eastAsia" w:ascii="宋体" w:hAnsi="宋体"/>
          <w:color w:val="000000" w:themeColor="text1"/>
          <w:sz w:val="24"/>
          <w:highlight w:val="none"/>
          <w14:textFill>
            <w14:solidFill>
              <w14:schemeClr w14:val="tx1"/>
            </w14:solidFill>
          </w14:textFill>
        </w:rPr>
        <w:t>施工准备阶段、施工阶段、交工阶段工作</w:t>
      </w:r>
      <w:r>
        <w:rPr>
          <w:rFonts w:ascii="宋体" w:hAnsi="宋体"/>
          <w:color w:val="000000" w:themeColor="text1"/>
          <w:sz w:val="24"/>
          <w:highlight w:val="none"/>
          <w14:textFill>
            <w14:solidFill>
              <w14:schemeClr w14:val="tx1"/>
            </w14:solidFill>
          </w14:textFill>
        </w:rPr>
        <w:t>安排、主要人员的岗位职责进行必要的阐述。</w:t>
      </w:r>
    </w:p>
    <w:p w14:paraId="2B567F7E">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3.现场组织机构设置与人员安排：通过框图形式，明确拟投</w:t>
      </w:r>
      <w:r>
        <w:rPr>
          <w:rFonts w:hint="eastAsia" w:ascii="宋体" w:hAnsi="宋体"/>
          <w:color w:val="000000" w:themeColor="text1"/>
          <w:sz w:val="24"/>
          <w:highlight w:val="none"/>
          <w14:textFill>
            <w14:solidFill>
              <w14:schemeClr w14:val="tx1"/>
            </w14:solidFill>
          </w14:textFill>
        </w:rPr>
        <w:t>施工段落</w:t>
      </w:r>
      <w:r>
        <w:rPr>
          <w:rFonts w:ascii="宋体" w:hAnsi="宋体"/>
          <w:color w:val="000000" w:themeColor="text1"/>
          <w:sz w:val="24"/>
          <w:highlight w:val="none"/>
          <w14:textFill>
            <w14:solidFill>
              <w14:schemeClr w14:val="tx1"/>
            </w14:solidFill>
          </w14:textFill>
        </w:rPr>
        <w:t>的组织机构设置。</w:t>
      </w:r>
    </w:p>
    <w:p w14:paraId="3065C763">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施工</w:t>
      </w:r>
      <w:r>
        <w:rPr>
          <w:rFonts w:ascii="宋体" w:hAnsi="宋体"/>
          <w:color w:val="000000" w:themeColor="text1"/>
          <w:sz w:val="24"/>
          <w:highlight w:val="none"/>
          <w14:textFill>
            <w14:solidFill>
              <w14:schemeClr w14:val="tx1"/>
            </w14:solidFill>
          </w14:textFill>
        </w:rPr>
        <w:t>设备和设施的配备：</w:t>
      </w:r>
      <w:r>
        <w:rPr>
          <w:rFonts w:hint="eastAsia" w:ascii="宋体" w:hAnsi="宋体"/>
          <w:color w:val="000000" w:themeColor="text1"/>
          <w:sz w:val="24"/>
          <w:highlight w:val="none"/>
          <w14:textFill>
            <w14:solidFill>
              <w14:schemeClr w14:val="tx1"/>
            </w14:solidFill>
          </w14:textFill>
        </w:rPr>
        <w:t>响应单位</w:t>
      </w:r>
      <w:r>
        <w:rPr>
          <w:rFonts w:ascii="宋体" w:hAnsi="宋体"/>
          <w:color w:val="000000" w:themeColor="text1"/>
          <w:sz w:val="24"/>
          <w:highlight w:val="none"/>
          <w14:textFill>
            <w14:solidFill>
              <w14:schemeClr w14:val="tx1"/>
            </w14:solidFill>
          </w14:textFill>
        </w:rPr>
        <w:t>根据拟投</w:t>
      </w:r>
      <w:r>
        <w:rPr>
          <w:rFonts w:hint="eastAsia" w:ascii="宋体" w:hAnsi="宋体"/>
          <w:color w:val="000000" w:themeColor="text1"/>
          <w:sz w:val="24"/>
          <w:highlight w:val="none"/>
          <w14:textFill>
            <w14:solidFill>
              <w14:schemeClr w14:val="tx1"/>
            </w14:solidFill>
          </w14:textFill>
        </w:rPr>
        <w:t>施工</w:t>
      </w:r>
      <w:r>
        <w:rPr>
          <w:rFonts w:ascii="宋体" w:hAnsi="宋体"/>
          <w:color w:val="000000" w:themeColor="text1"/>
          <w:sz w:val="24"/>
          <w:highlight w:val="none"/>
          <w14:textFill>
            <w14:solidFill>
              <w14:schemeClr w14:val="tx1"/>
            </w14:solidFill>
          </w14:textFill>
        </w:rPr>
        <w:t>段落的现场工作需要，对其拟投入本</w:t>
      </w:r>
      <w:r>
        <w:rPr>
          <w:rFonts w:hint="eastAsia" w:ascii="宋体" w:hAnsi="宋体"/>
          <w:color w:val="000000" w:themeColor="text1"/>
          <w:sz w:val="24"/>
          <w:highlight w:val="none"/>
          <w14:textFill>
            <w14:solidFill>
              <w14:schemeClr w14:val="tx1"/>
            </w14:solidFill>
          </w14:textFill>
        </w:rPr>
        <w:t>工程</w:t>
      </w:r>
      <w:r>
        <w:rPr>
          <w:rFonts w:ascii="宋体" w:hAnsi="宋体"/>
          <w:color w:val="000000" w:themeColor="text1"/>
          <w:sz w:val="24"/>
          <w:highlight w:val="none"/>
          <w14:textFill>
            <w14:solidFill>
              <w14:schemeClr w14:val="tx1"/>
            </w14:solidFill>
          </w14:textFill>
        </w:rPr>
        <w:t>的设备和设施的配备等情况做简要介绍</w:t>
      </w: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w:t>
      </w:r>
    </w:p>
    <w:p w14:paraId="4B9EE6CC">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5.</w:t>
      </w:r>
      <w:r>
        <w:rPr>
          <w:rFonts w:hint="eastAsia" w:ascii="宋体" w:hAnsi="宋体"/>
          <w:color w:val="000000" w:themeColor="text1"/>
          <w:sz w:val="24"/>
          <w:highlight w:val="none"/>
          <w14:textFill>
            <w14:solidFill>
              <w14:schemeClr w14:val="tx1"/>
            </w14:solidFill>
          </w14:textFill>
        </w:rPr>
        <w:t>施工</w:t>
      </w:r>
      <w:r>
        <w:rPr>
          <w:rFonts w:ascii="宋体" w:hAnsi="宋体"/>
          <w:color w:val="000000" w:themeColor="text1"/>
          <w:sz w:val="24"/>
          <w:highlight w:val="none"/>
          <w14:textFill>
            <w14:solidFill>
              <w14:schemeClr w14:val="tx1"/>
            </w14:solidFill>
          </w14:textFill>
        </w:rPr>
        <w:t>组织设计：结合</w:t>
      </w:r>
      <w:r>
        <w:rPr>
          <w:rFonts w:hint="eastAsia" w:ascii="宋体" w:hAnsi="宋体"/>
          <w:color w:val="000000" w:themeColor="text1"/>
          <w:sz w:val="24"/>
          <w:highlight w:val="none"/>
          <w14:textFill>
            <w14:solidFill>
              <w14:schemeClr w14:val="tx1"/>
            </w14:solidFill>
          </w14:textFill>
        </w:rPr>
        <w:t>施工</w:t>
      </w:r>
      <w:r>
        <w:rPr>
          <w:rFonts w:ascii="宋体" w:hAnsi="宋体"/>
          <w:color w:val="000000" w:themeColor="text1"/>
          <w:sz w:val="24"/>
          <w:highlight w:val="none"/>
          <w14:textFill>
            <w14:solidFill>
              <w14:schemeClr w14:val="tx1"/>
            </w14:solidFill>
          </w14:textFill>
        </w:rPr>
        <w:t>段落，对专项施工方案</w:t>
      </w:r>
      <w:r>
        <w:rPr>
          <w:rFonts w:hint="eastAsia" w:ascii="宋体" w:hAnsi="宋体"/>
          <w:color w:val="000000" w:themeColor="text1"/>
          <w:sz w:val="24"/>
          <w:highlight w:val="none"/>
          <w14:textFill>
            <w14:solidFill>
              <w14:schemeClr w14:val="tx1"/>
            </w14:solidFill>
          </w14:textFill>
        </w:rPr>
        <w:t>、施工布置、组织安排、</w:t>
      </w:r>
      <w:r>
        <w:rPr>
          <w:rFonts w:ascii="宋体" w:hAnsi="宋体"/>
          <w:color w:val="000000" w:themeColor="text1"/>
          <w:sz w:val="24"/>
          <w:highlight w:val="none"/>
          <w14:textFill>
            <w14:solidFill>
              <w14:schemeClr w14:val="tx1"/>
            </w14:solidFill>
          </w14:textFill>
        </w:rPr>
        <w:t>工程质量控制、进度控制、</w:t>
      </w:r>
      <w:r>
        <w:rPr>
          <w:rFonts w:hint="eastAsia" w:ascii="宋体" w:hAnsi="宋体"/>
          <w:color w:val="000000" w:themeColor="text1"/>
          <w:sz w:val="24"/>
          <w:highlight w:val="none"/>
          <w14:textFill>
            <w14:solidFill>
              <w14:schemeClr w14:val="tx1"/>
            </w14:solidFill>
          </w14:textFill>
        </w:rPr>
        <w:t>施工</w:t>
      </w:r>
      <w:r>
        <w:rPr>
          <w:rFonts w:ascii="宋体" w:hAnsi="宋体"/>
          <w:color w:val="000000" w:themeColor="text1"/>
          <w:sz w:val="24"/>
          <w:highlight w:val="none"/>
          <w14:textFill>
            <w14:solidFill>
              <w14:schemeClr w14:val="tx1"/>
            </w14:solidFill>
          </w14:textFill>
        </w:rPr>
        <w:t>安全控制、</w:t>
      </w:r>
      <w:r>
        <w:rPr>
          <w:rFonts w:hint="eastAsia" w:ascii="宋体" w:hAnsi="宋体"/>
          <w:color w:val="000000" w:themeColor="text1"/>
          <w:sz w:val="24"/>
          <w:highlight w:val="none"/>
          <w14:textFill>
            <w14:solidFill>
              <w14:schemeClr w14:val="tx1"/>
            </w14:solidFill>
          </w14:textFill>
        </w:rPr>
        <w:t>施工环境保护、费用</w:t>
      </w:r>
      <w:r>
        <w:rPr>
          <w:rFonts w:ascii="宋体" w:hAnsi="宋体"/>
          <w:color w:val="000000" w:themeColor="text1"/>
          <w:sz w:val="24"/>
          <w:highlight w:val="none"/>
          <w14:textFill>
            <w14:solidFill>
              <w14:schemeClr w14:val="tx1"/>
            </w14:solidFill>
          </w14:textFill>
        </w:rPr>
        <w:t>控制、</w:t>
      </w:r>
      <w:r>
        <w:rPr>
          <w:rFonts w:hint="eastAsia" w:ascii="宋体" w:hAnsi="宋体"/>
          <w:color w:val="000000" w:themeColor="text1"/>
          <w:sz w:val="24"/>
          <w:highlight w:val="none"/>
          <w14:textFill>
            <w14:solidFill>
              <w14:schemeClr w14:val="tx1"/>
            </w14:solidFill>
          </w14:textFill>
        </w:rPr>
        <w:t>合同及其他事项</w:t>
      </w:r>
      <w:r>
        <w:rPr>
          <w:rFonts w:ascii="宋体" w:hAnsi="宋体"/>
          <w:color w:val="000000" w:themeColor="text1"/>
          <w:sz w:val="24"/>
          <w:highlight w:val="none"/>
          <w14:textFill>
            <w14:solidFill>
              <w14:schemeClr w14:val="tx1"/>
            </w14:solidFill>
          </w14:textFill>
        </w:rPr>
        <w:t>管理</w:t>
      </w:r>
      <w:r>
        <w:rPr>
          <w:rFonts w:hint="eastAsia" w:ascii="宋体" w:hAnsi="宋体"/>
          <w:color w:val="000000" w:themeColor="text1"/>
          <w:sz w:val="24"/>
          <w:highlight w:val="none"/>
          <w14:textFill>
            <w14:solidFill>
              <w14:schemeClr w14:val="tx1"/>
            </w14:solidFill>
          </w14:textFill>
        </w:rPr>
        <w:t>、文件资料管理</w:t>
      </w:r>
      <w:r>
        <w:rPr>
          <w:rFonts w:ascii="宋体" w:hAnsi="宋体"/>
          <w:color w:val="000000" w:themeColor="text1"/>
          <w:sz w:val="24"/>
          <w:highlight w:val="none"/>
          <w14:textFill>
            <w14:solidFill>
              <w14:schemeClr w14:val="tx1"/>
            </w14:solidFill>
          </w14:textFill>
        </w:rPr>
        <w:t>等方面进行</w:t>
      </w:r>
      <w:r>
        <w:rPr>
          <w:rFonts w:hint="eastAsia" w:ascii="宋体" w:hAnsi="宋体"/>
          <w:color w:val="000000" w:themeColor="text1"/>
          <w:sz w:val="24"/>
          <w:highlight w:val="none"/>
          <w14:textFill>
            <w14:solidFill>
              <w14:schemeClr w14:val="tx1"/>
            </w14:solidFill>
          </w14:textFill>
        </w:rPr>
        <w:t>简要</w:t>
      </w:r>
      <w:r>
        <w:rPr>
          <w:rFonts w:ascii="宋体" w:hAnsi="宋体"/>
          <w:color w:val="000000" w:themeColor="text1"/>
          <w:sz w:val="24"/>
          <w:highlight w:val="none"/>
          <w14:textFill>
            <w14:solidFill>
              <w14:schemeClr w14:val="tx1"/>
            </w14:solidFill>
          </w14:textFill>
        </w:rPr>
        <w:t>阐述。</w:t>
      </w:r>
    </w:p>
    <w:p w14:paraId="2A09050A">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w:t>
      </w:r>
      <w:r>
        <w:rPr>
          <w:rFonts w:ascii="宋体" w:hAnsi="宋体"/>
          <w:color w:val="000000" w:themeColor="text1"/>
          <w:sz w:val="24"/>
          <w:highlight w:val="none"/>
          <w14:textFill>
            <w14:solidFill>
              <w14:schemeClr w14:val="tx1"/>
            </w14:solidFill>
          </w14:textFill>
        </w:rPr>
        <w:t>.本工程</w:t>
      </w:r>
      <w:r>
        <w:rPr>
          <w:rFonts w:hint="eastAsia" w:ascii="宋体" w:hAnsi="宋体"/>
          <w:color w:val="000000" w:themeColor="text1"/>
          <w:sz w:val="24"/>
          <w:highlight w:val="none"/>
          <w14:textFill>
            <w14:solidFill>
              <w14:schemeClr w14:val="tx1"/>
            </w14:solidFill>
          </w14:textFill>
        </w:rPr>
        <w:t>施工</w:t>
      </w:r>
      <w:r>
        <w:rPr>
          <w:rFonts w:ascii="宋体" w:hAnsi="宋体"/>
          <w:color w:val="000000" w:themeColor="text1"/>
          <w:sz w:val="24"/>
          <w:highlight w:val="none"/>
          <w14:textFill>
            <w14:solidFill>
              <w14:schemeClr w14:val="tx1"/>
            </w14:solidFill>
          </w14:textFill>
        </w:rPr>
        <w:t>的重点与难点分析：根据采购文件及现场考察，对本</w:t>
      </w:r>
      <w:r>
        <w:rPr>
          <w:rFonts w:hint="eastAsia" w:ascii="宋体" w:hAnsi="宋体"/>
          <w:color w:val="000000" w:themeColor="text1"/>
          <w:sz w:val="24"/>
          <w:highlight w:val="none"/>
          <w14:textFill>
            <w14:solidFill>
              <w14:schemeClr w14:val="tx1"/>
            </w14:solidFill>
          </w14:textFill>
        </w:rPr>
        <w:t>工程施工</w:t>
      </w:r>
      <w:r>
        <w:rPr>
          <w:rFonts w:ascii="宋体" w:hAnsi="宋体"/>
          <w:color w:val="000000" w:themeColor="text1"/>
          <w:sz w:val="24"/>
          <w:highlight w:val="none"/>
          <w14:textFill>
            <w14:solidFill>
              <w14:schemeClr w14:val="tx1"/>
            </w14:solidFill>
          </w14:textFill>
        </w:rPr>
        <w:t>需要特别给予重视的问题逐一论述并给出解决方法。</w:t>
      </w:r>
    </w:p>
    <w:p w14:paraId="37131DCF">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对本工程</w:t>
      </w:r>
      <w:r>
        <w:rPr>
          <w:rFonts w:ascii="宋体" w:hAnsi="宋体"/>
          <w:color w:val="000000" w:themeColor="text1"/>
          <w:sz w:val="24"/>
          <w:highlight w:val="none"/>
          <w14:textFill>
            <w14:solidFill>
              <w14:schemeClr w14:val="tx1"/>
            </w14:solidFill>
          </w14:textFill>
        </w:rPr>
        <w:t>建议：为更好地完成本</w:t>
      </w:r>
      <w:r>
        <w:rPr>
          <w:rFonts w:hint="eastAsia" w:ascii="宋体" w:hAnsi="宋体"/>
          <w:color w:val="000000" w:themeColor="text1"/>
          <w:sz w:val="24"/>
          <w:highlight w:val="none"/>
          <w14:textFill>
            <w14:solidFill>
              <w14:schemeClr w14:val="tx1"/>
            </w14:solidFill>
          </w14:textFill>
        </w:rPr>
        <w:t>工程</w:t>
      </w:r>
      <w:r>
        <w:rPr>
          <w:rFonts w:ascii="宋体" w:hAnsi="宋体"/>
          <w:color w:val="000000" w:themeColor="text1"/>
          <w:sz w:val="24"/>
          <w:highlight w:val="none"/>
          <w14:textFill>
            <w14:solidFill>
              <w14:schemeClr w14:val="tx1"/>
            </w14:solidFill>
          </w14:textFill>
        </w:rPr>
        <w:t>的</w:t>
      </w:r>
      <w:r>
        <w:rPr>
          <w:rFonts w:hint="eastAsia" w:ascii="宋体" w:hAnsi="宋体"/>
          <w:color w:val="000000" w:themeColor="text1"/>
          <w:sz w:val="24"/>
          <w:highlight w:val="none"/>
          <w14:textFill>
            <w14:solidFill>
              <w14:schemeClr w14:val="tx1"/>
            </w14:solidFill>
          </w14:textFill>
        </w:rPr>
        <w:t>施工</w:t>
      </w:r>
      <w:r>
        <w:rPr>
          <w:rFonts w:ascii="宋体" w:hAnsi="宋体"/>
          <w:color w:val="000000" w:themeColor="text1"/>
          <w:sz w:val="24"/>
          <w:highlight w:val="none"/>
          <w14:textFill>
            <w14:solidFill>
              <w14:schemeClr w14:val="tx1"/>
            </w14:solidFill>
          </w14:textFill>
        </w:rPr>
        <w:t>，</w:t>
      </w:r>
      <w:r>
        <w:rPr>
          <w:rFonts w:hint="eastAsia" w:ascii="宋体" w:hAnsi="宋体"/>
          <w:color w:val="000000" w:themeColor="text1"/>
          <w:sz w:val="24"/>
          <w:highlight w:val="none"/>
          <w14:textFill>
            <w14:solidFill>
              <w14:schemeClr w14:val="tx1"/>
            </w14:solidFill>
          </w14:textFill>
        </w:rPr>
        <w:t>响应单位</w:t>
      </w:r>
      <w:r>
        <w:rPr>
          <w:rFonts w:ascii="宋体" w:hAnsi="宋体"/>
          <w:color w:val="000000" w:themeColor="text1"/>
          <w:sz w:val="24"/>
          <w:highlight w:val="none"/>
          <w14:textFill>
            <w14:solidFill>
              <w14:schemeClr w14:val="tx1"/>
            </w14:solidFill>
          </w14:textFill>
        </w:rPr>
        <w:t>可根据以往的经验，对本</w:t>
      </w:r>
      <w:r>
        <w:rPr>
          <w:rFonts w:hint="eastAsia" w:ascii="宋体" w:hAnsi="宋体"/>
          <w:color w:val="000000" w:themeColor="text1"/>
          <w:sz w:val="24"/>
          <w:highlight w:val="none"/>
          <w14:textFill>
            <w14:solidFill>
              <w14:schemeClr w14:val="tx1"/>
            </w14:solidFill>
          </w14:textFill>
        </w:rPr>
        <w:t>工程施工</w:t>
      </w:r>
      <w:r>
        <w:rPr>
          <w:rFonts w:ascii="宋体" w:hAnsi="宋体"/>
          <w:color w:val="000000" w:themeColor="text1"/>
          <w:sz w:val="24"/>
          <w:highlight w:val="none"/>
          <w14:textFill>
            <w14:solidFill>
              <w14:schemeClr w14:val="tx1"/>
            </w14:solidFill>
          </w14:textFill>
        </w:rPr>
        <w:t>工作提出建议。</w:t>
      </w:r>
    </w:p>
    <w:p w14:paraId="736B6B7B">
      <w:pPr>
        <w:spacing w:line="360" w:lineRule="auto"/>
        <w:ind w:firstLine="480" w:firstLineChars="200"/>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8.其他响应单位认为需要说明的事项。</w:t>
      </w:r>
    </w:p>
    <w:p w14:paraId="7B07535A">
      <w:pPr>
        <w:spacing w:line="360" w:lineRule="auto"/>
        <w:rPr>
          <w:color w:val="000000" w:themeColor="text1"/>
          <w:highlight w:val="none"/>
          <w14:textFill>
            <w14:solidFill>
              <w14:schemeClr w14:val="tx1"/>
            </w14:solidFill>
          </w14:textFill>
        </w:rPr>
      </w:pPr>
    </w:p>
    <w:p w14:paraId="6315A5B2">
      <w:pPr>
        <w:spacing w:line="360" w:lineRule="auto"/>
        <w:rPr>
          <w:color w:val="000000" w:themeColor="text1"/>
          <w:highlight w:val="none"/>
          <w14:textFill>
            <w14:solidFill>
              <w14:schemeClr w14:val="tx1"/>
            </w14:solidFill>
          </w14:textFill>
        </w:rPr>
      </w:pPr>
    </w:p>
    <w:p w14:paraId="32573A71">
      <w:pPr>
        <w:jc w:val="center"/>
        <w:rPr>
          <w:rFonts w:hint="eastAsia" w:ascii="宋体" w:hAnsi="宋体"/>
          <w:b/>
          <w:color w:val="000000" w:themeColor="text1"/>
          <w:spacing w:val="20"/>
          <w:sz w:val="32"/>
          <w:szCs w:val="32"/>
          <w:highlight w:val="none"/>
          <w14:textFill>
            <w14:solidFill>
              <w14:schemeClr w14:val="tx1"/>
            </w14:solidFill>
          </w14:textFill>
        </w:rPr>
        <w:sectPr>
          <w:pgSz w:w="11907" w:h="16840"/>
          <w:pgMar w:top="1417" w:right="1701" w:bottom="1417" w:left="1701" w:header="850" w:footer="1134" w:gutter="0"/>
          <w:pgNumType w:fmt="decimal"/>
          <w:cols w:space="0" w:num="1"/>
          <w:rtlGutter w:val="0"/>
          <w:docGrid w:linePitch="312" w:charSpace="0"/>
        </w:sectPr>
      </w:pPr>
    </w:p>
    <w:p w14:paraId="3909D7B5">
      <w:pPr>
        <w:jc w:val="center"/>
        <w:rPr>
          <w:rFonts w:ascii="宋体"/>
          <w:b/>
          <w:color w:val="000000" w:themeColor="text1"/>
          <w:spacing w:val="20"/>
          <w:sz w:val="32"/>
          <w:szCs w:val="32"/>
          <w:highlight w:val="none"/>
          <w14:textFill>
            <w14:solidFill>
              <w14:schemeClr w14:val="tx1"/>
            </w14:solidFill>
          </w14:textFill>
        </w:rPr>
      </w:pPr>
      <w:r>
        <w:rPr>
          <w:rFonts w:hint="eastAsia" w:ascii="宋体" w:hAnsi="宋体"/>
          <w:b/>
          <w:color w:val="000000" w:themeColor="text1"/>
          <w:spacing w:val="20"/>
          <w:sz w:val="32"/>
          <w:szCs w:val="32"/>
          <w:highlight w:val="none"/>
          <w14:textFill>
            <w14:solidFill>
              <w14:schemeClr w14:val="tx1"/>
            </w14:solidFill>
          </w14:textFill>
        </w:rPr>
        <w:t>承诺或其它优惠条件</w:t>
      </w:r>
    </w:p>
    <w:p w14:paraId="49A50DD9">
      <w:pPr>
        <w:jc w:val="center"/>
        <w:rPr>
          <w:color w:val="000000" w:themeColor="text1"/>
          <w:spacing w:val="20"/>
          <w:sz w:val="28"/>
          <w:szCs w:val="28"/>
          <w:highlight w:val="none"/>
          <w14:textFill>
            <w14:solidFill>
              <w14:schemeClr w14:val="tx1"/>
            </w14:solidFill>
          </w14:textFill>
        </w:rPr>
      </w:pPr>
      <w:r>
        <w:rPr>
          <w:rFonts w:hint="eastAsia"/>
          <w:color w:val="000000" w:themeColor="text1"/>
          <w:spacing w:val="20"/>
          <w:sz w:val="28"/>
          <w:szCs w:val="28"/>
          <w:highlight w:val="none"/>
          <w14:textFill>
            <w14:solidFill>
              <w14:schemeClr w14:val="tx1"/>
            </w14:solidFill>
          </w14:textFill>
        </w:rPr>
        <w:t>（需每页加盖公章）</w:t>
      </w:r>
    </w:p>
    <w:p w14:paraId="5C112887">
      <w:pPr>
        <w:spacing w:line="360" w:lineRule="auto"/>
        <w:rPr>
          <w:color w:val="000000" w:themeColor="text1"/>
          <w:highlight w:val="none"/>
          <w14:textFill>
            <w14:solidFill>
              <w14:schemeClr w14:val="tx1"/>
            </w14:solidFill>
          </w14:textFill>
        </w:rPr>
      </w:pPr>
    </w:p>
    <w:p w14:paraId="194CB610">
      <w:pPr>
        <w:spacing w:line="360" w:lineRule="auto"/>
        <w:rPr>
          <w:color w:val="000000" w:themeColor="text1"/>
          <w:highlight w:val="none"/>
          <w14:textFill>
            <w14:solidFill>
              <w14:schemeClr w14:val="tx1"/>
            </w14:solidFill>
          </w14:textFill>
        </w:rPr>
      </w:pPr>
    </w:p>
    <w:p w14:paraId="2EF13052">
      <w:pPr>
        <w:pStyle w:val="3"/>
        <w:spacing w:before="240" w:beforeLines="100" w:after="120" w:afterLines="50" w:line="360" w:lineRule="auto"/>
        <w:rPr>
          <w:rStyle w:val="46"/>
          <w:rFonts w:hint="eastAsia" w:ascii="Times New Roman" w:hAnsi="宋体" w:eastAsia="宋体"/>
          <w:b/>
          <w:bCs w:val="0"/>
          <w:color w:val="000000" w:themeColor="text1"/>
          <w:sz w:val="28"/>
          <w:szCs w:val="28"/>
          <w:highlight w:val="none"/>
          <w14:textFill>
            <w14:solidFill>
              <w14:schemeClr w14:val="tx1"/>
            </w14:solidFill>
          </w14:textFill>
        </w:rPr>
      </w:pPr>
      <w:bookmarkStart w:id="1881" w:name="_Toc284135598"/>
      <w:bookmarkStart w:id="1882" w:name="_Toc145499771"/>
      <w:r>
        <w:rPr>
          <w:rStyle w:val="46"/>
          <w:rFonts w:hint="eastAsia" w:ascii="Times New Roman" w:hAnsi="宋体" w:eastAsia="宋体"/>
          <w:b/>
          <w:bCs w:val="0"/>
          <w:color w:val="000000" w:themeColor="text1"/>
          <w:sz w:val="28"/>
          <w:szCs w:val="28"/>
          <w:highlight w:val="none"/>
          <w14:textFill>
            <w14:solidFill>
              <w14:schemeClr w14:val="tx1"/>
            </w14:solidFill>
          </w14:textFill>
        </w:rPr>
        <w:t>如提供的资金、技术等方面的支持、保障等其他承诺</w:t>
      </w:r>
    </w:p>
    <w:p w14:paraId="75D78F94">
      <w:pPr>
        <w:rPr>
          <w:color w:val="000000" w:themeColor="text1"/>
          <w:highlight w:val="none"/>
          <w14:textFill>
            <w14:solidFill>
              <w14:schemeClr w14:val="tx1"/>
            </w14:solidFill>
          </w14:textFill>
        </w:rPr>
      </w:pPr>
    </w:p>
    <w:p w14:paraId="49349066">
      <w:pPr>
        <w:rPr>
          <w:color w:val="000000" w:themeColor="text1"/>
          <w:highlight w:val="none"/>
          <w14:textFill>
            <w14:solidFill>
              <w14:schemeClr w14:val="tx1"/>
            </w14:solidFill>
          </w14:textFill>
        </w:rPr>
        <w:sectPr>
          <w:pgSz w:w="11907" w:h="16840"/>
          <w:pgMar w:top="1417" w:right="1701" w:bottom="1417" w:left="1701" w:header="850" w:footer="1134" w:gutter="0"/>
          <w:pgNumType w:fmt="decimal"/>
          <w:cols w:space="0" w:num="1"/>
          <w:rtlGutter w:val="0"/>
          <w:docGrid w:linePitch="312" w:charSpace="0"/>
        </w:sectPr>
      </w:pPr>
    </w:p>
    <w:bookmarkEnd w:id="1881"/>
    <w:bookmarkEnd w:id="1882"/>
    <w:p w14:paraId="47B334A5">
      <w:pPr>
        <w:pStyle w:val="3"/>
        <w:spacing w:before="240" w:beforeLines="100" w:after="120" w:afterLines="50" w:line="360" w:lineRule="auto"/>
        <w:rPr>
          <w:rFonts w:hint="eastAsia" w:ascii="Times New Roman" w:hAnsi="宋体" w:eastAsia="宋体"/>
          <w:bCs w:val="0"/>
          <w:color w:val="000000" w:themeColor="text1"/>
          <w:sz w:val="28"/>
          <w:szCs w:val="28"/>
          <w:highlight w:val="none"/>
          <w14:textFill>
            <w14:solidFill>
              <w14:schemeClr w14:val="tx1"/>
            </w14:solidFill>
          </w14:textFill>
        </w:rPr>
      </w:pPr>
      <w:r>
        <w:rPr>
          <w:rStyle w:val="46"/>
          <w:rFonts w:ascii="Times New Roman" w:hAnsi="宋体" w:eastAsia="宋体"/>
          <w:b/>
          <w:bCs w:val="0"/>
          <w:color w:val="000000" w:themeColor="text1"/>
          <w:sz w:val="28"/>
          <w:szCs w:val="28"/>
          <w:highlight w:val="none"/>
          <w14:textFill>
            <w14:solidFill>
              <w14:schemeClr w14:val="tx1"/>
            </w14:solidFill>
          </w14:textFill>
        </w:rPr>
        <w:t>附件</w:t>
      </w:r>
      <w:r>
        <w:rPr>
          <w:rStyle w:val="46"/>
          <w:rFonts w:hint="eastAsia" w:ascii="Times New Roman" w:hAnsi="宋体" w:eastAsia="宋体"/>
          <w:b/>
          <w:bCs w:val="0"/>
          <w:color w:val="000000" w:themeColor="text1"/>
          <w:sz w:val="28"/>
          <w:szCs w:val="28"/>
          <w:highlight w:val="none"/>
          <w14:textFill>
            <w14:solidFill>
              <w14:schemeClr w14:val="tx1"/>
            </w14:solidFill>
          </w14:textFill>
        </w:rPr>
        <w:t>一:评审办法</w:t>
      </w:r>
    </w:p>
    <w:p w14:paraId="7B698274">
      <w:pPr>
        <w:spacing w:line="360" w:lineRule="auto"/>
        <w:jc w:val="center"/>
        <w:rPr>
          <w:b/>
          <w:color w:val="000000" w:themeColor="text1"/>
          <w:sz w:val="30"/>
          <w:szCs w:val="30"/>
          <w:highlight w:val="none"/>
          <w14:textFill>
            <w14:solidFill>
              <w14:schemeClr w14:val="tx1"/>
            </w14:solidFill>
          </w14:textFill>
        </w:rPr>
      </w:pPr>
      <w:r>
        <w:rPr>
          <w:rFonts w:hint="eastAsia" w:hAnsi="宋体"/>
          <w:color w:val="000000" w:themeColor="text1"/>
          <w:sz w:val="30"/>
          <w:szCs w:val="30"/>
          <w:highlight w:val="none"/>
          <w:u w:val="single"/>
          <w14:textFill>
            <w14:solidFill>
              <w14:schemeClr w14:val="tx1"/>
            </w14:solidFill>
          </w14:textFill>
        </w:rPr>
        <w:t>海兴高速</w:t>
      </w:r>
      <w:r>
        <w:rPr>
          <w:rFonts w:hint="eastAsia" w:hAnsi="宋体"/>
          <w:color w:val="000000" w:themeColor="text1"/>
          <w:sz w:val="30"/>
          <w:szCs w:val="30"/>
          <w:highlight w:val="none"/>
          <w:u w:val="single"/>
          <w:lang w:val="en-US" w:eastAsia="zh-CN"/>
          <w14:textFill>
            <w14:solidFill>
              <w14:schemeClr w14:val="tx1"/>
            </w14:solidFill>
          </w14:textFill>
        </w:rPr>
        <w:t>项目</w:t>
      </w:r>
      <w:r>
        <w:rPr>
          <w:rFonts w:hint="eastAsia" w:hAnsi="宋体"/>
          <w:color w:val="000000" w:themeColor="text1"/>
          <w:sz w:val="30"/>
          <w:szCs w:val="30"/>
          <w:highlight w:val="none"/>
          <w:u w:val="single"/>
          <w14:textFill>
            <w14:solidFill>
              <w14:schemeClr w14:val="tx1"/>
            </w14:solidFill>
          </w14:textFill>
        </w:rPr>
        <w:t>海兴盐场特大桥便道维修、挡捻土工布施工</w:t>
      </w:r>
      <w:r>
        <w:rPr>
          <w:rFonts w:hint="eastAsia" w:hAnsi="宋体"/>
          <w:b/>
          <w:color w:val="000000" w:themeColor="text1"/>
          <w:sz w:val="30"/>
          <w:szCs w:val="30"/>
          <w:highlight w:val="none"/>
          <w14:textFill>
            <w14:solidFill>
              <w14:schemeClr w14:val="tx1"/>
            </w14:solidFill>
          </w14:textFill>
        </w:rPr>
        <w:t>分包工程</w:t>
      </w:r>
      <w:r>
        <w:rPr>
          <w:rFonts w:hAnsi="宋体"/>
          <w:b/>
          <w:color w:val="000000" w:themeColor="text1"/>
          <w:sz w:val="30"/>
          <w:szCs w:val="30"/>
          <w:highlight w:val="none"/>
          <w14:textFill>
            <w14:solidFill>
              <w14:schemeClr w14:val="tx1"/>
            </w14:solidFill>
          </w14:textFill>
        </w:rPr>
        <w:t>采购</w:t>
      </w:r>
      <w:r>
        <w:rPr>
          <w:rFonts w:hint="eastAsia" w:hAnsi="宋体"/>
          <w:b/>
          <w:color w:val="000000" w:themeColor="text1"/>
          <w:sz w:val="30"/>
          <w:szCs w:val="30"/>
          <w:highlight w:val="none"/>
          <w14:textFill>
            <w14:solidFill>
              <w14:schemeClr w14:val="tx1"/>
            </w14:solidFill>
          </w14:textFill>
        </w:rPr>
        <w:t>评审方法</w:t>
      </w:r>
    </w:p>
    <w:p w14:paraId="2BEF9F5A">
      <w:pPr>
        <w:pStyle w:val="53"/>
        <w:spacing w:before="240" w:beforeLines="100" w:line="360" w:lineRule="auto"/>
        <w:jc w:val="both"/>
        <w:rPr>
          <w:rStyle w:val="46"/>
          <w:rFonts w:hint="eastAsia" w:ascii="Times New Roman" w:eastAsia="宋体" w:cs="Times New Roman"/>
          <w:b w:val="0"/>
          <w:bCs w:val="0"/>
          <w:color w:val="000000" w:themeColor="text1"/>
          <w:szCs w:val="24"/>
          <w:highlight w:val="none"/>
          <w14:textFill>
            <w14:solidFill>
              <w14:schemeClr w14:val="tx1"/>
            </w14:solidFill>
          </w14:textFill>
        </w:rPr>
      </w:pPr>
      <w:r>
        <w:rPr>
          <w:rStyle w:val="46"/>
          <w:rFonts w:ascii="Times New Roman" w:eastAsia="宋体" w:cs="Times New Roman"/>
          <w:b w:val="0"/>
          <w:bCs w:val="0"/>
          <w:color w:val="000000" w:themeColor="text1"/>
          <w:szCs w:val="24"/>
          <w:highlight w:val="none"/>
          <w14:textFill>
            <w14:solidFill>
              <w14:schemeClr w14:val="tx1"/>
            </w14:solidFill>
          </w14:textFill>
        </w:rPr>
        <w:t>1.</w:t>
      </w:r>
      <w:r>
        <w:rPr>
          <w:rStyle w:val="46"/>
          <w:rFonts w:ascii="Times New Roman" w:eastAsia="宋体" w:cs="Times New Roman"/>
          <w:b/>
          <w:bCs w:val="0"/>
          <w:color w:val="000000" w:themeColor="text1"/>
          <w:szCs w:val="24"/>
          <w:highlight w:val="none"/>
          <w14:textFill>
            <w14:solidFill>
              <w14:schemeClr w14:val="tx1"/>
            </w14:solidFill>
          </w14:textFill>
        </w:rPr>
        <w:t>总  则</w:t>
      </w:r>
    </w:p>
    <w:p w14:paraId="19D9034C">
      <w:pPr>
        <w:spacing w:line="360" w:lineRule="auto"/>
        <w:rPr>
          <w:b/>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t>1.</w:t>
      </w:r>
      <w:r>
        <w:rPr>
          <w:rFonts w:hint="eastAsia"/>
          <w:b/>
          <w:color w:val="000000" w:themeColor="text1"/>
          <w:sz w:val="24"/>
          <w:highlight w:val="none"/>
          <w14:textFill>
            <w14:solidFill>
              <w14:schemeClr w14:val="tx1"/>
            </w14:solidFill>
          </w14:textFill>
        </w:rPr>
        <w:t>1定义</w:t>
      </w:r>
    </w:p>
    <w:p w14:paraId="396D157E">
      <w:pPr>
        <w:spacing w:line="360" w:lineRule="auto"/>
        <w:ind w:left="1018" w:leftChars="199" w:hanging="600" w:hangingChars="250"/>
        <w:rPr>
          <w:rFonts w:hint="eastAsia" w:hAnsi="宋体"/>
          <w:color w:val="000000" w:themeColor="text1"/>
          <w:sz w:val="24"/>
          <w:highlight w:val="none"/>
          <w14:textFill>
            <w14:solidFill>
              <w14:schemeClr w14:val="tx1"/>
            </w14:solidFill>
          </w14:textFill>
        </w:rPr>
      </w:pPr>
      <w:r>
        <w:rPr>
          <w:rFonts w:hAnsi="宋体"/>
          <w:color w:val="000000" w:themeColor="text1"/>
          <w:sz w:val="24"/>
          <w:highlight w:val="none"/>
          <w14:textFill>
            <w14:solidFill>
              <w14:schemeClr w14:val="tx1"/>
            </w14:solidFill>
          </w14:textFill>
        </w:rPr>
        <w:t>1.</w:t>
      </w:r>
      <w:r>
        <w:rPr>
          <w:rFonts w:hint="eastAsia" w:hAnsi="宋体"/>
          <w:color w:val="000000" w:themeColor="text1"/>
          <w:sz w:val="24"/>
          <w:highlight w:val="none"/>
          <w14:textFill>
            <w14:solidFill>
              <w14:schemeClr w14:val="tx1"/>
            </w14:solidFill>
          </w14:textFill>
        </w:rPr>
        <w:t>1</w:t>
      </w:r>
      <w:r>
        <w:rPr>
          <w:rFonts w:hAnsi="宋体"/>
          <w:color w:val="000000" w:themeColor="text1"/>
          <w:sz w:val="24"/>
          <w:highlight w:val="none"/>
          <w14:textFill>
            <w14:solidFill>
              <w14:schemeClr w14:val="tx1"/>
            </w14:solidFill>
          </w14:textFill>
        </w:rPr>
        <w:t>.1</w:t>
      </w:r>
      <w:r>
        <w:rPr>
          <w:rFonts w:hint="eastAsia" w:hAnsi="宋体"/>
          <w:color w:val="000000" w:themeColor="text1"/>
          <w:sz w:val="24"/>
          <w:highlight w:val="none"/>
          <w14:textFill>
            <w14:solidFill>
              <w14:schemeClr w14:val="tx1"/>
            </w14:solidFill>
          </w14:textFill>
        </w:rPr>
        <w:t>综合评分法：将响应单位报送的响应文件中的企业资质资料、技术方案、经济报价等，按照不同的权重进行评分，汇总得出综合分值的办法。</w:t>
      </w:r>
    </w:p>
    <w:p w14:paraId="5AE3B202">
      <w:pPr>
        <w:spacing w:line="360" w:lineRule="auto"/>
        <w:rPr>
          <w:b/>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t>1.</w:t>
      </w:r>
      <w:r>
        <w:rPr>
          <w:rFonts w:hint="eastAsia"/>
          <w:b/>
          <w:color w:val="000000" w:themeColor="text1"/>
          <w:sz w:val="24"/>
          <w:highlight w:val="none"/>
          <w14:textFill>
            <w14:solidFill>
              <w14:schemeClr w14:val="tx1"/>
            </w14:solidFill>
          </w14:textFill>
        </w:rPr>
        <w:t>2</w:t>
      </w:r>
      <w:r>
        <w:rPr>
          <w:b/>
          <w:color w:val="000000" w:themeColor="text1"/>
          <w:sz w:val="24"/>
          <w:highlight w:val="none"/>
          <w14:textFill>
            <w14:solidFill>
              <w14:schemeClr w14:val="tx1"/>
            </w14:solidFill>
          </w14:textFill>
        </w:rPr>
        <w:t>适用范围</w:t>
      </w:r>
    </w:p>
    <w:p w14:paraId="5CCC9724">
      <w:pPr>
        <w:spacing w:line="360" w:lineRule="auto"/>
        <w:ind w:left="1018" w:leftChars="199" w:hanging="600" w:hangingChars="250"/>
        <w:rPr>
          <w:rFonts w:hint="eastAsia" w:hAnsi="宋体"/>
          <w:color w:val="000000" w:themeColor="text1"/>
          <w:sz w:val="24"/>
          <w:highlight w:val="none"/>
          <w14:textFill>
            <w14:solidFill>
              <w14:schemeClr w14:val="tx1"/>
            </w14:solidFill>
          </w14:textFill>
        </w:rPr>
      </w:pPr>
      <w:r>
        <w:rPr>
          <w:rFonts w:hAnsi="宋体"/>
          <w:color w:val="000000" w:themeColor="text1"/>
          <w:sz w:val="24"/>
          <w:highlight w:val="none"/>
          <w14:textFill>
            <w14:solidFill>
              <w14:schemeClr w14:val="tx1"/>
            </w14:solidFill>
          </w14:textFill>
        </w:rPr>
        <w:t>1.2.1本评审方法仅适用于</w:t>
      </w:r>
      <w:r>
        <w:rPr>
          <w:rFonts w:hint="eastAsia" w:hAnsi="宋体"/>
          <w:color w:val="000000" w:themeColor="text1"/>
          <w:sz w:val="24"/>
          <w:highlight w:val="none"/>
          <w:u w:val="single"/>
          <w14:textFill>
            <w14:solidFill>
              <w14:schemeClr w14:val="tx1"/>
            </w14:solidFill>
          </w14:textFill>
        </w:rPr>
        <w:t>中建路桥集团</w:t>
      </w:r>
      <w:r>
        <w:rPr>
          <w:rFonts w:hint="eastAsia" w:hAnsi="宋体"/>
          <w:color w:val="000000" w:themeColor="text1"/>
          <w:sz w:val="24"/>
          <w:highlight w:val="none"/>
          <w:u w:val="single"/>
          <w:lang w:val="en-US" w:eastAsia="zh-CN"/>
          <w14:textFill>
            <w14:solidFill>
              <w14:schemeClr w14:val="tx1"/>
            </w14:solidFill>
          </w14:textFill>
        </w:rPr>
        <w:t>第二工程</w:t>
      </w:r>
      <w:r>
        <w:rPr>
          <w:rFonts w:hint="eastAsia" w:hAnsi="宋体"/>
          <w:color w:val="000000" w:themeColor="text1"/>
          <w:sz w:val="24"/>
          <w:highlight w:val="none"/>
          <w:u w:val="single"/>
          <w14:textFill>
            <w14:solidFill>
              <w14:schemeClr w14:val="tx1"/>
            </w14:solidFill>
          </w14:textFill>
        </w:rPr>
        <w:t>有限公司海兴高速项目海兴盐场特大桥便道维修、挡捻土工布施工分包工程</w:t>
      </w:r>
      <w:r>
        <w:rPr>
          <w:rFonts w:hAnsi="宋体"/>
          <w:color w:val="000000" w:themeColor="text1"/>
          <w:sz w:val="24"/>
          <w:highlight w:val="none"/>
          <w14:textFill>
            <w14:solidFill>
              <w14:schemeClr w14:val="tx1"/>
            </w14:solidFill>
          </w14:textFill>
        </w:rPr>
        <w:t>的采购评</w:t>
      </w:r>
      <w:r>
        <w:rPr>
          <w:rFonts w:hint="eastAsia" w:hAnsi="宋体"/>
          <w:color w:val="000000" w:themeColor="text1"/>
          <w:sz w:val="24"/>
          <w:highlight w:val="none"/>
          <w14:textFill>
            <w14:solidFill>
              <w14:schemeClr w14:val="tx1"/>
            </w14:solidFill>
          </w14:textFill>
        </w:rPr>
        <w:t>审</w:t>
      </w:r>
      <w:r>
        <w:rPr>
          <w:rFonts w:hAnsi="宋体"/>
          <w:color w:val="000000" w:themeColor="text1"/>
          <w:sz w:val="24"/>
          <w:highlight w:val="none"/>
          <w14:textFill>
            <w14:solidFill>
              <w14:schemeClr w14:val="tx1"/>
            </w14:solidFill>
          </w14:textFill>
        </w:rPr>
        <w:t>活动。</w:t>
      </w:r>
    </w:p>
    <w:p w14:paraId="056CD2FA">
      <w:pPr>
        <w:spacing w:line="360" w:lineRule="auto"/>
        <w:rPr>
          <w:b/>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t>1.</w:t>
      </w:r>
      <w:r>
        <w:rPr>
          <w:rFonts w:hint="eastAsia"/>
          <w:b/>
          <w:color w:val="000000" w:themeColor="text1"/>
          <w:sz w:val="24"/>
          <w:highlight w:val="none"/>
          <w14:textFill>
            <w14:solidFill>
              <w14:schemeClr w14:val="tx1"/>
            </w14:solidFill>
          </w14:textFill>
        </w:rPr>
        <w:t>3</w:t>
      </w:r>
      <w:r>
        <w:rPr>
          <w:b/>
          <w:color w:val="000000" w:themeColor="text1"/>
          <w:sz w:val="24"/>
          <w:highlight w:val="none"/>
          <w14:textFill>
            <w14:solidFill>
              <w14:schemeClr w14:val="tx1"/>
            </w14:solidFill>
          </w14:textFill>
        </w:rPr>
        <w:t>与采购文件的关系</w:t>
      </w:r>
    </w:p>
    <w:p w14:paraId="5559A0DD">
      <w:pPr>
        <w:spacing w:line="360" w:lineRule="auto"/>
        <w:ind w:left="1132" w:leftChars="200" w:hanging="712" w:hangingChars="297"/>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w:t>
      </w:r>
      <w:r>
        <w:rPr>
          <w:rFonts w:hint="eastAsia"/>
          <w:color w:val="000000" w:themeColor="text1"/>
          <w:sz w:val="24"/>
          <w:highlight w:val="none"/>
          <w14:textFill>
            <w14:solidFill>
              <w14:schemeClr w14:val="tx1"/>
            </w14:solidFill>
          </w14:textFill>
        </w:rPr>
        <w:t>3</w:t>
      </w:r>
      <w:r>
        <w:rPr>
          <w:color w:val="000000" w:themeColor="text1"/>
          <w:sz w:val="24"/>
          <w:highlight w:val="none"/>
          <w14:textFill>
            <w14:solidFill>
              <w14:schemeClr w14:val="tx1"/>
            </w14:solidFill>
          </w14:textFill>
        </w:rPr>
        <w:t>.1本评审方法是本工程采购文件的组成部分之一。</w:t>
      </w:r>
    </w:p>
    <w:p w14:paraId="3E97A02C">
      <w:pPr>
        <w:spacing w:line="360" w:lineRule="auto"/>
        <w:rPr>
          <w:b/>
          <w:color w:val="000000" w:themeColor="text1"/>
          <w:sz w:val="24"/>
          <w:highlight w:val="none"/>
          <w14:textFill>
            <w14:solidFill>
              <w14:schemeClr w14:val="tx1"/>
            </w14:solidFill>
          </w14:textFill>
        </w:rPr>
      </w:pPr>
      <w:r>
        <w:rPr>
          <w:b/>
          <w:color w:val="000000" w:themeColor="text1"/>
          <w:sz w:val="24"/>
          <w:highlight w:val="none"/>
          <w14:textFill>
            <w14:solidFill>
              <w14:schemeClr w14:val="tx1"/>
            </w14:solidFill>
          </w14:textFill>
        </w:rPr>
        <w:t>1.</w:t>
      </w:r>
      <w:r>
        <w:rPr>
          <w:rFonts w:hint="eastAsia"/>
          <w:b/>
          <w:color w:val="000000" w:themeColor="text1"/>
          <w:sz w:val="24"/>
          <w:highlight w:val="none"/>
          <w14:textFill>
            <w14:solidFill>
              <w14:schemeClr w14:val="tx1"/>
            </w14:solidFill>
          </w14:textFill>
        </w:rPr>
        <w:t>4</w:t>
      </w:r>
      <w:r>
        <w:rPr>
          <w:b/>
          <w:color w:val="000000" w:themeColor="text1"/>
          <w:sz w:val="24"/>
          <w:highlight w:val="none"/>
          <w14:textFill>
            <w14:solidFill>
              <w14:schemeClr w14:val="tx1"/>
            </w14:solidFill>
          </w14:textFill>
        </w:rPr>
        <w:t>评审原则</w:t>
      </w:r>
    </w:p>
    <w:p w14:paraId="4850EAF9">
      <w:pPr>
        <w:spacing w:line="360" w:lineRule="auto"/>
        <w:ind w:left="1132" w:leftChars="200" w:hanging="712" w:hangingChars="297"/>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w:t>
      </w:r>
      <w:r>
        <w:rPr>
          <w:rFonts w:hint="eastAsia"/>
          <w:color w:val="000000" w:themeColor="text1"/>
          <w:sz w:val="24"/>
          <w:highlight w:val="none"/>
          <w14:textFill>
            <w14:solidFill>
              <w14:schemeClr w14:val="tx1"/>
            </w14:solidFill>
          </w14:textFill>
        </w:rPr>
        <w:t>4</w:t>
      </w:r>
      <w:r>
        <w:rPr>
          <w:color w:val="000000" w:themeColor="text1"/>
          <w:sz w:val="24"/>
          <w:highlight w:val="none"/>
          <w14:textFill>
            <w14:solidFill>
              <w14:schemeClr w14:val="tx1"/>
            </w14:solidFill>
          </w14:textFill>
        </w:rPr>
        <w:t>.1评审工作必须遵循公平、公正、科学、择优的原则。</w:t>
      </w:r>
    </w:p>
    <w:p w14:paraId="13981F26">
      <w:pPr>
        <w:spacing w:line="360" w:lineRule="auto"/>
        <w:ind w:left="1132" w:leftChars="200" w:hanging="712" w:hangingChars="297"/>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w:t>
      </w:r>
      <w:r>
        <w:rPr>
          <w:rFonts w:hint="eastAsia"/>
          <w:color w:val="000000" w:themeColor="text1"/>
          <w:sz w:val="24"/>
          <w:highlight w:val="none"/>
          <w14:textFill>
            <w14:solidFill>
              <w14:schemeClr w14:val="tx1"/>
            </w14:solidFill>
          </w14:textFill>
        </w:rPr>
        <w:t>4</w:t>
      </w:r>
      <w:r>
        <w:rPr>
          <w:color w:val="000000" w:themeColor="text1"/>
          <w:sz w:val="24"/>
          <w:highlight w:val="none"/>
          <w14:textFill>
            <w14:solidFill>
              <w14:schemeClr w14:val="tx1"/>
            </w14:solidFill>
          </w14:textFill>
        </w:rPr>
        <w:t>.2依法评审、严格保密。</w:t>
      </w:r>
    </w:p>
    <w:p w14:paraId="06718C07">
      <w:pPr>
        <w:spacing w:line="360" w:lineRule="auto"/>
        <w:ind w:left="1132" w:leftChars="200" w:hanging="712" w:hangingChars="297"/>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w:t>
      </w:r>
      <w:r>
        <w:rPr>
          <w:rFonts w:hint="eastAsia"/>
          <w:color w:val="000000" w:themeColor="text1"/>
          <w:sz w:val="24"/>
          <w:highlight w:val="none"/>
          <w14:textFill>
            <w14:solidFill>
              <w14:schemeClr w14:val="tx1"/>
            </w14:solidFill>
          </w14:textFill>
        </w:rPr>
        <w:t>4</w:t>
      </w:r>
      <w:r>
        <w:rPr>
          <w:color w:val="000000" w:themeColor="text1"/>
          <w:sz w:val="24"/>
          <w:highlight w:val="none"/>
          <w14:textFill>
            <w14:solidFill>
              <w14:schemeClr w14:val="tx1"/>
            </w14:solidFill>
          </w14:textFill>
        </w:rPr>
        <w:t>.3反对不正当的竞争。</w:t>
      </w:r>
    </w:p>
    <w:p w14:paraId="507723F7">
      <w:pPr>
        <w:spacing w:line="360" w:lineRule="auto"/>
        <w:ind w:left="1132" w:leftChars="200" w:hanging="712" w:hangingChars="297"/>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1.</w:t>
      </w:r>
      <w:r>
        <w:rPr>
          <w:rFonts w:hint="eastAsia"/>
          <w:color w:val="000000" w:themeColor="text1"/>
          <w:sz w:val="24"/>
          <w:highlight w:val="none"/>
          <w14:textFill>
            <w14:solidFill>
              <w14:schemeClr w14:val="tx1"/>
            </w14:solidFill>
          </w14:textFill>
        </w:rPr>
        <w:t>4</w:t>
      </w:r>
      <w:r>
        <w:rPr>
          <w:color w:val="000000" w:themeColor="text1"/>
          <w:sz w:val="24"/>
          <w:highlight w:val="none"/>
          <w14:textFill>
            <w14:solidFill>
              <w14:schemeClr w14:val="tx1"/>
            </w14:solidFill>
          </w14:textFill>
        </w:rPr>
        <w:t>.4定性的结论由</w:t>
      </w:r>
      <w:r>
        <w:rPr>
          <w:rFonts w:hint="eastAsia"/>
          <w:color w:val="000000" w:themeColor="text1"/>
          <w:sz w:val="24"/>
          <w:highlight w:val="none"/>
          <w14:textFill>
            <w14:solidFill>
              <w14:schemeClr w14:val="tx1"/>
            </w14:solidFill>
          </w14:textFill>
        </w:rPr>
        <w:t>采购小组</w:t>
      </w:r>
      <w:r>
        <w:rPr>
          <w:color w:val="000000" w:themeColor="text1"/>
          <w:sz w:val="24"/>
          <w:highlight w:val="none"/>
          <w14:textFill>
            <w14:solidFill>
              <w14:schemeClr w14:val="tx1"/>
            </w14:solidFill>
          </w14:textFill>
        </w:rPr>
        <w:t>成员按照少数服从多数的原则决定。</w:t>
      </w:r>
    </w:p>
    <w:p w14:paraId="4F2F841B">
      <w:pPr>
        <w:pStyle w:val="53"/>
        <w:spacing w:before="0" w:beforeLines="0" w:line="360" w:lineRule="auto"/>
        <w:jc w:val="both"/>
        <w:rPr>
          <w:rFonts w:ascii="Times New Roman" w:eastAsia="宋体" w:cs="Times New Roman"/>
          <w:bCs w:val="0"/>
          <w:color w:val="000000" w:themeColor="text1"/>
          <w:szCs w:val="24"/>
          <w:highlight w:val="none"/>
          <w14:textFill>
            <w14:solidFill>
              <w14:schemeClr w14:val="tx1"/>
            </w14:solidFill>
          </w14:textFill>
        </w:rPr>
      </w:pPr>
      <w:r>
        <w:rPr>
          <w:rStyle w:val="46"/>
          <w:rFonts w:hint="eastAsia" w:ascii="Times New Roman" w:eastAsia="宋体" w:cs="Times New Roman"/>
          <w:b/>
          <w:bCs w:val="0"/>
          <w:color w:val="000000" w:themeColor="text1"/>
          <w:szCs w:val="24"/>
          <w:highlight w:val="none"/>
          <w14:textFill>
            <w14:solidFill>
              <w14:schemeClr w14:val="tx1"/>
            </w14:solidFill>
          </w14:textFill>
        </w:rPr>
        <w:t>2</w:t>
      </w:r>
      <w:r>
        <w:rPr>
          <w:rStyle w:val="46"/>
          <w:rFonts w:ascii="Times New Roman" w:eastAsia="宋体" w:cs="Times New Roman"/>
          <w:b/>
          <w:bCs w:val="0"/>
          <w:color w:val="000000" w:themeColor="text1"/>
          <w:szCs w:val="24"/>
          <w:highlight w:val="none"/>
          <w14:textFill>
            <w14:solidFill>
              <w14:schemeClr w14:val="tx1"/>
            </w14:solidFill>
          </w14:textFill>
        </w:rPr>
        <w:t>.评审内容及方法</w:t>
      </w:r>
    </w:p>
    <w:p w14:paraId="5475D6BC">
      <w:pPr>
        <w:spacing w:line="360" w:lineRule="auto"/>
        <w:ind w:left="592" w:leftChars="1" w:hanging="590" w:hangingChars="245"/>
        <w:rPr>
          <w:b/>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2</w:t>
      </w:r>
      <w:r>
        <w:rPr>
          <w:b/>
          <w:color w:val="000000" w:themeColor="text1"/>
          <w:sz w:val="24"/>
          <w:highlight w:val="none"/>
          <w14:textFill>
            <w14:solidFill>
              <w14:schemeClr w14:val="tx1"/>
            </w14:solidFill>
          </w14:textFill>
        </w:rPr>
        <w:t>.</w:t>
      </w:r>
      <w:r>
        <w:rPr>
          <w:rFonts w:hint="eastAsia"/>
          <w:b/>
          <w:color w:val="000000" w:themeColor="text1"/>
          <w:sz w:val="24"/>
          <w:highlight w:val="none"/>
          <w14:textFill>
            <w14:solidFill>
              <w14:schemeClr w14:val="tx1"/>
            </w14:solidFill>
          </w14:textFill>
        </w:rPr>
        <w:t>1</w:t>
      </w:r>
      <w:r>
        <w:rPr>
          <w:b/>
          <w:color w:val="000000" w:themeColor="text1"/>
          <w:sz w:val="24"/>
          <w:highlight w:val="none"/>
          <w14:textFill>
            <w14:solidFill>
              <w14:schemeClr w14:val="tx1"/>
            </w14:solidFill>
          </w14:textFill>
        </w:rPr>
        <w:t>.</w:t>
      </w:r>
      <w:r>
        <w:rPr>
          <w:rFonts w:hint="eastAsia"/>
          <w:b/>
          <w:color w:val="000000" w:themeColor="text1"/>
          <w:sz w:val="24"/>
          <w:highlight w:val="none"/>
          <w14:textFill>
            <w14:solidFill>
              <w14:schemeClr w14:val="tx1"/>
            </w14:solidFill>
          </w14:textFill>
        </w:rPr>
        <w:t>商务评审</w:t>
      </w:r>
    </w:p>
    <w:p w14:paraId="55DF8EFC">
      <w:pPr>
        <w:spacing w:line="360" w:lineRule="auto"/>
        <w:ind w:left="1132" w:leftChars="200" w:hanging="712" w:hangingChars="297"/>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2.1.1企业资质是否符合采购分包工程要求，上报资料是否齐全、真实、有效。</w:t>
      </w:r>
    </w:p>
    <w:p w14:paraId="7C1EF523">
      <w:pPr>
        <w:spacing w:line="360" w:lineRule="auto"/>
        <w:ind w:left="1132" w:leftChars="200" w:hanging="712" w:hangingChars="297"/>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2.1.2上报拟定管理人员资料是否齐全、真实、有效。</w:t>
      </w:r>
    </w:p>
    <w:p w14:paraId="0104F77C">
      <w:pPr>
        <w:spacing w:line="360" w:lineRule="auto"/>
        <w:ind w:left="1132" w:leftChars="200" w:hanging="712" w:hangingChars="297"/>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2.1.3所报企业施工业绩是否真实等。</w:t>
      </w:r>
    </w:p>
    <w:p w14:paraId="25D7D2A7">
      <w:pPr>
        <w:spacing w:line="360" w:lineRule="auto"/>
        <w:ind w:left="1132" w:leftChars="200" w:hanging="712" w:hangingChars="297"/>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2.1.4</w:t>
      </w:r>
      <w:r>
        <w:rPr>
          <w:color w:val="000000" w:themeColor="text1"/>
          <w:sz w:val="24"/>
          <w:highlight w:val="none"/>
          <w14:textFill>
            <w14:solidFill>
              <w14:schemeClr w14:val="tx1"/>
            </w14:solidFill>
          </w14:textFill>
        </w:rPr>
        <w:t>详细评分指标见附表</w:t>
      </w:r>
      <w:r>
        <w:rPr>
          <w:rFonts w:hint="eastAsia"/>
          <w:color w:val="000000" w:themeColor="text1"/>
          <w:sz w:val="24"/>
          <w:highlight w:val="none"/>
          <w14:textFill>
            <w14:solidFill>
              <w14:schemeClr w14:val="tx1"/>
            </w14:solidFill>
          </w14:textFill>
        </w:rPr>
        <w:t>1</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商务资料</w:t>
      </w:r>
      <w:r>
        <w:rPr>
          <w:color w:val="000000" w:themeColor="text1"/>
          <w:sz w:val="24"/>
          <w:highlight w:val="none"/>
          <w14:textFill>
            <w14:solidFill>
              <w14:schemeClr w14:val="tx1"/>
            </w14:solidFill>
          </w14:textFill>
        </w:rPr>
        <w:t>评分表》。</w:t>
      </w:r>
    </w:p>
    <w:p w14:paraId="268626B6">
      <w:pPr>
        <w:spacing w:line="360" w:lineRule="auto"/>
        <w:rPr>
          <w:b/>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2.2</w:t>
      </w:r>
      <w:r>
        <w:rPr>
          <w:b/>
          <w:color w:val="000000" w:themeColor="text1"/>
          <w:sz w:val="24"/>
          <w:highlight w:val="none"/>
          <w14:textFill>
            <w14:solidFill>
              <w14:schemeClr w14:val="tx1"/>
            </w14:solidFill>
          </w14:textFill>
        </w:rPr>
        <w:t>技术评审</w:t>
      </w:r>
    </w:p>
    <w:p w14:paraId="75994D50">
      <w:pPr>
        <w:spacing w:line="360" w:lineRule="auto"/>
        <w:ind w:left="1018" w:leftChars="199" w:hanging="600" w:hangingChars="25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2.2.1评审施工方案是否全面且针对性强，难点、重点把握准确，措施可靠、实用</w:t>
      </w:r>
      <w:r>
        <w:rPr>
          <w:rFonts w:hint="eastAsia"/>
          <w:color w:val="000000" w:themeColor="text1"/>
          <w:sz w:val="24"/>
          <w:highlight w:val="none"/>
          <w14:textFill>
            <w14:solidFill>
              <w14:schemeClr w14:val="tx1"/>
            </w14:solidFill>
          </w14:textFill>
        </w:rPr>
        <w:t>；尤其对重点难点问题的实施方案是否经济、合理、可行</w:t>
      </w:r>
      <w:r>
        <w:rPr>
          <w:color w:val="000000" w:themeColor="text1"/>
          <w:sz w:val="24"/>
          <w:highlight w:val="none"/>
          <w14:textFill>
            <w14:solidFill>
              <w14:schemeClr w14:val="tx1"/>
            </w14:solidFill>
          </w14:textFill>
        </w:rPr>
        <w:t>。</w:t>
      </w:r>
    </w:p>
    <w:p w14:paraId="2B239780">
      <w:pPr>
        <w:spacing w:line="360" w:lineRule="auto"/>
        <w:ind w:left="1018" w:leftChars="199" w:hanging="600" w:hangingChars="25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2.2.</w:t>
      </w:r>
      <w:r>
        <w:rPr>
          <w:rFonts w:hint="eastAsia"/>
          <w:color w:val="000000" w:themeColor="text1"/>
          <w:sz w:val="24"/>
          <w:highlight w:val="none"/>
          <w14:textFill>
            <w14:solidFill>
              <w14:schemeClr w14:val="tx1"/>
            </w14:solidFill>
          </w14:textFill>
        </w:rPr>
        <w:t>2</w:t>
      </w:r>
      <w:r>
        <w:rPr>
          <w:color w:val="000000" w:themeColor="text1"/>
          <w:sz w:val="24"/>
          <w:highlight w:val="none"/>
          <w14:textFill>
            <w14:solidFill>
              <w14:schemeClr w14:val="tx1"/>
            </w14:solidFill>
          </w14:textFill>
        </w:rPr>
        <w:t>评审施工进度计划及保证措施是否满足合同工期，保证措施、补救措施齐备合理。</w:t>
      </w:r>
    </w:p>
    <w:p w14:paraId="0E131CB3">
      <w:pPr>
        <w:spacing w:line="360" w:lineRule="auto"/>
        <w:ind w:left="1018" w:leftChars="199" w:hanging="600" w:hangingChars="25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2.2.</w:t>
      </w:r>
      <w:r>
        <w:rPr>
          <w:rFonts w:hint="eastAsia"/>
          <w:color w:val="000000" w:themeColor="text1"/>
          <w:sz w:val="24"/>
          <w:highlight w:val="none"/>
          <w14:textFill>
            <w14:solidFill>
              <w14:schemeClr w14:val="tx1"/>
            </w14:solidFill>
          </w14:textFill>
        </w:rPr>
        <w:t>3</w:t>
      </w:r>
      <w:r>
        <w:rPr>
          <w:color w:val="000000" w:themeColor="text1"/>
          <w:sz w:val="24"/>
          <w:highlight w:val="none"/>
          <w14:textFill>
            <w14:solidFill>
              <w14:schemeClr w14:val="tx1"/>
            </w14:solidFill>
          </w14:textFill>
        </w:rPr>
        <w:t>评审工程质量保证措施、过程控制措施、质量事故处理应急预案是否完整、可</w:t>
      </w:r>
      <w:r>
        <w:rPr>
          <w:rFonts w:hint="eastAsia"/>
          <w:color w:val="000000" w:themeColor="text1"/>
          <w:sz w:val="24"/>
          <w:highlight w:val="none"/>
          <w14:textFill>
            <w14:solidFill>
              <w14:schemeClr w14:val="tx1"/>
            </w14:solidFill>
          </w14:textFill>
        </w:rPr>
        <w:t>行</w:t>
      </w:r>
      <w:r>
        <w:rPr>
          <w:color w:val="000000" w:themeColor="text1"/>
          <w:sz w:val="24"/>
          <w:highlight w:val="none"/>
          <w14:textFill>
            <w14:solidFill>
              <w14:schemeClr w14:val="tx1"/>
            </w14:solidFill>
          </w14:textFill>
        </w:rPr>
        <w:t>、有效；质量目标是否明确并符合项目实际和</w:t>
      </w:r>
      <w:r>
        <w:rPr>
          <w:rFonts w:hint="eastAsia"/>
          <w:color w:val="000000" w:themeColor="text1"/>
          <w:sz w:val="24"/>
          <w:highlight w:val="none"/>
          <w14:textFill>
            <w14:solidFill>
              <w14:schemeClr w14:val="tx1"/>
            </w14:solidFill>
          </w14:textFill>
        </w:rPr>
        <w:t>采购人</w:t>
      </w:r>
      <w:r>
        <w:rPr>
          <w:color w:val="000000" w:themeColor="text1"/>
          <w:sz w:val="24"/>
          <w:highlight w:val="none"/>
          <w14:textFill>
            <w14:solidFill>
              <w14:schemeClr w14:val="tx1"/>
            </w14:solidFill>
          </w14:textFill>
        </w:rPr>
        <w:t>要求，能否保证工程按合同要求的质量标准组织实施</w:t>
      </w:r>
      <w:r>
        <w:rPr>
          <w:rFonts w:hint="eastAsia"/>
          <w:color w:val="000000" w:themeColor="text1"/>
          <w:sz w:val="24"/>
          <w:highlight w:val="none"/>
          <w14:textFill>
            <w14:solidFill>
              <w14:schemeClr w14:val="tx1"/>
            </w14:solidFill>
          </w14:textFill>
        </w:rPr>
        <w:t>。</w:t>
      </w:r>
    </w:p>
    <w:p w14:paraId="1BAF735D">
      <w:pPr>
        <w:spacing w:line="360" w:lineRule="auto"/>
        <w:ind w:left="1018" w:leftChars="199" w:hanging="600" w:hangingChars="25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2.2.</w:t>
      </w:r>
      <w:r>
        <w:rPr>
          <w:rFonts w:hint="eastAsia"/>
          <w:color w:val="000000" w:themeColor="text1"/>
          <w:sz w:val="24"/>
          <w:highlight w:val="none"/>
          <w14:textFill>
            <w14:solidFill>
              <w14:schemeClr w14:val="tx1"/>
            </w14:solidFill>
          </w14:textFill>
        </w:rPr>
        <w:t>4</w:t>
      </w:r>
      <w:r>
        <w:rPr>
          <w:color w:val="000000" w:themeColor="text1"/>
          <w:sz w:val="24"/>
          <w:highlight w:val="none"/>
          <w14:textFill>
            <w14:solidFill>
              <w14:schemeClr w14:val="tx1"/>
            </w14:solidFill>
          </w14:textFill>
        </w:rPr>
        <w:t>评审投入的机械设备是否齐全、符合要求，配置是否合理，能否满足本工程合同中质量目标、工期目标的要求。</w:t>
      </w:r>
    </w:p>
    <w:p w14:paraId="3D08690E">
      <w:pPr>
        <w:spacing w:line="360" w:lineRule="auto"/>
        <w:ind w:left="1018" w:leftChars="199" w:hanging="600" w:hangingChars="25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2.2.</w:t>
      </w:r>
      <w:r>
        <w:rPr>
          <w:rFonts w:hint="eastAsia"/>
          <w:color w:val="000000" w:themeColor="text1"/>
          <w:sz w:val="24"/>
          <w:highlight w:val="none"/>
          <w14:textFill>
            <w14:solidFill>
              <w14:schemeClr w14:val="tx1"/>
            </w14:solidFill>
          </w14:textFill>
        </w:rPr>
        <w:t>5</w:t>
      </w:r>
      <w:r>
        <w:rPr>
          <w:color w:val="000000" w:themeColor="text1"/>
          <w:sz w:val="24"/>
          <w:highlight w:val="none"/>
          <w14:textFill>
            <w14:solidFill>
              <w14:schemeClr w14:val="tx1"/>
            </w14:solidFill>
          </w14:textFill>
        </w:rPr>
        <w:t>评审投入的劳动力资源充裕、用工计划完整，材料使用计划合理，能够满足采购要求。</w:t>
      </w:r>
    </w:p>
    <w:p w14:paraId="494A32E2">
      <w:pPr>
        <w:spacing w:line="360" w:lineRule="auto"/>
        <w:ind w:left="1018" w:leftChars="199" w:hanging="600" w:hangingChars="25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2.2.</w:t>
      </w:r>
      <w:r>
        <w:rPr>
          <w:rFonts w:hint="eastAsia"/>
          <w:color w:val="000000" w:themeColor="text1"/>
          <w:sz w:val="24"/>
          <w:highlight w:val="none"/>
          <w14:textFill>
            <w14:solidFill>
              <w14:schemeClr w14:val="tx1"/>
            </w14:solidFill>
          </w14:textFill>
        </w:rPr>
        <w:t>6</w:t>
      </w:r>
      <w:r>
        <w:rPr>
          <w:color w:val="000000" w:themeColor="text1"/>
          <w:sz w:val="24"/>
          <w:highlight w:val="none"/>
          <w14:textFill>
            <w14:solidFill>
              <w14:schemeClr w14:val="tx1"/>
            </w14:solidFill>
          </w14:textFill>
        </w:rPr>
        <w:t>评审现场组织机构是否合理，是否齐全高效，职责是否明确合理</w:t>
      </w:r>
      <w:r>
        <w:rPr>
          <w:rFonts w:hint="eastAsia"/>
          <w:color w:val="000000" w:themeColor="text1"/>
          <w:sz w:val="24"/>
          <w:highlight w:val="none"/>
          <w14:textFill>
            <w14:solidFill>
              <w14:schemeClr w14:val="tx1"/>
            </w14:solidFill>
          </w14:textFill>
        </w:rPr>
        <w:t>等</w:t>
      </w:r>
      <w:r>
        <w:rPr>
          <w:color w:val="000000" w:themeColor="text1"/>
          <w:sz w:val="24"/>
          <w:highlight w:val="none"/>
          <w14:textFill>
            <w14:solidFill>
              <w14:schemeClr w14:val="tx1"/>
            </w14:solidFill>
          </w14:textFill>
        </w:rPr>
        <w:t>。</w:t>
      </w:r>
    </w:p>
    <w:p w14:paraId="40E44A33">
      <w:pPr>
        <w:spacing w:line="360" w:lineRule="auto"/>
        <w:ind w:left="1018" w:leftChars="199" w:hanging="600" w:hangingChars="25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2.2.7</w:t>
      </w:r>
      <w:r>
        <w:rPr>
          <w:rFonts w:hAnsi="宋体"/>
          <w:color w:val="000000" w:themeColor="text1"/>
          <w:sz w:val="24"/>
          <w:highlight w:val="none"/>
          <w14:textFill>
            <w14:solidFill>
              <w14:schemeClr w14:val="tx1"/>
            </w14:solidFill>
          </w14:textFill>
        </w:rPr>
        <w:t>详细评分指标见附表</w:t>
      </w:r>
      <w:r>
        <w:rPr>
          <w:rFonts w:hint="eastAsia" w:hAnsi="宋体"/>
          <w:color w:val="000000" w:themeColor="text1"/>
          <w:sz w:val="24"/>
          <w:highlight w:val="none"/>
          <w14:textFill>
            <w14:solidFill>
              <w14:schemeClr w14:val="tx1"/>
            </w14:solidFill>
          </w14:textFill>
        </w:rPr>
        <w:t>2</w:t>
      </w:r>
      <w:r>
        <w:rPr>
          <w:rFonts w:hAnsi="宋体"/>
          <w:color w:val="000000" w:themeColor="text1"/>
          <w:sz w:val="24"/>
          <w:highlight w:val="none"/>
          <w14:textFill>
            <w14:solidFill>
              <w14:schemeClr w14:val="tx1"/>
            </w14:solidFill>
          </w14:textFill>
        </w:rPr>
        <w:t>《</w:t>
      </w:r>
      <w:r>
        <w:rPr>
          <w:rFonts w:hint="eastAsia" w:hAnsi="宋体"/>
          <w:color w:val="000000" w:themeColor="text1"/>
          <w:sz w:val="24"/>
          <w:highlight w:val="none"/>
          <w14:textFill>
            <w14:solidFill>
              <w14:schemeClr w14:val="tx1"/>
            </w14:solidFill>
          </w14:textFill>
        </w:rPr>
        <w:t>施工技术方案</w:t>
      </w:r>
      <w:r>
        <w:rPr>
          <w:rFonts w:hAnsi="宋体"/>
          <w:color w:val="000000" w:themeColor="text1"/>
          <w:sz w:val="24"/>
          <w:highlight w:val="none"/>
          <w14:textFill>
            <w14:solidFill>
              <w14:schemeClr w14:val="tx1"/>
            </w14:solidFill>
          </w14:textFill>
        </w:rPr>
        <w:t>评分表》。</w:t>
      </w:r>
    </w:p>
    <w:p w14:paraId="1FC9D8E7">
      <w:pPr>
        <w:spacing w:line="360" w:lineRule="auto"/>
        <w:ind w:left="582" w:leftChars="33" w:hanging="513" w:hangingChars="213"/>
        <w:rPr>
          <w:b/>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2</w:t>
      </w:r>
      <w:r>
        <w:rPr>
          <w:b/>
          <w:color w:val="000000" w:themeColor="text1"/>
          <w:sz w:val="24"/>
          <w:highlight w:val="none"/>
          <w14:textFill>
            <w14:solidFill>
              <w14:schemeClr w14:val="tx1"/>
            </w14:solidFill>
          </w14:textFill>
        </w:rPr>
        <w:t>.3.经济评审</w:t>
      </w:r>
    </w:p>
    <w:p w14:paraId="79366D57">
      <w:pPr>
        <w:spacing w:line="360" w:lineRule="auto"/>
        <w:ind w:left="1119" w:leftChars="247" w:hanging="600" w:hangingChars="250"/>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2.3.1</w:t>
      </w:r>
      <w:r>
        <w:rPr>
          <w:rFonts w:hint="eastAsia"/>
          <w:color w:val="000000" w:themeColor="text1"/>
          <w:sz w:val="24"/>
          <w:highlight w:val="none"/>
          <w14:textFill>
            <w14:solidFill>
              <w14:schemeClr w14:val="tx1"/>
            </w14:solidFill>
          </w14:textFill>
        </w:rPr>
        <w:t>采购人</w:t>
      </w:r>
      <w:r>
        <w:rPr>
          <w:color w:val="000000" w:themeColor="text1"/>
          <w:sz w:val="24"/>
          <w:highlight w:val="none"/>
          <w14:textFill>
            <w14:solidFill>
              <w14:schemeClr w14:val="tx1"/>
            </w14:solidFill>
          </w14:textFill>
        </w:rPr>
        <w:t>评审</w:t>
      </w:r>
      <w:r>
        <w:rPr>
          <w:rFonts w:hint="eastAsia"/>
          <w:color w:val="000000" w:themeColor="text1"/>
          <w:sz w:val="24"/>
          <w:highlight w:val="none"/>
          <w14:textFill>
            <w14:solidFill>
              <w14:schemeClr w14:val="tx1"/>
            </w14:solidFill>
          </w14:textFill>
        </w:rPr>
        <w:t>小组按照上述</w:t>
      </w:r>
      <w:r>
        <w:rPr>
          <w:color w:val="000000" w:themeColor="text1"/>
          <w:sz w:val="24"/>
          <w:highlight w:val="none"/>
          <w14:textFill>
            <w14:solidFill>
              <w14:schemeClr w14:val="tx1"/>
            </w14:solidFill>
          </w14:textFill>
        </w:rPr>
        <w:t>要求对响应单位商务及技术文件进行评审</w:t>
      </w:r>
      <w:r>
        <w:rPr>
          <w:rFonts w:hint="eastAsia"/>
          <w:color w:val="000000" w:themeColor="text1"/>
          <w:sz w:val="24"/>
          <w:highlight w:val="none"/>
          <w14:textFill>
            <w14:solidFill>
              <w14:schemeClr w14:val="tx1"/>
            </w14:solidFill>
          </w14:textFill>
        </w:rPr>
        <w:t>，响应单位商务部分及技术部分打分均超过60分（百分制）、且报价最低的</w:t>
      </w:r>
      <w:r>
        <w:rPr>
          <w:rFonts w:hint="eastAsia"/>
          <w:color w:val="000000" w:themeColor="text1"/>
          <w:sz w:val="24"/>
          <w:highlight w:val="none"/>
          <w:lang w:val="en-US" w:eastAsia="zh-CN"/>
          <w14:textFill>
            <w14:solidFill>
              <w14:schemeClr w14:val="tx1"/>
            </w14:solidFill>
          </w14:textFill>
        </w:rPr>
        <w:t>4</w:t>
      </w:r>
      <w:r>
        <w:rPr>
          <w:rFonts w:hint="eastAsia"/>
          <w:color w:val="000000" w:themeColor="text1"/>
          <w:sz w:val="24"/>
          <w:highlight w:val="none"/>
          <w14:textFill>
            <w14:solidFill>
              <w14:schemeClr w14:val="tx1"/>
            </w14:solidFill>
          </w14:textFill>
        </w:rPr>
        <w:t>家响应单位，采购人将与之进行二次议价（满足的响应单位超过</w:t>
      </w:r>
      <w:r>
        <w:rPr>
          <w:rFonts w:hint="eastAsia"/>
          <w:color w:val="000000" w:themeColor="text1"/>
          <w:sz w:val="24"/>
          <w:highlight w:val="none"/>
          <w:lang w:val="en-US" w:eastAsia="zh-CN"/>
          <w14:textFill>
            <w14:solidFill>
              <w14:schemeClr w14:val="tx1"/>
            </w14:solidFill>
          </w14:textFill>
        </w:rPr>
        <w:t>4</w:t>
      </w:r>
      <w:r>
        <w:rPr>
          <w:rFonts w:hint="eastAsia"/>
          <w:color w:val="000000" w:themeColor="text1"/>
          <w:sz w:val="24"/>
          <w:highlight w:val="none"/>
          <w14:textFill>
            <w14:solidFill>
              <w14:schemeClr w14:val="tx1"/>
            </w14:solidFill>
          </w14:textFill>
        </w:rPr>
        <w:t>家，则改为对</w:t>
      </w:r>
      <w:r>
        <w:rPr>
          <w:rFonts w:hint="eastAsia"/>
          <w:color w:val="000000" w:themeColor="text1"/>
          <w:sz w:val="24"/>
          <w:highlight w:val="none"/>
          <w:lang w:val="en-US" w:eastAsia="zh-CN"/>
          <w14:textFill>
            <w14:solidFill>
              <w14:schemeClr w14:val="tx1"/>
            </w14:solidFill>
          </w14:textFill>
        </w:rPr>
        <w:t>4</w:t>
      </w:r>
      <w:r>
        <w:rPr>
          <w:rFonts w:hint="eastAsia"/>
          <w:color w:val="000000" w:themeColor="text1"/>
          <w:sz w:val="24"/>
          <w:highlight w:val="none"/>
          <w14:textFill>
            <w14:solidFill>
              <w14:schemeClr w14:val="tx1"/>
            </w14:solidFill>
          </w14:textFill>
        </w:rPr>
        <w:t>家单价进行二次议价）。</w:t>
      </w:r>
    </w:p>
    <w:p w14:paraId="26599E26">
      <w:pPr>
        <w:spacing w:line="360" w:lineRule="auto"/>
        <w:ind w:left="1119" w:leftChars="247" w:hanging="600" w:hangingChars="25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2.3.2各响应单位确认最终报价后，将按照以下步骤进行经济部分打分：</w:t>
      </w:r>
    </w:p>
    <w:p w14:paraId="03832962">
      <w:pPr>
        <w:spacing w:line="360" w:lineRule="auto"/>
        <w:ind w:left="1059" w:leftChars="447" w:hanging="120" w:hangingChars="50"/>
        <w:rPr>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（1）确定评审基准价。</w:t>
      </w:r>
      <w:r>
        <w:rPr>
          <w:rFonts w:hint="eastAsia" w:hAnsi="宋体"/>
          <w:color w:val="000000" w:themeColor="text1"/>
          <w:sz w:val="24"/>
          <w:highlight w:val="none"/>
          <w14:textFill>
            <w14:solidFill>
              <w14:schemeClr w14:val="tx1"/>
            </w14:solidFill>
          </w14:textFill>
        </w:rPr>
        <w:t>最低报价作为评审基准价。</w:t>
      </w:r>
    </w:p>
    <w:p w14:paraId="47FA1A37">
      <w:pPr>
        <w:spacing w:line="360" w:lineRule="auto"/>
        <w:ind w:left="1059" w:leftChars="447" w:hanging="120" w:hangingChars="50"/>
        <w:rPr>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（2）</w:t>
      </w:r>
      <w:r>
        <w:rPr>
          <w:rFonts w:hint="eastAsia" w:hAnsi="宋体"/>
          <w:b/>
          <w:color w:val="000000" w:themeColor="text1"/>
          <w:sz w:val="24"/>
          <w:highlight w:val="none"/>
          <w14:textFill>
            <w14:solidFill>
              <w14:schemeClr w14:val="tx1"/>
            </w14:solidFill>
          </w14:textFill>
        </w:rPr>
        <w:t>根据</w:t>
      </w:r>
      <w:r>
        <w:rPr>
          <w:rFonts w:hAnsi="宋体"/>
          <w:b/>
          <w:color w:val="000000" w:themeColor="text1"/>
          <w:sz w:val="24"/>
          <w:highlight w:val="none"/>
          <w14:textFill>
            <w14:solidFill>
              <w14:schemeClr w14:val="tx1"/>
            </w14:solidFill>
          </w14:textFill>
        </w:rPr>
        <w:t>各</w:t>
      </w:r>
      <w:r>
        <w:rPr>
          <w:rFonts w:hint="eastAsia" w:hAnsi="宋体"/>
          <w:b/>
          <w:color w:val="000000" w:themeColor="text1"/>
          <w:sz w:val="24"/>
          <w:highlight w:val="none"/>
          <w14:textFill>
            <w14:solidFill>
              <w14:schemeClr w14:val="tx1"/>
            </w14:solidFill>
          </w14:textFill>
        </w:rPr>
        <w:t>响应单位最终确认报价与基准价</w:t>
      </w:r>
      <w:r>
        <w:rPr>
          <w:rFonts w:hAnsi="宋体"/>
          <w:b/>
          <w:color w:val="000000" w:themeColor="text1"/>
          <w:sz w:val="24"/>
          <w:highlight w:val="none"/>
          <w14:textFill>
            <w14:solidFill>
              <w14:schemeClr w14:val="tx1"/>
            </w14:solidFill>
          </w14:textFill>
        </w:rPr>
        <w:t>的差异值</w:t>
      </w:r>
      <w:r>
        <w:rPr>
          <w:rFonts w:hint="eastAsia" w:hAnsi="宋体"/>
          <w:b/>
          <w:color w:val="000000" w:themeColor="text1"/>
          <w:sz w:val="24"/>
          <w:highlight w:val="none"/>
          <w14:textFill>
            <w14:solidFill>
              <w14:schemeClr w14:val="tx1"/>
            </w14:solidFill>
          </w14:textFill>
        </w:rPr>
        <w:t>进行评分。</w:t>
      </w:r>
      <w:r>
        <w:rPr>
          <w:rFonts w:hint="eastAsia" w:hAnsi="宋体"/>
          <w:color w:val="000000" w:themeColor="text1"/>
          <w:sz w:val="24"/>
          <w:highlight w:val="none"/>
          <w14:textFill>
            <w14:solidFill>
              <w14:schemeClr w14:val="tx1"/>
            </w14:solidFill>
          </w14:textFill>
        </w:rPr>
        <w:t>响应单位的最终确认报价等</w:t>
      </w:r>
      <w:r>
        <w:rPr>
          <w:rFonts w:hAnsi="宋体"/>
          <w:color w:val="000000" w:themeColor="text1"/>
          <w:sz w:val="24"/>
          <w:highlight w:val="none"/>
          <w14:textFill>
            <w14:solidFill>
              <w14:schemeClr w14:val="tx1"/>
            </w14:solidFill>
          </w14:textFill>
        </w:rPr>
        <w:t>于基准价的为最优</w:t>
      </w:r>
      <w:r>
        <w:rPr>
          <w:rFonts w:hint="eastAsia" w:hAnsi="宋体"/>
          <w:color w:val="000000" w:themeColor="text1"/>
          <w:sz w:val="24"/>
          <w:highlight w:val="none"/>
          <w14:textFill>
            <w14:solidFill>
              <w14:schemeClr w14:val="tx1"/>
            </w14:solidFill>
          </w14:textFill>
        </w:rPr>
        <w:t>报价</w:t>
      </w:r>
      <w:r>
        <w:rPr>
          <w:rFonts w:hAnsi="宋体"/>
          <w:color w:val="000000" w:themeColor="text1"/>
          <w:sz w:val="24"/>
          <w:highlight w:val="none"/>
          <w14:textFill>
            <w14:solidFill>
              <w14:schemeClr w14:val="tx1"/>
            </w14:solidFill>
          </w14:textFill>
        </w:rPr>
        <w:t>，报价得满分。</w:t>
      </w:r>
      <w:r>
        <w:rPr>
          <w:rFonts w:hint="eastAsia" w:hAnsi="宋体"/>
          <w:color w:val="000000" w:themeColor="text1"/>
          <w:sz w:val="24"/>
          <w:highlight w:val="none"/>
          <w14:textFill>
            <w14:solidFill>
              <w14:schemeClr w14:val="tx1"/>
            </w14:solidFill>
          </w14:textFill>
        </w:rPr>
        <w:t>每高于基准价最优值区间</w:t>
      </w:r>
      <w:r>
        <w:rPr>
          <w:color w:val="000000" w:themeColor="text1"/>
          <w:sz w:val="24"/>
          <w:highlight w:val="none"/>
          <w14:textFill>
            <w14:solidFill>
              <w14:schemeClr w14:val="tx1"/>
            </w14:solidFill>
          </w14:textFill>
        </w:rPr>
        <w:t>1%</w:t>
      </w:r>
      <w:r>
        <w:rPr>
          <w:rFonts w:hint="eastAsia"/>
          <w:color w:val="000000" w:themeColor="text1"/>
          <w:sz w:val="24"/>
          <w:highlight w:val="none"/>
          <w14:textFill>
            <w14:solidFill>
              <w14:schemeClr w14:val="tx1"/>
            </w14:solidFill>
          </w14:textFill>
        </w:rPr>
        <w:t>扣5分，以此类推等比扣减，扣完为止。</w:t>
      </w:r>
    </w:p>
    <w:p w14:paraId="725FC8C0">
      <w:pPr>
        <w:spacing w:line="360" w:lineRule="auto"/>
        <w:ind w:left="1119" w:leftChars="247" w:hanging="600" w:hangingChars="250"/>
        <w:rPr>
          <w:rFonts w:hint="eastAsia" w:hAnsi="宋体"/>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2.3.3</w:t>
      </w:r>
      <w:r>
        <w:rPr>
          <w:rFonts w:hAnsi="宋体"/>
          <w:color w:val="000000" w:themeColor="text1"/>
          <w:sz w:val="24"/>
          <w:highlight w:val="none"/>
          <w14:textFill>
            <w14:solidFill>
              <w14:schemeClr w14:val="tx1"/>
            </w14:solidFill>
          </w14:textFill>
        </w:rPr>
        <w:t>详细评分指标见附表</w:t>
      </w:r>
      <w:r>
        <w:rPr>
          <w:rFonts w:hint="eastAsia" w:hAnsi="宋体"/>
          <w:color w:val="000000" w:themeColor="text1"/>
          <w:sz w:val="24"/>
          <w:highlight w:val="none"/>
          <w14:textFill>
            <w14:solidFill>
              <w14:schemeClr w14:val="tx1"/>
            </w14:solidFill>
          </w14:textFill>
        </w:rPr>
        <w:t>3</w:t>
      </w:r>
      <w:r>
        <w:rPr>
          <w:rFonts w:hAnsi="宋体"/>
          <w:color w:val="000000" w:themeColor="text1"/>
          <w:sz w:val="24"/>
          <w:highlight w:val="none"/>
          <w14:textFill>
            <w14:solidFill>
              <w14:schemeClr w14:val="tx1"/>
            </w14:solidFill>
          </w14:textFill>
        </w:rPr>
        <w:t>《经济</w:t>
      </w:r>
      <w:r>
        <w:rPr>
          <w:rFonts w:hint="eastAsia" w:hAnsi="宋体"/>
          <w:color w:val="000000" w:themeColor="text1"/>
          <w:sz w:val="24"/>
          <w:highlight w:val="none"/>
          <w14:textFill>
            <w14:solidFill>
              <w14:schemeClr w14:val="tx1"/>
            </w14:solidFill>
          </w14:textFill>
        </w:rPr>
        <w:t>报价</w:t>
      </w:r>
      <w:r>
        <w:rPr>
          <w:rFonts w:hAnsi="宋体"/>
          <w:color w:val="000000" w:themeColor="text1"/>
          <w:sz w:val="24"/>
          <w:highlight w:val="none"/>
          <w14:textFill>
            <w14:solidFill>
              <w14:schemeClr w14:val="tx1"/>
            </w14:solidFill>
          </w14:textFill>
        </w:rPr>
        <w:t>评分表》。</w:t>
      </w:r>
    </w:p>
    <w:p w14:paraId="77F7A3E5">
      <w:pPr>
        <w:spacing w:line="360" w:lineRule="auto"/>
        <w:ind w:left="582" w:leftChars="33" w:hanging="513" w:hangingChars="213"/>
        <w:rPr>
          <w:b/>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2.4</w:t>
      </w:r>
      <w:r>
        <w:rPr>
          <w:b/>
          <w:color w:val="000000" w:themeColor="text1"/>
          <w:sz w:val="24"/>
          <w:highlight w:val="none"/>
          <w14:textFill>
            <w14:solidFill>
              <w14:schemeClr w14:val="tx1"/>
            </w14:solidFill>
          </w14:textFill>
        </w:rPr>
        <w:t>.澄清或补正</w:t>
      </w:r>
    </w:p>
    <w:p w14:paraId="38441AB6">
      <w:pPr>
        <w:spacing w:line="360" w:lineRule="auto"/>
        <w:ind w:left="1119" w:leftChars="247" w:hanging="600" w:hangingChars="25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2.4</w:t>
      </w:r>
      <w:r>
        <w:rPr>
          <w:color w:val="000000" w:themeColor="text1"/>
          <w:sz w:val="24"/>
          <w:highlight w:val="none"/>
          <w14:textFill>
            <w14:solidFill>
              <w14:schemeClr w14:val="tx1"/>
            </w14:solidFill>
          </w14:textFill>
        </w:rPr>
        <w:t>.1在评审阶段，</w:t>
      </w:r>
      <w:r>
        <w:rPr>
          <w:rFonts w:hint="eastAsia"/>
          <w:color w:val="000000" w:themeColor="text1"/>
          <w:sz w:val="24"/>
          <w:highlight w:val="none"/>
          <w14:textFill>
            <w14:solidFill>
              <w14:schemeClr w14:val="tx1"/>
            </w14:solidFill>
          </w14:textFill>
        </w:rPr>
        <w:t>采购</w:t>
      </w:r>
      <w:r>
        <w:rPr>
          <w:color w:val="000000" w:themeColor="text1"/>
          <w:sz w:val="24"/>
          <w:highlight w:val="none"/>
          <w14:textFill>
            <w14:solidFill>
              <w14:schemeClr w14:val="tx1"/>
            </w14:solidFill>
          </w14:textFill>
        </w:rPr>
        <w:t>小组认为必要时，可要求响应单位澄清或补正响应文件中的问题，或者要求其补充某些资料，包括单价的分析资料等；对此，响应单位不得拒绝。</w:t>
      </w:r>
    </w:p>
    <w:p w14:paraId="064A738E">
      <w:pPr>
        <w:spacing w:line="360" w:lineRule="auto"/>
        <w:ind w:left="1119" w:leftChars="247" w:hanging="600" w:hangingChars="25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2.4</w:t>
      </w:r>
      <w:r>
        <w:rPr>
          <w:color w:val="000000" w:themeColor="text1"/>
          <w:sz w:val="24"/>
          <w:highlight w:val="none"/>
          <w14:textFill>
            <w14:solidFill>
              <w14:schemeClr w14:val="tx1"/>
            </w14:solidFill>
          </w14:textFill>
        </w:rPr>
        <w:t>.2响应单位须以书面形式提供澄清或补正文件，并作为响应文件的组成部分。</w:t>
      </w:r>
    </w:p>
    <w:p w14:paraId="012A1AF4">
      <w:pPr>
        <w:spacing w:line="360" w:lineRule="auto"/>
        <w:ind w:left="582" w:leftChars="33" w:hanging="513" w:hangingChars="213"/>
        <w:rPr>
          <w:b/>
          <w:color w:val="000000" w:themeColor="text1"/>
          <w:sz w:val="24"/>
          <w:highlight w:val="none"/>
          <w14:textFill>
            <w14:solidFill>
              <w14:schemeClr w14:val="tx1"/>
            </w14:solidFill>
          </w14:textFill>
        </w:rPr>
      </w:pPr>
      <w:r>
        <w:rPr>
          <w:rFonts w:hint="eastAsia"/>
          <w:b/>
          <w:color w:val="000000" w:themeColor="text1"/>
          <w:sz w:val="24"/>
          <w:highlight w:val="none"/>
          <w14:textFill>
            <w14:solidFill>
              <w14:schemeClr w14:val="tx1"/>
            </w14:solidFill>
          </w14:textFill>
        </w:rPr>
        <w:t>2.5.</w:t>
      </w:r>
      <w:r>
        <w:rPr>
          <w:b/>
          <w:color w:val="000000" w:themeColor="text1"/>
          <w:sz w:val="24"/>
          <w:highlight w:val="none"/>
          <w14:textFill>
            <w14:solidFill>
              <w14:schemeClr w14:val="tx1"/>
            </w14:solidFill>
          </w14:textFill>
        </w:rPr>
        <w:t>汇总评分结果</w:t>
      </w:r>
    </w:p>
    <w:p w14:paraId="3620D479">
      <w:pPr>
        <w:spacing w:line="360" w:lineRule="auto"/>
        <w:ind w:left="1119" w:leftChars="247" w:hanging="600" w:hangingChars="25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2.5</w:t>
      </w:r>
      <w:r>
        <w:rPr>
          <w:color w:val="000000" w:themeColor="text1"/>
          <w:sz w:val="24"/>
          <w:highlight w:val="none"/>
          <w14:textFill>
            <w14:solidFill>
              <w14:schemeClr w14:val="tx1"/>
            </w14:solidFill>
          </w14:textFill>
        </w:rPr>
        <w:t>.1</w:t>
      </w:r>
      <w:r>
        <w:rPr>
          <w:rFonts w:hint="eastAsia"/>
          <w:color w:val="000000" w:themeColor="text1"/>
          <w:sz w:val="24"/>
          <w:highlight w:val="none"/>
          <w14:textFill>
            <w14:solidFill>
              <w14:schemeClr w14:val="tx1"/>
            </w14:solidFill>
          </w14:textFill>
        </w:rPr>
        <w:t>采购</w:t>
      </w:r>
      <w:r>
        <w:rPr>
          <w:color w:val="000000" w:themeColor="text1"/>
          <w:sz w:val="24"/>
          <w:highlight w:val="none"/>
          <w14:textFill>
            <w14:solidFill>
              <w14:schemeClr w14:val="tx1"/>
            </w14:solidFill>
          </w14:textFill>
        </w:rPr>
        <w:t>小组成员</w:t>
      </w:r>
      <w:r>
        <w:rPr>
          <w:rFonts w:hint="eastAsia"/>
          <w:color w:val="000000" w:themeColor="text1"/>
          <w:sz w:val="24"/>
          <w:highlight w:val="none"/>
          <w14:textFill>
            <w14:solidFill>
              <w14:schemeClr w14:val="tx1"/>
            </w14:solidFill>
          </w14:textFill>
        </w:rPr>
        <w:t>负责</w:t>
      </w:r>
      <w:r>
        <w:rPr>
          <w:color w:val="000000" w:themeColor="text1"/>
          <w:sz w:val="24"/>
          <w:highlight w:val="none"/>
          <w14:textFill>
            <w14:solidFill>
              <w14:schemeClr w14:val="tx1"/>
            </w14:solidFill>
          </w14:textFill>
        </w:rPr>
        <w:t>各</w:t>
      </w:r>
      <w:r>
        <w:rPr>
          <w:rFonts w:hint="eastAsia"/>
          <w:color w:val="000000" w:themeColor="text1"/>
          <w:sz w:val="24"/>
          <w:highlight w:val="none"/>
          <w14:textFill>
            <w14:solidFill>
              <w14:schemeClr w14:val="tx1"/>
            </w14:solidFill>
          </w14:textFill>
        </w:rPr>
        <w:t>自相关内容的</w:t>
      </w:r>
      <w:r>
        <w:rPr>
          <w:color w:val="000000" w:themeColor="text1"/>
          <w:sz w:val="24"/>
          <w:highlight w:val="none"/>
          <w14:textFill>
            <w14:solidFill>
              <w14:schemeClr w14:val="tx1"/>
            </w14:solidFill>
          </w14:textFill>
        </w:rPr>
        <w:t>评分，并</w:t>
      </w:r>
      <w:r>
        <w:rPr>
          <w:rFonts w:hint="eastAsia"/>
          <w:color w:val="000000" w:themeColor="text1"/>
          <w:sz w:val="24"/>
          <w:highlight w:val="none"/>
          <w14:textFill>
            <w14:solidFill>
              <w14:schemeClr w14:val="tx1"/>
            </w14:solidFill>
          </w14:textFill>
        </w:rPr>
        <w:t>将</w:t>
      </w:r>
      <w:r>
        <w:rPr>
          <w:color w:val="000000" w:themeColor="text1"/>
          <w:sz w:val="24"/>
          <w:highlight w:val="none"/>
          <w14:textFill>
            <w14:solidFill>
              <w14:schemeClr w14:val="tx1"/>
            </w14:solidFill>
          </w14:textFill>
        </w:rPr>
        <w:t>计算</w:t>
      </w:r>
      <w:r>
        <w:rPr>
          <w:rFonts w:hint="eastAsia"/>
          <w:color w:val="000000" w:themeColor="text1"/>
          <w:sz w:val="24"/>
          <w:highlight w:val="none"/>
          <w14:textFill>
            <w14:solidFill>
              <w14:schemeClr w14:val="tx1"/>
            </w14:solidFill>
          </w14:textFill>
        </w:rPr>
        <w:t>结果</w:t>
      </w:r>
      <w:r>
        <w:rPr>
          <w:color w:val="000000" w:themeColor="text1"/>
          <w:sz w:val="24"/>
          <w:highlight w:val="none"/>
          <w14:textFill>
            <w14:solidFill>
              <w14:schemeClr w14:val="tx1"/>
            </w14:solidFill>
          </w14:textFill>
        </w:rPr>
        <w:t>加权得分</w:t>
      </w:r>
      <w:r>
        <w:rPr>
          <w:rFonts w:hint="eastAsia"/>
          <w:color w:val="000000" w:themeColor="text1"/>
          <w:sz w:val="24"/>
          <w:highlight w:val="none"/>
          <w14:textFill>
            <w14:solidFill>
              <w14:schemeClr w14:val="tx1"/>
            </w14:solidFill>
          </w14:textFill>
        </w:rPr>
        <w:t>后汇总出各响应单位的最终评分</w:t>
      </w:r>
      <w:r>
        <w:rPr>
          <w:color w:val="000000" w:themeColor="text1"/>
          <w:sz w:val="24"/>
          <w:highlight w:val="none"/>
          <w14:textFill>
            <w14:solidFill>
              <w14:schemeClr w14:val="tx1"/>
            </w14:solidFill>
          </w14:textFill>
        </w:rPr>
        <w:t>。</w:t>
      </w:r>
    </w:p>
    <w:p w14:paraId="6E791125">
      <w:pPr>
        <w:spacing w:line="360" w:lineRule="auto"/>
        <w:ind w:left="1117" w:leftChars="532"/>
        <w:rPr>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响应单位综合得分＝A1*K1+A2*K2</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 xml:space="preserve"> A</w:t>
      </w:r>
      <w:r>
        <w:rPr>
          <w:rFonts w:hint="eastAsia"/>
          <w:color w:val="000000" w:themeColor="text1"/>
          <w:sz w:val="24"/>
          <w:highlight w:val="none"/>
          <w14:textFill>
            <w14:solidFill>
              <w14:schemeClr w14:val="tx1"/>
            </w14:solidFill>
          </w14:textFill>
        </w:rPr>
        <w:t>3</w:t>
      </w:r>
      <w:r>
        <w:rPr>
          <w:color w:val="000000" w:themeColor="text1"/>
          <w:sz w:val="24"/>
          <w:highlight w:val="none"/>
          <w14:textFill>
            <w14:solidFill>
              <w14:schemeClr w14:val="tx1"/>
            </w14:solidFill>
          </w14:textFill>
        </w:rPr>
        <w:t>*K</w:t>
      </w:r>
      <w:r>
        <w:rPr>
          <w:rFonts w:hint="eastAsia"/>
          <w:color w:val="000000" w:themeColor="text1"/>
          <w:sz w:val="24"/>
          <w:highlight w:val="none"/>
          <w14:textFill>
            <w14:solidFill>
              <w14:schemeClr w14:val="tx1"/>
            </w14:solidFill>
          </w14:textFill>
        </w:rPr>
        <w:t>3（A1、A2、A3分别为商务、技术、经济部分的评分，</w:t>
      </w:r>
      <w:r>
        <w:rPr>
          <w:color w:val="000000" w:themeColor="text1"/>
          <w:sz w:val="24"/>
          <w:highlight w:val="none"/>
          <w14:textFill>
            <w14:solidFill>
              <w14:schemeClr w14:val="tx1"/>
            </w14:solidFill>
          </w14:textFill>
        </w:rPr>
        <w:t>K1</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K</w:t>
      </w:r>
      <w:r>
        <w:rPr>
          <w:rFonts w:hint="eastAsia"/>
          <w:color w:val="000000" w:themeColor="text1"/>
          <w:sz w:val="24"/>
          <w:highlight w:val="none"/>
          <w14:textFill>
            <w14:solidFill>
              <w14:schemeClr w14:val="tx1"/>
            </w14:solidFill>
          </w14:textFill>
        </w:rPr>
        <w:t>2、</w:t>
      </w:r>
      <w:r>
        <w:rPr>
          <w:color w:val="000000" w:themeColor="text1"/>
          <w:sz w:val="24"/>
          <w:highlight w:val="none"/>
          <w14:textFill>
            <w14:solidFill>
              <w14:schemeClr w14:val="tx1"/>
            </w14:solidFill>
          </w14:textFill>
        </w:rPr>
        <w:t>K</w:t>
      </w:r>
      <w:r>
        <w:rPr>
          <w:rFonts w:hint="eastAsia"/>
          <w:color w:val="000000" w:themeColor="text1"/>
          <w:sz w:val="24"/>
          <w:highlight w:val="none"/>
          <w14:textFill>
            <w14:solidFill>
              <w14:schemeClr w14:val="tx1"/>
            </w14:solidFill>
          </w14:textFill>
        </w:rPr>
        <w:t>3分别为商务、技术、经济部分在综合得分中所占的权重）</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详</w:t>
      </w:r>
      <w:r>
        <w:rPr>
          <w:color w:val="000000" w:themeColor="text1"/>
          <w:sz w:val="24"/>
          <w:highlight w:val="none"/>
          <w14:textFill>
            <w14:solidFill>
              <w14:schemeClr w14:val="tx1"/>
            </w14:solidFill>
          </w14:textFill>
        </w:rPr>
        <w:t>见附表</w:t>
      </w:r>
      <w:r>
        <w:rPr>
          <w:rFonts w:hint="eastAsia"/>
          <w:color w:val="000000" w:themeColor="text1"/>
          <w:sz w:val="24"/>
          <w:highlight w:val="none"/>
          <w14:textFill>
            <w14:solidFill>
              <w14:schemeClr w14:val="tx1"/>
            </w14:solidFill>
          </w14:textFill>
        </w:rPr>
        <w:t>4</w:t>
      </w:r>
      <w:r>
        <w:rPr>
          <w:color w:val="000000" w:themeColor="text1"/>
          <w:sz w:val="24"/>
          <w:highlight w:val="none"/>
          <w14:textFill>
            <w14:solidFill>
              <w14:schemeClr w14:val="tx1"/>
            </w14:solidFill>
          </w14:textFill>
        </w:rPr>
        <w:t>《综合得分表》。</w:t>
      </w:r>
    </w:p>
    <w:p w14:paraId="0A161527">
      <w:pPr>
        <w:spacing w:line="360" w:lineRule="auto"/>
        <w:ind w:left="1119" w:leftChars="247" w:hanging="600" w:hangingChars="250"/>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2.5</w:t>
      </w: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2</w:t>
      </w:r>
      <w:r>
        <w:rPr>
          <w:color w:val="000000" w:themeColor="text1"/>
          <w:sz w:val="24"/>
          <w:highlight w:val="none"/>
          <w14:textFill>
            <w14:solidFill>
              <w14:schemeClr w14:val="tx1"/>
            </w14:solidFill>
          </w14:textFill>
        </w:rPr>
        <w:t>评审小组</w:t>
      </w:r>
      <w:r>
        <w:rPr>
          <w:rFonts w:hint="eastAsia"/>
          <w:color w:val="000000" w:themeColor="text1"/>
          <w:sz w:val="24"/>
          <w:highlight w:val="none"/>
          <w14:textFill>
            <w14:solidFill>
              <w14:schemeClr w14:val="tx1"/>
            </w14:solidFill>
          </w14:textFill>
        </w:rPr>
        <w:t>按照</w:t>
      </w:r>
      <w:r>
        <w:rPr>
          <w:color w:val="000000" w:themeColor="text1"/>
          <w:sz w:val="24"/>
          <w:highlight w:val="none"/>
          <w14:textFill>
            <w14:solidFill>
              <w14:schemeClr w14:val="tx1"/>
            </w14:solidFill>
          </w14:textFill>
        </w:rPr>
        <w:t>最终汇总</w:t>
      </w:r>
      <w:r>
        <w:rPr>
          <w:rFonts w:hint="eastAsia"/>
          <w:color w:val="000000" w:themeColor="text1"/>
          <w:sz w:val="24"/>
          <w:highlight w:val="none"/>
          <w14:textFill>
            <w14:solidFill>
              <w14:schemeClr w14:val="tx1"/>
            </w14:solidFill>
          </w14:textFill>
        </w:rPr>
        <w:t>分数进行</w:t>
      </w:r>
      <w:r>
        <w:rPr>
          <w:color w:val="000000" w:themeColor="text1"/>
          <w:sz w:val="24"/>
          <w:highlight w:val="none"/>
          <w14:textFill>
            <w14:solidFill>
              <w14:schemeClr w14:val="tx1"/>
            </w14:solidFill>
          </w14:textFill>
        </w:rPr>
        <w:t>排序，推荐出</w:t>
      </w:r>
      <w:r>
        <w:rPr>
          <w:rFonts w:hint="eastAsia"/>
          <w:color w:val="000000" w:themeColor="text1"/>
          <w:sz w:val="24"/>
          <w:highlight w:val="none"/>
          <w14:textFill>
            <w14:solidFill>
              <w14:schemeClr w14:val="tx1"/>
            </w14:solidFill>
          </w14:textFill>
        </w:rPr>
        <w:t>备选成交单位</w:t>
      </w:r>
      <w:r>
        <w:rPr>
          <w:color w:val="000000" w:themeColor="text1"/>
          <w:sz w:val="24"/>
          <w:highlight w:val="none"/>
          <w14:textFill>
            <w14:solidFill>
              <w14:schemeClr w14:val="tx1"/>
            </w14:solidFill>
          </w14:textFill>
        </w:rPr>
        <w:t>名单</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如存在最终得分相同的单位</w:t>
      </w:r>
      <w:r>
        <w:rPr>
          <w:rFonts w:hint="eastAsia"/>
          <w:color w:val="000000" w:themeColor="text1"/>
          <w:sz w:val="24"/>
          <w:highlight w:val="none"/>
          <w14:textFill>
            <w14:solidFill>
              <w14:schemeClr w14:val="tx1"/>
            </w14:solidFill>
          </w14:textFill>
        </w:rPr>
        <w:t>，</w:t>
      </w:r>
      <w:r>
        <w:rPr>
          <w:color w:val="000000" w:themeColor="text1"/>
          <w:sz w:val="24"/>
          <w:highlight w:val="none"/>
          <w14:textFill>
            <w14:solidFill>
              <w14:schemeClr w14:val="tx1"/>
            </w14:solidFill>
          </w14:textFill>
        </w:rPr>
        <w:t>最终报价低者排名在前。</w:t>
      </w:r>
    </w:p>
    <w:p w14:paraId="587DC7C5">
      <w:pPr>
        <w:spacing w:line="360" w:lineRule="auto"/>
        <w:rPr>
          <w:rFonts w:hint="eastAsia" w:hAnsi="宋体"/>
          <w:color w:val="000000" w:themeColor="text1"/>
          <w:sz w:val="24"/>
          <w:highlight w:val="none"/>
          <w14:textFill>
            <w14:solidFill>
              <w14:schemeClr w14:val="tx1"/>
            </w14:solidFill>
          </w14:textFill>
        </w:rPr>
      </w:pPr>
    </w:p>
    <w:p w14:paraId="06BCE0BA">
      <w:pPr>
        <w:spacing w:line="360" w:lineRule="auto"/>
        <w:rPr>
          <w:rFonts w:hint="eastAsia" w:hAnsi="宋体"/>
          <w:color w:val="000000" w:themeColor="text1"/>
          <w:sz w:val="24"/>
          <w:highlight w:val="none"/>
          <w14:textFill>
            <w14:solidFill>
              <w14:schemeClr w14:val="tx1"/>
            </w14:solidFill>
          </w14:textFill>
        </w:rPr>
      </w:pPr>
    </w:p>
    <w:p w14:paraId="4D701B43">
      <w:pPr>
        <w:spacing w:line="360" w:lineRule="auto"/>
        <w:rPr>
          <w:rFonts w:hint="eastAsia" w:hAnsi="宋体"/>
          <w:color w:val="000000" w:themeColor="text1"/>
          <w:sz w:val="24"/>
          <w:highlight w:val="none"/>
          <w14:textFill>
            <w14:solidFill>
              <w14:schemeClr w14:val="tx1"/>
            </w14:solidFill>
          </w14:textFill>
        </w:rPr>
        <w:sectPr>
          <w:pgSz w:w="11907" w:h="16840"/>
          <w:pgMar w:top="1417" w:right="1701" w:bottom="1417" w:left="1701" w:header="850" w:footer="1134" w:gutter="0"/>
          <w:pgNumType w:fmt="decimal"/>
          <w:cols w:space="0" w:num="1"/>
          <w:rtlGutter w:val="0"/>
          <w:docGrid w:linePitch="312" w:charSpace="0"/>
        </w:sectPr>
      </w:pPr>
    </w:p>
    <w:p w14:paraId="591C129C">
      <w:pPr>
        <w:spacing w:line="360" w:lineRule="auto"/>
        <w:rPr>
          <w:color w:val="000000" w:themeColor="text1"/>
          <w:sz w:val="24"/>
          <w:highlight w:val="none"/>
          <w14:textFill>
            <w14:solidFill>
              <w14:schemeClr w14:val="tx1"/>
            </w14:solidFill>
          </w14:textFill>
        </w:rPr>
      </w:pPr>
      <w:r>
        <w:rPr>
          <w:rFonts w:hAnsi="宋体"/>
          <w:color w:val="000000" w:themeColor="text1"/>
          <w:sz w:val="24"/>
          <w:highlight w:val="none"/>
          <w14:textFill>
            <w14:solidFill>
              <w14:schemeClr w14:val="tx1"/>
            </w14:solidFill>
          </w14:textFill>
        </w:rPr>
        <w:t>附表</w:t>
      </w:r>
      <w:r>
        <w:rPr>
          <w:rFonts w:hint="eastAsia" w:hAnsi="宋体"/>
          <w:color w:val="000000" w:themeColor="text1"/>
          <w:sz w:val="24"/>
          <w:highlight w:val="none"/>
          <w14:textFill>
            <w14:solidFill>
              <w14:schemeClr w14:val="tx1"/>
            </w14:solidFill>
          </w14:textFill>
        </w:rPr>
        <w:t>1</w:t>
      </w:r>
      <w:r>
        <w:rPr>
          <w:rFonts w:hAnsi="宋体"/>
          <w:color w:val="000000" w:themeColor="text1"/>
          <w:sz w:val="24"/>
          <w:highlight w:val="none"/>
          <w14:textFill>
            <w14:solidFill>
              <w14:schemeClr w14:val="tx1"/>
            </w14:solidFill>
          </w14:textFill>
        </w:rPr>
        <w:t>　</w:t>
      </w:r>
    </w:p>
    <w:p w14:paraId="2502CEC7">
      <w:pPr>
        <w:spacing w:line="360" w:lineRule="auto"/>
        <w:jc w:val="center"/>
        <w:rPr>
          <w:rFonts w:hint="eastAsia" w:hAnsi="宋体"/>
          <w:b/>
          <w:color w:val="000000" w:themeColor="text1"/>
          <w:sz w:val="24"/>
          <w:highlight w:val="none"/>
          <w14:textFill>
            <w14:solidFill>
              <w14:schemeClr w14:val="tx1"/>
            </w14:solidFill>
          </w14:textFill>
        </w:rPr>
      </w:pPr>
      <w:r>
        <w:rPr>
          <w:rFonts w:hint="eastAsia" w:hAnsi="宋体"/>
          <w:b/>
          <w:color w:val="000000" w:themeColor="text1"/>
          <w:sz w:val="24"/>
          <w:highlight w:val="none"/>
          <w14:textFill>
            <w14:solidFill>
              <w14:schemeClr w14:val="tx1"/>
            </w14:solidFill>
          </w14:textFill>
        </w:rPr>
        <w:t>商务资料</w:t>
      </w:r>
      <w:r>
        <w:rPr>
          <w:rFonts w:hAnsi="宋体"/>
          <w:b/>
          <w:color w:val="000000" w:themeColor="text1"/>
          <w:sz w:val="24"/>
          <w:highlight w:val="none"/>
          <w14:textFill>
            <w14:solidFill>
              <w14:schemeClr w14:val="tx1"/>
            </w14:solidFill>
          </w14:textFill>
        </w:rPr>
        <w:t>评分表</w:t>
      </w:r>
    </w:p>
    <w:p w14:paraId="77C3758A">
      <w:pPr>
        <w:spacing w:line="360"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响应单位名称：</w:t>
      </w:r>
    </w:p>
    <w:tbl>
      <w:tblPr>
        <w:tblStyle w:val="31"/>
        <w:tblW w:w="9110"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55"/>
        <w:gridCol w:w="1980"/>
        <w:gridCol w:w="737"/>
        <w:gridCol w:w="2154"/>
        <w:gridCol w:w="2891"/>
        <w:gridCol w:w="793"/>
      </w:tblGrid>
      <w:tr w14:paraId="53A562E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41" w:hRule="atLeast"/>
          <w:tblHeader/>
          <w:jc w:val="center"/>
        </w:trPr>
        <w:tc>
          <w:tcPr>
            <w:tcW w:w="555" w:type="dxa"/>
            <w:vMerge w:val="restart"/>
            <w:vAlign w:val="center"/>
          </w:tcPr>
          <w:p w14:paraId="208139C1">
            <w:pPr>
              <w:jc w:val="center"/>
              <w:rPr>
                <w:rFonts w:ascii="Arial" w:hAnsi="Arial" w:cs="Arial"/>
                <w:b/>
                <w:color w:val="000000" w:themeColor="text1"/>
                <w:szCs w:val="21"/>
                <w:highlight w:val="none"/>
                <w14:textFill>
                  <w14:solidFill>
                    <w14:schemeClr w14:val="tx1"/>
                  </w14:solidFill>
                </w14:textFill>
              </w:rPr>
            </w:pPr>
            <w:r>
              <w:rPr>
                <w:rFonts w:ascii="Arial" w:hAnsi="Arial" w:cs="Arial"/>
                <w:b/>
                <w:color w:val="000000" w:themeColor="text1"/>
                <w:szCs w:val="21"/>
                <w:highlight w:val="none"/>
                <w14:textFill>
                  <w14:solidFill>
                    <w14:schemeClr w14:val="tx1"/>
                  </w14:solidFill>
                </w14:textFill>
              </w:rPr>
              <w:t>序号</w:t>
            </w:r>
          </w:p>
        </w:tc>
        <w:tc>
          <w:tcPr>
            <w:tcW w:w="1980" w:type="dxa"/>
            <w:vMerge w:val="restart"/>
            <w:vAlign w:val="center"/>
          </w:tcPr>
          <w:p w14:paraId="18915617">
            <w:pPr>
              <w:jc w:val="center"/>
              <w:rPr>
                <w:rFonts w:ascii="Arial" w:hAnsi="Arial" w:cs="Arial"/>
                <w:b/>
                <w:color w:val="000000" w:themeColor="text1"/>
                <w:szCs w:val="21"/>
                <w:highlight w:val="none"/>
                <w14:textFill>
                  <w14:solidFill>
                    <w14:schemeClr w14:val="tx1"/>
                  </w14:solidFill>
                </w14:textFill>
              </w:rPr>
            </w:pPr>
            <w:r>
              <w:rPr>
                <w:rFonts w:ascii="Arial" w:hAnsi="Arial" w:cs="Arial"/>
                <w:b/>
                <w:color w:val="000000" w:themeColor="text1"/>
                <w:szCs w:val="21"/>
                <w:highlight w:val="none"/>
                <w14:textFill>
                  <w14:solidFill>
                    <w14:schemeClr w14:val="tx1"/>
                  </w14:solidFill>
                </w14:textFill>
              </w:rPr>
              <w:t>评分项目</w:t>
            </w:r>
          </w:p>
        </w:tc>
        <w:tc>
          <w:tcPr>
            <w:tcW w:w="737" w:type="dxa"/>
            <w:vMerge w:val="restart"/>
            <w:vAlign w:val="center"/>
          </w:tcPr>
          <w:p w14:paraId="1AA073F2">
            <w:pPr>
              <w:jc w:val="center"/>
              <w:rPr>
                <w:rFonts w:ascii="Arial" w:hAnsi="Arial" w:cs="Arial"/>
                <w:b/>
                <w:color w:val="000000" w:themeColor="text1"/>
                <w:szCs w:val="21"/>
                <w:highlight w:val="none"/>
                <w14:textFill>
                  <w14:solidFill>
                    <w14:schemeClr w14:val="tx1"/>
                  </w14:solidFill>
                </w14:textFill>
              </w:rPr>
            </w:pPr>
            <w:r>
              <w:rPr>
                <w:rFonts w:hint="eastAsia" w:ascii="Arial" w:hAnsi="Arial" w:cs="Arial"/>
                <w:b/>
                <w:color w:val="000000" w:themeColor="text1"/>
                <w:szCs w:val="21"/>
                <w:highlight w:val="none"/>
                <w14:textFill>
                  <w14:solidFill>
                    <w14:schemeClr w14:val="tx1"/>
                  </w14:solidFill>
                </w14:textFill>
              </w:rPr>
              <w:t>满</w:t>
            </w:r>
            <w:r>
              <w:rPr>
                <w:rFonts w:ascii="Arial" w:hAnsi="Arial" w:cs="Arial"/>
                <w:b/>
                <w:color w:val="000000" w:themeColor="text1"/>
                <w:szCs w:val="21"/>
                <w:highlight w:val="none"/>
                <w14:textFill>
                  <w14:solidFill>
                    <w14:schemeClr w14:val="tx1"/>
                  </w14:solidFill>
                </w14:textFill>
              </w:rPr>
              <w:t>分</w:t>
            </w:r>
          </w:p>
        </w:tc>
        <w:tc>
          <w:tcPr>
            <w:tcW w:w="2154" w:type="dxa"/>
            <w:vMerge w:val="restart"/>
            <w:vAlign w:val="center"/>
          </w:tcPr>
          <w:p w14:paraId="188CB840">
            <w:pPr>
              <w:jc w:val="center"/>
              <w:rPr>
                <w:rFonts w:ascii="Arial" w:hAnsi="Arial" w:cs="Arial"/>
                <w:b/>
                <w:color w:val="000000" w:themeColor="text1"/>
                <w:szCs w:val="21"/>
                <w:highlight w:val="none"/>
                <w14:textFill>
                  <w14:solidFill>
                    <w14:schemeClr w14:val="tx1"/>
                  </w14:solidFill>
                </w14:textFill>
              </w:rPr>
            </w:pPr>
            <w:r>
              <w:rPr>
                <w:rFonts w:ascii="Arial" w:hAnsi="Arial" w:cs="Arial"/>
                <w:b/>
                <w:color w:val="000000" w:themeColor="text1"/>
                <w:szCs w:val="21"/>
                <w:highlight w:val="none"/>
                <w14:textFill>
                  <w14:solidFill>
                    <w14:schemeClr w14:val="tx1"/>
                  </w14:solidFill>
                </w14:textFill>
              </w:rPr>
              <w:t>评分标准</w:t>
            </w:r>
          </w:p>
        </w:tc>
        <w:tc>
          <w:tcPr>
            <w:tcW w:w="2891" w:type="dxa"/>
            <w:vMerge w:val="restart"/>
            <w:tcBorders>
              <w:right w:val="single" w:color="auto" w:sz="4" w:space="0"/>
            </w:tcBorders>
            <w:vAlign w:val="center"/>
          </w:tcPr>
          <w:p w14:paraId="69851E9A">
            <w:pPr>
              <w:jc w:val="center"/>
              <w:rPr>
                <w:rFonts w:ascii="Arial" w:hAnsi="Arial" w:cs="Arial"/>
                <w:b/>
                <w:color w:val="000000" w:themeColor="text1"/>
                <w:szCs w:val="21"/>
                <w:highlight w:val="none"/>
                <w14:textFill>
                  <w14:solidFill>
                    <w14:schemeClr w14:val="tx1"/>
                  </w14:solidFill>
                </w14:textFill>
              </w:rPr>
            </w:pPr>
            <w:r>
              <w:rPr>
                <w:rFonts w:hint="eastAsia" w:ascii="Arial" w:hAnsi="Arial" w:cs="Arial"/>
                <w:b/>
                <w:color w:val="000000" w:themeColor="text1"/>
                <w:szCs w:val="21"/>
                <w:highlight w:val="none"/>
                <w14:textFill>
                  <w14:solidFill>
                    <w14:schemeClr w14:val="tx1"/>
                  </w14:solidFill>
                </w14:textFill>
              </w:rPr>
              <w:t>扣分原因</w:t>
            </w:r>
          </w:p>
        </w:tc>
        <w:tc>
          <w:tcPr>
            <w:tcW w:w="793" w:type="dxa"/>
            <w:vMerge w:val="restart"/>
            <w:tcBorders>
              <w:left w:val="single" w:color="auto" w:sz="4" w:space="0"/>
            </w:tcBorders>
            <w:vAlign w:val="center"/>
          </w:tcPr>
          <w:p w14:paraId="32F3F25B">
            <w:pPr>
              <w:jc w:val="center"/>
              <w:rPr>
                <w:rFonts w:ascii="Arial" w:hAnsi="Arial" w:cs="Arial"/>
                <w:b/>
                <w:color w:val="000000" w:themeColor="text1"/>
                <w:szCs w:val="21"/>
                <w:highlight w:val="none"/>
                <w14:textFill>
                  <w14:solidFill>
                    <w14:schemeClr w14:val="tx1"/>
                  </w14:solidFill>
                </w14:textFill>
              </w:rPr>
            </w:pPr>
            <w:r>
              <w:rPr>
                <w:rFonts w:hint="eastAsia" w:ascii="Arial" w:hAnsi="Arial" w:cs="Arial"/>
                <w:b/>
                <w:color w:val="000000" w:themeColor="text1"/>
                <w:szCs w:val="21"/>
                <w:highlight w:val="none"/>
                <w14:textFill>
                  <w14:solidFill>
                    <w14:schemeClr w14:val="tx1"/>
                  </w14:solidFill>
                </w14:textFill>
              </w:rPr>
              <w:t>得分</w:t>
            </w:r>
          </w:p>
        </w:tc>
      </w:tr>
      <w:tr w14:paraId="0006AB3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38" w:hRule="atLeast"/>
          <w:tblHeader/>
          <w:jc w:val="center"/>
        </w:trPr>
        <w:tc>
          <w:tcPr>
            <w:tcW w:w="555" w:type="dxa"/>
            <w:vMerge w:val="continue"/>
            <w:vAlign w:val="center"/>
          </w:tcPr>
          <w:p w14:paraId="0AD0FE16">
            <w:pPr>
              <w:jc w:val="center"/>
              <w:rPr>
                <w:rFonts w:ascii="Arial" w:hAnsi="Arial" w:cs="Arial"/>
                <w:color w:val="000000" w:themeColor="text1"/>
                <w:szCs w:val="21"/>
                <w:highlight w:val="none"/>
                <w14:textFill>
                  <w14:solidFill>
                    <w14:schemeClr w14:val="tx1"/>
                  </w14:solidFill>
                </w14:textFill>
              </w:rPr>
            </w:pPr>
          </w:p>
        </w:tc>
        <w:tc>
          <w:tcPr>
            <w:tcW w:w="1980" w:type="dxa"/>
            <w:vMerge w:val="continue"/>
            <w:vAlign w:val="center"/>
          </w:tcPr>
          <w:p w14:paraId="0EB03942">
            <w:pPr>
              <w:jc w:val="center"/>
              <w:rPr>
                <w:rFonts w:ascii="Arial" w:hAnsi="Arial" w:cs="Arial"/>
                <w:color w:val="000000" w:themeColor="text1"/>
                <w:szCs w:val="21"/>
                <w:highlight w:val="none"/>
                <w14:textFill>
                  <w14:solidFill>
                    <w14:schemeClr w14:val="tx1"/>
                  </w14:solidFill>
                </w14:textFill>
              </w:rPr>
            </w:pPr>
          </w:p>
        </w:tc>
        <w:tc>
          <w:tcPr>
            <w:tcW w:w="737" w:type="dxa"/>
            <w:vMerge w:val="continue"/>
            <w:vAlign w:val="center"/>
          </w:tcPr>
          <w:p w14:paraId="19915359">
            <w:pPr>
              <w:jc w:val="center"/>
              <w:rPr>
                <w:rFonts w:ascii="Arial" w:hAnsi="Arial" w:cs="Arial"/>
                <w:color w:val="000000" w:themeColor="text1"/>
                <w:szCs w:val="21"/>
                <w:highlight w:val="none"/>
                <w14:textFill>
                  <w14:solidFill>
                    <w14:schemeClr w14:val="tx1"/>
                  </w14:solidFill>
                </w14:textFill>
              </w:rPr>
            </w:pPr>
          </w:p>
        </w:tc>
        <w:tc>
          <w:tcPr>
            <w:tcW w:w="2154" w:type="dxa"/>
            <w:vMerge w:val="continue"/>
            <w:vAlign w:val="center"/>
          </w:tcPr>
          <w:p w14:paraId="773743E9">
            <w:pPr>
              <w:jc w:val="center"/>
              <w:rPr>
                <w:rFonts w:ascii="Arial" w:hAnsi="Arial" w:cs="Arial"/>
                <w:color w:val="000000" w:themeColor="text1"/>
                <w:szCs w:val="21"/>
                <w:highlight w:val="none"/>
                <w14:textFill>
                  <w14:solidFill>
                    <w14:schemeClr w14:val="tx1"/>
                  </w14:solidFill>
                </w14:textFill>
              </w:rPr>
            </w:pPr>
          </w:p>
        </w:tc>
        <w:tc>
          <w:tcPr>
            <w:tcW w:w="2891" w:type="dxa"/>
            <w:vMerge w:val="continue"/>
            <w:tcBorders>
              <w:right w:val="single" w:color="auto" w:sz="4" w:space="0"/>
            </w:tcBorders>
            <w:vAlign w:val="center"/>
          </w:tcPr>
          <w:p w14:paraId="1E3545E5">
            <w:pPr>
              <w:rPr>
                <w:rFonts w:ascii="Arial" w:hAnsi="Arial" w:cs="Arial"/>
                <w:color w:val="000000" w:themeColor="text1"/>
                <w:szCs w:val="21"/>
                <w:highlight w:val="none"/>
                <w14:textFill>
                  <w14:solidFill>
                    <w14:schemeClr w14:val="tx1"/>
                  </w14:solidFill>
                </w14:textFill>
              </w:rPr>
            </w:pPr>
          </w:p>
        </w:tc>
        <w:tc>
          <w:tcPr>
            <w:tcW w:w="793" w:type="dxa"/>
            <w:vMerge w:val="continue"/>
            <w:tcBorders>
              <w:left w:val="single" w:color="auto" w:sz="4" w:space="0"/>
            </w:tcBorders>
            <w:vAlign w:val="center"/>
          </w:tcPr>
          <w:p w14:paraId="7CC72C98">
            <w:pPr>
              <w:rPr>
                <w:rFonts w:ascii="Arial" w:hAnsi="Arial" w:cs="Arial"/>
                <w:color w:val="000000" w:themeColor="text1"/>
                <w:szCs w:val="21"/>
                <w:highlight w:val="none"/>
                <w14:textFill>
                  <w14:solidFill>
                    <w14:schemeClr w14:val="tx1"/>
                  </w14:solidFill>
                </w14:textFill>
              </w:rPr>
            </w:pPr>
          </w:p>
        </w:tc>
      </w:tr>
      <w:tr w14:paraId="15E4422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211" w:hRule="atLeast"/>
          <w:jc w:val="center"/>
        </w:trPr>
        <w:tc>
          <w:tcPr>
            <w:tcW w:w="555" w:type="dxa"/>
            <w:vAlign w:val="center"/>
          </w:tcPr>
          <w:p w14:paraId="1AE361AE">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1</w:t>
            </w:r>
          </w:p>
        </w:tc>
        <w:tc>
          <w:tcPr>
            <w:tcW w:w="1980" w:type="dxa"/>
            <w:vAlign w:val="center"/>
          </w:tcPr>
          <w:p w14:paraId="20271DFD">
            <w:pPr>
              <w:rPr>
                <w:rFonts w:ascii="Arial" w:hAnsi="Arial"/>
                <w:color w:val="000000" w:themeColor="text1"/>
                <w:highlight w:val="none"/>
                <w14:textFill>
                  <w14:solidFill>
                    <w14:schemeClr w14:val="tx1"/>
                  </w14:solidFill>
                </w14:textFill>
              </w:rPr>
            </w:pPr>
            <w:r>
              <w:rPr>
                <w:rFonts w:hint="eastAsia" w:ascii="Arial" w:hAnsi="Arial"/>
                <w:color w:val="000000" w:themeColor="text1"/>
                <w:highlight w:val="none"/>
                <w14:textFill>
                  <w14:solidFill>
                    <w14:schemeClr w14:val="tx1"/>
                  </w14:solidFill>
                </w14:textFill>
              </w:rPr>
              <w:t>企业营业执照、资质等级、安全生产许可证复印件是否齐全、有效，是否符合采购文件要求</w:t>
            </w:r>
          </w:p>
        </w:tc>
        <w:tc>
          <w:tcPr>
            <w:tcW w:w="737" w:type="dxa"/>
            <w:vAlign w:val="center"/>
          </w:tcPr>
          <w:p w14:paraId="17B648DB">
            <w:pPr>
              <w:autoSpaceDE w:val="0"/>
              <w:autoSpaceDN w:val="0"/>
              <w:jc w:val="center"/>
              <w:rPr>
                <w:rFonts w:ascii="Arial" w:hAnsi="Arial"/>
                <w:color w:val="000000" w:themeColor="text1"/>
                <w:szCs w:val="21"/>
                <w:highlight w:val="none"/>
                <w14:textFill>
                  <w14:solidFill>
                    <w14:schemeClr w14:val="tx1"/>
                  </w14:solidFill>
                </w14:textFill>
              </w:rPr>
            </w:pPr>
            <w:r>
              <w:rPr>
                <w:rFonts w:hint="eastAsia" w:ascii="Arial" w:hAnsi="Arial"/>
                <w:color w:val="000000" w:themeColor="text1"/>
                <w:szCs w:val="21"/>
                <w:highlight w:val="none"/>
                <w14:textFill>
                  <w14:solidFill>
                    <w14:schemeClr w14:val="tx1"/>
                  </w14:solidFill>
                </w14:textFill>
              </w:rPr>
              <w:t>12</w:t>
            </w:r>
          </w:p>
        </w:tc>
        <w:tc>
          <w:tcPr>
            <w:tcW w:w="2154" w:type="dxa"/>
            <w:vAlign w:val="center"/>
          </w:tcPr>
          <w:p w14:paraId="4715BA26">
            <w:pPr>
              <w:autoSpaceDE w:val="0"/>
              <w:autoSpaceDN w:val="0"/>
              <w:spacing w:before="78"/>
              <w:ind w:right="-20"/>
              <w:rPr>
                <w:rFonts w:ascii="Arial" w:hAnsi="Arial"/>
                <w:color w:val="000000" w:themeColor="text1"/>
                <w:szCs w:val="21"/>
                <w:highlight w:val="none"/>
                <w14:textFill>
                  <w14:solidFill>
                    <w14:schemeClr w14:val="tx1"/>
                  </w14:solidFill>
                </w14:textFill>
              </w:rPr>
            </w:pPr>
            <w:r>
              <w:rPr>
                <w:rFonts w:hint="eastAsia" w:ascii="Arial" w:hAnsi="Arial"/>
                <w:color w:val="000000" w:themeColor="text1"/>
                <w:highlight w:val="none"/>
                <w14:textFill>
                  <w14:solidFill>
                    <w14:schemeClr w14:val="tx1"/>
                  </w14:solidFill>
                </w14:textFill>
              </w:rPr>
              <w:t>企业营业执照、资质等级、安全生产许可证有复印件的各得2分，没有复印件的那项不得分；证件在有效期的各得2分，不在有效期的那项不得分</w:t>
            </w:r>
          </w:p>
        </w:tc>
        <w:tc>
          <w:tcPr>
            <w:tcW w:w="2891" w:type="dxa"/>
            <w:tcBorders>
              <w:right w:val="single" w:color="auto" w:sz="4" w:space="0"/>
            </w:tcBorders>
            <w:vAlign w:val="center"/>
          </w:tcPr>
          <w:p w14:paraId="27930D50">
            <w:pPr>
              <w:rPr>
                <w:rFonts w:ascii="Arial" w:hAnsi="Arial"/>
                <w:color w:val="000000" w:themeColor="text1"/>
                <w:highlight w:val="none"/>
                <w14:textFill>
                  <w14:solidFill>
                    <w14:schemeClr w14:val="tx1"/>
                  </w14:solidFill>
                </w14:textFill>
              </w:rPr>
            </w:pPr>
            <w:r>
              <w:rPr>
                <w:rFonts w:hint="eastAsia" w:ascii="Arial" w:hAnsi="Arial"/>
                <w:color w:val="000000" w:themeColor="text1"/>
                <w:highlight w:val="none"/>
                <w14:textFill>
                  <w14:solidFill>
                    <w14:schemeClr w14:val="tx1"/>
                  </w14:solidFill>
                </w14:textFill>
              </w:rPr>
              <w:t>企业营业执照：（4分）</w:t>
            </w:r>
          </w:p>
          <w:p w14:paraId="4F7270CE">
            <w:pPr>
              <w:rPr>
                <w:rFonts w:ascii="Arial" w:hAnsi="Arial"/>
                <w:color w:val="000000" w:themeColor="text1"/>
                <w:highlight w:val="none"/>
                <w14:textFill>
                  <w14:solidFill>
                    <w14:schemeClr w14:val="tx1"/>
                  </w14:solidFill>
                </w14:textFill>
              </w:rPr>
            </w:pPr>
            <w:r>
              <w:rPr>
                <w:rFonts w:hint="eastAsia" w:ascii="Arial" w:hAnsi="Arial"/>
                <w:color w:val="000000" w:themeColor="text1"/>
                <w:highlight w:val="none"/>
                <w14:textFill>
                  <w14:solidFill>
                    <w14:schemeClr w14:val="tx1"/>
                  </w14:solidFill>
                </w14:textFill>
              </w:rPr>
              <w:t>有□无□   有效□无效□</w:t>
            </w:r>
          </w:p>
          <w:p w14:paraId="745E7842">
            <w:pPr>
              <w:rPr>
                <w:rFonts w:ascii="Arial" w:hAnsi="Arial"/>
                <w:color w:val="000000" w:themeColor="text1"/>
                <w:highlight w:val="none"/>
                <w14:textFill>
                  <w14:solidFill>
                    <w14:schemeClr w14:val="tx1"/>
                  </w14:solidFill>
                </w14:textFill>
              </w:rPr>
            </w:pPr>
          </w:p>
          <w:p w14:paraId="67386B9E">
            <w:pPr>
              <w:rPr>
                <w:rFonts w:ascii="Arial" w:hAnsi="Arial"/>
                <w:color w:val="000000" w:themeColor="text1"/>
                <w:highlight w:val="none"/>
                <w14:textFill>
                  <w14:solidFill>
                    <w14:schemeClr w14:val="tx1"/>
                  </w14:solidFill>
                </w14:textFill>
              </w:rPr>
            </w:pPr>
            <w:r>
              <w:rPr>
                <w:rFonts w:hint="eastAsia" w:ascii="Arial" w:hAnsi="Arial"/>
                <w:color w:val="000000" w:themeColor="text1"/>
                <w:highlight w:val="none"/>
                <w14:textFill>
                  <w14:solidFill>
                    <w14:schemeClr w14:val="tx1"/>
                  </w14:solidFill>
                </w14:textFill>
              </w:rPr>
              <w:t>资质等级：（4分）</w:t>
            </w:r>
          </w:p>
          <w:p w14:paraId="7A857F1C">
            <w:pPr>
              <w:rPr>
                <w:rFonts w:ascii="Arial" w:hAnsi="Arial"/>
                <w:color w:val="000000" w:themeColor="text1"/>
                <w:highlight w:val="none"/>
                <w14:textFill>
                  <w14:solidFill>
                    <w14:schemeClr w14:val="tx1"/>
                  </w14:solidFill>
                </w14:textFill>
              </w:rPr>
            </w:pPr>
            <w:r>
              <w:rPr>
                <w:rFonts w:hint="eastAsia" w:ascii="Arial" w:hAnsi="Arial"/>
                <w:color w:val="000000" w:themeColor="text1"/>
                <w:highlight w:val="none"/>
                <w14:textFill>
                  <w14:solidFill>
                    <w14:schemeClr w14:val="tx1"/>
                  </w14:solidFill>
                </w14:textFill>
              </w:rPr>
              <w:t>有□无□   符合□不符合□</w:t>
            </w:r>
          </w:p>
          <w:p w14:paraId="6E6A58E5">
            <w:pPr>
              <w:rPr>
                <w:rFonts w:ascii="Arial" w:hAnsi="Arial"/>
                <w:color w:val="000000" w:themeColor="text1"/>
                <w:highlight w:val="none"/>
                <w14:textFill>
                  <w14:solidFill>
                    <w14:schemeClr w14:val="tx1"/>
                  </w14:solidFill>
                </w14:textFill>
              </w:rPr>
            </w:pPr>
          </w:p>
          <w:p w14:paraId="00E12F9F">
            <w:pPr>
              <w:rPr>
                <w:rFonts w:ascii="Arial" w:hAnsi="Arial"/>
                <w:color w:val="000000" w:themeColor="text1"/>
                <w:highlight w:val="none"/>
                <w14:textFill>
                  <w14:solidFill>
                    <w14:schemeClr w14:val="tx1"/>
                  </w14:solidFill>
                </w14:textFill>
              </w:rPr>
            </w:pPr>
            <w:r>
              <w:rPr>
                <w:rFonts w:hint="eastAsia" w:ascii="Arial" w:hAnsi="Arial"/>
                <w:color w:val="000000" w:themeColor="text1"/>
                <w:highlight w:val="none"/>
                <w14:textFill>
                  <w14:solidFill>
                    <w14:schemeClr w14:val="tx1"/>
                  </w14:solidFill>
                </w14:textFill>
              </w:rPr>
              <w:t>安全生产许可证：（4分）</w:t>
            </w:r>
          </w:p>
          <w:p w14:paraId="59ECA5ED">
            <w:pPr>
              <w:rPr>
                <w:rFonts w:ascii="Arial" w:hAnsi="Arial"/>
                <w:color w:val="000000" w:themeColor="text1"/>
                <w:highlight w:val="none"/>
                <w14:textFill>
                  <w14:solidFill>
                    <w14:schemeClr w14:val="tx1"/>
                  </w14:solidFill>
                </w14:textFill>
              </w:rPr>
            </w:pPr>
            <w:r>
              <w:rPr>
                <w:rFonts w:hint="eastAsia" w:ascii="Arial" w:hAnsi="Arial"/>
                <w:color w:val="000000" w:themeColor="text1"/>
                <w:highlight w:val="none"/>
                <w14:textFill>
                  <w14:solidFill>
                    <w14:schemeClr w14:val="tx1"/>
                  </w14:solidFill>
                </w14:textFill>
              </w:rPr>
              <w:t>有□无□   有效□无效□</w:t>
            </w:r>
          </w:p>
        </w:tc>
        <w:tc>
          <w:tcPr>
            <w:tcW w:w="793" w:type="dxa"/>
            <w:tcBorders>
              <w:left w:val="single" w:color="auto" w:sz="4" w:space="0"/>
            </w:tcBorders>
            <w:vAlign w:val="center"/>
          </w:tcPr>
          <w:p w14:paraId="66A653A8">
            <w:pPr>
              <w:rPr>
                <w:rFonts w:ascii="Arial" w:hAnsi="Arial" w:cs="Arial"/>
                <w:color w:val="000000" w:themeColor="text1"/>
                <w:szCs w:val="21"/>
                <w:highlight w:val="none"/>
                <w14:textFill>
                  <w14:solidFill>
                    <w14:schemeClr w14:val="tx1"/>
                  </w14:solidFill>
                </w14:textFill>
              </w:rPr>
            </w:pPr>
          </w:p>
        </w:tc>
      </w:tr>
      <w:tr w14:paraId="639CC66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606" w:hRule="atLeast"/>
          <w:jc w:val="center"/>
        </w:trPr>
        <w:tc>
          <w:tcPr>
            <w:tcW w:w="555" w:type="dxa"/>
            <w:vAlign w:val="center"/>
          </w:tcPr>
          <w:p w14:paraId="70CB92A2">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2</w:t>
            </w:r>
          </w:p>
        </w:tc>
        <w:tc>
          <w:tcPr>
            <w:tcW w:w="1980" w:type="dxa"/>
            <w:vAlign w:val="center"/>
          </w:tcPr>
          <w:p w14:paraId="4CC54C55">
            <w:pP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工程拟定主要人员结构是否合理、齐全，主要负责人有无类似工程施工履历</w:t>
            </w:r>
          </w:p>
        </w:tc>
        <w:tc>
          <w:tcPr>
            <w:tcW w:w="737" w:type="dxa"/>
            <w:vAlign w:val="center"/>
          </w:tcPr>
          <w:p w14:paraId="480E3FE8">
            <w:pPr>
              <w:jc w:val="center"/>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1</w:t>
            </w:r>
            <w:r>
              <w:rPr>
                <w:rFonts w:hint="eastAsia" w:ascii="Arial" w:hAnsi="Arial" w:cs="Arial"/>
                <w:color w:val="000000" w:themeColor="text1"/>
                <w:szCs w:val="21"/>
                <w:highlight w:val="none"/>
                <w14:textFill>
                  <w14:solidFill>
                    <w14:schemeClr w14:val="tx1"/>
                  </w14:solidFill>
                </w14:textFill>
              </w:rPr>
              <w:t>8</w:t>
            </w:r>
          </w:p>
        </w:tc>
        <w:tc>
          <w:tcPr>
            <w:tcW w:w="2154" w:type="dxa"/>
          </w:tcPr>
          <w:p w14:paraId="65B677C1">
            <w:pPr>
              <w:autoSpaceDE w:val="0"/>
              <w:autoSpaceDN w:val="0"/>
              <w:spacing w:before="78" w:line="240" w:lineRule="atLeast"/>
              <w:ind w:right="-20"/>
              <w:rPr>
                <w:rFonts w:ascii="Arial" w:hAnsi="Arial"/>
                <w:color w:val="000000" w:themeColor="text1"/>
                <w:szCs w:val="21"/>
                <w:highlight w:val="none"/>
                <w14:textFill>
                  <w14:solidFill>
                    <w14:schemeClr w14:val="tx1"/>
                  </w14:solidFill>
                </w14:textFill>
              </w:rPr>
            </w:pPr>
            <w:r>
              <w:rPr>
                <w:rFonts w:hint="eastAsia" w:ascii="Arial" w:hAnsi="Arial"/>
                <w:color w:val="000000" w:themeColor="text1"/>
                <w:szCs w:val="21"/>
                <w:highlight w:val="none"/>
                <w14:textFill>
                  <w14:solidFill>
                    <w14:schemeClr w14:val="tx1"/>
                  </w14:solidFill>
                </w14:textFill>
              </w:rPr>
              <w:t>人员配置合理的得</w:t>
            </w:r>
            <w:r>
              <w:rPr>
                <w:rFonts w:ascii="Arial" w:hAnsi="Arial"/>
                <w:color w:val="000000" w:themeColor="text1"/>
                <w:szCs w:val="21"/>
                <w:highlight w:val="none"/>
                <w14:textFill>
                  <w14:solidFill>
                    <w14:schemeClr w14:val="tx1"/>
                  </w14:solidFill>
                </w14:textFill>
              </w:rPr>
              <w:t>4</w:t>
            </w:r>
            <w:r>
              <w:rPr>
                <w:rFonts w:hint="eastAsia" w:ascii="Arial" w:hAnsi="Arial"/>
                <w:color w:val="000000" w:themeColor="text1"/>
                <w:szCs w:val="21"/>
                <w:highlight w:val="none"/>
                <w14:textFill>
                  <w14:solidFill>
                    <w14:schemeClr w14:val="tx1"/>
                  </w14:solidFill>
                </w14:textFill>
              </w:rPr>
              <w:t>分；人员结构齐全的得</w:t>
            </w:r>
            <w:r>
              <w:rPr>
                <w:rFonts w:ascii="Arial" w:hAnsi="Arial"/>
                <w:color w:val="000000" w:themeColor="text1"/>
                <w:szCs w:val="21"/>
                <w:highlight w:val="none"/>
                <w14:textFill>
                  <w14:solidFill>
                    <w14:schemeClr w14:val="tx1"/>
                  </w14:solidFill>
                </w14:textFill>
              </w:rPr>
              <w:t>4</w:t>
            </w:r>
            <w:r>
              <w:rPr>
                <w:rFonts w:hint="eastAsia" w:ascii="Arial" w:hAnsi="Arial"/>
                <w:color w:val="000000" w:themeColor="text1"/>
                <w:szCs w:val="21"/>
                <w:highlight w:val="none"/>
                <w14:textFill>
                  <w14:solidFill>
                    <w14:schemeClr w14:val="tx1"/>
                  </w14:solidFill>
                </w14:textFill>
              </w:rPr>
              <w:t>分；主要负责人有类似工程施工履历的得</w:t>
            </w:r>
            <w:r>
              <w:rPr>
                <w:rFonts w:ascii="Arial" w:hAnsi="Arial"/>
                <w:color w:val="000000" w:themeColor="text1"/>
                <w:szCs w:val="21"/>
                <w:highlight w:val="none"/>
                <w14:textFill>
                  <w14:solidFill>
                    <w14:schemeClr w14:val="tx1"/>
                  </w14:solidFill>
                </w14:textFill>
              </w:rPr>
              <w:t>5</w:t>
            </w:r>
            <w:r>
              <w:rPr>
                <w:rFonts w:hint="eastAsia" w:ascii="Arial" w:hAnsi="Arial"/>
                <w:color w:val="000000" w:themeColor="text1"/>
                <w:szCs w:val="21"/>
                <w:highlight w:val="none"/>
                <w14:textFill>
                  <w14:solidFill>
                    <w14:schemeClr w14:val="tx1"/>
                  </w14:solidFill>
                </w14:textFill>
              </w:rPr>
              <w:t>分；主要人员持证情况得</w:t>
            </w:r>
            <w:r>
              <w:rPr>
                <w:rFonts w:ascii="Arial" w:hAnsi="Arial"/>
                <w:color w:val="000000" w:themeColor="text1"/>
                <w:szCs w:val="21"/>
                <w:highlight w:val="none"/>
                <w14:textFill>
                  <w14:solidFill>
                    <w14:schemeClr w14:val="tx1"/>
                  </w14:solidFill>
                </w14:textFill>
              </w:rPr>
              <w:t>5</w:t>
            </w:r>
            <w:r>
              <w:rPr>
                <w:rFonts w:hint="eastAsia" w:ascii="Arial" w:hAnsi="Arial"/>
                <w:color w:val="000000" w:themeColor="text1"/>
                <w:szCs w:val="21"/>
                <w:highlight w:val="none"/>
                <w14:textFill>
                  <w14:solidFill>
                    <w14:schemeClr w14:val="tx1"/>
                  </w14:solidFill>
                </w14:textFill>
              </w:rPr>
              <w:t>分。否则不得分</w:t>
            </w:r>
          </w:p>
        </w:tc>
        <w:tc>
          <w:tcPr>
            <w:tcW w:w="2891" w:type="dxa"/>
            <w:tcBorders>
              <w:right w:val="single" w:color="auto" w:sz="4" w:space="0"/>
            </w:tcBorders>
            <w:vAlign w:val="center"/>
          </w:tcPr>
          <w:p w14:paraId="241D041A">
            <w:pPr>
              <w:spacing w:line="240" w:lineRule="atLeast"/>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人员配置：</w:t>
            </w:r>
          </w:p>
          <w:p w14:paraId="08331CE2">
            <w:pPr>
              <w:spacing w:line="240" w:lineRule="atLeast"/>
              <w:rPr>
                <w:rFonts w:ascii="Arial" w:hAnsi="Arial"/>
                <w:color w:val="000000" w:themeColor="text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合  理</w:t>
            </w:r>
            <w:r>
              <w:rPr>
                <w:rFonts w:hint="eastAsia" w:ascii="Arial" w:hAnsi="Arial"/>
                <w:color w:val="000000" w:themeColor="text1"/>
                <w:highlight w:val="none"/>
                <w14:textFill>
                  <w14:solidFill>
                    <w14:schemeClr w14:val="tx1"/>
                  </w14:solidFill>
                </w14:textFill>
              </w:rPr>
              <w:t>□    不合理□</w:t>
            </w:r>
          </w:p>
          <w:p w14:paraId="2BE7CFDD">
            <w:pPr>
              <w:spacing w:line="240" w:lineRule="atLeast"/>
              <w:rPr>
                <w:rFonts w:ascii="Arial" w:hAnsi="Arial"/>
                <w:color w:val="000000" w:themeColor="text1"/>
                <w:highlight w:val="none"/>
                <w14:textFill>
                  <w14:solidFill>
                    <w14:schemeClr w14:val="tx1"/>
                  </w14:solidFill>
                </w14:textFill>
              </w:rPr>
            </w:pPr>
            <w:r>
              <w:rPr>
                <w:rFonts w:hint="eastAsia" w:ascii="Arial" w:hAnsi="Arial"/>
                <w:color w:val="000000" w:themeColor="text1"/>
                <w:highlight w:val="none"/>
                <w14:textFill>
                  <w14:solidFill>
                    <w14:schemeClr w14:val="tx1"/>
                  </w14:solidFill>
                </w14:textFill>
              </w:rPr>
              <w:t>齐  全□    不齐全□</w:t>
            </w:r>
          </w:p>
          <w:p w14:paraId="771E08E1">
            <w:pPr>
              <w:spacing w:line="240" w:lineRule="atLeast"/>
              <w:rPr>
                <w:rFonts w:ascii="Arial" w:hAnsi="Arial"/>
                <w:color w:val="000000" w:themeColor="text1"/>
                <w:highlight w:val="none"/>
                <w14:textFill>
                  <w14:solidFill>
                    <w14:schemeClr w14:val="tx1"/>
                  </w14:solidFill>
                </w14:textFill>
              </w:rPr>
            </w:pPr>
            <w:r>
              <w:rPr>
                <w:rFonts w:hint="eastAsia" w:ascii="Arial" w:hAnsi="Arial"/>
                <w:color w:val="000000" w:themeColor="text1"/>
                <w:highlight w:val="none"/>
                <w14:textFill>
                  <w14:solidFill>
                    <w14:schemeClr w14:val="tx1"/>
                  </w14:solidFill>
                </w14:textFill>
              </w:rPr>
              <w:t>有  证□    无  证□</w:t>
            </w:r>
          </w:p>
          <w:p w14:paraId="56479766">
            <w:pPr>
              <w:spacing w:line="240" w:lineRule="atLeast"/>
              <w:rPr>
                <w:rFonts w:ascii="Arial" w:hAnsi="Arial" w:cs="Arial"/>
                <w:color w:val="000000" w:themeColor="text1"/>
                <w:szCs w:val="21"/>
                <w:highlight w:val="none"/>
                <w14:textFill>
                  <w14:solidFill>
                    <w14:schemeClr w14:val="tx1"/>
                  </w14:solidFill>
                </w14:textFill>
              </w:rPr>
            </w:pPr>
            <w:r>
              <w:rPr>
                <w:rFonts w:hint="eastAsia" w:ascii="Arial" w:hAnsi="Arial"/>
                <w:color w:val="000000" w:themeColor="text1"/>
                <w:highlight w:val="none"/>
                <w14:textFill>
                  <w14:solidFill>
                    <w14:schemeClr w14:val="tx1"/>
                  </w14:solidFill>
                </w14:textFill>
              </w:rPr>
              <w:t>施工经验    有□无□</w:t>
            </w:r>
          </w:p>
        </w:tc>
        <w:tc>
          <w:tcPr>
            <w:tcW w:w="793" w:type="dxa"/>
            <w:tcBorders>
              <w:left w:val="single" w:color="auto" w:sz="4" w:space="0"/>
            </w:tcBorders>
            <w:vAlign w:val="center"/>
          </w:tcPr>
          <w:p w14:paraId="1388010B">
            <w:pPr>
              <w:spacing w:line="240" w:lineRule="atLeast"/>
              <w:rPr>
                <w:rFonts w:ascii="Arial" w:hAnsi="Arial" w:cs="Arial"/>
                <w:color w:val="000000" w:themeColor="text1"/>
                <w:szCs w:val="21"/>
                <w:highlight w:val="none"/>
                <w14:textFill>
                  <w14:solidFill>
                    <w14:schemeClr w14:val="tx1"/>
                  </w14:solidFill>
                </w14:textFill>
              </w:rPr>
            </w:pPr>
          </w:p>
        </w:tc>
      </w:tr>
      <w:tr w14:paraId="11E6B24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005" w:hRule="atLeast"/>
          <w:jc w:val="center"/>
        </w:trPr>
        <w:tc>
          <w:tcPr>
            <w:tcW w:w="555" w:type="dxa"/>
            <w:vAlign w:val="center"/>
          </w:tcPr>
          <w:p w14:paraId="10755616">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3</w:t>
            </w:r>
          </w:p>
        </w:tc>
        <w:tc>
          <w:tcPr>
            <w:tcW w:w="1980" w:type="dxa"/>
            <w:vAlign w:val="center"/>
          </w:tcPr>
          <w:p w14:paraId="00744198">
            <w:pPr>
              <w:widowControl/>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有无业绩及相关证明材料</w:t>
            </w:r>
          </w:p>
        </w:tc>
        <w:tc>
          <w:tcPr>
            <w:tcW w:w="737" w:type="dxa"/>
            <w:vAlign w:val="center"/>
          </w:tcPr>
          <w:p w14:paraId="07050F28">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30</w:t>
            </w:r>
          </w:p>
        </w:tc>
        <w:tc>
          <w:tcPr>
            <w:tcW w:w="2154" w:type="dxa"/>
            <w:vAlign w:val="center"/>
          </w:tcPr>
          <w:p w14:paraId="68232814">
            <w:pPr>
              <w:spacing w:line="240" w:lineRule="atLeast"/>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业绩少的得10分；业绩一般的得20分；业绩多的得30分。无业绩或无业绩证明材料的不得分。</w:t>
            </w:r>
          </w:p>
        </w:tc>
        <w:tc>
          <w:tcPr>
            <w:tcW w:w="2891" w:type="dxa"/>
            <w:tcBorders>
              <w:right w:val="single" w:color="auto" w:sz="4" w:space="0"/>
            </w:tcBorders>
            <w:vAlign w:val="center"/>
          </w:tcPr>
          <w:p w14:paraId="27C57599">
            <w:pPr>
              <w:spacing w:line="240" w:lineRule="atLeast"/>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业绩资料：</w:t>
            </w:r>
          </w:p>
          <w:p w14:paraId="5D3D4725">
            <w:pPr>
              <w:spacing w:line="240" w:lineRule="atLeast"/>
              <w:rPr>
                <w:rFonts w:ascii="Arial" w:hAnsi="Arial"/>
                <w:color w:val="000000" w:themeColor="text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很多</w:t>
            </w:r>
            <w:r>
              <w:rPr>
                <w:rFonts w:hint="eastAsia" w:ascii="Arial" w:hAnsi="Arial"/>
                <w:color w:val="000000" w:themeColor="text1"/>
                <w:highlight w:val="none"/>
                <w14:textFill>
                  <w14:solidFill>
                    <w14:schemeClr w14:val="tx1"/>
                  </w14:solidFill>
                </w14:textFill>
              </w:rPr>
              <w:t xml:space="preserve">□    一般□  </w:t>
            </w:r>
          </w:p>
          <w:p w14:paraId="12DF4B1C">
            <w:pPr>
              <w:spacing w:line="240" w:lineRule="atLeast"/>
              <w:rPr>
                <w:rFonts w:ascii="Arial" w:hAnsi="Arial" w:cs="Arial"/>
                <w:color w:val="000000" w:themeColor="text1"/>
                <w:szCs w:val="21"/>
                <w:highlight w:val="none"/>
                <w14:textFill>
                  <w14:solidFill>
                    <w14:schemeClr w14:val="tx1"/>
                  </w14:solidFill>
                </w14:textFill>
              </w:rPr>
            </w:pPr>
            <w:r>
              <w:rPr>
                <w:rFonts w:hint="eastAsia" w:ascii="Arial" w:hAnsi="Arial"/>
                <w:color w:val="000000" w:themeColor="text1"/>
                <w:highlight w:val="none"/>
                <w14:textFill>
                  <w14:solidFill>
                    <w14:schemeClr w14:val="tx1"/>
                  </w14:solidFill>
                </w14:textFill>
              </w:rPr>
              <w:t>很少□      无□</w:t>
            </w:r>
          </w:p>
        </w:tc>
        <w:tc>
          <w:tcPr>
            <w:tcW w:w="793" w:type="dxa"/>
            <w:tcBorders>
              <w:left w:val="single" w:color="auto" w:sz="4" w:space="0"/>
            </w:tcBorders>
            <w:vAlign w:val="center"/>
          </w:tcPr>
          <w:p w14:paraId="1B511D88">
            <w:pPr>
              <w:spacing w:line="240" w:lineRule="atLeast"/>
              <w:rPr>
                <w:rFonts w:ascii="Arial" w:hAnsi="Arial" w:cs="Arial"/>
                <w:color w:val="000000" w:themeColor="text1"/>
                <w:szCs w:val="21"/>
                <w:highlight w:val="none"/>
                <w14:textFill>
                  <w14:solidFill>
                    <w14:schemeClr w14:val="tx1"/>
                  </w14:solidFill>
                </w14:textFill>
              </w:rPr>
            </w:pPr>
          </w:p>
        </w:tc>
      </w:tr>
      <w:tr w14:paraId="7DCF7D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005" w:hRule="atLeast"/>
          <w:jc w:val="center"/>
        </w:trPr>
        <w:tc>
          <w:tcPr>
            <w:tcW w:w="555" w:type="dxa"/>
            <w:vAlign w:val="center"/>
          </w:tcPr>
          <w:p w14:paraId="5A519598">
            <w:pPr>
              <w:jc w:val="center"/>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4</w:t>
            </w:r>
          </w:p>
        </w:tc>
        <w:tc>
          <w:tcPr>
            <w:tcW w:w="1980" w:type="dxa"/>
            <w:vAlign w:val="center"/>
          </w:tcPr>
          <w:p w14:paraId="06E4DF95">
            <w:pPr>
              <w:widowControl/>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与我单位或中建系统是否有合作经历</w:t>
            </w:r>
          </w:p>
        </w:tc>
        <w:tc>
          <w:tcPr>
            <w:tcW w:w="737" w:type="dxa"/>
            <w:vAlign w:val="center"/>
          </w:tcPr>
          <w:p w14:paraId="1562182B">
            <w:pPr>
              <w:jc w:val="center"/>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2</w:t>
            </w:r>
            <w:r>
              <w:rPr>
                <w:rFonts w:hint="eastAsia" w:ascii="Arial" w:hAnsi="Arial" w:cs="Arial"/>
                <w:color w:val="000000" w:themeColor="text1"/>
                <w:szCs w:val="21"/>
                <w:highlight w:val="none"/>
                <w14:textFill>
                  <w14:solidFill>
                    <w14:schemeClr w14:val="tx1"/>
                  </w14:solidFill>
                </w14:textFill>
              </w:rPr>
              <w:t>0</w:t>
            </w:r>
          </w:p>
        </w:tc>
        <w:tc>
          <w:tcPr>
            <w:tcW w:w="2154" w:type="dxa"/>
            <w:vAlign w:val="center"/>
          </w:tcPr>
          <w:p w14:paraId="6F45F692">
            <w:pPr>
              <w:widowControl/>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与我单位有合作经历的加5分；与中建系统其他单位有合作经历的加5分；合作次数&gt;</w:t>
            </w:r>
            <w:r>
              <w:rPr>
                <w:rFonts w:ascii="Arial" w:hAnsi="Arial" w:cs="Arial"/>
                <w:bCs/>
                <w:color w:val="000000" w:themeColor="text1"/>
                <w:szCs w:val="21"/>
                <w:highlight w:val="none"/>
                <w14:textFill>
                  <w14:solidFill>
                    <w14:schemeClr w14:val="tx1"/>
                  </w14:solidFill>
                </w14:textFill>
              </w:rPr>
              <w:t>1</w:t>
            </w:r>
            <w:r>
              <w:rPr>
                <w:rFonts w:hint="eastAsia" w:ascii="Arial" w:hAnsi="Arial" w:cs="Arial"/>
                <w:bCs/>
                <w:color w:val="000000" w:themeColor="text1"/>
                <w:szCs w:val="21"/>
                <w:highlight w:val="none"/>
                <w14:textFill>
                  <w14:solidFill>
                    <w14:schemeClr w14:val="tx1"/>
                  </w14:solidFill>
                </w14:textFill>
              </w:rPr>
              <w:t>次时，每增加一次加5分，两方面均有合作可同时加分。无合作的不加分。</w:t>
            </w:r>
          </w:p>
        </w:tc>
        <w:tc>
          <w:tcPr>
            <w:tcW w:w="2891" w:type="dxa"/>
            <w:tcBorders>
              <w:right w:val="single" w:color="auto" w:sz="4" w:space="0"/>
            </w:tcBorders>
            <w:vAlign w:val="center"/>
          </w:tcPr>
          <w:p w14:paraId="6A112DC8">
            <w:pPr>
              <w:spacing w:line="240" w:lineRule="atLeast"/>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合作经历：</w:t>
            </w:r>
          </w:p>
          <w:p w14:paraId="30163D7B">
            <w:pPr>
              <w:spacing w:line="240" w:lineRule="atLeast"/>
              <w:rPr>
                <w:rFonts w:ascii="Arial" w:hAnsi="Arial"/>
                <w:color w:val="000000" w:themeColor="text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与我单位：有</w:t>
            </w:r>
            <w:r>
              <w:rPr>
                <w:rFonts w:hint="eastAsia" w:ascii="Arial" w:hAnsi="Arial"/>
                <w:color w:val="000000" w:themeColor="text1"/>
                <w:highlight w:val="none"/>
                <w14:textFill>
                  <w14:solidFill>
                    <w14:schemeClr w14:val="tx1"/>
                  </w14:solidFill>
                </w14:textFill>
              </w:rPr>
              <w:t>□  无□</w:t>
            </w:r>
          </w:p>
          <w:p w14:paraId="604159C5">
            <w:pPr>
              <w:spacing w:line="240" w:lineRule="atLeast"/>
              <w:rPr>
                <w:rFonts w:ascii="Arial" w:hAnsi="Arial" w:cs="Arial"/>
                <w:color w:val="000000" w:themeColor="text1"/>
                <w:szCs w:val="21"/>
                <w:highlight w:val="none"/>
                <w14:textFill>
                  <w14:solidFill>
                    <w14:schemeClr w14:val="tx1"/>
                  </w14:solidFill>
                </w14:textFill>
              </w:rPr>
            </w:pPr>
            <w:r>
              <w:rPr>
                <w:rFonts w:hint="eastAsia" w:ascii="Arial" w:hAnsi="Arial"/>
                <w:color w:val="000000" w:themeColor="text1"/>
                <w:highlight w:val="none"/>
                <w14:textFill>
                  <w14:solidFill>
                    <w14:schemeClr w14:val="tx1"/>
                  </w14:solidFill>
                </w14:textFill>
              </w:rPr>
              <w:t>与中建系统：</w:t>
            </w:r>
            <w:r>
              <w:rPr>
                <w:rFonts w:hint="eastAsia" w:ascii="Arial" w:hAnsi="Arial" w:cs="Arial"/>
                <w:color w:val="000000" w:themeColor="text1"/>
                <w:szCs w:val="21"/>
                <w:highlight w:val="none"/>
                <w14:textFill>
                  <w14:solidFill>
                    <w14:schemeClr w14:val="tx1"/>
                  </w14:solidFill>
                </w14:textFill>
              </w:rPr>
              <w:t>有</w:t>
            </w:r>
            <w:r>
              <w:rPr>
                <w:rFonts w:hint="eastAsia" w:ascii="Arial" w:hAnsi="Arial"/>
                <w:color w:val="000000" w:themeColor="text1"/>
                <w:highlight w:val="none"/>
                <w14:textFill>
                  <w14:solidFill>
                    <w14:schemeClr w14:val="tx1"/>
                  </w14:solidFill>
                </w14:textFill>
              </w:rPr>
              <w:t>□  无□</w:t>
            </w:r>
          </w:p>
        </w:tc>
        <w:tc>
          <w:tcPr>
            <w:tcW w:w="793" w:type="dxa"/>
            <w:tcBorders>
              <w:left w:val="single" w:color="auto" w:sz="4" w:space="0"/>
            </w:tcBorders>
            <w:vAlign w:val="center"/>
          </w:tcPr>
          <w:p w14:paraId="461DBC59">
            <w:pPr>
              <w:spacing w:line="240" w:lineRule="atLeast"/>
              <w:rPr>
                <w:rFonts w:ascii="Arial" w:hAnsi="Arial" w:cs="Arial"/>
                <w:color w:val="000000" w:themeColor="text1"/>
                <w:szCs w:val="21"/>
                <w:highlight w:val="none"/>
                <w14:textFill>
                  <w14:solidFill>
                    <w14:schemeClr w14:val="tx1"/>
                  </w14:solidFill>
                </w14:textFill>
              </w:rPr>
            </w:pPr>
          </w:p>
        </w:tc>
      </w:tr>
      <w:tr w14:paraId="184C960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20" w:hRule="atLeast"/>
          <w:jc w:val="center"/>
        </w:trPr>
        <w:tc>
          <w:tcPr>
            <w:tcW w:w="555" w:type="dxa"/>
            <w:vAlign w:val="center"/>
          </w:tcPr>
          <w:p w14:paraId="1C17D2F1">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5</w:t>
            </w:r>
          </w:p>
        </w:tc>
        <w:tc>
          <w:tcPr>
            <w:tcW w:w="1980" w:type="dxa"/>
            <w:vAlign w:val="center"/>
          </w:tcPr>
          <w:p w14:paraId="59043733">
            <w:pP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信誉是否良好</w:t>
            </w:r>
          </w:p>
        </w:tc>
        <w:tc>
          <w:tcPr>
            <w:tcW w:w="737" w:type="dxa"/>
            <w:vAlign w:val="center"/>
          </w:tcPr>
          <w:p w14:paraId="11C67C97">
            <w:pPr>
              <w:jc w:val="center"/>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2</w:t>
            </w:r>
            <w:r>
              <w:rPr>
                <w:rFonts w:hint="eastAsia" w:ascii="Arial" w:hAnsi="Arial" w:cs="Arial"/>
                <w:color w:val="000000" w:themeColor="text1"/>
                <w:szCs w:val="21"/>
                <w:highlight w:val="none"/>
                <w14:textFill>
                  <w14:solidFill>
                    <w14:schemeClr w14:val="tx1"/>
                  </w14:solidFill>
                </w14:textFill>
              </w:rPr>
              <w:t>0</w:t>
            </w:r>
          </w:p>
        </w:tc>
        <w:tc>
          <w:tcPr>
            <w:tcW w:w="2154" w:type="dxa"/>
          </w:tcPr>
          <w:p w14:paraId="06A67743">
            <w:pPr>
              <w:autoSpaceDE w:val="0"/>
              <w:autoSpaceDN w:val="0"/>
              <w:spacing w:before="78" w:line="240" w:lineRule="atLeast"/>
              <w:ind w:right="-20"/>
              <w:rPr>
                <w:rFonts w:ascii="Arial" w:hAnsi="Arial"/>
                <w:color w:val="000000" w:themeColor="text1"/>
                <w:szCs w:val="21"/>
                <w:highlight w:val="none"/>
                <w14:textFill>
                  <w14:solidFill>
                    <w14:schemeClr w14:val="tx1"/>
                  </w14:solidFill>
                </w14:textFill>
              </w:rPr>
            </w:pPr>
            <w:r>
              <w:rPr>
                <w:rFonts w:hint="eastAsia" w:ascii="Arial" w:hAnsi="Arial"/>
                <w:color w:val="000000" w:themeColor="text1"/>
                <w:szCs w:val="21"/>
                <w:highlight w:val="none"/>
                <w14:textFill>
                  <w14:solidFill>
                    <w14:schemeClr w14:val="tx1"/>
                  </w14:solidFill>
                </w14:textFill>
              </w:rPr>
              <w:t>在上年度在中建系统内部评为优质分供商的得20分，在我单位信用评价等级中逐级减</w:t>
            </w:r>
            <w:r>
              <w:rPr>
                <w:rFonts w:ascii="Arial" w:hAnsi="Arial"/>
                <w:color w:val="000000" w:themeColor="text1"/>
                <w:szCs w:val="21"/>
                <w:highlight w:val="none"/>
                <w14:textFill>
                  <w14:solidFill>
                    <w14:schemeClr w14:val="tx1"/>
                  </w14:solidFill>
                </w14:textFill>
              </w:rPr>
              <w:t>5</w:t>
            </w:r>
            <w:r>
              <w:rPr>
                <w:rFonts w:hint="eastAsia" w:ascii="Arial" w:hAnsi="Arial"/>
                <w:color w:val="000000" w:themeColor="text1"/>
                <w:szCs w:val="21"/>
                <w:highlight w:val="none"/>
                <w14:textFill>
                  <w14:solidFill>
                    <w14:schemeClr w14:val="tx1"/>
                  </w14:solidFill>
                </w14:textFill>
              </w:rPr>
              <w:t>分（即</w:t>
            </w:r>
            <w:r>
              <w:rPr>
                <w:rFonts w:ascii="Arial" w:hAnsi="Arial"/>
                <w:color w:val="000000" w:themeColor="text1"/>
                <w:szCs w:val="21"/>
                <w:highlight w:val="none"/>
                <w14:textFill>
                  <w14:solidFill>
                    <w14:schemeClr w14:val="tx1"/>
                  </w14:solidFill>
                </w14:textFill>
              </w:rPr>
              <w:t>AA</w:t>
            </w:r>
            <w:r>
              <w:rPr>
                <w:rFonts w:hint="eastAsia" w:ascii="Arial" w:hAnsi="Arial"/>
                <w:color w:val="000000" w:themeColor="text1"/>
                <w:szCs w:val="21"/>
                <w:highlight w:val="none"/>
                <w14:textFill>
                  <w14:solidFill>
                    <w14:schemeClr w14:val="tx1"/>
                  </w14:solidFill>
                </w14:textFill>
              </w:rPr>
              <w:t>级得2</w:t>
            </w:r>
            <w:r>
              <w:rPr>
                <w:rFonts w:ascii="Arial" w:hAnsi="Arial"/>
                <w:color w:val="000000" w:themeColor="text1"/>
                <w:szCs w:val="21"/>
                <w:highlight w:val="none"/>
                <w14:textFill>
                  <w14:solidFill>
                    <w14:schemeClr w14:val="tx1"/>
                  </w14:solidFill>
                </w14:textFill>
              </w:rPr>
              <w:t>0</w:t>
            </w:r>
            <w:r>
              <w:rPr>
                <w:rFonts w:hint="eastAsia" w:ascii="Arial" w:hAnsi="Arial"/>
                <w:color w:val="000000" w:themeColor="text1"/>
                <w:szCs w:val="21"/>
                <w:highlight w:val="none"/>
                <w14:textFill>
                  <w14:solidFill>
                    <w14:schemeClr w14:val="tx1"/>
                  </w14:solidFill>
                </w14:textFill>
              </w:rPr>
              <w:t>分，</w:t>
            </w:r>
            <w:r>
              <w:rPr>
                <w:rFonts w:ascii="Arial" w:hAnsi="Arial"/>
                <w:color w:val="000000" w:themeColor="text1"/>
                <w:szCs w:val="21"/>
                <w:highlight w:val="none"/>
                <w14:textFill>
                  <w14:solidFill>
                    <w14:schemeClr w14:val="tx1"/>
                  </w14:solidFill>
                </w14:textFill>
              </w:rPr>
              <w:t>C</w:t>
            </w:r>
            <w:r>
              <w:rPr>
                <w:rFonts w:hint="eastAsia" w:ascii="Arial" w:hAnsi="Arial"/>
                <w:color w:val="000000" w:themeColor="text1"/>
                <w:szCs w:val="21"/>
                <w:highlight w:val="none"/>
                <w14:textFill>
                  <w14:solidFill>
                    <w14:schemeClr w14:val="tx1"/>
                  </w14:solidFill>
                </w14:textFill>
              </w:rPr>
              <w:t>级得5分），首次合作或其他情况得</w:t>
            </w:r>
            <w:r>
              <w:rPr>
                <w:rFonts w:ascii="Arial" w:hAnsi="Arial"/>
                <w:color w:val="000000" w:themeColor="text1"/>
                <w:szCs w:val="21"/>
                <w:highlight w:val="none"/>
                <w14:textFill>
                  <w14:solidFill>
                    <w14:schemeClr w14:val="tx1"/>
                  </w14:solidFill>
                </w14:textFill>
              </w:rPr>
              <w:t>10</w:t>
            </w:r>
            <w:r>
              <w:rPr>
                <w:rFonts w:hint="eastAsia" w:ascii="Arial" w:hAnsi="Arial"/>
                <w:color w:val="000000" w:themeColor="text1"/>
                <w:szCs w:val="21"/>
                <w:highlight w:val="none"/>
                <w14:textFill>
                  <w14:solidFill>
                    <w14:schemeClr w14:val="tx1"/>
                  </w14:solidFill>
                </w14:textFill>
              </w:rPr>
              <w:t>分。</w:t>
            </w:r>
          </w:p>
        </w:tc>
        <w:tc>
          <w:tcPr>
            <w:tcW w:w="2891" w:type="dxa"/>
            <w:tcBorders>
              <w:right w:val="single" w:color="auto" w:sz="4" w:space="0"/>
            </w:tcBorders>
            <w:vAlign w:val="center"/>
          </w:tcPr>
          <w:p w14:paraId="3B3A06FA">
            <w:pPr>
              <w:spacing w:line="240" w:lineRule="atLeast"/>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信誉：</w:t>
            </w:r>
          </w:p>
          <w:p w14:paraId="3C2A8328">
            <w:pPr>
              <w:spacing w:line="240" w:lineRule="atLeast"/>
              <w:rPr>
                <w:rFonts w:ascii="Arial" w:hAnsi="Arial" w:cs="Arial"/>
                <w:b/>
                <w:color w:val="000000" w:themeColor="text1"/>
                <w:szCs w:val="21"/>
                <w:highlight w:val="none"/>
                <w14:textFill>
                  <w14:solidFill>
                    <w14:schemeClr w14:val="tx1"/>
                  </w14:solidFill>
                </w14:textFill>
              </w:rPr>
            </w:pPr>
            <w:r>
              <w:rPr>
                <w:rFonts w:hint="eastAsia" w:ascii="Arial" w:hAnsi="Arial"/>
                <w:color w:val="000000" w:themeColor="text1"/>
                <w:highlight w:val="none"/>
                <w14:textFill>
                  <w14:solidFill>
                    <w14:schemeClr w14:val="tx1"/>
                  </w14:solidFill>
                </w14:textFill>
              </w:rPr>
              <w:t>优质□   其他□</w:t>
            </w:r>
          </w:p>
        </w:tc>
        <w:tc>
          <w:tcPr>
            <w:tcW w:w="793" w:type="dxa"/>
            <w:tcBorders>
              <w:left w:val="single" w:color="auto" w:sz="4" w:space="0"/>
            </w:tcBorders>
            <w:vAlign w:val="center"/>
          </w:tcPr>
          <w:p w14:paraId="45F6634F">
            <w:pPr>
              <w:spacing w:line="240" w:lineRule="atLeast"/>
              <w:rPr>
                <w:rFonts w:ascii="Arial" w:hAnsi="Arial" w:cs="Arial"/>
                <w:color w:val="000000" w:themeColor="text1"/>
                <w:szCs w:val="21"/>
                <w:highlight w:val="none"/>
                <w14:textFill>
                  <w14:solidFill>
                    <w14:schemeClr w14:val="tx1"/>
                  </w14:solidFill>
                </w14:textFill>
              </w:rPr>
            </w:pPr>
          </w:p>
        </w:tc>
      </w:tr>
      <w:tr w14:paraId="429971B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20" w:hRule="atLeast"/>
          <w:jc w:val="center"/>
        </w:trPr>
        <w:tc>
          <w:tcPr>
            <w:tcW w:w="555" w:type="dxa"/>
            <w:vAlign w:val="center"/>
          </w:tcPr>
          <w:p w14:paraId="4D238911">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6</w:t>
            </w:r>
          </w:p>
        </w:tc>
        <w:tc>
          <w:tcPr>
            <w:tcW w:w="1980" w:type="dxa"/>
            <w:vAlign w:val="center"/>
          </w:tcPr>
          <w:p w14:paraId="674E2FCF">
            <w:pP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垫资能力及其他优惠条件</w:t>
            </w:r>
          </w:p>
        </w:tc>
        <w:tc>
          <w:tcPr>
            <w:tcW w:w="737" w:type="dxa"/>
            <w:vAlign w:val="center"/>
          </w:tcPr>
          <w:p w14:paraId="3D8D01D9">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加分项</w:t>
            </w:r>
          </w:p>
        </w:tc>
        <w:tc>
          <w:tcPr>
            <w:tcW w:w="2154" w:type="dxa"/>
          </w:tcPr>
          <w:p w14:paraId="658CC004">
            <w:pPr>
              <w:autoSpaceDE w:val="0"/>
              <w:autoSpaceDN w:val="0"/>
              <w:spacing w:before="78" w:line="240" w:lineRule="atLeast"/>
              <w:ind w:right="-20"/>
              <w:rPr>
                <w:rFonts w:ascii="Arial" w:hAnsi="Arial"/>
                <w:color w:val="000000" w:themeColor="text1"/>
                <w:szCs w:val="21"/>
                <w:highlight w:val="none"/>
                <w14:textFill>
                  <w14:solidFill>
                    <w14:schemeClr w14:val="tx1"/>
                  </w14:solidFill>
                </w14:textFill>
              </w:rPr>
            </w:pPr>
            <w:r>
              <w:rPr>
                <w:rFonts w:hint="eastAsia" w:ascii="Arial" w:hAnsi="Arial"/>
                <w:color w:val="000000" w:themeColor="text1"/>
                <w:szCs w:val="21"/>
                <w:highlight w:val="none"/>
                <w14:textFill>
                  <w14:solidFill>
                    <w14:schemeClr w14:val="tx1"/>
                  </w14:solidFill>
                </w14:textFill>
              </w:rPr>
              <w:t>根据响应单位提供的承诺给与一定的加分，上限20分（百分制）</w:t>
            </w:r>
          </w:p>
        </w:tc>
        <w:tc>
          <w:tcPr>
            <w:tcW w:w="2891" w:type="dxa"/>
            <w:tcBorders>
              <w:right w:val="single" w:color="auto" w:sz="4" w:space="0"/>
            </w:tcBorders>
            <w:vAlign w:val="center"/>
          </w:tcPr>
          <w:p w14:paraId="63AF3FA7">
            <w:pPr>
              <w:spacing w:line="240" w:lineRule="atLeast"/>
              <w:rPr>
                <w:rFonts w:ascii="Arial" w:hAnsi="Arial"/>
                <w:color w:val="000000" w:themeColor="text1"/>
                <w:highlight w:val="none"/>
                <w14:textFill>
                  <w14:solidFill>
                    <w14:schemeClr w14:val="tx1"/>
                  </w14:solidFill>
                </w14:textFill>
              </w:rPr>
            </w:pPr>
          </w:p>
        </w:tc>
        <w:tc>
          <w:tcPr>
            <w:tcW w:w="793" w:type="dxa"/>
            <w:tcBorders>
              <w:left w:val="single" w:color="auto" w:sz="4" w:space="0"/>
            </w:tcBorders>
            <w:vAlign w:val="center"/>
          </w:tcPr>
          <w:p w14:paraId="5529E094">
            <w:pPr>
              <w:jc w:val="center"/>
              <w:rPr>
                <w:rFonts w:ascii="Arial" w:hAnsi="Arial" w:cs="Arial"/>
                <w:color w:val="000000" w:themeColor="text1"/>
                <w:szCs w:val="21"/>
                <w:highlight w:val="none"/>
                <w14:textFill>
                  <w14:solidFill>
                    <w14:schemeClr w14:val="tx1"/>
                  </w14:solidFill>
                </w14:textFill>
              </w:rPr>
            </w:pPr>
          </w:p>
        </w:tc>
      </w:tr>
      <w:tr w14:paraId="621CA50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5426" w:type="dxa"/>
            <w:gridSpan w:val="4"/>
            <w:vAlign w:val="center"/>
          </w:tcPr>
          <w:p w14:paraId="13AC8586">
            <w:pPr>
              <w:jc w:val="center"/>
              <w:rPr>
                <w:rFonts w:ascii="Arial" w:hAnsi="Arial" w:cs="宋体"/>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合 计（100）</w:t>
            </w:r>
          </w:p>
        </w:tc>
        <w:tc>
          <w:tcPr>
            <w:tcW w:w="3684" w:type="dxa"/>
            <w:gridSpan w:val="2"/>
            <w:vAlign w:val="center"/>
          </w:tcPr>
          <w:p w14:paraId="5C8B2BD0">
            <w:pPr>
              <w:rPr>
                <w:rFonts w:ascii="Arial" w:hAnsi="Arial" w:cs="Arial"/>
                <w:bCs/>
                <w:color w:val="000000" w:themeColor="text1"/>
                <w:szCs w:val="21"/>
                <w:highlight w:val="none"/>
                <w14:textFill>
                  <w14:solidFill>
                    <w14:schemeClr w14:val="tx1"/>
                  </w14:solidFill>
                </w14:textFill>
              </w:rPr>
            </w:pPr>
          </w:p>
        </w:tc>
      </w:tr>
    </w:tbl>
    <w:p w14:paraId="7FF2D40D">
      <w:pPr>
        <w:spacing w:line="360" w:lineRule="auto"/>
        <w:rPr>
          <w:rFonts w:hint="eastAsia" w:hAnsi="宋体"/>
          <w:color w:val="000000" w:themeColor="text1"/>
          <w:sz w:val="24"/>
          <w:highlight w:val="none"/>
          <w14:textFill>
            <w14:solidFill>
              <w14:schemeClr w14:val="tx1"/>
            </w14:solidFill>
          </w14:textFill>
        </w:rPr>
      </w:pPr>
      <w:r>
        <w:rPr>
          <w:rFonts w:hAnsi="宋体"/>
          <w:color w:val="000000" w:themeColor="text1"/>
          <w:sz w:val="24"/>
          <w:highlight w:val="none"/>
          <w14:textFill>
            <w14:solidFill>
              <w14:schemeClr w14:val="tx1"/>
            </w14:solidFill>
          </w14:textFill>
        </w:rPr>
        <w:t>附表</w:t>
      </w:r>
      <w:r>
        <w:rPr>
          <w:rFonts w:hint="eastAsia" w:hAnsi="宋体"/>
          <w:color w:val="000000" w:themeColor="text1"/>
          <w:sz w:val="24"/>
          <w:highlight w:val="none"/>
          <w14:textFill>
            <w14:solidFill>
              <w14:schemeClr w14:val="tx1"/>
            </w14:solidFill>
          </w14:textFill>
        </w:rPr>
        <w:t>2</w:t>
      </w:r>
    </w:p>
    <w:p w14:paraId="21BDFBDF">
      <w:pPr>
        <w:jc w:val="center"/>
        <w:rPr>
          <w:rFonts w:hint="eastAsia" w:hAnsi="宋体"/>
          <w:b/>
          <w:color w:val="000000" w:themeColor="text1"/>
          <w:sz w:val="24"/>
          <w:highlight w:val="none"/>
          <w14:textFill>
            <w14:solidFill>
              <w14:schemeClr w14:val="tx1"/>
            </w14:solidFill>
          </w14:textFill>
        </w:rPr>
      </w:pPr>
      <w:r>
        <w:rPr>
          <w:rFonts w:hint="eastAsia" w:hAnsi="宋体"/>
          <w:b/>
          <w:color w:val="000000" w:themeColor="text1"/>
          <w:sz w:val="24"/>
          <w:highlight w:val="none"/>
          <w14:textFill>
            <w14:solidFill>
              <w14:schemeClr w14:val="tx1"/>
            </w14:solidFill>
          </w14:textFill>
        </w:rPr>
        <w:t>施工</w:t>
      </w:r>
      <w:r>
        <w:rPr>
          <w:rFonts w:hAnsi="宋体"/>
          <w:b/>
          <w:color w:val="000000" w:themeColor="text1"/>
          <w:sz w:val="24"/>
          <w:highlight w:val="none"/>
          <w14:textFill>
            <w14:solidFill>
              <w14:schemeClr w14:val="tx1"/>
            </w14:solidFill>
          </w14:textFill>
        </w:rPr>
        <w:t>技术</w:t>
      </w:r>
      <w:r>
        <w:rPr>
          <w:rFonts w:hint="eastAsia" w:hAnsi="宋体"/>
          <w:b/>
          <w:color w:val="000000" w:themeColor="text1"/>
          <w:sz w:val="24"/>
          <w:highlight w:val="none"/>
          <w14:textFill>
            <w14:solidFill>
              <w14:schemeClr w14:val="tx1"/>
            </w14:solidFill>
          </w14:textFill>
        </w:rPr>
        <w:t>方案</w:t>
      </w:r>
      <w:r>
        <w:rPr>
          <w:rFonts w:hAnsi="宋体"/>
          <w:b/>
          <w:color w:val="000000" w:themeColor="text1"/>
          <w:sz w:val="24"/>
          <w:highlight w:val="none"/>
          <w14:textFill>
            <w14:solidFill>
              <w14:schemeClr w14:val="tx1"/>
            </w14:solidFill>
          </w14:textFill>
        </w:rPr>
        <w:t>评分表</w:t>
      </w:r>
    </w:p>
    <w:p w14:paraId="10746B50">
      <w:pPr>
        <w:spacing w:line="360"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响应单位名称：</w:t>
      </w:r>
    </w:p>
    <w:tbl>
      <w:tblPr>
        <w:tblStyle w:val="31"/>
        <w:tblW w:w="9553"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72"/>
        <w:gridCol w:w="1593"/>
        <w:gridCol w:w="871"/>
        <w:gridCol w:w="4068"/>
        <w:gridCol w:w="1110"/>
        <w:gridCol w:w="1139"/>
      </w:tblGrid>
      <w:tr w14:paraId="0D42F32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41" w:hRule="atLeast"/>
          <w:tblHeader/>
          <w:jc w:val="center"/>
        </w:trPr>
        <w:tc>
          <w:tcPr>
            <w:tcW w:w="772" w:type="dxa"/>
            <w:vMerge w:val="restart"/>
            <w:vAlign w:val="center"/>
          </w:tcPr>
          <w:p w14:paraId="5D45929C">
            <w:pPr>
              <w:jc w:val="center"/>
              <w:rPr>
                <w:rFonts w:ascii="Arial" w:hAnsi="Arial" w:cs="Arial"/>
                <w:b/>
                <w:color w:val="000000" w:themeColor="text1"/>
                <w:szCs w:val="21"/>
                <w:highlight w:val="none"/>
                <w14:textFill>
                  <w14:solidFill>
                    <w14:schemeClr w14:val="tx1"/>
                  </w14:solidFill>
                </w14:textFill>
              </w:rPr>
            </w:pPr>
            <w:r>
              <w:rPr>
                <w:rFonts w:ascii="Arial" w:hAnsi="Arial" w:cs="Arial"/>
                <w:b/>
                <w:color w:val="000000" w:themeColor="text1"/>
                <w:szCs w:val="21"/>
                <w:highlight w:val="none"/>
                <w14:textFill>
                  <w14:solidFill>
                    <w14:schemeClr w14:val="tx1"/>
                  </w14:solidFill>
                </w14:textFill>
              </w:rPr>
              <w:t>序号</w:t>
            </w:r>
          </w:p>
        </w:tc>
        <w:tc>
          <w:tcPr>
            <w:tcW w:w="1593" w:type="dxa"/>
            <w:vMerge w:val="restart"/>
            <w:vAlign w:val="center"/>
          </w:tcPr>
          <w:p w14:paraId="51164D80">
            <w:pPr>
              <w:jc w:val="center"/>
              <w:rPr>
                <w:rFonts w:ascii="Arial" w:hAnsi="Arial" w:cs="Arial"/>
                <w:b/>
                <w:color w:val="000000" w:themeColor="text1"/>
                <w:szCs w:val="21"/>
                <w:highlight w:val="none"/>
                <w14:textFill>
                  <w14:solidFill>
                    <w14:schemeClr w14:val="tx1"/>
                  </w14:solidFill>
                </w14:textFill>
              </w:rPr>
            </w:pPr>
            <w:r>
              <w:rPr>
                <w:rFonts w:ascii="Arial" w:hAnsi="Arial" w:cs="Arial"/>
                <w:b/>
                <w:color w:val="000000" w:themeColor="text1"/>
                <w:szCs w:val="21"/>
                <w:highlight w:val="none"/>
                <w14:textFill>
                  <w14:solidFill>
                    <w14:schemeClr w14:val="tx1"/>
                  </w14:solidFill>
                </w14:textFill>
              </w:rPr>
              <w:t>评分项目</w:t>
            </w:r>
          </w:p>
        </w:tc>
        <w:tc>
          <w:tcPr>
            <w:tcW w:w="871" w:type="dxa"/>
            <w:vMerge w:val="restart"/>
            <w:vAlign w:val="center"/>
          </w:tcPr>
          <w:p w14:paraId="5FA817BE">
            <w:pPr>
              <w:jc w:val="center"/>
              <w:rPr>
                <w:rFonts w:ascii="Arial" w:hAnsi="Arial" w:cs="Arial"/>
                <w:b/>
                <w:color w:val="000000" w:themeColor="text1"/>
                <w:szCs w:val="21"/>
                <w:highlight w:val="none"/>
                <w14:textFill>
                  <w14:solidFill>
                    <w14:schemeClr w14:val="tx1"/>
                  </w14:solidFill>
                </w14:textFill>
              </w:rPr>
            </w:pPr>
            <w:r>
              <w:rPr>
                <w:rFonts w:hint="eastAsia" w:ascii="Arial" w:hAnsi="Arial" w:cs="Arial"/>
                <w:b/>
                <w:color w:val="000000" w:themeColor="text1"/>
                <w:szCs w:val="21"/>
                <w:highlight w:val="none"/>
                <w14:textFill>
                  <w14:solidFill>
                    <w14:schemeClr w14:val="tx1"/>
                  </w14:solidFill>
                </w14:textFill>
              </w:rPr>
              <w:t>满</w:t>
            </w:r>
            <w:r>
              <w:rPr>
                <w:rFonts w:ascii="Arial" w:hAnsi="Arial" w:cs="Arial"/>
                <w:b/>
                <w:color w:val="000000" w:themeColor="text1"/>
                <w:szCs w:val="21"/>
                <w:highlight w:val="none"/>
                <w14:textFill>
                  <w14:solidFill>
                    <w14:schemeClr w14:val="tx1"/>
                  </w14:solidFill>
                </w14:textFill>
              </w:rPr>
              <w:t>分</w:t>
            </w:r>
          </w:p>
        </w:tc>
        <w:tc>
          <w:tcPr>
            <w:tcW w:w="4068" w:type="dxa"/>
            <w:vMerge w:val="restart"/>
            <w:vAlign w:val="center"/>
          </w:tcPr>
          <w:p w14:paraId="4EA3B19C">
            <w:pPr>
              <w:jc w:val="center"/>
              <w:rPr>
                <w:rFonts w:ascii="Arial" w:hAnsi="Arial" w:cs="Arial"/>
                <w:b/>
                <w:color w:val="000000" w:themeColor="text1"/>
                <w:szCs w:val="21"/>
                <w:highlight w:val="none"/>
                <w14:textFill>
                  <w14:solidFill>
                    <w14:schemeClr w14:val="tx1"/>
                  </w14:solidFill>
                </w14:textFill>
              </w:rPr>
            </w:pPr>
            <w:r>
              <w:rPr>
                <w:rFonts w:ascii="Arial" w:hAnsi="Arial" w:cs="Arial"/>
                <w:b/>
                <w:color w:val="000000" w:themeColor="text1"/>
                <w:szCs w:val="21"/>
                <w:highlight w:val="none"/>
                <w14:textFill>
                  <w14:solidFill>
                    <w14:schemeClr w14:val="tx1"/>
                  </w14:solidFill>
                </w14:textFill>
              </w:rPr>
              <w:t>评分标准</w:t>
            </w:r>
          </w:p>
        </w:tc>
        <w:tc>
          <w:tcPr>
            <w:tcW w:w="1110" w:type="dxa"/>
            <w:vMerge w:val="restart"/>
            <w:tcBorders>
              <w:right w:val="single" w:color="auto" w:sz="4" w:space="0"/>
            </w:tcBorders>
            <w:vAlign w:val="center"/>
          </w:tcPr>
          <w:p w14:paraId="78E1827D">
            <w:pPr>
              <w:jc w:val="center"/>
              <w:rPr>
                <w:rFonts w:ascii="Arial" w:hAnsi="Arial" w:cs="Arial"/>
                <w:b/>
                <w:color w:val="000000" w:themeColor="text1"/>
                <w:szCs w:val="21"/>
                <w:highlight w:val="none"/>
                <w14:textFill>
                  <w14:solidFill>
                    <w14:schemeClr w14:val="tx1"/>
                  </w14:solidFill>
                </w14:textFill>
              </w:rPr>
            </w:pPr>
            <w:r>
              <w:rPr>
                <w:rFonts w:hint="eastAsia" w:ascii="Arial" w:hAnsi="Arial" w:cs="Arial"/>
                <w:b/>
                <w:color w:val="000000" w:themeColor="text1"/>
                <w:szCs w:val="21"/>
                <w:highlight w:val="none"/>
                <w14:textFill>
                  <w14:solidFill>
                    <w14:schemeClr w14:val="tx1"/>
                  </w14:solidFill>
                </w14:textFill>
              </w:rPr>
              <w:t>选择分值</w:t>
            </w:r>
          </w:p>
        </w:tc>
        <w:tc>
          <w:tcPr>
            <w:tcW w:w="1139" w:type="dxa"/>
            <w:vMerge w:val="restart"/>
            <w:tcBorders>
              <w:left w:val="single" w:color="auto" w:sz="4" w:space="0"/>
            </w:tcBorders>
            <w:vAlign w:val="center"/>
          </w:tcPr>
          <w:p w14:paraId="7E57E6EC">
            <w:pPr>
              <w:jc w:val="center"/>
              <w:rPr>
                <w:rFonts w:ascii="Arial" w:hAnsi="Arial" w:cs="Arial"/>
                <w:b/>
                <w:color w:val="000000" w:themeColor="text1"/>
                <w:szCs w:val="21"/>
                <w:highlight w:val="none"/>
                <w14:textFill>
                  <w14:solidFill>
                    <w14:schemeClr w14:val="tx1"/>
                  </w14:solidFill>
                </w14:textFill>
              </w:rPr>
            </w:pPr>
            <w:r>
              <w:rPr>
                <w:rFonts w:hint="eastAsia" w:ascii="Arial" w:hAnsi="Arial" w:cs="Arial"/>
                <w:b/>
                <w:color w:val="000000" w:themeColor="text1"/>
                <w:szCs w:val="21"/>
                <w:highlight w:val="none"/>
                <w14:textFill>
                  <w14:solidFill>
                    <w14:schemeClr w14:val="tx1"/>
                  </w14:solidFill>
                </w14:textFill>
              </w:rPr>
              <w:t>得分</w:t>
            </w:r>
          </w:p>
        </w:tc>
      </w:tr>
      <w:tr w14:paraId="203230D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41" w:hRule="atLeast"/>
          <w:tblHeader/>
          <w:jc w:val="center"/>
        </w:trPr>
        <w:tc>
          <w:tcPr>
            <w:tcW w:w="772" w:type="dxa"/>
            <w:vMerge w:val="continue"/>
            <w:vAlign w:val="center"/>
          </w:tcPr>
          <w:p w14:paraId="5C761B84">
            <w:pPr>
              <w:jc w:val="center"/>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3A0A91B0">
            <w:pPr>
              <w:jc w:val="center"/>
              <w:rPr>
                <w:rFonts w:ascii="Arial" w:hAnsi="Arial" w:cs="Arial"/>
                <w:color w:val="000000" w:themeColor="text1"/>
                <w:szCs w:val="21"/>
                <w:highlight w:val="none"/>
                <w14:textFill>
                  <w14:solidFill>
                    <w14:schemeClr w14:val="tx1"/>
                  </w14:solidFill>
                </w14:textFill>
              </w:rPr>
            </w:pPr>
          </w:p>
        </w:tc>
        <w:tc>
          <w:tcPr>
            <w:tcW w:w="871" w:type="dxa"/>
            <w:vMerge w:val="continue"/>
            <w:vAlign w:val="center"/>
          </w:tcPr>
          <w:p w14:paraId="4283D4A5">
            <w:pPr>
              <w:jc w:val="center"/>
              <w:rPr>
                <w:rFonts w:ascii="Arial" w:hAnsi="Arial" w:cs="Arial"/>
                <w:color w:val="000000" w:themeColor="text1"/>
                <w:szCs w:val="21"/>
                <w:highlight w:val="none"/>
                <w14:textFill>
                  <w14:solidFill>
                    <w14:schemeClr w14:val="tx1"/>
                  </w14:solidFill>
                </w14:textFill>
              </w:rPr>
            </w:pPr>
          </w:p>
        </w:tc>
        <w:tc>
          <w:tcPr>
            <w:tcW w:w="4068" w:type="dxa"/>
            <w:vMerge w:val="continue"/>
            <w:vAlign w:val="center"/>
          </w:tcPr>
          <w:p w14:paraId="56819143">
            <w:pPr>
              <w:jc w:val="center"/>
              <w:rPr>
                <w:rFonts w:ascii="Arial" w:hAnsi="Arial" w:cs="Arial"/>
                <w:color w:val="000000" w:themeColor="text1"/>
                <w:szCs w:val="21"/>
                <w:highlight w:val="none"/>
                <w14:textFill>
                  <w14:solidFill>
                    <w14:schemeClr w14:val="tx1"/>
                  </w14:solidFill>
                </w14:textFill>
              </w:rPr>
            </w:pPr>
          </w:p>
        </w:tc>
        <w:tc>
          <w:tcPr>
            <w:tcW w:w="1110" w:type="dxa"/>
            <w:vMerge w:val="continue"/>
            <w:tcBorders>
              <w:right w:val="single" w:color="auto" w:sz="4" w:space="0"/>
            </w:tcBorders>
            <w:vAlign w:val="center"/>
          </w:tcPr>
          <w:p w14:paraId="43AE9094">
            <w:pPr>
              <w:jc w:val="center"/>
              <w:rPr>
                <w:rFonts w:ascii="Arial" w:hAnsi="Arial" w:cs="Arial"/>
                <w:color w:val="000000" w:themeColor="text1"/>
                <w:szCs w:val="21"/>
                <w:highlight w:val="none"/>
                <w14:textFill>
                  <w14:solidFill>
                    <w14:schemeClr w14:val="tx1"/>
                  </w14:solidFill>
                </w14:textFill>
              </w:rPr>
            </w:pPr>
          </w:p>
        </w:tc>
        <w:tc>
          <w:tcPr>
            <w:tcW w:w="1139" w:type="dxa"/>
            <w:vMerge w:val="continue"/>
            <w:tcBorders>
              <w:left w:val="single" w:color="auto" w:sz="4" w:space="0"/>
            </w:tcBorders>
            <w:vAlign w:val="center"/>
          </w:tcPr>
          <w:p w14:paraId="1AED646C">
            <w:pPr>
              <w:rPr>
                <w:rFonts w:ascii="Arial" w:hAnsi="Arial" w:cs="Arial"/>
                <w:color w:val="000000" w:themeColor="text1"/>
                <w:szCs w:val="21"/>
                <w:highlight w:val="none"/>
                <w14:textFill>
                  <w14:solidFill>
                    <w14:schemeClr w14:val="tx1"/>
                  </w14:solidFill>
                </w14:textFill>
              </w:rPr>
            </w:pPr>
          </w:p>
        </w:tc>
      </w:tr>
      <w:tr w14:paraId="25C2C4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40897FE0">
            <w:pPr>
              <w:jc w:val="center"/>
              <w:rPr>
                <w:rFonts w:ascii="Arial" w:hAnsi="Arial" w:cs="Arial"/>
                <w:color w:val="000000" w:themeColor="text1"/>
                <w:szCs w:val="21"/>
                <w:highlight w:val="none"/>
                <w14:textFill>
                  <w14:solidFill>
                    <w14:schemeClr w14:val="tx1"/>
                  </w14:solidFill>
                </w14:textFill>
              </w:rPr>
            </w:pPr>
            <w:bookmarkStart w:id="1883" w:name="_Hlk240252769"/>
            <w:bookmarkStart w:id="1884" w:name="OLE_LINK1" w:colFirst="1" w:colLast="2"/>
            <w:bookmarkStart w:id="1885" w:name="OLE_LINK2" w:colFirst="1" w:colLast="2"/>
            <w:r>
              <w:rPr>
                <w:rFonts w:hint="eastAsia" w:ascii="Arial" w:hAnsi="Arial" w:cs="Arial"/>
                <w:color w:val="000000" w:themeColor="text1"/>
                <w:szCs w:val="21"/>
                <w:highlight w:val="none"/>
                <w14:textFill>
                  <w14:solidFill>
                    <w14:schemeClr w14:val="tx1"/>
                  </w14:solidFill>
                </w14:textFill>
              </w:rPr>
              <w:t>1</w:t>
            </w:r>
          </w:p>
        </w:tc>
        <w:tc>
          <w:tcPr>
            <w:tcW w:w="1593" w:type="dxa"/>
            <w:vMerge w:val="restart"/>
            <w:vAlign w:val="center"/>
          </w:tcPr>
          <w:p w14:paraId="75FB9C4C">
            <w:pPr>
              <w:rPr>
                <w:rFonts w:ascii="Arial" w:hAnsi="Arial" w:cs="Arial"/>
                <w:bCs/>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主要施工方案</w:t>
            </w:r>
            <w:r>
              <w:rPr>
                <w:rFonts w:hint="eastAsia" w:ascii="Arial" w:hAnsi="Arial" w:cs="Arial"/>
                <w:color w:val="000000" w:themeColor="text1"/>
                <w:szCs w:val="21"/>
                <w:highlight w:val="none"/>
                <w14:textFill>
                  <w14:solidFill>
                    <w14:schemeClr w14:val="tx1"/>
                  </w14:solidFill>
                </w14:textFill>
              </w:rPr>
              <w:t>和技术措施</w:t>
            </w:r>
          </w:p>
        </w:tc>
        <w:tc>
          <w:tcPr>
            <w:tcW w:w="871" w:type="dxa"/>
            <w:vMerge w:val="restart"/>
            <w:vAlign w:val="center"/>
          </w:tcPr>
          <w:p w14:paraId="50A80D57">
            <w:pPr>
              <w:autoSpaceDE w:val="0"/>
              <w:autoSpaceDN w:val="0"/>
              <w:jc w:val="center"/>
              <w:rPr>
                <w:rFonts w:ascii="Arial" w:hAnsi="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20</w:t>
            </w:r>
          </w:p>
        </w:tc>
        <w:tc>
          <w:tcPr>
            <w:tcW w:w="4068" w:type="dxa"/>
            <w:vAlign w:val="center"/>
          </w:tcPr>
          <w:p w14:paraId="5A1494A7">
            <w:pP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全面且针对性强，难点、重点把握准确，</w:t>
            </w:r>
            <w:r>
              <w:rPr>
                <w:rFonts w:ascii="Arial" w:hAnsi="Arial" w:cs="Arial"/>
                <w:color w:val="000000" w:themeColor="text1"/>
                <w:szCs w:val="21"/>
                <w:highlight w:val="none"/>
                <w14:textFill>
                  <w14:solidFill>
                    <w14:schemeClr w14:val="tx1"/>
                  </w14:solidFill>
                </w14:textFill>
              </w:rPr>
              <w:t>措施</w:t>
            </w:r>
            <w:r>
              <w:rPr>
                <w:rFonts w:hint="eastAsia" w:ascii="Arial" w:hAnsi="Arial" w:cs="Arial"/>
                <w:color w:val="000000" w:themeColor="text1"/>
                <w:szCs w:val="21"/>
                <w:highlight w:val="none"/>
                <w14:textFill>
                  <w14:solidFill>
                    <w14:schemeClr w14:val="tx1"/>
                  </w14:solidFill>
                </w14:textFill>
              </w:rPr>
              <w:t>先进、可靠实用</w:t>
            </w:r>
          </w:p>
        </w:tc>
        <w:tc>
          <w:tcPr>
            <w:tcW w:w="1110" w:type="dxa"/>
            <w:tcBorders>
              <w:right w:val="single" w:color="auto" w:sz="4" w:space="0"/>
            </w:tcBorders>
            <w:vAlign w:val="center"/>
          </w:tcPr>
          <w:p w14:paraId="6297A089">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20</w:t>
            </w:r>
          </w:p>
        </w:tc>
        <w:tc>
          <w:tcPr>
            <w:tcW w:w="1139" w:type="dxa"/>
            <w:vMerge w:val="restart"/>
            <w:tcBorders>
              <w:left w:val="single" w:color="auto" w:sz="4" w:space="0"/>
            </w:tcBorders>
            <w:vAlign w:val="center"/>
          </w:tcPr>
          <w:p w14:paraId="6DF687C0">
            <w:pPr>
              <w:rPr>
                <w:rFonts w:ascii="Arial" w:hAnsi="Arial" w:cs="Arial"/>
                <w:color w:val="000000" w:themeColor="text1"/>
                <w:szCs w:val="21"/>
                <w:highlight w:val="none"/>
                <w14:textFill>
                  <w14:solidFill>
                    <w14:schemeClr w14:val="tx1"/>
                  </w14:solidFill>
                </w14:textFill>
              </w:rPr>
            </w:pPr>
          </w:p>
        </w:tc>
      </w:tr>
      <w:tr w14:paraId="546B82F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3C026765">
            <w:pPr>
              <w:widowControl/>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43455446">
            <w:pPr>
              <w:widowControl/>
              <w:rPr>
                <w:rFonts w:ascii="Arial" w:hAnsi="Arial" w:cs="Arial"/>
                <w:color w:val="000000" w:themeColor="text1"/>
                <w:szCs w:val="21"/>
                <w:highlight w:val="none"/>
                <w14:textFill>
                  <w14:solidFill>
                    <w14:schemeClr w14:val="tx1"/>
                  </w14:solidFill>
                </w14:textFill>
              </w:rPr>
            </w:pPr>
          </w:p>
        </w:tc>
        <w:tc>
          <w:tcPr>
            <w:tcW w:w="871" w:type="dxa"/>
            <w:vMerge w:val="continue"/>
          </w:tcPr>
          <w:p w14:paraId="55BEDF50">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1689F0C2">
            <w:pPr>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方案</w:t>
            </w:r>
            <w:r>
              <w:rPr>
                <w:rFonts w:hint="eastAsia" w:ascii="Arial" w:hAnsi="Arial" w:cs="Arial"/>
                <w:color w:val="000000" w:themeColor="text1"/>
                <w:szCs w:val="21"/>
                <w:highlight w:val="none"/>
                <w14:textFill>
                  <w14:solidFill>
                    <w14:schemeClr w14:val="tx1"/>
                  </w14:solidFill>
                </w14:textFill>
              </w:rPr>
              <w:t>较全面针对性较强，难点、重点把握较准确，</w:t>
            </w:r>
            <w:r>
              <w:rPr>
                <w:rFonts w:ascii="Arial" w:hAnsi="Arial" w:cs="Arial"/>
                <w:color w:val="000000" w:themeColor="text1"/>
                <w:szCs w:val="21"/>
                <w:highlight w:val="none"/>
                <w14:textFill>
                  <w14:solidFill>
                    <w14:schemeClr w14:val="tx1"/>
                  </w14:solidFill>
                </w14:textFill>
              </w:rPr>
              <w:t>措施</w:t>
            </w:r>
            <w:r>
              <w:rPr>
                <w:rFonts w:hint="eastAsia" w:ascii="Arial" w:hAnsi="Arial" w:cs="Arial"/>
                <w:color w:val="000000" w:themeColor="text1"/>
                <w:szCs w:val="21"/>
                <w:highlight w:val="none"/>
                <w14:textFill>
                  <w14:solidFill>
                    <w14:schemeClr w14:val="tx1"/>
                  </w14:solidFill>
                </w14:textFill>
              </w:rPr>
              <w:t>较先进、较可靠实用</w:t>
            </w:r>
          </w:p>
        </w:tc>
        <w:tc>
          <w:tcPr>
            <w:tcW w:w="1110" w:type="dxa"/>
            <w:tcBorders>
              <w:right w:val="single" w:color="auto" w:sz="4" w:space="0"/>
            </w:tcBorders>
            <w:vAlign w:val="center"/>
          </w:tcPr>
          <w:p w14:paraId="44E5FD25">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15</w:t>
            </w:r>
          </w:p>
        </w:tc>
        <w:tc>
          <w:tcPr>
            <w:tcW w:w="1139" w:type="dxa"/>
            <w:vMerge w:val="continue"/>
            <w:tcBorders>
              <w:left w:val="single" w:color="auto" w:sz="4" w:space="0"/>
            </w:tcBorders>
            <w:vAlign w:val="center"/>
          </w:tcPr>
          <w:p w14:paraId="462D56E6">
            <w:pPr>
              <w:rPr>
                <w:rFonts w:ascii="Arial" w:hAnsi="Arial" w:cs="Arial"/>
                <w:color w:val="000000" w:themeColor="text1"/>
                <w:szCs w:val="21"/>
                <w:highlight w:val="none"/>
                <w14:textFill>
                  <w14:solidFill>
                    <w14:schemeClr w14:val="tx1"/>
                  </w14:solidFill>
                </w14:textFill>
              </w:rPr>
            </w:pPr>
          </w:p>
        </w:tc>
      </w:tr>
      <w:bookmarkEnd w:id="1883"/>
      <w:bookmarkEnd w:id="1884"/>
      <w:bookmarkEnd w:id="1885"/>
      <w:tr w14:paraId="31F19AD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3B8BBCD5">
            <w:pPr>
              <w:widowControl/>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7AD80A52">
            <w:pPr>
              <w:widowControl/>
              <w:rPr>
                <w:rFonts w:ascii="Arial" w:hAnsi="Arial" w:cs="Arial"/>
                <w:color w:val="000000" w:themeColor="text1"/>
                <w:szCs w:val="21"/>
                <w:highlight w:val="none"/>
                <w14:textFill>
                  <w14:solidFill>
                    <w14:schemeClr w14:val="tx1"/>
                  </w14:solidFill>
                </w14:textFill>
              </w:rPr>
            </w:pPr>
          </w:p>
        </w:tc>
        <w:tc>
          <w:tcPr>
            <w:tcW w:w="871" w:type="dxa"/>
            <w:vMerge w:val="continue"/>
          </w:tcPr>
          <w:p w14:paraId="4D10EEEA">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1DAA5C0E">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方案</w:t>
            </w:r>
            <w:r>
              <w:rPr>
                <w:rFonts w:hint="eastAsia" w:ascii="Arial" w:hAnsi="Arial" w:cs="Arial"/>
                <w:color w:val="000000" w:themeColor="text1"/>
                <w:szCs w:val="21"/>
                <w:highlight w:val="none"/>
                <w14:textFill>
                  <w14:solidFill>
                    <w14:schemeClr w14:val="tx1"/>
                  </w14:solidFill>
                </w14:textFill>
              </w:rPr>
              <w:t>针对性</w:t>
            </w:r>
            <w:r>
              <w:rPr>
                <w:rFonts w:ascii="Arial" w:hAnsi="Arial" w:cs="Arial"/>
                <w:color w:val="000000" w:themeColor="text1"/>
                <w:szCs w:val="21"/>
                <w:highlight w:val="none"/>
                <w14:textFill>
                  <w14:solidFill>
                    <w14:schemeClr w14:val="tx1"/>
                  </w14:solidFill>
                </w14:textFill>
              </w:rPr>
              <w:t>一般</w:t>
            </w:r>
            <w:r>
              <w:rPr>
                <w:rFonts w:hint="eastAsia" w:ascii="Arial" w:hAnsi="Arial" w:cs="Arial"/>
                <w:color w:val="000000" w:themeColor="text1"/>
                <w:szCs w:val="21"/>
                <w:highlight w:val="none"/>
                <w14:textFill>
                  <w14:solidFill>
                    <w14:schemeClr w14:val="tx1"/>
                  </w14:solidFill>
                </w14:textFill>
              </w:rPr>
              <w:t>，</w:t>
            </w:r>
            <w:r>
              <w:rPr>
                <w:rFonts w:ascii="Arial" w:hAnsi="Arial" w:cs="Arial"/>
                <w:color w:val="000000" w:themeColor="text1"/>
                <w:szCs w:val="21"/>
                <w:highlight w:val="none"/>
                <w14:textFill>
                  <w14:solidFill>
                    <w14:schemeClr w14:val="tx1"/>
                  </w14:solidFill>
                </w14:textFill>
              </w:rPr>
              <w:t>技术措施</w:t>
            </w:r>
            <w:r>
              <w:rPr>
                <w:rFonts w:hint="eastAsia" w:ascii="Arial" w:hAnsi="Arial" w:cs="Arial"/>
                <w:color w:val="000000" w:themeColor="text1"/>
                <w:szCs w:val="21"/>
                <w:highlight w:val="none"/>
                <w14:textFill>
                  <w14:solidFill>
                    <w14:schemeClr w14:val="tx1"/>
                  </w14:solidFill>
                </w14:textFill>
              </w:rPr>
              <w:t>可行</w:t>
            </w:r>
          </w:p>
        </w:tc>
        <w:tc>
          <w:tcPr>
            <w:tcW w:w="1110" w:type="dxa"/>
            <w:tcBorders>
              <w:right w:val="single" w:color="auto" w:sz="4" w:space="0"/>
            </w:tcBorders>
            <w:vAlign w:val="center"/>
          </w:tcPr>
          <w:p w14:paraId="2B9A3EC8">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10</w:t>
            </w:r>
          </w:p>
        </w:tc>
        <w:tc>
          <w:tcPr>
            <w:tcW w:w="1139" w:type="dxa"/>
            <w:vMerge w:val="continue"/>
            <w:tcBorders>
              <w:left w:val="single" w:color="auto" w:sz="4" w:space="0"/>
            </w:tcBorders>
            <w:vAlign w:val="center"/>
          </w:tcPr>
          <w:p w14:paraId="57675340">
            <w:pPr>
              <w:spacing w:line="240" w:lineRule="atLeast"/>
              <w:rPr>
                <w:rFonts w:ascii="Arial" w:hAnsi="Arial" w:cs="Arial"/>
                <w:color w:val="000000" w:themeColor="text1"/>
                <w:szCs w:val="21"/>
                <w:highlight w:val="none"/>
                <w14:textFill>
                  <w14:solidFill>
                    <w14:schemeClr w14:val="tx1"/>
                  </w14:solidFill>
                </w14:textFill>
              </w:rPr>
            </w:pPr>
          </w:p>
        </w:tc>
      </w:tr>
      <w:tr w14:paraId="1474BE7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1CCED73F">
            <w:pPr>
              <w:widowControl/>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46243FE3">
            <w:pPr>
              <w:widowControl/>
              <w:rPr>
                <w:rFonts w:ascii="Arial" w:hAnsi="Arial" w:cs="Arial"/>
                <w:color w:val="000000" w:themeColor="text1"/>
                <w:szCs w:val="21"/>
                <w:highlight w:val="none"/>
                <w14:textFill>
                  <w14:solidFill>
                    <w14:schemeClr w14:val="tx1"/>
                  </w14:solidFill>
                </w14:textFill>
              </w:rPr>
            </w:pPr>
          </w:p>
        </w:tc>
        <w:tc>
          <w:tcPr>
            <w:tcW w:w="871" w:type="dxa"/>
            <w:vMerge w:val="continue"/>
          </w:tcPr>
          <w:p w14:paraId="77B3C38C">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4661DB21">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方案</w:t>
            </w:r>
            <w:r>
              <w:rPr>
                <w:rFonts w:hint="eastAsia" w:ascii="Arial" w:hAnsi="Arial" w:cs="Arial"/>
                <w:color w:val="000000" w:themeColor="text1"/>
                <w:szCs w:val="21"/>
                <w:highlight w:val="none"/>
                <w14:textFill>
                  <w14:solidFill>
                    <w14:schemeClr w14:val="tx1"/>
                  </w14:solidFill>
                </w14:textFill>
              </w:rPr>
              <w:t>针对性不强，</w:t>
            </w:r>
            <w:r>
              <w:rPr>
                <w:rFonts w:ascii="Arial" w:hAnsi="Arial" w:cs="Arial"/>
                <w:color w:val="000000" w:themeColor="text1"/>
                <w:szCs w:val="21"/>
                <w:highlight w:val="none"/>
                <w14:textFill>
                  <w14:solidFill>
                    <w14:schemeClr w14:val="tx1"/>
                  </w14:solidFill>
                </w14:textFill>
              </w:rPr>
              <w:t>技术措施</w:t>
            </w:r>
            <w:r>
              <w:rPr>
                <w:rFonts w:hint="eastAsia" w:ascii="Arial" w:hAnsi="Arial" w:cs="Arial"/>
                <w:color w:val="000000" w:themeColor="text1"/>
                <w:szCs w:val="21"/>
                <w:highlight w:val="none"/>
                <w14:textFill>
                  <w14:solidFill>
                    <w14:schemeClr w14:val="tx1"/>
                  </w14:solidFill>
                </w14:textFill>
              </w:rPr>
              <w:t>较差</w:t>
            </w:r>
          </w:p>
        </w:tc>
        <w:tc>
          <w:tcPr>
            <w:tcW w:w="1110" w:type="dxa"/>
            <w:tcBorders>
              <w:right w:val="single" w:color="auto" w:sz="4" w:space="0"/>
            </w:tcBorders>
            <w:vAlign w:val="center"/>
          </w:tcPr>
          <w:p w14:paraId="332051D6">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5</w:t>
            </w:r>
          </w:p>
        </w:tc>
        <w:tc>
          <w:tcPr>
            <w:tcW w:w="1139" w:type="dxa"/>
            <w:vMerge w:val="continue"/>
            <w:tcBorders>
              <w:left w:val="single" w:color="auto" w:sz="4" w:space="0"/>
            </w:tcBorders>
            <w:vAlign w:val="center"/>
          </w:tcPr>
          <w:p w14:paraId="79F05834">
            <w:pPr>
              <w:spacing w:line="240" w:lineRule="atLeast"/>
              <w:rPr>
                <w:rFonts w:ascii="Arial" w:hAnsi="Arial" w:cs="Arial"/>
                <w:color w:val="000000" w:themeColor="text1"/>
                <w:szCs w:val="21"/>
                <w:highlight w:val="none"/>
                <w14:textFill>
                  <w14:solidFill>
                    <w14:schemeClr w14:val="tx1"/>
                  </w14:solidFill>
                </w14:textFill>
              </w:rPr>
            </w:pPr>
          </w:p>
        </w:tc>
      </w:tr>
      <w:tr w14:paraId="444DC5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5DBB097B">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2</w:t>
            </w:r>
          </w:p>
        </w:tc>
        <w:tc>
          <w:tcPr>
            <w:tcW w:w="1593" w:type="dxa"/>
            <w:vMerge w:val="restart"/>
            <w:vAlign w:val="center"/>
          </w:tcPr>
          <w:p w14:paraId="6B67AD5D">
            <w:pPr>
              <w:rPr>
                <w:rFonts w:ascii="Arial" w:hAnsi="Arial" w:cs="Arial"/>
                <w:bCs/>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质量保证</w:t>
            </w:r>
            <w:r>
              <w:rPr>
                <w:rFonts w:hint="eastAsia" w:ascii="Arial" w:hAnsi="Arial" w:cs="Arial"/>
                <w:color w:val="000000" w:themeColor="text1"/>
                <w:szCs w:val="21"/>
                <w:highlight w:val="none"/>
                <w14:textFill>
                  <w14:solidFill>
                    <w14:schemeClr w14:val="tx1"/>
                  </w14:solidFill>
                </w14:textFill>
              </w:rPr>
              <w:t>及</w:t>
            </w:r>
            <w:r>
              <w:rPr>
                <w:rFonts w:ascii="Arial" w:hAnsi="Arial" w:cs="Arial"/>
                <w:color w:val="000000" w:themeColor="text1"/>
                <w:szCs w:val="21"/>
                <w:highlight w:val="none"/>
                <w14:textFill>
                  <w14:solidFill>
                    <w14:schemeClr w14:val="tx1"/>
                  </w14:solidFill>
                </w14:textFill>
              </w:rPr>
              <w:t>措施</w:t>
            </w:r>
          </w:p>
        </w:tc>
        <w:tc>
          <w:tcPr>
            <w:tcW w:w="871" w:type="dxa"/>
            <w:vMerge w:val="restart"/>
            <w:vAlign w:val="center"/>
          </w:tcPr>
          <w:p w14:paraId="0372C864">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14</w:t>
            </w:r>
          </w:p>
        </w:tc>
        <w:tc>
          <w:tcPr>
            <w:tcW w:w="4068" w:type="dxa"/>
            <w:vAlign w:val="center"/>
          </w:tcPr>
          <w:p w14:paraId="657E64B1">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措施</w:t>
            </w:r>
            <w:r>
              <w:rPr>
                <w:rFonts w:hint="eastAsia" w:ascii="Arial" w:hAnsi="Arial" w:cs="Arial"/>
                <w:color w:val="000000" w:themeColor="text1"/>
                <w:szCs w:val="21"/>
                <w:highlight w:val="none"/>
                <w14:textFill>
                  <w14:solidFill>
                    <w14:schemeClr w14:val="tx1"/>
                  </w14:solidFill>
                </w14:textFill>
              </w:rPr>
              <w:t>合理，严谨周密、切实可行</w:t>
            </w:r>
          </w:p>
        </w:tc>
        <w:tc>
          <w:tcPr>
            <w:tcW w:w="1110" w:type="dxa"/>
            <w:tcBorders>
              <w:right w:val="single" w:color="auto" w:sz="4" w:space="0"/>
            </w:tcBorders>
            <w:vAlign w:val="center"/>
          </w:tcPr>
          <w:p w14:paraId="3CE9B544">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14</w:t>
            </w:r>
          </w:p>
        </w:tc>
        <w:tc>
          <w:tcPr>
            <w:tcW w:w="1139" w:type="dxa"/>
            <w:vMerge w:val="restart"/>
            <w:tcBorders>
              <w:left w:val="single" w:color="auto" w:sz="4" w:space="0"/>
            </w:tcBorders>
            <w:vAlign w:val="center"/>
          </w:tcPr>
          <w:p w14:paraId="6CDBB8CF">
            <w:pPr>
              <w:spacing w:line="240" w:lineRule="atLeast"/>
              <w:rPr>
                <w:rFonts w:ascii="Arial" w:hAnsi="Arial" w:cs="Arial"/>
                <w:color w:val="000000" w:themeColor="text1"/>
                <w:szCs w:val="21"/>
                <w:highlight w:val="none"/>
                <w14:textFill>
                  <w14:solidFill>
                    <w14:schemeClr w14:val="tx1"/>
                  </w14:solidFill>
                </w14:textFill>
              </w:rPr>
            </w:pPr>
          </w:p>
        </w:tc>
      </w:tr>
      <w:tr w14:paraId="32E233F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769E9357">
            <w:pPr>
              <w:jc w:val="center"/>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3C877AA0">
            <w:pPr>
              <w:rPr>
                <w:rFonts w:ascii="Arial" w:hAnsi="Arial" w:cs="Arial"/>
                <w:bCs/>
                <w:color w:val="000000" w:themeColor="text1"/>
                <w:szCs w:val="21"/>
                <w:highlight w:val="none"/>
                <w14:textFill>
                  <w14:solidFill>
                    <w14:schemeClr w14:val="tx1"/>
                  </w14:solidFill>
                </w14:textFill>
              </w:rPr>
            </w:pPr>
          </w:p>
        </w:tc>
        <w:tc>
          <w:tcPr>
            <w:tcW w:w="871" w:type="dxa"/>
            <w:vMerge w:val="continue"/>
            <w:vAlign w:val="center"/>
          </w:tcPr>
          <w:p w14:paraId="34781615">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7DF3E1D1">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措施</w:t>
            </w:r>
            <w:r>
              <w:rPr>
                <w:rFonts w:hint="eastAsia" w:ascii="Arial" w:hAnsi="Arial" w:cs="Arial"/>
                <w:color w:val="000000" w:themeColor="text1"/>
                <w:szCs w:val="21"/>
                <w:highlight w:val="none"/>
                <w14:textFill>
                  <w14:solidFill>
                    <w14:schemeClr w14:val="tx1"/>
                  </w14:solidFill>
                </w14:textFill>
              </w:rPr>
              <w:t>较合理，较严谨周密、切实可行</w:t>
            </w:r>
          </w:p>
        </w:tc>
        <w:tc>
          <w:tcPr>
            <w:tcW w:w="1110" w:type="dxa"/>
            <w:tcBorders>
              <w:right w:val="single" w:color="auto" w:sz="4" w:space="0"/>
            </w:tcBorders>
            <w:vAlign w:val="center"/>
          </w:tcPr>
          <w:p w14:paraId="102B05FD">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10</w:t>
            </w:r>
          </w:p>
        </w:tc>
        <w:tc>
          <w:tcPr>
            <w:tcW w:w="1139" w:type="dxa"/>
            <w:vMerge w:val="continue"/>
            <w:tcBorders>
              <w:left w:val="single" w:color="auto" w:sz="4" w:space="0"/>
            </w:tcBorders>
            <w:vAlign w:val="center"/>
          </w:tcPr>
          <w:p w14:paraId="5D918683">
            <w:pPr>
              <w:spacing w:line="240" w:lineRule="atLeast"/>
              <w:rPr>
                <w:rFonts w:ascii="Arial" w:hAnsi="Arial" w:cs="Arial"/>
                <w:color w:val="000000" w:themeColor="text1"/>
                <w:szCs w:val="21"/>
                <w:highlight w:val="none"/>
                <w14:textFill>
                  <w14:solidFill>
                    <w14:schemeClr w14:val="tx1"/>
                  </w14:solidFill>
                </w14:textFill>
              </w:rPr>
            </w:pPr>
          </w:p>
        </w:tc>
      </w:tr>
      <w:tr w14:paraId="7DE8C39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2AF18066">
            <w:pPr>
              <w:jc w:val="center"/>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0DD79CD4">
            <w:pPr>
              <w:rPr>
                <w:rFonts w:ascii="Arial" w:hAnsi="Arial" w:cs="Arial"/>
                <w:bCs/>
                <w:color w:val="000000" w:themeColor="text1"/>
                <w:szCs w:val="21"/>
                <w:highlight w:val="none"/>
                <w14:textFill>
                  <w14:solidFill>
                    <w14:schemeClr w14:val="tx1"/>
                  </w14:solidFill>
                </w14:textFill>
              </w:rPr>
            </w:pPr>
          </w:p>
        </w:tc>
        <w:tc>
          <w:tcPr>
            <w:tcW w:w="871" w:type="dxa"/>
            <w:vMerge w:val="continue"/>
            <w:vAlign w:val="center"/>
          </w:tcPr>
          <w:p w14:paraId="23A82757">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04FA0289">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措施</w:t>
            </w:r>
            <w:r>
              <w:rPr>
                <w:rFonts w:hint="eastAsia" w:ascii="Arial" w:hAnsi="Arial" w:cs="Arial"/>
                <w:color w:val="000000" w:themeColor="text1"/>
                <w:szCs w:val="21"/>
                <w:highlight w:val="none"/>
                <w14:textFill>
                  <w14:solidFill>
                    <w14:schemeClr w14:val="tx1"/>
                  </w14:solidFill>
                </w14:textFill>
              </w:rPr>
              <w:t>一般，</w:t>
            </w:r>
            <w:r>
              <w:rPr>
                <w:rFonts w:ascii="Arial" w:hAnsi="Arial" w:cs="Arial"/>
                <w:color w:val="000000" w:themeColor="text1"/>
                <w:szCs w:val="21"/>
                <w:highlight w:val="none"/>
                <w14:textFill>
                  <w14:solidFill>
                    <w14:schemeClr w14:val="tx1"/>
                  </w14:solidFill>
                </w14:textFill>
              </w:rPr>
              <w:t>计划</w:t>
            </w:r>
            <w:r>
              <w:rPr>
                <w:rFonts w:hint="eastAsia" w:ascii="Arial" w:hAnsi="Arial" w:cs="Arial"/>
                <w:color w:val="000000" w:themeColor="text1"/>
                <w:szCs w:val="21"/>
                <w:highlight w:val="none"/>
                <w14:textFill>
                  <w14:solidFill>
                    <w14:schemeClr w14:val="tx1"/>
                  </w14:solidFill>
                </w14:textFill>
              </w:rPr>
              <w:t>可行</w:t>
            </w:r>
          </w:p>
        </w:tc>
        <w:tc>
          <w:tcPr>
            <w:tcW w:w="1110" w:type="dxa"/>
            <w:tcBorders>
              <w:right w:val="single" w:color="auto" w:sz="4" w:space="0"/>
            </w:tcBorders>
            <w:vAlign w:val="center"/>
          </w:tcPr>
          <w:p w14:paraId="063FF1A7">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6</w:t>
            </w:r>
          </w:p>
        </w:tc>
        <w:tc>
          <w:tcPr>
            <w:tcW w:w="1139" w:type="dxa"/>
            <w:vMerge w:val="continue"/>
            <w:tcBorders>
              <w:left w:val="single" w:color="auto" w:sz="4" w:space="0"/>
            </w:tcBorders>
            <w:vAlign w:val="center"/>
          </w:tcPr>
          <w:p w14:paraId="5E2649C4">
            <w:pPr>
              <w:spacing w:line="240" w:lineRule="atLeast"/>
              <w:rPr>
                <w:rFonts w:ascii="Arial" w:hAnsi="Arial" w:cs="Arial"/>
                <w:color w:val="000000" w:themeColor="text1"/>
                <w:szCs w:val="21"/>
                <w:highlight w:val="none"/>
                <w14:textFill>
                  <w14:solidFill>
                    <w14:schemeClr w14:val="tx1"/>
                  </w14:solidFill>
                </w14:textFill>
              </w:rPr>
            </w:pPr>
          </w:p>
        </w:tc>
      </w:tr>
      <w:tr w14:paraId="7BB5259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65A43419">
            <w:pPr>
              <w:jc w:val="center"/>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676F7E6B">
            <w:pPr>
              <w:rPr>
                <w:rFonts w:ascii="Arial" w:hAnsi="Arial" w:cs="Arial"/>
                <w:color w:val="000000" w:themeColor="text1"/>
                <w:szCs w:val="21"/>
                <w:highlight w:val="none"/>
                <w14:textFill>
                  <w14:solidFill>
                    <w14:schemeClr w14:val="tx1"/>
                  </w14:solidFill>
                </w14:textFill>
              </w:rPr>
            </w:pPr>
          </w:p>
        </w:tc>
        <w:tc>
          <w:tcPr>
            <w:tcW w:w="871" w:type="dxa"/>
            <w:vMerge w:val="continue"/>
            <w:vAlign w:val="center"/>
          </w:tcPr>
          <w:p w14:paraId="3B51B8D2">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492C23FC">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措施</w:t>
            </w:r>
            <w:r>
              <w:rPr>
                <w:rFonts w:hint="eastAsia" w:ascii="Arial" w:hAnsi="Arial" w:cs="Arial"/>
                <w:color w:val="000000" w:themeColor="text1"/>
                <w:szCs w:val="21"/>
                <w:highlight w:val="none"/>
                <w14:textFill>
                  <w14:solidFill>
                    <w14:schemeClr w14:val="tx1"/>
                  </w14:solidFill>
                </w14:textFill>
              </w:rPr>
              <w:t>及</w:t>
            </w:r>
            <w:r>
              <w:rPr>
                <w:rFonts w:ascii="Arial" w:hAnsi="Arial" w:cs="Arial"/>
                <w:color w:val="000000" w:themeColor="text1"/>
                <w:szCs w:val="21"/>
                <w:highlight w:val="none"/>
                <w14:textFill>
                  <w14:solidFill>
                    <w14:schemeClr w14:val="tx1"/>
                  </w14:solidFill>
                </w14:textFill>
              </w:rPr>
              <w:t>计划</w:t>
            </w:r>
            <w:r>
              <w:rPr>
                <w:rFonts w:hint="eastAsia" w:ascii="Arial" w:hAnsi="Arial" w:cs="Arial"/>
                <w:color w:val="000000" w:themeColor="text1"/>
                <w:szCs w:val="21"/>
                <w:highlight w:val="none"/>
                <w14:textFill>
                  <w14:solidFill>
                    <w14:schemeClr w14:val="tx1"/>
                  </w14:solidFill>
                </w14:textFill>
              </w:rPr>
              <w:t>较差</w:t>
            </w:r>
          </w:p>
        </w:tc>
        <w:tc>
          <w:tcPr>
            <w:tcW w:w="1110" w:type="dxa"/>
            <w:tcBorders>
              <w:right w:val="single" w:color="auto" w:sz="4" w:space="0"/>
            </w:tcBorders>
            <w:vAlign w:val="center"/>
          </w:tcPr>
          <w:p w14:paraId="3D6D5044">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2</w:t>
            </w:r>
          </w:p>
        </w:tc>
        <w:tc>
          <w:tcPr>
            <w:tcW w:w="1139" w:type="dxa"/>
            <w:vMerge w:val="continue"/>
            <w:tcBorders>
              <w:left w:val="single" w:color="auto" w:sz="4" w:space="0"/>
            </w:tcBorders>
            <w:vAlign w:val="center"/>
          </w:tcPr>
          <w:p w14:paraId="25AD12C0">
            <w:pPr>
              <w:spacing w:line="240" w:lineRule="atLeast"/>
              <w:rPr>
                <w:rFonts w:ascii="Arial" w:hAnsi="Arial" w:cs="Arial"/>
                <w:color w:val="000000" w:themeColor="text1"/>
                <w:szCs w:val="21"/>
                <w:highlight w:val="none"/>
                <w14:textFill>
                  <w14:solidFill>
                    <w14:schemeClr w14:val="tx1"/>
                  </w14:solidFill>
                </w14:textFill>
              </w:rPr>
            </w:pPr>
          </w:p>
        </w:tc>
      </w:tr>
      <w:tr w14:paraId="26EA7D4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6F70FE61">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3</w:t>
            </w:r>
          </w:p>
        </w:tc>
        <w:tc>
          <w:tcPr>
            <w:tcW w:w="1593" w:type="dxa"/>
            <w:vMerge w:val="restart"/>
            <w:vAlign w:val="center"/>
          </w:tcPr>
          <w:p w14:paraId="5CDBC34D">
            <w:pPr>
              <w:widowControl/>
              <w:rPr>
                <w:rFonts w:ascii="Arial" w:hAnsi="Arial" w:cs="Arial"/>
                <w:bCs/>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进度计划及保障措施</w:t>
            </w:r>
            <w:r>
              <w:rPr>
                <w:rFonts w:hint="eastAsia" w:ascii="Arial" w:hAnsi="Arial" w:cs="Arial"/>
                <w:color w:val="000000" w:themeColor="text1"/>
                <w:szCs w:val="21"/>
                <w:highlight w:val="none"/>
                <w14:textFill>
                  <w14:solidFill>
                    <w14:schemeClr w14:val="tx1"/>
                  </w14:solidFill>
                </w14:textFill>
              </w:rPr>
              <w:t>；劳动力计划及保证措施</w:t>
            </w:r>
          </w:p>
        </w:tc>
        <w:tc>
          <w:tcPr>
            <w:tcW w:w="871" w:type="dxa"/>
            <w:vMerge w:val="restart"/>
            <w:vAlign w:val="center"/>
          </w:tcPr>
          <w:p w14:paraId="75E048BF">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14</w:t>
            </w:r>
          </w:p>
        </w:tc>
        <w:tc>
          <w:tcPr>
            <w:tcW w:w="4068" w:type="dxa"/>
            <w:vAlign w:val="center"/>
          </w:tcPr>
          <w:p w14:paraId="3853B72E">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计划及保障措施</w:t>
            </w:r>
            <w:r>
              <w:rPr>
                <w:rFonts w:hint="eastAsia" w:ascii="Arial" w:hAnsi="Arial" w:cs="Arial"/>
                <w:color w:val="000000" w:themeColor="text1"/>
                <w:szCs w:val="21"/>
                <w:highlight w:val="none"/>
                <w14:textFill>
                  <w14:solidFill>
                    <w14:schemeClr w14:val="tx1"/>
                  </w14:solidFill>
                </w14:textFill>
              </w:rPr>
              <w:t>合理</w:t>
            </w:r>
          </w:p>
        </w:tc>
        <w:tc>
          <w:tcPr>
            <w:tcW w:w="1110" w:type="dxa"/>
            <w:tcBorders>
              <w:right w:val="single" w:color="auto" w:sz="4" w:space="0"/>
            </w:tcBorders>
            <w:vAlign w:val="center"/>
          </w:tcPr>
          <w:p w14:paraId="7EA739D9">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14</w:t>
            </w:r>
          </w:p>
        </w:tc>
        <w:tc>
          <w:tcPr>
            <w:tcW w:w="1139" w:type="dxa"/>
            <w:vMerge w:val="restart"/>
            <w:tcBorders>
              <w:left w:val="single" w:color="auto" w:sz="4" w:space="0"/>
            </w:tcBorders>
            <w:vAlign w:val="center"/>
          </w:tcPr>
          <w:p w14:paraId="70632760">
            <w:pPr>
              <w:spacing w:line="240" w:lineRule="atLeast"/>
              <w:rPr>
                <w:rFonts w:ascii="Arial" w:hAnsi="Arial" w:cs="Arial"/>
                <w:color w:val="000000" w:themeColor="text1"/>
                <w:szCs w:val="21"/>
                <w:highlight w:val="none"/>
                <w14:textFill>
                  <w14:solidFill>
                    <w14:schemeClr w14:val="tx1"/>
                  </w14:solidFill>
                </w14:textFill>
              </w:rPr>
            </w:pPr>
          </w:p>
        </w:tc>
      </w:tr>
      <w:tr w14:paraId="69F62C8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0CD583FC">
            <w:pPr>
              <w:jc w:val="center"/>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763516F0">
            <w:pPr>
              <w:widowControl/>
              <w:rPr>
                <w:rFonts w:ascii="Arial" w:hAnsi="Arial" w:cs="Arial"/>
                <w:color w:val="000000" w:themeColor="text1"/>
                <w:szCs w:val="21"/>
                <w:highlight w:val="none"/>
                <w14:textFill>
                  <w14:solidFill>
                    <w14:schemeClr w14:val="tx1"/>
                  </w14:solidFill>
                </w14:textFill>
              </w:rPr>
            </w:pPr>
          </w:p>
        </w:tc>
        <w:tc>
          <w:tcPr>
            <w:tcW w:w="871" w:type="dxa"/>
            <w:vMerge w:val="continue"/>
            <w:vAlign w:val="center"/>
          </w:tcPr>
          <w:p w14:paraId="6DBDDE76">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280C36A7">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计划及保障措施</w:t>
            </w:r>
            <w:r>
              <w:rPr>
                <w:rFonts w:hint="eastAsia" w:ascii="Arial" w:hAnsi="Arial" w:cs="Arial"/>
                <w:color w:val="000000" w:themeColor="text1"/>
                <w:szCs w:val="21"/>
                <w:highlight w:val="none"/>
                <w14:textFill>
                  <w14:solidFill>
                    <w14:schemeClr w14:val="tx1"/>
                  </w14:solidFill>
                </w14:textFill>
              </w:rPr>
              <w:t>较合理</w:t>
            </w:r>
          </w:p>
        </w:tc>
        <w:tc>
          <w:tcPr>
            <w:tcW w:w="1110" w:type="dxa"/>
            <w:tcBorders>
              <w:right w:val="single" w:color="auto" w:sz="4" w:space="0"/>
            </w:tcBorders>
            <w:vAlign w:val="center"/>
          </w:tcPr>
          <w:p w14:paraId="779959CA">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10</w:t>
            </w:r>
          </w:p>
        </w:tc>
        <w:tc>
          <w:tcPr>
            <w:tcW w:w="1139" w:type="dxa"/>
            <w:vMerge w:val="continue"/>
            <w:tcBorders>
              <w:left w:val="single" w:color="auto" w:sz="4" w:space="0"/>
            </w:tcBorders>
            <w:vAlign w:val="center"/>
          </w:tcPr>
          <w:p w14:paraId="51169244">
            <w:pPr>
              <w:spacing w:line="240" w:lineRule="atLeast"/>
              <w:rPr>
                <w:rFonts w:ascii="Arial" w:hAnsi="Arial" w:cs="Arial"/>
                <w:color w:val="000000" w:themeColor="text1"/>
                <w:szCs w:val="21"/>
                <w:highlight w:val="none"/>
                <w14:textFill>
                  <w14:solidFill>
                    <w14:schemeClr w14:val="tx1"/>
                  </w14:solidFill>
                </w14:textFill>
              </w:rPr>
            </w:pPr>
          </w:p>
        </w:tc>
      </w:tr>
      <w:tr w14:paraId="578EE94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2416C0C9">
            <w:pPr>
              <w:jc w:val="center"/>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17EEAA07">
            <w:pPr>
              <w:widowControl/>
              <w:rPr>
                <w:rFonts w:ascii="Arial" w:hAnsi="Arial" w:cs="Arial"/>
                <w:color w:val="000000" w:themeColor="text1"/>
                <w:szCs w:val="21"/>
                <w:highlight w:val="none"/>
                <w14:textFill>
                  <w14:solidFill>
                    <w14:schemeClr w14:val="tx1"/>
                  </w14:solidFill>
                </w14:textFill>
              </w:rPr>
            </w:pPr>
          </w:p>
        </w:tc>
        <w:tc>
          <w:tcPr>
            <w:tcW w:w="871" w:type="dxa"/>
            <w:vMerge w:val="continue"/>
            <w:vAlign w:val="center"/>
          </w:tcPr>
          <w:p w14:paraId="39FD7B33">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4C6C3742">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计划及保障措施</w:t>
            </w:r>
            <w:r>
              <w:rPr>
                <w:rFonts w:hint="eastAsia" w:ascii="Arial" w:hAnsi="Arial" w:cs="Arial"/>
                <w:color w:val="000000" w:themeColor="text1"/>
                <w:szCs w:val="21"/>
                <w:highlight w:val="none"/>
                <w14:textFill>
                  <w14:solidFill>
                    <w14:schemeClr w14:val="tx1"/>
                  </w14:solidFill>
                </w14:textFill>
              </w:rPr>
              <w:t>一般</w:t>
            </w:r>
          </w:p>
        </w:tc>
        <w:tc>
          <w:tcPr>
            <w:tcW w:w="1110" w:type="dxa"/>
            <w:tcBorders>
              <w:right w:val="single" w:color="auto" w:sz="4" w:space="0"/>
            </w:tcBorders>
            <w:vAlign w:val="center"/>
          </w:tcPr>
          <w:p w14:paraId="6E90AFBF">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6</w:t>
            </w:r>
          </w:p>
        </w:tc>
        <w:tc>
          <w:tcPr>
            <w:tcW w:w="1139" w:type="dxa"/>
            <w:vMerge w:val="continue"/>
            <w:tcBorders>
              <w:left w:val="single" w:color="auto" w:sz="4" w:space="0"/>
            </w:tcBorders>
            <w:vAlign w:val="center"/>
          </w:tcPr>
          <w:p w14:paraId="3FB32B3F">
            <w:pPr>
              <w:spacing w:line="240" w:lineRule="atLeast"/>
              <w:rPr>
                <w:rFonts w:ascii="Arial" w:hAnsi="Arial" w:cs="Arial"/>
                <w:color w:val="000000" w:themeColor="text1"/>
                <w:szCs w:val="21"/>
                <w:highlight w:val="none"/>
                <w14:textFill>
                  <w14:solidFill>
                    <w14:schemeClr w14:val="tx1"/>
                  </w14:solidFill>
                </w14:textFill>
              </w:rPr>
            </w:pPr>
          </w:p>
        </w:tc>
      </w:tr>
      <w:tr w14:paraId="75B4FBE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20981705">
            <w:pPr>
              <w:widowControl/>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05B7E693">
            <w:pPr>
              <w:widowControl/>
              <w:rPr>
                <w:rFonts w:ascii="Arial" w:hAnsi="Arial" w:cs="Arial"/>
                <w:color w:val="000000" w:themeColor="text1"/>
                <w:szCs w:val="21"/>
                <w:highlight w:val="none"/>
                <w14:textFill>
                  <w14:solidFill>
                    <w14:schemeClr w14:val="tx1"/>
                  </w14:solidFill>
                </w14:textFill>
              </w:rPr>
            </w:pPr>
          </w:p>
        </w:tc>
        <w:tc>
          <w:tcPr>
            <w:tcW w:w="871" w:type="dxa"/>
            <w:vMerge w:val="continue"/>
            <w:vAlign w:val="center"/>
          </w:tcPr>
          <w:p w14:paraId="7B153B03">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7885E955">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计划及保障措施</w:t>
            </w:r>
            <w:r>
              <w:rPr>
                <w:rFonts w:hint="eastAsia" w:ascii="Arial" w:hAnsi="Arial" w:cs="Arial"/>
                <w:color w:val="000000" w:themeColor="text1"/>
                <w:szCs w:val="21"/>
                <w:highlight w:val="none"/>
                <w14:textFill>
                  <w14:solidFill>
                    <w14:schemeClr w14:val="tx1"/>
                  </w14:solidFill>
                </w14:textFill>
              </w:rPr>
              <w:t>较差</w:t>
            </w:r>
          </w:p>
        </w:tc>
        <w:tc>
          <w:tcPr>
            <w:tcW w:w="1110" w:type="dxa"/>
            <w:tcBorders>
              <w:right w:val="single" w:color="auto" w:sz="4" w:space="0"/>
            </w:tcBorders>
            <w:vAlign w:val="center"/>
          </w:tcPr>
          <w:p w14:paraId="44555CD6">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2</w:t>
            </w:r>
          </w:p>
        </w:tc>
        <w:tc>
          <w:tcPr>
            <w:tcW w:w="1139" w:type="dxa"/>
            <w:vMerge w:val="continue"/>
            <w:tcBorders>
              <w:left w:val="single" w:color="auto" w:sz="4" w:space="0"/>
            </w:tcBorders>
            <w:vAlign w:val="center"/>
          </w:tcPr>
          <w:p w14:paraId="19D75A6E">
            <w:pPr>
              <w:spacing w:line="240" w:lineRule="atLeast"/>
              <w:rPr>
                <w:rFonts w:ascii="Arial" w:hAnsi="Arial" w:cs="Arial"/>
                <w:color w:val="000000" w:themeColor="text1"/>
                <w:szCs w:val="21"/>
                <w:highlight w:val="none"/>
                <w14:textFill>
                  <w14:solidFill>
                    <w14:schemeClr w14:val="tx1"/>
                  </w14:solidFill>
                </w14:textFill>
              </w:rPr>
            </w:pPr>
          </w:p>
        </w:tc>
      </w:tr>
      <w:tr w14:paraId="445BF05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3B3009B5">
            <w:pPr>
              <w:jc w:val="center"/>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4</w:t>
            </w:r>
          </w:p>
        </w:tc>
        <w:tc>
          <w:tcPr>
            <w:tcW w:w="1593" w:type="dxa"/>
            <w:vMerge w:val="restart"/>
            <w:vAlign w:val="center"/>
          </w:tcPr>
          <w:p w14:paraId="3CF1414A">
            <w:pPr>
              <w:widowControl/>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机械设备配置及保障</w:t>
            </w:r>
          </w:p>
        </w:tc>
        <w:tc>
          <w:tcPr>
            <w:tcW w:w="871" w:type="dxa"/>
            <w:vMerge w:val="restart"/>
            <w:vAlign w:val="center"/>
          </w:tcPr>
          <w:p w14:paraId="0E629A3D">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6</w:t>
            </w:r>
          </w:p>
        </w:tc>
        <w:tc>
          <w:tcPr>
            <w:tcW w:w="4068" w:type="dxa"/>
            <w:vAlign w:val="center"/>
          </w:tcPr>
          <w:p w14:paraId="77C3CE47">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方案</w:t>
            </w:r>
            <w:r>
              <w:rPr>
                <w:rFonts w:hint="eastAsia" w:ascii="Arial" w:hAnsi="Arial" w:cs="Arial"/>
                <w:color w:val="000000" w:themeColor="text1"/>
                <w:szCs w:val="21"/>
                <w:highlight w:val="none"/>
                <w14:textFill>
                  <w14:solidFill>
                    <w14:schemeClr w14:val="tx1"/>
                  </w14:solidFill>
                </w14:textFill>
              </w:rPr>
              <w:t>合理，保障可靠</w:t>
            </w:r>
          </w:p>
        </w:tc>
        <w:tc>
          <w:tcPr>
            <w:tcW w:w="1110" w:type="dxa"/>
            <w:tcBorders>
              <w:right w:val="single" w:color="auto" w:sz="4" w:space="0"/>
            </w:tcBorders>
            <w:vAlign w:val="center"/>
          </w:tcPr>
          <w:p w14:paraId="2DCD7BDF">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6</w:t>
            </w:r>
          </w:p>
        </w:tc>
        <w:tc>
          <w:tcPr>
            <w:tcW w:w="1139" w:type="dxa"/>
            <w:vMerge w:val="restart"/>
            <w:tcBorders>
              <w:left w:val="single" w:color="auto" w:sz="4" w:space="0"/>
            </w:tcBorders>
            <w:vAlign w:val="center"/>
          </w:tcPr>
          <w:p w14:paraId="3F15DA13">
            <w:pPr>
              <w:spacing w:line="240" w:lineRule="atLeast"/>
              <w:rPr>
                <w:rFonts w:ascii="Arial" w:hAnsi="Arial" w:cs="Arial"/>
                <w:color w:val="000000" w:themeColor="text1"/>
                <w:szCs w:val="21"/>
                <w:highlight w:val="none"/>
                <w14:textFill>
                  <w14:solidFill>
                    <w14:schemeClr w14:val="tx1"/>
                  </w14:solidFill>
                </w14:textFill>
              </w:rPr>
            </w:pPr>
          </w:p>
        </w:tc>
      </w:tr>
      <w:tr w14:paraId="13DA964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1620AAA7">
            <w:pPr>
              <w:jc w:val="center"/>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7E3F891A">
            <w:pPr>
              <w:rPr>
                <w:rFonts w:ascii="Arial" w:hAnsi="Arial" w:cs="Arial"/>
                <w:bCs/>
                <w:color w:val="000000" w:themeColor="text1"/>
                <w:szCs w:val="21"/>
                <w:highlight w:val="none"/>
                <w14:textFill>
                  <w14:solidFill>
                    <w14:schemeClr w14:val="tx1"/>
                  </w14:solidFill>
                </w14:textFill>
              </w:rPr>
            </w:pPr>
          </w:p>
        </w:tc>
        <w:tc>
          <w:tcPr>
            <w:tcW w:w="871" w:type="dxa"/>
            <w:vMerge w:val="continue"/>
            <w:vAlign w:val="center"/>
          </w:tcPr>
          <w:p w14:paraId="667BB2BD">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3284E616">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方案</w:t>
            </w:r>
            <w:r>
              <w:rPr>
                <w:rFonts w:hint="eastAsia" w:ascii="Arial" w:hAnsi="Arial" w:cs="Arial"/>
                <w:color w:val="000000" w:themeColor="text1"/>
                <w:szCs w:val="21"/>
                <w:highlight w:val="none"/>
                <w14:textFill>
                  <w14:solidFill>
                    <w14:schemeClr w14:val="tx1"/>
                  </w14:solidFill>
                </w14:textFill>
              </w:rPr>
              <w:t>较合理，保障较可靠</w:t>
            </w:r>
          </w:p>
        </w:tc>
        <w:tc>
          <w:tcPr>
            <w:tcW w:w="1110" w:type="dxa"/>
            <w:tcBorders>
              <w:right w:val="single" w:color="auto" w:sz="4" w:space="0"/>
            </w:tcBorders>
            <w:vAlign w:val="center"/>
          </w:tcPr>
          <w:p w14:paraId="2F7BA346">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4</w:t>
            </w:r>
          </w:p>
        </w:tc>
        <w:tc>
          <w:tcPr>
            <w:tcW w:w="1139" w:type="dxa"/>
            <w:vMerge w:val="continue"/>
            <w:tcBorders>
              <w:left w:val="single" w:color="auto" w:sz="4" w:space="0"/>
            </w:tcBorders>
            <w:vAlign w:val="center"/>
          </w:tcPr>
          <w:p w14:paraId="353380A2">
            <w:pPr>
              <w:spacing w:line="240" w:lineRule="atLeast"/>
              <w:rPr>
                <w:rFonts w:ascii="Arial" w:hAnsi="Arial" w:cs="Arial"/>
                <w:color w:val="000000" w:themeColor="text1"/>
                <w:szCs w:val="21"/>
                <w:highlight w:val="none"/>
                <w14:textFill>
                  <w14:solidFill>
                    <w14:schemeClr w14:val="tx1"/>
                  </w14:solidFill>
                </w14:textFill>
              </w:rPr>
            </w:pPr>
          </w:p>
        </w:tc>
      </w:tr>
      <w:tr w14:paraId="6273169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43C3E9F3">
            <w:pPr>
              <w:jc w:val="center"/>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4DF2E60B">
            <w:pPr>
              <w:rPr>
                <w:rFonts w:ascii="Arial" w:hAnsi="Arial" w:cs="Arial"/>
                <w:bCs/>
                <w:color w:val="000000" w:themeColor="text1"/>
                <w:szCs w:val="21"/>
                <w:highlight w:val="none"/>
                <w14:textFill>
                  <w14:solidFill>
                    <w14:schemeClr w14:val="tx1"/>
                  </w14:solidFill>
                </w14:textFill>
              </w:rPr>
            </w:pPr>
          </w:p>
        </w:tc>
        <w:tc>
          <w:tcPr>
            <w:tcW w:w="871" w:type="dxa"/>
            <w:vMerge w:val="continue"/>
            <w:vAlign w:val="center"/>
          </w:tcPr>
          <w:p w14:paraId="7A701ADF">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39C3C5E9">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方案</w:t>
            </w:r>
            <w:r>
              <w:rPr>
                <w:rFonts w:hint="eastAsia" w:ascii="Arial" w:hAnsi="Arial" w:cs="Arial"/>
                <w:color w:val="000000" w:themeColor="text1"/>
                <w:szCs w:val="21"/>
                <w:highlight w:val="none"/>
                <w14:textFill>
                  <w14:solidFill>
                    <w14:schemeClr w14:val="tx1"/>
                  </w14:solidFill>
                </w14:textFill>
              </w:rPr>
              <w:t>一般</w:t>
            </w:r>
          </w:p>
        </w:tc>
        <w:tc>
          <w:tcPr>
            <w:tcW w:w="1110" w:type="dxa"/>
            <w:tcBorders>
              <w:right w:val="single" w:color="auto" w:sz="4" w:space="0"/>
            </w:tcBorders>
            <w:vAlign w:val="center"/>
          </w:tcPr>
          <w:p w14:paraId="268C60E0">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2</w:t>
            </w:r>
          </w:p>
        </w:tc>
        <w:tc>
          <w:tcPr>
            <w:tcW w:w="1139" w:type="dxa"/>
            <w:vMerge w:val="continue"/>
            <w:tcBorders>
              <w:left w:val="single" w:color="auto" w:sz="4" w:space="0"/>
            </w:tcBorders>
            <w:vAlign w:val="center"/>
          </w:tcPr>
          <w:p w14:paraId="726D340F">
            <w:pPr>
              <w:spacing w:line="240" w:lineRule="atLeast"/>
              <w:rPr>
                <w:rFonts w:ascii="Arial" w:hAnsi="Arial" w:cs="Arial"/>
                <w:color w:val="000000" w:themeColor="text1"/>
                <w:szCs w:val="21"/>
                <w:highlight w:val="none"/>
                <w14:textFill>
                  <w14:solidFill>
                    <w14:schemeClr w14:val="tx1"/>
                  </w14:solidFill>
                </w14:textFill>
              </w:rPr>
            </w:pPr>
          </w:p>
        </w:tc>
      </w:tr>
      <w:tr w14:paraId="7E4FDAA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743765EA">
            <w:pPr>
              <w:jc w:val="center"/>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0C4DBCE5">
            <w:pPr>
              <w:rPr>
                <w:rFonts w:ascii="Arial" w:hAnsi="Arial" w:cs="Arial"/>
                <w:color w:val="000000" w:themeColor="text1"/>
                <w:szCs w:val="21"/>
                <w:highlight w:val="none"/>
                <w14:textFill>
                  <w14:solidFill>
                    <w14:schemeClr w14:val="tx1"/>
                  </w14:solidFill>
                </w14:textFill>
              </w:rPr>
            </w:pPr>
          </w:p>
        </w:tc>
        <w:tc>
          <w:tcPr>
            <w:tcW w:w="871" w:type="dxa"/>
            <w:vMerge w:val="continue"/>
            <w:vAlign w:val="center"/>
          </w:tcPr>
          <w:p w14:paraId="1D544C79">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46068909">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方案</w:t>
            </w:r>
            <w:r>
              <w:rPr>
                <w:rFonts w:hint="eastAsia" w:ascii="Arial" w:hAnsi="Arial" w:cs="Arial"/>
                <w:color w:val="000000" w:themeColor="text1"/>
                <w:szCs w:val="21"/>
                <w:highlight w:val="none"/>
                <w14:textFill>
                  <w14:solidFill>
                    <w14:schemeClr w14:val="tx1"/>
                  </w14:solidFill>
                </w14:textFill>
              </w:rPr>
              <w:t>较差</w:t>
            </w:r>
          </w:p>
        </w:tc>
        <w:tc>
          <w:tcPr>
            <w:tcW w:w="1110" w:type="dxa"/>
            <w:tcBorders>
              <w:right w:val="single" w:color="auto" w:sz="4" w:space="0"/>
            </w:tcBorders>
            <w:vAlign w:val="center"/>
          </w:tcPr>
          <w:p w14:paraId="03C3F843">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0</w:t>
            </w:r>
          </w:p>
        </w:tc>
        <w:tc>
          <w:tcPr>
            <w:tcW w:w="1139" w:type="dxa"/>
            <w:vMerge w:val="continue"/>
            <w:tcBorders>
              <w:left w:val="single" w:color="auto" w:sz="4" w:space="0"/>
            </w:tcBorders>
            <w:vAlign w:val="center"/>
          </w:tcPr>
          <w:p w14:paraId="1017DB97">
            <w:pPr>
              <w:spacing w:line="240" w:lineRule="atLeast"/>
              <w:rPr>
                <w:rFonts w:ascii="Arial" w:hAnsi="Arial" w:cs="Arial"/>
                <w:color w:val="000000" w:themeColor="text1"/>
                <w:szCs w:val="21"/>
                <w:highlight w:val="none"/>
                <w14:textFill>
                  <w14:solidFill>
                    <w14:schemeClr w14:val="tx1"/>
                  </w14:solidFill>
                </w14:textFill>
              </w:rPr>
            </w:pPr>
          </w:p>
        </w:tc>
      </w:tr>
      <w:tr w14:paraId="32D7391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5883948D">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5</w:t>
            </w:r>
          </w:p>
        </w:tc>
        <w:tc>
          <w:tcPr>
            <w:tcW w:w="1593" w:type="dxa"/>
            <w:vMerge w:val="restart"/>
            <w:vAlign w:val="center"/>
          </w:tcPr>
          <w:p w14:paraId="4AE6D072">
            <w:pP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对方案或设计优化的合理化建议</w:t>
            </w:r>
          </w:p>
        </w:tc>
        <w:tc>
          <w:tcPr>
            <w:tcW w:w="871" w:type="dxa"/>
            <w:vMerge w:val="restart"/>
            <w:vAlign w:val="center"/>
          </w:tcPr>
          <w:p w14:paraId="13D77C7C">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4</w:t>
            </w:r>
          </w:p>
        </w:tc>
        <w:tc>
          <w:tcPr>
            <w:tcW w:w="4068" w:type="dxa"/>
            <w:vAlign w:val="center"/>
          </w:tcPr>
          <w:p w14:paraId="4CCF5712">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方案</w:t>
            </w:r>
            <w:r>
              <w:rPr>
                <w:rFonts w:hint="eastAsia" w:ascii="Arial" w:hAnsi="Arial" w:cs="Arial"/>
                <w:color w:val="000000" w:themeColor="text1"/>
                <w:szCs w:val="21"/>
                <w:highlight w:val="none"/>
                <w14:textFill>
                  <w14:solidFill>
                    <w14:schemeClr w14:val="tx1"/>
                  </w14:solidFill>
                </w14:textFill>
              </w:rPr>
              <w:t>合理</w:t>
            </w:r>
          </w:p>
        </w:tc>
        <w:tc>
          <w:tcPr>
            <w:tcW w:w="1110" w:type="dxa"/>
            <w:tcBorders>
              <w:right w:val="single" w:color="auto" w:sz="4" w:space="0"/>
            </w:tcBorders>
            <w:vAlign w:val="center"/>
          </w:tcPr>
          <w:p w14:paraId="494C25F4">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4</w:t>
            </w:r>
          </w:p>
        </w:tc>
        <w:tc>
          <w:tcPr>
            <w:tcW w:w="1139" w:type="dxa"/>
            <w:vMerge w:val="restart"/>
            <w:tcBorders>
              <w:left w:val="single" w:color="auto" w:sz="4" w:space="0"/>
            </w:tcBorders>
            <w:vAlign w:val="center"/>
          </w:tcPr>
          <w:p w14:paraId="0958E85F">
            <w:pPr>
              <w:spacing w:line="240" w:lineRule="atLeast"/>
              <w:rPr>
                <w:rFonts w:ascii="Arial" w:hAnsi="Arial" w:cs="Arial"/>
                <w:color w:val="000000" w:themeColor="text1"/>
                <w:szCs w:val="21"/>
                <w:highlight w:val="none"/>
                <w14:textFill>
                  <w14:solidFill>
                    <w14:schemeClr w14:val="tx1"/>
                  </w14:solidFill>
                </w14:textFill>
              </w:rPr>
            </w:pPr>
          </w:p>
        </w:tc>
      </w:tr>
      <w:tr w14:paraId="5949FA0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05B6D4A5">
            <w:pPr>
              <w:jc w:val="center"/>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52087FE1">
            <w:pPr>
              <w:rPr>
                <w:rFonts w:ascii="Arial" w:hAnsi="Arial" w:cs="Arial"/>
                <w:color w:val="000000" w:themeColor="text1"/>
                <w:szCs w:val="21"/>
                <w:highlight w:val="none"/>
                <w14:textFill>
                  <w14:solidFill>
                    <w14:schemeClr w14:val="tx1"/>
                  </w14:solidFill>
                </w14:textFill>
              </w:rPr>
            </w:pPr>
          </w:p>
        </w:tc>
        <w:tc>
          <w:tcPr>
            <w:tcW w:w="871" w:type="dxa"/>
            <w:vMerge w:val="continue"/>
            <w:vAlign w:val="center"/>
          </w:tcPr>
          <w:p w14:paraId="2B1EAE96">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531C6DC8">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方案</w:t>
            </w:r>
            <w:r>
              <w:rPr>
                <w:rFonts w:hint="eastAsia" w:ascii="Arial" w:hAnsi="Arial" w:cs="Arial"/>
                <w:color w:val="000000" w:themeColor="text1"/>
                <w:szCs w:val="21"/>
                <w:highlight w:val="none"/>
                <w14:textFill>
                  <w14:solidFill>
                    <w14:schemeClr w14:val="tx1"/>
                  </w14:solidFill>
                </w14:textFill>
              </w:rPr>
              <w:t>较差</w:t>
            </w:r>
          </w:p>
        </w:tc>
        <w:tc>
          <w:tcPr>
            <w:tcW w:w="1110" w:type="dxa"/>
            <w:tcBorders>
              <w:right w:val="single" w:color="auto" w:sz="4" w:space="0"/>
            </w:tcBorders>
            <w:vAlign w:val="center"/>
          </w:tcPr>
          <w:p w14:paraId="04AC81D4">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0</w:t>
            </w:r>
          </w:p>
        </w:tc>
        <w:tc>
          <w:tcPr>
            <w:tcW w:w="1139" w:type="dxa"/>
            <w:vMerge w:val="continue"/>
            <w:tcBorders>
              <w:left w:val="single" w:color="auto" w:sz="4" w:space="0"/>
            </w:tcBorders>
            <w:vAlign w:val="center"/>
          </w:tcPr>
          <w:p w14:paraId="68FD5244">
            <w:pPr>
              <w:spacing w:line="240" w:lineRule="atLeast"/>
              <w:rPr>
                <w:rFonts w:ascii="Arial" w:hAnsi="Arial" w:cs="Arial"/>
                <w:color w:val="000000" w:themeColor="text1"/>
                <w:szCs w:val="21"/>
                <w:highlight w:val="none"/>
                <w14:textFill>
                  <w14:solidFill>
                    <w14:schemeClr w14:val="tx1"/>
                  </w14:solidFill>
                </w14:textFill>
              </w:rPr>
            </w:pPr>
          </w:p>
        </w:tc>
      </w:tr>
      <w:tr w14:paraId="18B33F5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0608E982">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6</w:t>
            </w:r>
          </w:p>
        </w:tc>
        <w:tc>
          <w:tcPr>
            <w:tcW w:w="1593" w:type="dxa"/>
            <w:vMerge w:val="restart"/>
            <w:vAlign w:val="center"/>
          </w:tcPr>
          <w:p w14:paraId="1EF2DE58">
            <w:pP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安全管理及措施；现场文明施工和环保方案</w:t>
            </w:r>
          </w:p>
        </w:tc>
        <w:tc>
          <w:tcPr>
            <w:tcW w:w="871" w:type="dxa"/>
            <w:vMerge w:val="restart"/>
            <w:vAlign w:val="center"/>
          </w:tcPr>
          <w:p w14:paraId="66489FB2">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18</w:t>
            </w:r>
          </w:p>
        </w:tc>
        <w:tc>
          <w:tcPr>
            <w:tcW w:w="4068" w:type="dxa"/>
            <w:vAlign w:val="center"/>
          </w:tcPr>
          <w:p w14:paraId="0B2365AE">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方案</w:t>
            </w:r>
            <w:r>
              <w:rPr>
                <w:rFonts w:hint="eastAsia" w:ascii="Arial" w:hAnsi="Arial" w:cs="Arial"/>
                <w:color w:val="000000" w:themeColor="text1"/>
                <w:szCs w:val="21"/>
                <w:highlight w:val="none"/>
                <w14:textFill>
                  <w14:solidFill>
                    <w14:schemeClr w14:val="tx1"/>
                  </w14:solidFill>
                </w14:textFill>
              </w:rPr>
              <w:t>合理</w:t>
            </w:r>
          </w:p>
        </w:tc>
        <w:tc>
          <w:tcPr>
            <w:tcW w:w="1110" w:type="dxa"/>
            <w:tcBorders>
              <w:right w:val="single" w:color="auto" w:sz="4" w:space="0"/>
            </w:tcBorders>
            <w:vAlign w:val="center"/>
          </w:tcPr>
          <w:p w14:paraId="68007AE8">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18</w:t>
            </w:r>
          </w:p>
        </w:tc>
        <w:tc>
          <w:tcPr>
            <w:tcW w:w="1139" w:type="dxa"/>
            <w:vMerge w:val="restart"/>
            <w:tcBorders>
              <w:left w:val="single" w:color="auto" w:sz="4" w:space="0"/>
            </w:tcBorders>
            <w:vAlign w:val="center"/>
          </w:tcPr>
          <w:p w14:paraId="7578070C">
            <w:pPr>
              <w:spacing w:line="240" w:lineRule="atLeast"/>
              <w:rPr>
                <w:rFonts w:ascii="Arial" w:hAnsi="Arial" w:cs="Arial"/>
                <w:color w:val="000000" w:themeColor="text1"/>
                <w:szCs w:val="21"/>
                <w:highlight w:val="none"/>
                <w14:textFill>
                  <w14:solidFill>
                    <w14:schemeClr w14:val="tx1"/>
                  </w14:solidFill>
                </w14:textFill>
              </w:rPr>
            </w:pPr>
          </w:p>
        </w:tc>
      </w:tr>
      <w:tr w14:paraId="5BE49E0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2F928AC2">
            <w:pPr>
              <w:jc w:val="center"/>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23E20241">
            <w:pPr>
              <w:rPr>
                <w:rFonts w:ascii="Arial" w:hAnsi="Arial" w:cs="Arial"/>
                <w:bCs/>
                <w:color w:val="000000" w:themeColor="text1"/>
                <w:szCs w:val="21"/>
                <w:highlight w:val="none"/>
                <w14:textFill>
                  <w14:solidFill>
                    <w14:schemeClr w14:val="tx1"/>
                  </w14:solidFill>
                </w14:textFill>
              </w:rPr>
            </w:pPr>
          </w:p>
        </w:tc>
        <w:tc>
          <w:tcPr>
            <w:tcW w:w="871" w:type="dxa"/>
            <w:vMerge w:val="continue"/>
            <w:vAlign w:val="center"/>
          </w:tcPr>
          <w:p w14:paraId="307D3FEC">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5009FF13">
            <w:pPr>
              <w:spacing w:line="240" w:lineRule="atLeast"/>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方案一般</w:t>
            </w:r>
          </w:p>
        </w:tc>
        <w:tc>
          <w:tcPr>
            <w:tcW w:w="1110" w:type="dxa"/>
            <w:tcBorders>
              <w:right w:val="single" w:color="auto" w:sz="4" w:space="0"/>
            </w:tcBorders>
            <w:vAlign w:val="center"/>
          </w:tcPr>
          <w:p w14:paraId="2A8B5A8A">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13</w:t>
            </w:r>
          </w:p>
        </w:tc>
        <w:tc>
          <w:tcPr>
            <w:tcW w:w="1139" w:type="dxa"/>
            <w:vMerge w:val="continue"/>
            <w:tcBorders>
              <w:left w:val="single" w:color="auto" w:sz="4" w:space="0"/>
            </w:tcBorders>
            <w:vAlign w:val="center"/>
          </w:tcPr>
          <w:p w14:paraId="3F1D236B">
            <w:pPr>
              <w:spacing w:line="240" w:lineRule="atLeast"/>
              <w:rPr>
                <w:rFonts w:ascii="Arial" w:hAnsi="Arial" w:cs="Arial"/>
                <w:color w:val="000000" w:themeColor="text1"/>
                <w:szCs w:val="21"/>
                <w:highlight w:val="none"/>
                <w14:textFill>
                  <w14:solidFill>
                    <w14:schemeClr w14:val="tx1"/>
                  </w14:solidFill>
                </w14:textFill>
              </w:rPr>
            </w:pPr>
          </w:p>
        </w:tc>
      </w:tr>
      <w:tr w14:paraId="7B9A487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6C906549">
            <w:pPr>
              <w:jc w:val="center"/>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7A8A986D">
            <w:pPr>
              <w:rPr>
                <w:rFonts w:ascii="Arial" w:hAnsi="Arial" w:cs="Arial"/>
                <w:bCs/>
                <w:color w:val="000000" w:themeColor="text1"/>
                <w:szCs w:val="21"/>
                <w:highlight w:val="none"/>
                <w14:textFill>
                  <w14:solidFill>
                    <w14:schemeClr w14:val="tx1"/>
                  </w14:solidFill>
                </w14:textFill>
              </w:rPr>
            </w:pPr>
          </w:p>
        </w:tc>
        <w:tc>
          <w:tcPr>
            <w:tcW w:w="871" w:type="dxa"/>
            <w:vMerge w:val="continue"/>
            <w:vAlign w:val="center"/>
          </w:tcPr>
          <w:p w14:paraId="320697FE">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4201B1A2">
            <w:pPr>
              <w:spacing w:line="240" w:lineRule="atLeast"/>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方案较差</w:t>
            </w:r>
          </w:p>
        </w:tc>
        <w:tc>
          <w:tcPr>
            <w:tcW w:w="1110" w:type="dxa"/>
            <w:tcBorders>
              <w:right w:val="single" w:color="auto" w:sz="4" w:space="0"/>
            </w:tcBorders>
            <w:vAlign w:val="center"/>
          </w:tcPr>
          <w:p w14:paraId="56085CD5">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8</w:t>
            </w:r>
          </w:p>
        </w:tc>
        <w:tc>
          <w:tcPr>
            <w:tcW w:w="1139" w:type="dxa"/>
            <w:vMerge w:val="continue"/>
            <w:tcBorders>
              <w:left w:val="single" w:color="auto" w:sz="4" w:space="0"/>
            </w:tcBorders>
            <w:vAlign w:val="center"/>
          </w:tcPr>
          <w:p w14:paraId="19DE2E13">
            <w:pPr>
              <w:spacing w:line="240" w:lineRule="atLeast"/>
              <w:rPr>
                <w:rFonts w:ascii="Arial" w:hAnsi="Arial" w:cs="Arial"/>
                <w:color w:val="000000" w:themeColor="text1"/>
                <w:szCs w:val="21"/>
                <w:highlight w:val="none"/>
                <w14:textFill>
                  <w14:solidFill>
                    <w14:schemeClr w14:val="tx1"/>
                  </w14:solidFill>
                </w14:textFill>
              </w:rPr>
            </w:pPr>
          </w:p>
        </w:tc>
      </w:tr>
      <w:tr w14:paraId="59EF880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68DA2A6F">
            <w:pPr>
              <w:jc w:val="center"/>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149AC941">
            <w:pPr>
              <w:rPr>
                <w:rFonts w:ascii="Arial" w:hAnsi="Arial" w:cs="Arial"/>
                <w:color w:val="000000" w:themeColor="text1"/>
                <w:szCs w:val="21"/>
                <w:highlight w:val="none"/>
                <w14:textFill>
                  <w14:solidFill>
                    <w14:schemeClr w14:val="tx1"/>
                  </w14:solidFill>
                </w14:textFill>
              </w:rPr>
            </w:pPr>
          </w:p>
        </w:tc>
        <w:tc>
          <w:tcPr>
            <w:tcW w:w="871" w:type="dxa"/>
            <w:vMerge w:val="continue"/>
            <w:vAlign w:val="center"/>
          </w:tcPr>
          <w:p w14:paraId="11278FCB">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35C415AB">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方案</w:t>
            </w:r>
            <w:r>
              <w:rPr>
                <w:rFonts w:hint="eastAsia" w:ascii="Arial" w:hAnsi="Arial" w:cs="Arial"/>
                <w:color w:val="000000" w:themeColor="text1"/>
                <w:szCs w:val="21"/>
                <w:highlight w:val="none"/>
                <w14:textFill>
                  <w14:solidFill>
                    <w14:schemeClr w14:val="tx1"/>
                  </w14:solidFill>
                </w14:textFill>
              </w:rPr>
              <w:t>差</w:t>
            </w:r>
          </w:p>
        </w:tc>
        <w:tc>
          <w:tcPr>
            <w:tcW w:w="1110" w:type="dxa"/>
            <w:tcBorders>
              <w:right w:val="single" w:color="auto" w:sz="4" w:space="0"/>
            </w:tcBorders>
            <w:vAlign w:val="center"/>
          </w:tcPr>
          <w:p w14:paraId="3E80206E">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3</w:t>
            </w:r>
          </w:p>
        </w:tc>
        <w:tc>
          <w:tcPr>
            <w:tcW w:w="1139" w:type="dxa"/>
            <w:vMerge w:val="continue"/>
            <w:tcBorders>
              <w:left w:val="single" w:color="auto" w:sz="4" w:space="0"/>
            </w:tcBorders>
            <w:vAlign w:val="center"/>
          </w:tcPr>
          <w:p w14:paraId="5468F799">
            <w:pPr>
              <w:spacing w:line="240" w:lineRule="atLeast"/>
              <w:rPr>
                <w:rFonts w:ascii="Arial" w:hAnsi="Arial" w:cs="Arial"/>
                <w:color w:val="000000" w:themeColor="text1"/>
                <w:szCs w:val="21"/>
                <w:highlight w:val="none"/>
                <w14:textFill>
                  <w14:solidFill>
                    <w14:schemeClr w14:val="tx1"/>
                  </w14:solidFill>
                </w14:textFill>
              </w:rPr>
            </w:pPr>
          </w:p>
        </w:tc>
      </w:tr>
      <w:tr w14:paraId="26BEED7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34" w:hRule="atLeast"/>
          <w:jc w:val="center"/>
        </w:trPr>
        <w:tc>
          <w:tcPr>
            <w:tcW w:w="772" w:type="dxa"/>
            <w:vMerge w:val="restart"/>
            <w:vAlign w:val="center"/>
          </w:tcPr>
          <w:p w14:paraId="5542D135">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7</w:t>
            </w:r>
          </w:p>
        </w:tc>
        <w:tc>
          <w:tcPr>
            <w:tcW w:w="1593" w:type="dxa"/>
            <w:vMerge w:val="restart"/>
            <w:vAlign w:val="center"/>
          </w:tcPr>
          <w:p w14:paraId="7F60B578">
            <w:pP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公司对本工程的重视承诺、管理和支持</w:t>
            </w:r>
          </w:p>
        </w:tc>
        <w:tc>
          <w:tcPr>
            <w:tcW w:w="871" w:type="dxa"/>
            <w:vMerge w:val="restart"/>
            <w:vAlign w:val="center"/>
          </w:tcPr>
          <w:p w14:paraId="3C1EA6EB">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2</w:t>
            </w:r>
          </w:p>
        </w:tc>
        <w:tc>
          <w:tcPr>
            <w:tcW w:w="4068" w:type="dxa"/>
            <w:vAlign w:val="center"/>
          </w:tcPr>
          <w:p w14:paraId="7EF6559E">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方案</w:t>
            </w:r>
            <w:r>
              <w:rPr>
                <w:rFonts w:hint="eastAsia" w:ascii="Arial" w:hAnsi="Arial" w:cs="Arial"/>
                <w:color w:val="000000" w:themeColor="text1"/>
                <w:szCs w:val="21"/>
                <w:highlight w:val="none"/>
                <w14:textFill>
                  <w14:solidFill>
                    <w14:schemeClr w14:val="tx1"/>
                  </w14:solidFill>
                </w14:textFill>
              </w:rPr>
              <w:t>合理</w:t>
            </w:r>
          </w:p>
        </w:tc>
        <w:tc>
          <w:tcPr>
            <w:tcW w:w="1110" w:type="dxa"/>
            <w:tcBorders>
              <w:right w:val="single" w:color="auto" w:sz="4" w:space="0"/>
            </w:tcBorders>
            <w:vAlign w:val="center"/>
          </w:tcPr>
          <w:p w14:paraId="4B3F7CD8">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2</w:t>
            </w:r>
          </w:p>
        </w:tc>
        <w:tc>
          <w:tcPr>
            <w:tcW w:w="1139" w:type="dxa"/>
            <w:vMerge w:val="restart"/>
            <w:tcBorders>
              <w:left w:val="single" w:color="auto" w:sz="4" w:space="0"/>
            </w:tcBorders>
            <w:vAlign w:val="center"/>
          </w:tcPr>
          <w:p w14:paraId="5DA53A6A">
            <w:pPr>
              <w:spacing w:line="240" w:lineRule="atLeast"/>
              <w:rPr>
                <w:rFonts w:ascii="Arial" w:hAnsi="Arial" w:cs="Arial"/>
                <w:color w:val="000000" w:themeColor="text1"/>
                <w:szCs w:val="21"/>
                <w:highlight w:val="none"/>
                <w14:textFill>
                  <w14:solidFill>
                    <w14:schemeClr w14:val="tx1"/>
                  </w14:solidFill>
                </w14:textFill>
              </w:rPr>
            </w:pPr>
          </w:p>
        </w:tc>
      </w:tr>
      <w:tr w14:paraId="052DE4C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05A7E856">
            <w:pPr>
              <w:jc w:val="center"/>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1588EE61">
            <w:pPr>
              <w:rPr>
                <w:rFonts w:ascii="Arial" w:hAnsi="Arial" w:cs="Arial"/>
                <w:color w:val="000000" w:themeColor="text1"/>
                <w:szCs w:val="21"/>
                <w:highlight w:val="none"/>
                <w14:textFill>
                  <w14:solidFill>
                    <w14:schemeClr w14:val="tx1"/>
                  </w14:solidFill>
                </w14:textFill>
              </w:rPr>
            </w:pPr>
          </w:p>
        </w:tc>
        <w:tc>
          <w:tcPr>
            <w:tcW w:w="871" w:type="dxa"/>
            <w:vMerge w:val="continue"/>
            <w:vAlign w:val="center"/>
          </w:tcPr>
          <w:p w14:paraId="412DCF7D">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157DB67E">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方案</w:t>
            </w:r>
            <w:r>
              <w:rPr>
                <w:rFonts w:hint="eastAsia" w:ascii="Arial" w:hAnsi="Arial" w:cs="Arial"/>
                <w:color w:val="000000" w:themeColor="text1"/>
                <w:szCs w:val="21"/>
                <w:highlight w:val="none"/>
                <w14:textFill>
                  <w14:solidFill>
                    <w14:schemeClr w14:val="tx1"/>
                  </w14:solidFill>
                </w14:textFill>
              </w:rPr>
              <w:t>较差</w:t>
            </w:r>
          </w:p>
        </w:tc>
        <w:tc>
          <w:tcPr>
            <w:tcW w:w="1110" w:type="dxa"/>
            <w:tcBorders>
              <w:right w:val="single" w:color="auto" w:sz="4" w:space="0"/>
            </w:tcBorders>
            <w:vAlign w:val="center"/>
          </w:tcPr>
          <w:p w14:paraId="12CECF93">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0</w:t>
            </w:r>
          </w:p>
        </w:tc>
        <w:tc>
          <w:tcPr>
            <w:tcW w:w="1139" w:type="dxa"/>
            <w:vMerge w:val="continue"/>
            <w:tcBorders>
              <w:left w:val="single" w:color="auto" w:sz="4" w:space="0"/>
            </w:tcBorders>
            <w:vAlign w:val="center"/>
          </w:tcPr>
          <w:p w14:paraId="22FDFF0A">
            <w:pPr>
              <w:spacing w:line="240" w:lineRule="atLeast"/>
              <w:rPr>
                <w:rFonts w:ascii="Arial" w:hAnsi="Arial" w:cs="Arial"/>
                <w:color w:val="000000" w:themeColor="text1"/>
                <w:szCs w:val="21"/>
                <w:highlight w:val="none"/>
                <w14:textFill>
                  <w14:solidFill>
                    <w14:schemeClr w14:val="tx1"/>
                  </w14:solidFill>
                </w14:textFill>
              </w:rPr>
            </w:pPr>
          </w:p>
        </w:tc>
      </w:tr>
      <w:tr w14:paraId="6DC5C6A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4CAF287F">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8</w:t>
            </w:r>
          </w:p>
        </w:tc>
        <w:tc>
          <w:tcPr>
            <w:tcW w:w="1593" w:type="dxa"/>
            <w:vMerge w:val="restart"/>
            <w:vAlign w:val="center"/>
          </w:tcPr>
          <w:p w14:paraId="76B1676D">
            <w:pPr>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冬季和雨季施工方案</w:t>
            </w:r>
          </w:p>
        </w:tc>
        <w:tc>
          <w:tcPr>
            <w:tcW w:w="871" w:type="dxa"/>
            <w:vMerge w:val="restart"/>
            <w:vAlign w:val="center"/>
          </w:tcPr>
          <w:p w14:paraId="0ED9B1E4">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5</w:t>
            </w:r>
          </w:p>
        </w:tc>
        <w:tc>
          <w:tcPr>
            <w:tcW w:w="4068" w:type="dxa"/>
            <w:vAlign w:val="center"/>
          </w:tcPr>
          <w:p w14:paraId="508A43E1">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方案</w:t>
            </w:r>
            <w:r>
              <w:rPr>
                <w:rFonts w:hint="eastAsia" w:ascii="Arial" w:hAnsi="Arial" w:cs="Arial"/>
                <w:color w:val="000000" w:themeColor="text1"/>
                <w:szCs w:val="21"/>
                <w:highlight w:val="none"/>
                <w14:textFill>
                  <w14:solidFill>
                    <w14:schemeClr w14:val="tx1"/>
                  </w14:solidFill>
                </w14:textFill>
              </w:rPr>
              <w:t>合理</w:t>
            </w:r>
          </w:p>
        </w:tc>
        <w:tc>
          <w:tcPr>
            <w:tcW w:w="1110" w:type="dxa"/>
            <w:tcBorders>
              <w:right w:val="single" w:color="auto" w:sz="4" w:space="0"/>
            </w:tcBorders>
            <w:vAlign w:val="center"/>
          </w:tcPr>
          <w:p w14:paraId="635AF696">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5</w:t>
            </w:r>
          </w:p>
        </w:tc>
        <w:tc>
          <w:tcPr>
            <w:tcW w:w="1139" w:type="dxa"/>
            <w:vMerge w:val="restart"/>
            <w:tcBorders>
              <w:left w:val="single" w:color="auto" w:sz="4" w:space="0"/>
            </w:tcBorders>
            <w:vAlign w:val="center"/>
          </w:tcPr>
          <w:p w14:paraId="33B2CF41">
            <w:pPr>
              <w:spacing w:line="240" w:lineRule="atLeast"/>
              <w:rPr>
                <w:rFonts w:ascii="Arial" w:hAnsi="Arial" w:cs="Arial"/>
                <w:color w:val="000000" w:themeColor="text1"/>
                <w:szCs w:val="21"/>
                <w:highlight w:val="none"/>
                <w14:textFill>
                  <w14:solidFill>
                    <w14:schemeClr w14:val="tx1"/>
                  </w14:solidFill>
                </w14:textFill>
              </w:rPr>
            </w:pPr>
          </w:p>
        </w:tc>
      </w:tr>
      <w:tr w14:paraId="06EA64C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5761FC68">
            <w:pPr>
              <w:jc w:val="center"/>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651D0D9A">
            <w:pPr>
              <w:rPr>
                <w:rFonts w:ascii="Arial" w:hAnsi="Arial" w:cs="Arial"/>
                <w:color w:val="000000" w:themeColor="text1"/>
                <w:szCs w:val="21"/>
                <w:highlight w:val="none"/>
                <w14:textFill>
                  <w14:solidFill>
                    <w14:schemeClr w14:val="tx1"/>
                  </w14:solidFill>
                </w14:textFill>
              </w:rPr>
            </w:pPr>
          </w:p>
        </w:tc>
        <w:tc>
          <w:tcPr>
            <w:tcW w:w="871" w:type="dxa"/>
            <w:vMerge w:val="continue"/>
            <w:vAlign w:val="center"/>
          </w:tcPr>
          <w:p w14:paraId="269FB566">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57FEC579">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方案</w:t>
            </w:r>
            <w:r>
              <w:rPr>
                <w:rFonts w:hint="eastAsia" w:ascii="Arial" w:hAnsi="Arial" w:cs="Arial"/>
                <w:color w:val="000000" w:themeColor="text1"/>
                <w:szCs w:val="21"/>
                <w:highlight w:val="none"/>
                <w14:textFill>
                  <w14:solidFill>
                    <w14:schemeClr w14:val="tx1"/>
                  </w14:solidFill>
                </w14:textFill>
              </w:rPr>
              <w:t>较差</w:t>
            </w:r>
          </w:p>
        </w:tc>
        <w:tc>
          <w:tcPr>
            <w:tcW w:w="1110" w:type="dxa"/>
            <w:tcBorders>
              <w:right w:val="single" w:color="auto" w:sz="4" w:space="0"/>
            </w:tcBorders>
            <w:vAlign w:val="center"/>
          </w:tcPr>
          <w:p w14:paraId="63EA8E5E">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2</w:t>
            </w:r>
          </w:p>
        </w:tc>
        <w:tc>
          <w:tcPr>
            <w:tcW w:w="1139" w:type="dxa"/>
            <w:vMerge w:val="continue"/>
            <w:tcBorders>
              <w:left w:val="single" w:color="auto" w:sz="4" w:space="0"/>
            </w:tcBorders>
            <w:vAlign w:val="center"/>
          </w:tcPr>
          <w:p w14:paraId="38649D11">
            <w:pPr>
              <w:spacing w:line="240" w:lineRule="atLeast"/>
              <w:rPr>
                <w:rFonts w:ascii="Arial" w:hAnsi="Arial" w:cs="Arial"/>
                <w:color w:val="000000" w:themeColor="text1"/>
                <w:szCs w:val="21"/>
                <w:highlight w:val="none"/>
                <w14:textFill>
                  <w14:solidFill>
                    <w14:schemeClr w14:val="tx1"/>
                  </w14:solidFill>
                </w14:textFill>
              </w:rPr>
            </w:pPr>
          </w:p>
        </w:tc>
      </w:tr>
      <w:tr w14:paraId="3E09FA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6927EFD7">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9</w:t>
            </w:r>
          </w:p>
        </w:tc>
        <w:tc>
          <w:tcPr>
            <w:tcW w:w="1593" w:type="dxa"/>
            <w:vMerge w:val="restart"/>
            <w:vAlign w:val="center"/>
          </w:tcPr>
          <w:p w14:paraId="3C28FFFF">
            <w:pPr>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施工现场总平面布置</w:t>
            </w:r>
          </w:p>
        </w:tc>
        <w:tc>
          <w:tcPr>
            <w:tcW w:w="871" w:type="dxa"/>
            <w:vMerge w:val="restart"/>
            <w:vAlign w:val="center"/>
          </w:tcPr>
          <w:p w14:paraId="0BF19AE7">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2</w:t>
            </w:r>
          </w:p>
        </w:tc>
        <w:tc>
          <w:tcPr>
            <w:tcW w:w="4068" w:type="dxa"/>
            <w:vAlign w:val="center"/>
          </w:tcPr>
          <w:p w14:paraId="4ED04B69">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布置</w:t>
            </w:r>
            <w:r>
              <w:rPr>
                <w:rFonts w:hint="eastAsia" w:ascii="Arial" w:hAnsi="Arial" w:cs="Arial"/>
                <w:color w:val="000000" w:themeColor="text1"/>
                <w:szCs w:val="21"/>
                <w:highlight w:val="none"/>
                <w14:textFill>
                  <w14:solidFill>
                    <w14:schemeClr w14:val="tx1"/>
                  </w14:solidFill>
                </w14:textFill>
              </w:rPr>
              <w:t>合理</w:t>
            </w:r>
          </w:p>
        </w:tc>
        <w:tc>
          <w:tcPr>
            <w:tcW w:w="1110" w:type="dxa"/>
            <w:tcBorders>
              <w:right w:val="single" w:color="auto" w:sz="4" w:space="0"/>
            </w:tcBorders>
            <w:vAlign w:val="center"/>
          </w:tcPr>
          <w:p w14:paraId="27E9DD87">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2</w:t>
            </w:r>
          </w:p>
        </w:tc>
        <w:tc>
          <w:tcPr>
            <w:tcW w:w="1139" w:type="dxa"/>
            <w:vMerge w:val="restart"/>
            <w:tcBorders>
              <w:left w:val="single" w:color="auto" w:sz="4" w:space="0"/>
            </w:tcBorders>
            <w:vAlign w:val="center"/>
          </w:tcPr>
          <w:p w14:paraId="51E44A7A">
            <w:pPr>
              <w:spacing w:line="240" w:lineRule="atLeast"/>
              <w:rPr>
                <w:rFonts w:ascii="Arial" w:hAnsi="Arial" w:cs="Arial"/>
                <w:color w:val="000000" w:themeColor="text1"/>
                <w:szCs w:val="21"/>
                <w:highlight w:val="none"/>
                <w14:textFill>
                  <w14:solidFill>
                    <w14:schemeClr w14:val="tx1"/>
                  </w14:solidFill>
                </w14:textFill>
              </w:rPr>
            </w:pPr>
          </w:p>
        </w:tc>
      </w:tr>
      <w:tr w14:paraId="797601E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1FD2FBA4">
            <w:pPr>
              <w:jc w:val="center"/>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7C0C7C7F">
            <w:pPr>
              <w:rPr>
                <w:rFonts w:ascii="Arial" w:hAnsi="Arial" w:cs="Arial"/>
                <w:color w:val="000000" w:themeColor="text1"/>
                <w:szCs w:val="21"/>
                <w:highlight w:val="none"/>
                <w14:textFill>
                  <w14:solidFill>
                    <w14:schemeClr w14:val="tx1"/>
                  </w14:solidFill>
                </w14:textFill>
              </w:rPr>
            </w:pPr>
          </w:p>
        </w:tc>
        <w:tc>
          <w:tcPr>
            <w:tcW w:w="871" w:type="dxa"/>
            <w:vMerge w:val="continue"/>
            <w:vAlign w:val="center"/>
          </w:tcPr>
          <w:p w14:paraId="0610FDA4">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54DF2676">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布置</w:t>
            </w:r>
            <w:r>
              <w:rPr>
                <w:rFonts w:hint="eastAsia" w:ascii="Arial" w:hAnsi="Arial" w:cs="Arial"/>
                <w:color w:val="000000" w:themeColor="text1"/>
                <w:szCs w:val="21"/>
                <w:highlight w:val="none"/>
                <w14:textFill>
                  <w14:solidFill>
                    <w14:schemeClr w14:val="tx1"/>
                  </w14:solidFill>
                </w14:textFill>
              </w:rPr>
              <w:t>较差</w:t>
            </w:r>
          </w:p>
        </w:tc>
        <w:tc>
          <w:tcPr>
            <w:tcW w:w="1110" w:type="dxa"/>
            <w:tcBorders>
              <w:right w:val="single" w:color="auto" w:sz="4" w:space="0"/>
            </w:tcBorders>
            <w:vAlign w:val="center"/>
          </w:tcPr>
          <w:p w14:paraId="0FD36B51">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0</w:t>
            </w:r>
          </w:p>
        </w:tc>
        <w:tc>
          <w:tcPr>
            <w:tcW w:w="1139" w:type="dxa"/>
            <w:vMerge w:val="continue"/>
            <w:tcBorders>
              <w:left w:val="single" w:color="auto" w:sz="4" w:space="0"/>
            </w:tcBorders>
            <w:vAlign w:val="center"/>
          </w:tcPr>
          <w:p w14:paraId="3CC8ABDD">
            <w:pPr>
              <w:spacing w:line="240" w:lineRule="atLeast"/>
              <w:rPr>
                <w:rFonts w:ascii="Arial" w:hAnsi="Arial" w:cs="Arial"/>
                <w:color w:val="000000" w:themeColor="text1"/>
                <w:szCs w:val="21"/>
                <w:highlight w:val="none"/>
                <w14:textFill>
                  <w14:solidFill>
                    <w14:schemeClr w14:val="tx1"/>
                  </w14:solidFill>
                </w14:textFill>
              </w:rPr>
            </w:pPr>
          </w:p>
        </w:tc>
      </w:tr>
      <w:tr w14:paraId="3FD50CB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3F347CE5">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10</w:t>
            </w:r>
          </w:p>
        </w:tc>
        <w:tc>
          <w:tcPr>
            <w:tcW w:w="1593" w:type="dxa"/>
            <w:vMerge w:val="restart"/>
            <w:vAlign w:val="center"/>
          </w:tcPr>
          <w:p w14:paraId="5BA84604">
            <w:pPr>
              <w:rPr>
                <w:rFonts w:ascii="Arial" w:hAnsi="Arial" w:cs="Arial"/>
                <w:color w:val="000000" w:themeColor="text1"/>
                <w:szCs w:val="21"/>
                <w:highlight w:val="none"/>
                <w14:textFill>
                  <w14:solidFill>
                    <w14:schemeClr w14:val="tx1"/>
                  </w14:solidFill>
                </w14:textFill>
              </w:rPr>
            </w:pPr>
            <w:r>
              <w:rPr>
                <w:rFonts w:ascii="Arial" w:hAnsi="Arial" w:cs="Arial"/>
                <w:bCs/>
                <w:color w:val="000000" w:themeColor="text1"/>
                <w:szCs w:val="21"/>
                <w:highlight w:val="none"/>
                <w14:textFill>
                  <w14:solidFill>
                    <w14:schemeClr w14:val="tx1"/>
                  </w14:solidFill>
                </w14:textFill>
              </w:rPr>
              <w:t>成品保护</w:t>
            </w:r>
            <w:r>
              <w:rPr>
                <w:rFonts w:hint="eastAsia" w:ascii="Arial" w:hAnsi="Arial" w:cs="Arial"/>
                <w:bCs/>
                <w:color w:val="000000" w:themeColor="text1"/>
                <w:szCs w:val="21"/>
                <w:highlight w:val="none"/>
                <w14:textFill>
                  <w14:solidFill>
                    <w14:schemeClr w14:val="tx1"/>
                  </w14:solidFill>
                </w14:textFill>
              </w:rPr>
              <w:t>措施</w:t>
            </w:r>
            <w:r>
              <w:rPr>
                <w:rFonts w:ascii="Arial" w:hAnsi="Arial" w:cs="Arial"/>
                <w:bCs/>
                <w:color w:val="000000" w:themeColor="text1"/>
                <w:szCs w:val="21"/>
                <w:highlight w:val="none"/>
                <w14:textFill>
                  <w14:solidFill>
                    <w14:schemeClr w14:val="tx1"/>
                  </w14:solidFill>
                </w14:textFill>
              </w:rPr>
              <w:t>和工程保修工作的管理措施和承诺</w:t>
            </w:r>
          </w:p>
        </w:tc>
        <w:tc>
          <w:tcPr>
            <w:tcW w:w="871" w:type="dxa"/>
            <w:vMerge w:val="restart"/>
            <w:vAlign w:val="center"/>
          </w:tcPr>
          <w:p w14:paraId="6192E5B6">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10</w:t>
            </w:r>
          </w:p>
        </w:tc>
        <w:tc>
          <w:tcPr>
            <w:tcW w:w="4068" w:type="dxa"/>
            <w:vAlign w:val="center"/>
          </w:tcPr>
          <w:p w14:paraId="5B836449">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bCs/>
                <w:color w:val="000000" w:themeColor="text1"/>
                <w:szCs w:val="21"/>
                <w:highlight w:val="none"/>
                <w14:textFill>
                  <w14:solidFill>
                    <w14:schemeClr w14:val="tx1"/>
                  </w14:solidFill>
                </w14:textFill>
              </w:rPr>
              <w:t>措施</w:t>
            </w:r>
            <w:r>
              <w:rPr>
                <w:rFonts w:hint="eastAsia" w:ascii="Arial" w:hAnsi="Arial" w:cs="Arial"/>
                <w:color w:val="000000" w:themeColor="text1"/>
                <w:szCs w:val="21"/>
                <w:highlight w:val="none"/>
                <w14:textFill>
                  <w14:solidFill>
                    <w14:schemeClr w14:val="tx1"/>
                  </w14:solidFill>
                </w14:textFill>
              </w:rPr>
              <w:t>合理</w:t>
            </w:r>
            <w:r>
              <w:rPr>
                <w:rFonts w:hint="eastAsia" w:ascii="Arial" w:hAnsi="Arial" w:cs="Arial"/>
                <w:bCs/>
                <w:color w:val="000000" w:themeColor="text1"/>
                <w:szCs w:val="21"/>
                <w:highlight w:val="none"/>
                <w14:textFill>
                  <w14:solidFill>
                    <w14:schemeClr w14:val="tx1"/>
                  </w14:solidFill>
                </w14:textFill>
              </w:rPr>
              <w:t>、</w:t>
            </w:r>
            <w:r>
              <w:rPr>
                <w:rFonts w:ascii="Arial" w:hAnsi="Arial" w:cs="Arial"/>
                <w:bCs/>
                <w:color w:val="000000" w:themeColor="text1"/>
                <w:szCs w:val="21"/>
                <w:highlight w:val="none"/>
                <w14:textFill>
                  <w14:solidFill>
                    <w14:schemeClr w14:val="tx1"/>
                  </w14:solidFill>
                </w14:textFill>
              </w:rPr>
              <w:t>承诺</w:t>
            </w:r>
            <w:r>
              <w:rPr>
                <w:rFonts w:hint="eastAsia" w:ascii="Arial" w:hAnsi="Arial" w:cs="Arial"/>
                <w:bCs/>
                <w:color w:val="000000" w:themeColor="text1"/>
                <w:szCs w:val="21"/>
                <w:highlight w:val="none"/>
                <w14:textFill>
                  <w14:solidFill>
                    <w14:schemeClr w14:val="tx1"/>
                  </w14:solidFill>
                </w14:textFill>
              </w:rPr>
              <w:t>到位</w:t>
            </w:r>
          </w:p>
        </w:tc>
        <w:tc>
          <w:tcPr>
            <w:tcW w:w="1110" w:type="dxa"/>
            <w:tcBorders>
              <w:right w:val="single" w:color="auto" w:sz="4" w:space="0"/>
            </w:tcBorders>
            <w:vAlign w:val="center"/>
          </w:tcPr>
          <w:p w14:paraId="5AAB374F">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10</w:t>
            </w:r>
          </w:p>
        </w:tc>
        <w:tc>
          <w:tcPr>
            <w:tcW w:w="1139" w:type="dxa"/>
            <w:vMerge w:val="restart"/>
            <w:tcBorders>
              <w:left w:val="single" w:color="auto" w:sz="4" w:space="0"/>
            </w:tcBorders>
            <w:vAlign w:val="center"/>
          </w:tcPr>
          <w:p w14:paraId="7575B606">
            <w:pPr>
              <w:spacing w:line="240" w:lineRule="atLeast"/>
              <w:rPr>
                <w:rFonts w:ascii="Arial" w:hAnsi="Arial" w:cs="Arial"/>
                <w:color w:val="000000" w:themeColor="text1"/>
                <w:szCs w:val="21"/>
                <w:highlight w:val="none"/>
                <w14:textFill>
                  <w14:solidFill>
                    <w14:schemeClr w14:val="tx1"/>
                  </w14:solidFill>
                </w14:textFill>
              </w:rPr>
            </w:pPr>
          </w:p>
        </w:tc>
      </w:tr>
      <w:tr w14:paraId="4722D82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6B550711">
            <w:pPr>
              <w:jc w:val="center"/>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37FD016D">
            <w:pPr>
              <w:rPr>
                <w:rFonts w:ascii="Arial" w:hAnsi="Arial" w:cs="Arial"/>
                <w:bCs/>
                <w:color w:val="000000" w:themeColor="text1"/>
                <w:szCs w:val="21"/>
                <w:highlight w:val="none"/>
                <w14:textFill>
                  <w14:solidFill>
                    <w14:schemeClr w14:val="tx1"/>
                  </w14:solidFill>
                </w14:textFill>
              </w:rPr>
            </w:pPr>
          </w:p>
        </w:tc>
        <w:tc>
          <w:tcPr>
            <w:tcW w:w="871" w:type="dxa"/>
            <w:vMerge w:val="continue"/>
            <w:vAlign w:val="center"/>
          </w:tcPr>
          <w:p w14:paraId="002C7BF5">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459C12D0">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bCs/>
                <w:color w:val="000000" w:themeColor="text1"/>
                <w:szCs w:val="21"/>
                <w:highlight w:val="none"/>
                <w14:textFill>
                  <w14:solidFill>
                    <w14:schemeClr w14:val="tx1"/>
                  </w14:solidFill>
                </w14:textFill>
              </w:rPr>
              <w:t>措施</w:t>
            </w:r>
            <w:r>
              <w:rPr>
                <w:rFonts w:hint="eastAsia" w:ascii="Arial" w:hAnsi="Arial" w:cs="Arial"/>
                <w:color w:val="000000" w:themeColor="text1"/>
                <w:szCs w:val="21"/>
                <w:highlight w:val="none"/>
                <w14:textFill>
                  <w14:solidFill>
                    <w14:schemeClr w14:val="tx1"/>
                  </w14:solidFill>
                </w14:textFill>
              </w:rPr>
              <w:t>合理</w:t>
            </w:r>
            <w:r>
              <w:rPr>
                <w:rFonts w:hint="eastAsia" w:ascii="Arial" w:hAnsi="Arial" w:cs="Arial"/>
                <w:bCs/>
                <w:color w:val="000000" w:themeColor="text1"/>
                <w:szCs w:val="21"/>
                <w:highlight w:val="none"/>
                <w14:textFill>
                  <w14:solidFill>
                    <w14:schemeClr w14:val="tx1"/>
                  </w14:solidFill>
                </w14:textFill>
              </w:rPr>
              <w:t>、</w:t>
            </w:r>
            <w:r>
              <w:rPr>
                <w:rFonts w:ascii="Arial" w:hAnsi="Arial" w:cs="Arial"/>
                <w:bCs/>
                <w:color w:val="000000" w:themeColor="text1"/>
                <w:szCs w:val="21"/>
                <w:highlight w:val="none"/>
                <w14:textFill>
                  <w14:solidFill>
                    <w14:schemeClr w14:val="tx1"/>
                  </w14:solidFill>
                </w14:textFill>
              </w:rPr>
              <w:t>承诺</w:t>
            </w:r>
            <w:r>
              <w:rPr>
                <w:rFonts w:hint="eastAsia" w:ascii="Arial" w:hAnsi="Arial" w:cs="Arial"/>
                <w:bCs/>
                <w:color w:val="000000" w:themeColor="text1"/>
                <w:szCs w:val="21"/>
                <w:highlight w:val="none"/>
                <w14:textFill>
                  <w14:solidFill>
                    <w14:schemeClr w14:val="tx1"/>
                  </w14:solidFill>
                </w14:textFill>
              </w:rPr>
              <w:t>比较到位</w:t>
            </w:r>
          </w:p>
        </w:tc>
        <w:tc>
          <w:tcPr>
            <w:tcW w:w="1110" w:type="dxa"/>
            <w:tcBorders>
              <w:right w:val="single" w:color="auto" w:sz="4" w:space="0"/>
            </w:tcBorders>
            <w:vAlign w:val="center"/>
          </w:tcPr>
          <w:p w14:paraId="0F8A80DF">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5</w:t>
            </w:r>
          </w:p>
        </w:tc>
        <w:tc>
          <w:tcPr>
            <w:tcW w:w="1139" w:type="dxa"/>
            <w:vMerge w:val="continue"/>
            <w:tcBorders>
              <w:left w:val="single" w:color="auto" w:sz="4" w:space="0"/>
            </w:tcBorders>
            <w:vAlign w:val="center"/>
          </w:tcPr>
          <w:p w14:paraId="4F7E9B91">
            <w:pPr>
              <w:spacing w:line="240" w:lineRule="atLeast"/>
              <w:rPr>
                <w:rFonts w:ascii="Arial" w:hAnsi="Arial" w:cs="Arial"/>
                <w:color w:val="000000" w:themeColor="text1"/>
                <w:szCs w:val="21"/>
                <w:highlight w:val="none"/>
                <w14:textFill>
                  <w14:solidFill>
                    <w14:schemeClr w14:val="tx1"/>
                  </w14:solidFill>
                </w14:textFill>
              </w:rPr>
            </w:pPr>
          </w:p>
        </w:tc>
      </w:tr>
      <w:tr w14:paraId="48B3E6E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1ECA2449">
            <w:pPr>
              <w:jc w:val="center"/>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4BDEC422">
            <w:pPr>
              <w:rPr>
                <w:rFonts w:ascii="Arial" w:hAnsi="Arial" w:cs="Arial"/>
                <w:color w:val="000000" w:themeColor="text1"/>
                <w:szCs w:val="21"/>
                <w:highlight w:val="none"/>
                <w14:textFill>
                  <w14:solidFill>
                    <w14:schemeClr w14:val="tx1"/>
                  </w14:solidFill>
                </w14:textFill>
              </w:rPr>
            </w:pPr>
          </w:p>
        </w:tc>
        <w:tc>
          <w:tcPr>
            <w:tcW w:w="871" w:type="dxa"/>
            <w:vMerge w:val="continue"/>
            <w:vAlign w:val="center"/>
          </w:tcPr>
          <w:p w14:paraId="3C172E5C">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605A4960">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bCs/>
                <w:color w:val="000000" w:themeColor="text1"/>
                <w:szCs w:val="21"/>
                <w:highlight w:val="none"/>
                <w14:textFill>
                  <w14:solidFill>
                    <w14:schemeClr w14:val="tx1"/>
                  </w14:solidFill>
                </w14:textFill>
              </w:rPr>
              <w:t>措施</w:t>
            </w:r>
            <w:r>
              <w:rPr>
                <w:rFonts w:hint="eastAsia" w:ascii="Arial" w:hAnsi="Arial" w:cs="Arial"/>
                <w:color w:val="000000" w:themeColor="text1"/>
                <w:szCs w:val="21"/>
                <w:highlight w:val="none"/>
                <w14:textFill>
                  <w14:solidFill>
                    <w14:schemeClr w14:val="tx1"/>
                  </w14:solidFill>
                </w14:textFill>
              </w:rPr>
              <w:t>较差</w:t>
            </w:r>
            <w:r>
              <w:rPr>
                <w:rFonts w:hint="eastAsia" w:ascii="Arial" w:hAnsi="Arial" w:cs="Arial"/>
                <w:bCs/>
                <w:color w:val="000000" w:themeColor="text1"/>
                <w:szCs w:val="21"/>
                <w:highlight w:val="none"/>
                <w14:textFill>
                  <w14:solidFill>
                    <w14:schemeClr w14:val="tx1"/>
                  </w14:solidFill>
                </w14:textFill>
              </w:rPr>
              <w:t>、</w:t>
            </w:r>
            <w:r>
              <w:rPr>
                <w:rFonts w:ascii="Arial" w:hAnsi="Arial" w:cs="Arial"/>
                <w:bCs/>
                <w:color w:val="000000" w:themeColor="text1"/>
                <w:szCs w:val="21"/>
                <w:highlight w:val="none"/>
                <w14:textFill>
                  <w14:solidFill>
                    <w14:schemeClr w14:val="tx1"/>
                  </w14:solidFill>
                </w14:textFill>
              </w:rPr>
              <w:t>承诺</w:t>
            </w:r>
            <w:r>
              <w:rPr>
                <w:rFonts w:hint="eastAsia" w:ascii="Arial" w:hAnsi="Arial" w:cs="Arial"/>
                <w:bCs/>
                <w:color w:val="000000" w:themeColor="text1"/>
                <w:szCs w:val="21"/>
                <w:highlight w:val="none"/>
                <w14:textFill>
                  <w14:solidFill>
                    <w14:schemeClr w14:val="tx1"/>
                  </w14:solidFill>
                </w14:textFill>
              </w:rPr>
              <w:t>不到位</w:t>
            </w:r>
          </w:p>
        </w:tc>
        <w:tc>
          <w:tcPr>
            <w:tcW w:w="1110" w:type="dxa"/>
            <w:tcBorders>
              <w:right w:val="single" w:color="auto" w:sz="4" w:space="0"/>
            </w:tcBorders>
            <w:vAlign w:val="center"/>
          </w:tcPr>
          <w:p w14:paraId="02BDCC6F">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0</w:t>
            </w:r>
          </w:p>
        </w:tc>
        <w:tc>
          <w:tcPr>
            <w:tcW w:w="1139" w:type="dxa"/>
            <w:vMerge w:val="continue"/>
            <w:tcBorders>
              <w:left w:val="single" w:color="auto" w:sz="4" w:space="0"/>
            </w:tcBorders>
            <w:vAlign w:val="center"/>
          </w:tcPr>
          <w:p w14:paraId="465868A9">
            <w:pPr>
              <w:spacing w:line="240" w:lineRule="atLeast"/>
              <w:rPr>
                <w:rFonts w:ascii="Arial" w:hAnsi="Arial" w:cs="Arial"/>
                <w:color w:val="000000" w:themeColor="text1"/>
                <w:szCs w:val="21"/>
                <w:highlight w:val="none"/>
                <w14:textFill>
                  <w14:solidFill>
                    <w14:schemeClr w14:val="tx1"/>
                  </w14:solidFill>
                </w14:textFill>
              </w:rPr>
            </w:pPr>
          </w:p>
        </w:tc>
      </w:tr>
      <w:tr w14:paraId="2C913A6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restart"/>
            <w:vAlign w:val="center"/>
          </w:tcPr>
          <w:p w14:paraId="38AEE02C">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11</w:t>
            </w:r>
          </w:p>
        </w:tc>
        <w:tc>
          <w:tcPr>
            <w:tcW w:w="1593" w:type="dxa"/>
            <w:vMerge w:val="restart"/>
            <w:vAlign w:val="center"/>
          </w:tcPr>
          <w:p w14:paraId="27DADC2A">
            <w:pPr>
              <w:rPr>
                <w:rFonts w:ascii="Arial" w:hAnsi="Arial" w:cs="Arial"/>
                <w:color w:val="000000" w:themeColor="text1"/>
                <w:szCs w:val="21"/>
                <w:highlight w:val="none"/>
                <w14:textFill>
                  <w14:solidFill>
                    <w14:schemeClr w14:val="tx1"/>
                  </w14:solidFill>
                </w14:textFill>
              </w:rPr>
            </w:pPr>
            <w:r>
              <w:rPr>
                <w:rFonts w:ascii="Arial" w:hAnsi="Arial" w:cs="Arial"/>
                <w:color w:val="000000" w:themeColor="text1"/>
                <w:szCs w:val="21"/>
                <w:highlight w:val="none"/>
                <w14:textFill>
                  <w14:solidFill>
                    <w14:schemeClr w14:val="tx1"/>
                  </w14:solidFill>
                </w14:textFill>
              </w:rPr>
              <w:t>紧急情况的处理措施、预案以及抵抗风险的措施</w:t>
            </w:r>
          </w:p>
        </w:tc>
        <w:tc>
          <w:tcPr>
            <w:tcW w:w="871" w:type="dxa"/>
            <w:vMerge w:val="restart"/>
            <w:vAlign w:val="center"/>
          </w:tcPr>
          <w:p w14:paraId="123D0B7B">
            <w:pPr>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5</w:t>
            </w:r>
          </w:p>
        </w:tc>
        <w:tc>
          <w:tcPr>
            <w:tcW w:w="4068" w:type="dxa"/>
            <w:vAlign w:val="center"/>
          </w:tcPr>
          <w:p w14:paraId="4AEE2774">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bCs/>
                <w:color w:val="000000" w:themeColor="text1"/>
                <w:szCs w:val="21"/>
                <w:highlight w:val="none"/>
                <w14:textFill>
                  <w14:solidFill>
                    <w14:schemeClr w14:val="tx1"/>
                  </w14:solidFill>
                </w14:textFill>
              </w:rPr>
              <w:t>措施</w:t>
            </w:r>
            <w:r>
              <w:rPr>
                <w:rFonts w:hint="eastAsia" w:ascii="Arial" w:hAnsi="Arial" w:cs="Arial"/>
                <w:bCs/>
                <w:color w:val="000000" w:themeColor="text1"/>
                <w:szCs w:val="21"/>
                <w:highlight w:val="none"/>
                <w14:textFill>
                  <w14:solidFill>
                    <w14:schemeClr w14:val="tx1"/>
                  </w14:solidFill>
                </w14:textFill>
              </w:rPr>
              <w:t>及</w:t>
            </w:r>
            <w:r>
              <w:rPr>
                <w:rFonts w:ascii="Arial" w:hAnsi="Arial" w:cs="Arial"/>
                <w:color w:val="000000" w:themeColor="text1"/>
                <w:szCs w:val="21"/>
                <w:highlight w:val="none"/>
                <w14:textFill>
                  <w14:solidFill>
                    <w14:schemeClr w14:val="tx1"/>
                  </w14:solidFill>
                </w14:textFill>
              </w:rPr>
              <w:t>方案</w:t>
            </w:r>
            <w:r>
              <w:rPr>
                <w:rFonts w:hint="eastAsia" w:ascii="Arial" w:hAnsi="Arial" w:cs="Arial"/>
                <w:color w:val="000000" w:themeColor="text1"/>
                <w:szCs w:val="21"/>
                <w:highlight w:val="none"/>
                <w14:textFill>
                  <w14:solidFill>
                    <w14:schemeClr w14:val="tx1"/>
                  </w14:solidFill>
                </w14:textFill>
              </w:rPr>
              <w:t>合理</w:t>
            </w:r>
          </w:p>
        </w:tc>
        <w:tc>
          <w:tcPr>
            <w:tcW w:w="1110" w:type="dxa"/>
            <w:tcBorders>
              <w:right w:val="single" w:color="auto" w:sz="4" w:space="0"/>
            </w:tcBorders>
            <w:vAlign w:val="center"/>
          </w:tcPr>
          <w:p w14:paraId="2D6C68B4">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5</w:t>
            </w:r>
          </w:p>
        </w:tc>
        <w:tc>
          <w:tcPr>
            <w:tcW w:w="1139" w:type="dxa"/>
            <w:vMerge w:val="restart"/>
            <w:tcBorders>
              <w:left w:val="single" w:color="auto" w:sz="4" w:space="0"/>
            </w:tcBorders>
            <w:vAlign w:val="center"/>
          </w:tcPr>
          <w:p w14:paraId="32F999E2">
            <w:pPr>
              <w:spacing w:line="240" w:lineRule="atLeast"/>
              <w:rPr>
                <w:rFonts w:ascii="Arial" w:hAnsi="Arial" w:cs="Arial"/>
                <w:color w:val="000000" w:themeColor="text1"/>
                <w:szCs w:val="21"/>
                <w:highlight w:val="none"/>
                <w14:textFill>
                  <w14:solidFill>
                    <w14:schemeClr w14:val="tx1"/>
                  </w14:solidFill>
                </w14:textFill>
              </w:rPr>
            </w:pPr>
          </w:p>
        </w:tc>
      </w:tr>
      <w:tr w14:paraId="7DFA045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5A7B8B2A">
            <w:pPr>
              <w:jc w:val="center"/>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5096B81A">
            <w:pPr>
              <w:rPr>
                <w:rFonts w:ascii="Arial" w:hAnsi="Arial" w:cs="Arial"/>
                <w:bCs/>
                <w:color w:val="000000" w:themeColor="text1"/>
                <w:szCs w:val="21"/>
                <w:highlight w:val="none"/>
                <w14:textFill>
                  <w14:solidFill>
                    <w14:schemeClr w14:val="tx1"/>
                  </w14:solidFill>
                </w14:textFill>
              </w:rPr>
            </w:pPr>
          </w:p>
        </w:tc>
        <w:tc>
          <w:tcPr>
            <w:tcW w:w="871" w:type="dxa"/>
            <w:vMerge w:val="continue"/>
            <w:vAlign w:val="center"/>
          </w:tcPr>
          <w:p w14:paraId="4121A239">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42594A4F">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bCs/>
                <w:color w:val="000000" w:themeColor="text1"/>
                <w:szCs w:val="21"/>
                <w:highlight w:val="none"/>
                <w14:textFill>
                  <w14:solidFill>
                    <w14:schemeClr w14:val="tx1"/>
                  </w14:solidFill>
                </w14:textFill>
              </w:rPr>
              <w:t>措施</w:t>
            </w:r>
            <w:r>
              <w:rPr>
                <w:rFonts w:hint="eastAsia" w:ascii="Arial" w:hAnsi="Arial" w:cs="Arial"/>
                <w:bCs/>
                <w:color w:val="000000" w:themeColor="text1"/>
                <w:szCs w:val="21"/>
                <w:highlight w:val="none"/>
                <w14:textFill>
                  <w14:solidFill>
                    <w14:schemeClr w14:val="tx1"/>
                  </w14:solidFill>
                </w14:textFill>
              </w:rPr>
              <w:t>及</w:t>
            </w:r>
            <w:r>
              <w:rPr>
                <w:rFonts w:ascii="Arial" w:hAnsi="Arial" w:cs="Arial"/>
                <w:color w:val="000000" w:themeColor="text1"/>
                <w:szCs w:val="21"/>
                <w:highlight w:val="none"/>
                <w14:textFill>
                  <w14:solidFill>
                    <w14:schemeClr w14:val="tx1"/>
                  </w14:solidFill>
                </w14:textFill>
              </w:rPr>
              <w:t>方案</w:t>
            </w:r>
            <w:r>
              <w:rPr>
                <w:rFonts w:hint="eastAsia" w:ascii="Arial" w:hAnsi="Arial" w:cs="Arial"/>
                <w:color w:val="000000" w:themeColor="text1"/>
                <w:szCs w:val="21"/>
                <w:highlight w:val="none"/>
                <w14:textFill>
                  <w14:solidFill>
                    <w14:schemeClr w14:val="tx1"/>
                  </w14:solidFill>
                </w14:textFill>
              </w:rPr>
              <w:t>较合理</w:t>
            </w:r>
          </w:p>
        </w:tc>
        <w:tc>
          <w:tcPr>
            <w:tcW w:w="1110" w:type="dxa"/>
            <w:tcBorders>
              <w:right w:val="single" w:color="auto" w:sz="4" w:space="0"/>
            </w:tcBorders>
            <w:vAlign w:val="center"/>
          </w:tcPr>
          <w:p w14:paraId="76849E39">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2</w:t>
            </w:r>
          </w:p>
        </w:tc>
        <w:tc>
          <w:tcPr>
            <w:tcW w:w="1139" w:type="dxa"/>
            <w:vMerge w:val="continue"/>
            <w:tcBorders>
              <w:left w:val="single" w:color="auto" w:sz="4" w:space="0"/>
            </w:tcBorders>
            <w:vAlign w:val="center"/>
          </w:tcPr>
          <w:p w14:paraId="58B6F5A1">
            <w:pPr>
              <w:spacing w:line="240" w:lineRule="atLeast"/>
              <w:rPr>
                <w:rFonts w:ascii="Arial" w:hAnsi="Arial" w:cs="Arial"/>
                <w:color w:val="000000" w:themeColor="text1"/>
                <w:szCs w:val="21"/>
                <w:highlight w:val="none"/>
                <w14:textFill>
                  <w14:solidFill>
                    <w14:schemeClr w14:val="tx1"/>
                  </w14:solidFill>
                </w14:textFill>
              </w:rPr>
            </w:pPr>
          </w:p>
        </w:tc>
      </w:tr>
      <w:tr w14:paraId="38CA031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772" w:type="dxa"/>
            <w:vMerge w:val="continue"/>
            <w:vAlign w:val="center"/>
          </w:tcPr>
          <w:p w14:paraId="7B8487AA">
            <w:pPr>
              <w:jc w:val="center"/>
              <w:rPr>
                <w:rFonts w:ascii="Arial" w:hAnsi="Arial" w:cs="Arial"/>
                <w:color w:val="000000" w:themeColor="text1"/>
                <w:szCs w:val="21"/>
                <w:highlight w:val="none"/>
                <w14:textFill>
                  <w14:solidFill>
                    <w14:schemeClr w14:val="tx1"/>
                  </w14:solidFill>
                </w14:textFill>
              </w:rPr>
            </w:pPr>
          </w:p>
        </w:tc>
        <w:tc>
          <w:tcPr>
            <w:tcW w:w="1593" w:type="dxa"/>
            <w:vMerge w:val="continue"/>
            <w:vAlign w:val="center"/>
          </w:tcPr>
          <w:p w14:paraId="265588DC">
            <w:pPr>
              <w:rPr>
                <w:rFonts w:ascii="Arial" w:hAnsi="Arial" w:cs="Arial"/>
                <w:color w:val="000000" w:themeColor="text1"/>
                <w:szCs w:val="21"/>
                <w:highlight w:val="none"/>
                <w14:textFill>
                  <w14:solidFill>
                    <w14:schemeClr w14:val="tx1"/>
                  </w14:solidFill>
                </w14:textFill>
              </w:rPr>
            </w:pPr>
          </w:p>
        </w:tc>
        <w:tc>
          <w:tcPr>
            <w:tcW w:w="871" w:type="dxa"/>
            <w:vMerge w:val="continue"/>
            <w:vAlign w:val="center"/>
          </w:tcPr>
          <w:p w14:paraId="3A701C64">
            <w:pPr>
              <w:jc w:val="center"/>
              <w:rPr>
                <w:rFonts w:ascii="Arial" w:hAnsi="Arial" w:cs="Arial"/>
                <w:color w:val="000000" w:themeColor="text1"/>
                <w:szCs w:val="21"/>
                <w:highlight w:val="none"/>
                <w14:textFill>
                  <w14:solidFill>
                    <w14:schemeClr w14:val="tx1"/>
                  </w14:solidFill>
                </w14:textFill>
              </w:rPr>
            </w:pPr>
          </w:p>
        </w:tc>
        <w:tc>
          <w:tcPr>
            <w:tcW w:w="4068" w:type="dxa"/>
            <w:vAlign w:val="center"/>
          </w:tcPr>
          <w:p w14:paraId="79FDF234">
            <w:pPr>
              <w:spacing w:line="240" w:lineRule="atLeast"/>
              <w:rPr>
                <w:rFonts w:ascii="Arial" w:hAnsi="Arial" w:cs="Arial"/>
                <w:color w:val="000000" w:themeColor="text1"/>
                <w:szCs w:val="21"/>
                <w:highlight w:val="none"/>
                <w14:textFill>
                  <w14:solidFill>
                    <w14:schemeClr w14:val="tx1"/>
                  </w14:solidFill>
                </w14:textFill>
              </w:rPr>
            </w:pPr>
            <w:r>
              <w:rPr>
                <w:rFonts w:ascii="Arial" w:hAnsi="Arial" w:cs="Arial"/>
                <w:bCs/>
                <w:color w:val="000000" w:themeColor="text1"/>
                <w:szCs w:val="21"/>
                <w:highlight w:val="none"/>
                <w14:textFill>
                  <w14:solidFill>
                    <w14:schemeClr w14:val="tx1"/>
                  </w14:solidFill>
                </w14:textFill>
              </w:rPr>
              <w:t>措施</w:t>
            </w:r>
            <w:r>
              <w:rPr>
                <w:rFonts w:hint="eastAsia" w:ascii="Arial" w:hAnsi="Arial" w:cs="Arial"/>
                <w:bCs/>
                <w:color w:val="000000" w:themeColor="text1"/>
                <w:szCs w:val="21"/>
                <w:highlight w:val="none"/>
                <w14:textFill>
                  <w14:solidFill>
                    <w14:schemeClr w14:val="tx1"/>
                  </w14:solidFill>
                </w14:textFill>
              </w:rPr>
              <w:t>及</w:t>
            </w:r>
            <w:r>
              <w:rPr>
                <w:rFonts w:ascii="Arial" w:hAnsi="Arial" w:cs="Arial"/>
                <w:color w:val="000000" w:themeColor="text1"/>
                <w:szCs w:val="21"/>
                <w:highlight w:val="none"/>
                <w14:textFill>
                  <w14:solidFill>
                    <w14:schemeClr w14:val="tx1"/>
                  </w14:solidFill>
                </w14:textFill>
              </w:rPr>
              <w:t>方案</w:t>
            </w:r>
            <w:r>
              <w:rPr>
                <w:rFonts w:hint="eastAsia" w:ascii="Arial" w:hAnsi="Arial" w:cs="Arial"/>
                <w:color w:val="000000" w:themeColor="text1"/>
                <w:szCs w:val="21"/>
                <w:highlight w:val="none"/>
                <w14:textFill>
                  <w14:solidFill>
                    <w14:schemeClr w14:val="tx1"/>
                  </w14:solidFill>
                </w14:textFill>
              </w:rPr>
              <w:t>较差</w:t>
            </w:r>
          </w:p>
        </w:tc>
        <w:tc>
          <w:tcPr>
            <w:tcW w:w="1110" w:type="dxa"/>
            <w:tcBorders>
              <w:right w:val="single" w:color="auto" w:sz="4" w:space="0"/>
            </w:tcBorders>
            <w:vAlign w:val="center"/>
          </w:tcPr>
          <w:p w14:paraId="1E41B8D7">
            <w:pPr>
              <w:spacing w:line="240" w:lineRule="atLeast"/>
              <w:jc w:val="center"/>
              <w:rPr>
                <w:rFonts w:ascii="Arial" w:hAnsi="Arial" w:cs="Arial"/>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1</w:t>
            </w:r>
          </w:p>
        </w:tc>
        <w:tc>
          <w:tcPr>
            <w:tcW w:w="1139" w:type="dxa"/>
            <w:vMerge w:val="continue"/>
            <w:tcBorders>
              <w:left w:val="single" w:color="auto" w:sz="4" w:space="0"/>
            </w:tcBorders>
            <w:vAlign w:val="center"/>
          </w:tcPr>
          <w:p w14:paraId="5A5CE4FF">
            <w:pPr>
              <w:spacing w:line="240" w:lineRule="atLeast"/>
              <w:rPr>
                <w:rFonts w:ascii="Arial" w:hAnsi="Arial" w:cs="Arial"/>
                <w:color w:val="000000" w:themeColor="text1"/>
                <w:szCs w:val="21"/>
                <w:highlight w:val="none"/>
                <w14:textFill>
                  <w14:solidFill>
                    <w14:schemeClr w14:val="tx1"/>
                  </w14:solidFill>
                </w14:textFill>
              </w:rPr>
            </w:pPr>
          </w:p>
        </w:tc>
      </w:tr>
      <w:tr w14:paraId="7A1824E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21" w:hRule="atLeast"/>
          <w:jc w:val="center"/>
        </w:trPr>
        <w:tc>
          <w:tcPr>
            <w:tcW w:w="7304" w:type="dxa"/>
            <w:gridSpan w:val="4"/>
            <w:vAlign w:val="center"/>
          </w:tcPr>
          <w:p w14:paraId="38E69919">
            <w:pPr>
              <w:jc w:val="center"/>
              <w:rPr>
                <w:rFonts w:ascii="Arial" w:hAnsi="Arial" w:cs="宋体"/>
                <w:color w:val="000000" w:themeColor="text1"/>
                <w:szCs w:val="21"/>
                <w:highlight w:val="none"/>
                <w14:textFill>
                  <w14:solidFill>
                    <w14:schemeClr w14:val="tx1"/>
                  </w14:solidFill>
                </w14:textFill>
              </w:rPr>
            </w:pPr>
            <w:r>
              <w:rPr>
                <w:rFonts w:hint="eastAsia" w:ascii="Arial" w:hAnsi="Arial" w:cs="Arial"/>
                <w:color w:val="000000" w:themeColor="text1"/>
                <w:szCs w:val="21"/>
                <w:highlight w:val="none"/>
                <w14:textFill>
                  <w14:solidFill>
                    <w14:schemeClr w14:val="tx1"/>
                  </w14:solidFill>
                </w14:textFill>
              </w:rPr>
              <w:t>合 计（100）</w:t>
            </w:r>
          </w:p>
        </w:tc>
        <w:tc>
          <w:tcPr>
            <w:tcW w:w="2249" w:type="dxa"/>
            <w:gridSpan w:val="2"/>
            <w:vAlign w:val="center"/>
          </w:tcPr>
          <w:p w14:paraId="018C2FF3">
            <w:pPr>
              <w:jc w:val="center"/>
              <w:rPr>
                <w:rFonts w:ascii="Arial" w:hAnsi="Arial" w:cs="Arial"/>
                <w:bCs/>
                <w:color w:val="000000" w:themeColor="text1"/>
                <w:szCs w:val="21"/>
                <w:highlight w:val="none"/>
                <w14:textFill>
                  <w14:solidFill>
                    <w14:schemeClr w14:val="tx1"/>
                  </w14:solidFill>
                </w14:textFill>
              </w:rPr>
            </w:pPr>
          </w:p>
        </w:tc>
      </w:tr>
    </w:tbl>
    <w:p w14:paraId="0B4D0239">
      <w:pPr>
        <w:snapToGrid w:val="0"/>
        <w:rPr>
          <w:color w:val="000000" w:themeColor="text1"/>
          <w:sz w:val="24"/>
          <w:highlight w:val="none"/>
          <w14:textFill>
            <w14:solidFill>
              <w14:schemeClr w14:val="tx1"/>
            </w14:solidFill>
          </w14:textFill>
        </w:rPr>
      </w:pPr>
      <w:r>
        <w:rPr>
          <w:color w:val="000000" w:themeColor="text1"/>
          <w:highlight w:val="none"/>
          <w14:textFill>
            <w14:solidFill>
              <w14:schemeClr w14:val="tx1"/>
            </w14:solidFill>
          </w14:textFill>
        </w:rPr>
        <w:br w:type="page"/>
      </w:r>
      <w:r>
        <w:rPr>
          <w:rFonts w:hAnsi="宋体"/>
          <w:color w:val="000000" w:themeColor="text1"/>
          <w:sz w:val="24"/>
          <w:highlight w:val="none"/>
          <w14:textFill>
            <w14:solidFill>
              <w14:schemeClr w14:val="tx1"/>
            </w14:solidFill>
          </w14:textFill>
        </w:rPr>
        <w:t>附表</w:t>
      </w:r>
      <w:r>
        <w:rPr>
          <w:rFonts w:hint="eastAsia" w:hAnsi="宋体"/>
          <w:color w:val="000000" w:themeColor="text1"/>
          <w:sz w:val="24"/>
          <w:highlight w:val="none"/>
          <w14:textFill>
            <w14:solidFill>
              <w14:schemeClr w14:val="tx1"/>
            </w14:solidFill>
          </w14:textFill>
        </w:rPr>
        <w:t>3</w:t>
      </w:r>
    </w:p>
    <w:p w14:paraId="245B023A">
      <w:pPr>
        <w:pStyle w:val="8"/>
        <w:spacing w:line="360" w:lineRule="auto"/>
        <w:ind w:firstLine="482"/>
        <w:jc w:val="center"/>
        <w:rPr>
          <w:rFonts w:hint="eastAsia" w:hAnsi="宋体"/>
          <w:b/>
          <w:color w:val="000000" w:themeColor="text1"/>
          <w:sz w:val="24"/>
          <w:highlight w:val="none"/>
          <w14:textFill>
            <w14:solidFill>
              <w14:schemeClr w14:val="tx1"/>
            </w14:solidFill>
          </w14:textFill>
        </w:rPr>
      </w:pPr>
      <w:r>
        <w:rPr>
          <w:rFonts w:hAnsi="宋体"/>
          <w:b/>
          <w:color w:val="000000" w:themeColor="text1"/>
          <w:sz w:val="24"/>
          <w:highlight w:val="none"/>
          <w14:textFill>
            <w14:solidFill>
              <w14:schemeClr w14:val="tx1"/>
            </w14:solidFill>
          </w14:textFill>
        </w:rPr>
        <w:t>经济</w:t>
      </w:r>
      <w:r>
        <w:rPr>
          <w:rFonts w:hint="eastAsia" w:hAnsi="宋体"/>
          <w:b/>
          <w:color w:val="000000" w:themeColor="text1"/>
          <w:sz w:val="24"/>
          <w:highlight w:val="none"/>
          <w14:textFill>
            <w14:solidFill>
              <w14:schemeClr w14:val="tx1"/>
            </w14:solidFill>
          </w14:textFill>
        </w:rPr>
        <w:t>报价</w:t>
      </w:r>
      <w:r>
        <w:rPr>
          <w:rFonts w:hAnsi="宋体"/>
          <w:b/>
          <w:color w:val="000000" w:themeColor="text1"/>
          <w:sz w:val="24"/>
          <w:highlight w:val="none"/>
          <w14:textFill>
            <w14:solidFill>
              <w14:schemeClr w14:val="tx1"/>
            </w14:solidFill>
          </w14:textFill>
        </w:rPr>
        <w:t>评分表</w:t>
      </w:r>
    </w:p>
    <w:p w14:paraId="5271236A">
      <w:pPr>
        <w:spacing w:line="360" w:lineRule="auto"/>
        <w:rPr>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响应单位名称：</w:t>
      </w:r>
    </w:p>
    <w:tbl>
      <w:tblPr>
        <w:tblStyle w:val="31"/>
        <w:tblW w:w="90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0"/>
        <w:gridCol w:w="1365"/>
        <w:gridCol w:w="2730"/>
        <w:gridCol w:w="1260"/>
        <w:gridCol w:w="2205"/>
      </w:tblGrid>
      <w:tr w14:paraId="50B18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Align w:val="center"/>
          </w:tcPr>
          <w:p w14:paraId="59688A20">
            <w:pPr>
              <w:spacing w:line="360" w:lineRule="auto"/>
              <w:jc w:val="cente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项目</w:t>
            </w:r>
          </w:p>
        </w:tc>
        <w:tc>
          <w:tcPr>
            <w:tcW w:w="1365" w:type="dxa"/>
            <w:vAlign w:val="center"/>
          </w:tcPr>
          <w:p w14:paraId="1A87C7B1">
            <w:pPr>
              <w:spacing w:line="360" w:lineRule="auto"/>
              <w:jc w:val="cente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满分</w:t>
            </w:r>
          </w:p>
        </w:tc>
        <w:tc>
          <w:tcPr>
            <w:tcW w:w="2730" w:type="dxa"/>
            <w:vAlign w:val="center"/>
          </w:tcPr>
          <w:p w14:paraId="66049183">
            <w:pPr>
              <w:spacing w:line="360" w:lineRule="auto"/>
              <w:jc w:val="center"/>
              <w:rPr>
                <w:rFonts w:ascii="Arial" w:hAnsi="Arial" w:cs="Arial"/>
                <w:bCs/>
                <w:color w:val="000000" w:themeColor="text1"/>
                <w:szCs w:val="21"/>
                <w:highlight w:val="none"/>
                <w14:textFill>
                  <w14:solidFill>
                    <w14:schemeClr w14:val="tx1"/>
                  </w14:solidFill>
                </w14:textFill>
              </w:rPr>
            </w:pPr>
            <w:r>
              <w:rPr>
                <w:rFonts w:ascii="Arial" w:hAnsi="Arial" w:cs="Arial"/>
                <w:bCs/>
                <w:color w:val="000000" w:themeColor="text1"/>
                <w:szCs w:val="21"/>
                <w:highlight w:val="none"/>
                <w14:textFill>
                  <w14:solidFill>
                    <w14:schemeClr w14:val="tx1"/>
                  </w14:solidFill>
                </w14:textFill>
              </w:rPr>
              <w:t>β</w:t>
            </w:r>
            <w:r>
              <w:rPr>
                <w:rFonts w:hint="eastAsia" w:ascii="Arial" w:hAnsi="Arial" w:cs="Arial"/>
                <w:bCs/>
                <w:color w:val="000000" w:themeColor="text1"/>
                <w:szCs w:val="21"/>
                <w:highlight w:val="none"/>
                <w14:textFill>
                  <w14:solidFill>
                    <w14:schemeClr w14:val="tx1"/>
                  </w14:solidFill>
                </w14:textFill>
              </w:rPr>
              <w:t>值分布</w:t>
            </w:r>
          </w:p>
        </w:tc>
        <w:tc>
          <w:tcPr>
            <w:tcW w:w="1260" w:type="dxa"/>
            <w:vAlign w:val="center"/>
          </w:tcPr>
          <w:p w14:paraId="584F41FA">
            <w:pPr>
              <w:spacing w:line="360" w:lineRule="auto"/>
              <w:jc w:val="cente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分值</w:t>
            </w:r>
          </w:p>
        </w:tc>
        <w:tc>
          <w:tcPr>
            <w:tcW w:w="2205" w:type="dxa"/>
            <w:vAlign w:val="center"/>
          </w:tcPr>
          <w:p w14:paraId="73A30988">
            <w:pPr>
              <w:spacing w:line="360" w:lineRule="auto"/>
              <w:jc w:val="cente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备注</w:t>
            </w:r>
          </w:p>
        </w:tc>
      </w:tr>
      <w:tr w14:paraId="1501E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restart"/>
            <w:vAlign w:val="center"/>
          </w:tcPr>
          <w:p w14:paraId="469FCB0B">
            <w:pPr>
              <w:jc w:val="cente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评审价</w:t>
            </w:r>
          </w:p>
        </w:tc>
        <w:tc>
          <w:tcPr>
            <w:tcW w:w="1365" w:type="dxa"/>
            <w:vMerge w:val="restart"/>
            <w:vAlign w:val="center"/>
          </w:tcPr>
          <w:p w14:paraId="7B3D3311">
            <w:pPr>
              <w:jc w:val="cente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100</w:t>
            </w:r>
          </w:p>
        </w:tc>
        <w:tc>
          <w:tcPr>
            <w:tcW w:w="2730" w:type="dxa"/>
            <w:vAlign w:val="center"/>
          </w:tcPr>
          <w:p w14:paraId="75DD1DB7">
            <w:pP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0</w:t>
            </w:r>
            <w:r>
              <w:rPr>
                <w:rFonts w:ascii="Arial" w:hAnsi="Arial" w:cs="Arial"/>
                <w:bCs/>
                <w:color w:val="000000" w:themeColor="text1"/>
                <w:szCs w:val="21"/>
                <w:highlight w:val="none"/>
                <w14:textFill>
                  <w14:solidFill>
                    <w14:schemeClr w14:val="tx1"/>
                  </w14:solidFill>
                </w14:textFill>
              </w:rPr>
              <w:t>%</w:t>
            </w:r>
          </w:p>
        </w:tc>
        <w:tc>
          <w:tcPr>
            <w:tcW w:w="1260" w:type="dxa"/>
            <w:vAlign w:val="center"/>
          </w:tcPr>
          <w:p w14:paraId="3EC9F023">
            <w:pPr>
              <w:jc w:val="cente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100</w:t>
            </w:r>
          </w:p>
        </w:tc>
        <w:tc>
          <w:tcPr>
            <w:tcW w:w="2205" w:type="dxa"/>
            <w:vMerge w:val="restart"/>
            <w:vAlign w:val="center"/>
          </w:tcPr>
          <w:p w14:paraId="640E55E4">
            <w:pP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等于基准价的报价得分为100，</w:t>
            </w:r>
            <w:r>
              <w:rPr>
                <w:rFonts w:hint="eastAsia" w:hAnsi="宋体"/>
                <w:color w:val="000000" w:themeColor="text1"/>
                <w:szCs w:val="21"/>
                <w:highlight w:val="none"/>
                <w14:textFill>
                  <w14:solidFill>
                    <w14:schemeClr w14:val="tx1"/>
                  </w14:solidFill>
                </w14:textFill>
              </w:rPr>
              <w:t>每高于基准价最优值区间</w:t>
            </w:r>
            <w:r>
              <w:rPr>
                <w:color w:val="000000" w:themeColor="text1"/>
                <w:szCs w:val="21"/>
                <w:highlight w:val="none"/>
                <w14:textFill>
                  <w14:solidFill>
                    <w14:schemeClr w14:val="tx1"/>
                  </w14:solidFill>
                </w14:textFill>
              </w:rPr>
              <w:t>1%</w:t>
            </w:r>
            <w:r>
              <w:rPr>
                <w:rFonts w:hint="eastAsia"/>
                <w:color w:val="000000" w:themeColor="text1"/>
                <w:szCs w:val="21"/>
                <w:highlight w:val="none"/>
                <w14:textFill>
                  <w14:solidFill>
                    <w14:schemeClr w14:val="tx1"/>
                  </w14:solidFill>
                </w14:textFill>
              </w:rPr>
              <w:t>扣5分，以此类推等比扣减，扣完为止。</w:t>
            </w:r>
          </w:p>
        </w:tc>
      </w:tr>
      <w:tr w14:paraId="2D662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0583FAE8">
            <w:pPr>
              <w:rPr>
                <w:rFonts w:ascii="Arial" w:hAnsi="Arial" w:cs="Arial"/>
                <w:bCs/>
                <w:color w:val="000000" w:themeColor="text1"/>
                <w:szCs w:val="21"/>
                <w:highlight w:val="none"/>
                <w14:textFill>
                  <w14:solidFill>
                    <w14:schemeClr w14:val="tx1"/>
                  </w14:solidFill>
                </w14:textFill>
              </w:rPr>
            </w:pPr>
          </w:p>
        </w:tc>
        <w:tc>
          <w:tcPr>
            <w:tcW w:w="1365" w:type="dxa"/>
            <w:vMerge w:val="continue"/>
          </w:tcPr>
          <w:p w14:paraId="333D5A78">
            <w:pPr>
              <w:rPr>
                <w:rFonts w:ascii="Arial" w:hAnsi="Arial" w:cs="Arial"/>
                <w:bCs/>
                <w:color w:val="000000" w:themeColor="text1"/>
                <w:szCs w:val="21"/>
                <w:highlight w:val="none"/>
                <w14:textFill>
                  <w14:solidFill>
                    <w14:schemeClr w14:val="tx1"/>
                  </w14:solidFill>
                </w14:textFill>
              </w:rPr>
            </w:pPr>
          </w:p>
        </w:tc>
        <w:tc>
          <w:tcPr>
            <w:tcW w:w="2730" w:type="dxa"/>
            <w:vAlign w:val="center"/>
          </w:tcPr>
          <w:p w14:paraId="53C46C4F">
            <w:pP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1</w:t>
            </w:r>
            <w:r>
              <w:rPr>
                <w:rFonts w:ascii="Arial" w:hAnsi="Arial" w:cs="Arial"/>
                <w:bCs/>
                <w:color w:val="000000" w:themeColor="text1"/>
                <w:szCs w:val="21"/>
                <w:highlight w:val="none"/>
                <w14:textFill>
                  <w14:solidFill>
                    <w14:schemeClr w14:val="tx1"/>
                  </w14:solidFill>
                </w14:textFill>
              </w:rPr>
              <w:t>%</w:t>
            </w:r>
          </w:p>
        </w:tc>
        <w:tc>
          <w:tcPr>
            <w:tcW w:w="1260" w:type="dxa"/>
            <w:vAlign w:val="center"/>
          </w:tcPr>
          <w:p w14:paraId="317BEDD0">
            <w:pPr>
              <w:jc w:val="cente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95</w:t>
            </w:r>
          </w:p>
        </w:tc>
        <w:tc>
          <w:tcPr>
            <w:tcW w:w="2205" w:type="dxa"/>
            <w:vMerge w:val="continue"/>
            <w:vAlign w:val="center"/>
          </w:tcPr>
          <w:p w14:paraId="7A5F199A">
            <w:pPr>
              <w:jc w:val="center"/>
              <w:rPr>
                <w:rFonts w:ascii="Arial" w:hAnsi="Arial" w:cs="Arial"/>
                <w:bCs/>
                <w:color w:val="000000" w:themeColor="text1"/>
                <w:szCs w:val="21"/>
                <w:highlight w:val="none"/>
                <w14:textFill>
                  <w14:solidFill>
                    <w14:schemeClr w14:val="tx1"/>
                  </w14:solidFill>
                </w14:textFill>
              </w:rPr>
            </w:pPr>
          </w:p>
        </w:tc>
      </w:tr>
      <w:tr w14:paraId="3D80B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4433FDE4">
            <w:pPr>
              <w:rPr>
                <w:rFonts w:ascii="Arial" w:hAnsi="Arial" w:cs="Arial"/>
                <w:bCs/>
                <w:color w:val="000000" w:themeColor="text1"/>
                <w:szCs w:val="21"/>
                <w:highlight w:val="none"/>
                <w14:textFill>
                  <w14:solidFill>
                    <w14:schemeClr w14:val="tx1"/>
                  </w14:solidFill>
                </w14:textFill>
              </w:rPr>
            </w:pPr>
          </w:p>
        </w:tc>
        <w:tc>
          <w:tcPr>
            <w:tcW w:w="1365" w:type="dxa"/>
            <w:vMerge w:val="continue"/>
          </w:tcPr>
          <w:p w14:paraId="199FFE61">
            <w:pPr>
              <w:rPr>
                <w:rFonts w:ascii="Arial" w:hAnsi="Arial" w:cs="Arial"/>
                <w:bCs/>
                <w:color w:val="000000" w:themeColor="text1"/>
                <w:szCs w:val="21"/>
                <w:highlight w:val="none"/>
                <w14:textFill>
                  <w14:solidFill>
                    <w14:schemeClr w14:val="tx1"/>
                  </w14:solidFill>
                </w14:textFill>
              </w:rPr>
            </w:pPr>
          </w:p>
        </w:tc>
        <w:tc>
          <w:tcPr>
            <w:tcW w:w="2730" w:type="dxa"/>
            <w:vAlign w:val="center"/>
          </w:tcPr>
          <w:p w14:paraId="29EE8DF4">
            <w:pP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2</w:t>
            </w:r>
            <w:r>
              <w:rPr>
                <w:rFonts w:ascii="Arial" w:hAnsi="Arial" w:cs="Arial"/>
                <w:bCs/>
                <w:color w:val="000000" w:themeColor="text1"/>
                <w:szCs w:val="21"/>
                <w:highlight w:val="none"/>
                <w14:textFill>
                  <w14:solidFill>
                    <w14:schemeClr w14:val="tx1"/>
                  </w14:solidFill>
                </w14:textFill>
              </w:rPr>
              <w:t>%</w:t>
            </w:r>
          </w:p>
        </w:tc>
        <w:tc>
          <w:tcPr>
            <w:tcW w:w="1260" w:type="dxa"/>
            <w:vAlign w:val="center"/>
          </w:tcPr>
          <w:p w14:paraId="3FC8A4C1">
            <w:pPr>
              <w:jc w:val="cente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90</w:t>
            </w:r>
          </w:p>
        </w:tc>
        <w:tc>
          <w:tcPr>
            <w:tcW w:w="2205" w:type="dxa"/>
            <w:vMerge w:val="continue"/>
            <w:vAlign w:val="center"/>
          </w:tcPr>
          <w:p w14:paraId="0F655529">
            <w:pPr>
              <w:jc w:val="center"/>
              <w:rPr>
                <w:rFonts w:ascii="Arial" w:hAnsi="Arial" w:cs="Arial"/>
                <w:bCs/>
                <w:color w:val="000000" w:themeColor="text1"/>
                <w:szCs w:val="21"/>
                <w:highlight w:val="none"/>
                <w14:textFill>
                  <w14:solidFill>
                    <w14:schemeClr w14:val="tx1"/>
                  </w14:solidFill>
                </w14:textFill>
              </w:rPr>
            </w:pPr>
          </w:p>
        </w:tc>
      </w:tr>
      <w:tr w14:paraId="2E179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0F42D874">
            <w:pPr>
              <w:rPr>
                <w:rFonts w:ascii="Arial" w:hAnsi="Arial" w:cs="Arial"/>
                <w:bCs/>
                <w:color w:val="000000" w:themeColor="text1"/>
                <w:szCs w:val="21"/>
                <w:highlight w:val="none"/>
                <w14:textFill>
                  <w14:solidFill>
                    <w14:schemeClr w14:val="tx1"/>
                  </w14:solidFill>
                </w14:textFill>
              </w:rPr>
            </w:pPr>
          </w:p>
        </w:tc>
        <w:tc>
          <w:tcPr>
            <w:tcW w:w="1365" w:type="dxa"/>
            <w:vMerge w:val="continue"/>
          </w:tcPr>
          <w:p w14:paraId="12769064">
            <w:pPr>
              <w:rPr>
                <w:rFonts w:ascii="Arial" w:hAnsi="Arial" w:cs="Arial"/>
                <w:bCs/>
                <w:color w:val="000000" w:themeColor="text1"/>
                <w:szCs w:val="21"/>
                <w:highlight w:val="none"/>
                <w14:textFill>
                  <w14:solidFill>
                    <w14:schemeClr w14:val="tx1"/>
                  </w14:solidFill>
                </w14:textFill>
              </w:rPr>
            </w:pPr>
          </w:p>
        </w:tc>
        <w:tc>
          <w:tcPr>
            <w:tcW w:w="2730" w:type="dxa"/>
            <w:vAlign w:val="center"/>
          </w:tcPr>
          <w:p w14:paraId="698E1348">
            <w:pP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3</w:t>
            </w:r>
            <w:r>
              <w:rPr>
                <w:rFonts w:ascii="Arial" w:hAnsi="Arial" w:cs="Arial"/>
                <w:bCs/>
                <w:color w:val="000000" w:themeColor="text1"/>
                <w:szCs w:val="21"/>
                <w:highlight w:val="none"/>
                <w14:textFill>
                  <w14:solidFill>
                    <w14:schemeClr w14:val="tx1"/>
                  </w14:solidFill>
                </w14:textFill>
              </w:rPr>
              <w:t>%</w:t>
            </w:r>
          </w:p>
        </w:tc>
        <w:tc>
          <w:tcPr>
            <w:tcW w:w="1260" w:type="dxa"/>
            <w:vAlign w:val="center"/>
          </w:tcPr>
          <w:p w14:paraId="0A86B1E3">
            <w:pPr>
              <w:jc w:val="cente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85</w:t>
            </w:r>
          </w:p>
        </w:tc>
        <w:tc>
          <w:tcPr>
            <w:tcW w:w="2205" w:type="dxa"/>
            <w:vMerge w:val="continue"/>
            <w:vAlign w:val="center"/>
          </w:tcPr>
          <w:p w14:paraId="6C630730">
            <w:pPr>
              <w:jc w:val="center"/>
              <w:rPr>
                <w:rFonts w:ascii="Arial" w:hAnsi="Arial" w:cs="Arial"/>
                <w:bCs/>
                <w:color w:val="000000" w:themeColor="text1"/>
                <w:szCs w:val="21"/>
                <w:highlight w:val="none"/>
                <w14:textFill>
                  <w14:solidFill>
                    <w14:schemeClr w14:val="tx1"/>
                  </w14:solidFill>
                </w14:textFill>
              </w:rPr>
            </w:pPr>
          </w:p>
        </w:tc>
      </w:tr>
      <w:tr w14:paraId="29EC3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5B48C3D1">
            <w:pPr>
              <w:rPr>
                <w:rFonts w:ascii="Arial" w:hAnsi="Arial" w:cs="Arial"/>
                <w:bCs/>
                <w:color w:val="000000" w:themeColor="text1"/>
                <w:szCs w:val="21"/>
                <w:highlight w:val="none"/>
                <w14:textFill>
                  <w14:solidFill>
                    <w14:schemeClr w14:val="tx1"/>
                  </w14:solidFill>
                </w14:textFill>
              </w:rPr>
            </w:pPr>
          </w:p>
        </w:tc>
        <w:tc>
          <w:tcPr>
            <w:tcW w:w="1365" w:type="dxa"/>
            <w:vMerge w:val="continue"/>
          </w:tcPr>
          <w:p w14:paraId="118D0265">
            <w:pPr>
              <w:rPr>
                <w:rFonts w:ascii="Arial" w:hAnsi="Arial" w:cs="Arial"/>
                <w:bCs/>
                <w:color w:val="000000" w:themeColor="text1"/>
                <w:szCs w:val="21"/>
                <w:highlight w:val="none"/>
                <w14:textFill>
                  <w14:solidFill>
                    <w14:schemeClr w14:val="tx1"/>
                  </w14:solidFill>
                </w14:textFill>
              </w:rPr>
            </w:pPr>
          </w:p>
        </w:tc>
        <w:tc>
          <w:tcPr>
            <w:tcW w:w="2730" w:type="dxa"/>
            <w:vAlign w:val="center"/>
          </w:tcPr>
          <w:p w14:paraId="69A18B85">
            <w:pP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4</w:t>
            </w:r>
            <w:r>
              <w:rPr>
                <w:rFonts w:ascii="Arial" w:hAnsi="Arial" w:cs="Arial"/>
                <w:bCs/>
                <w:color w:val="000000" w:themeColor="text1"/>
                <w:szCs w:val="21"/>
                <w:highlight w:val="none"/>
                <w14:textFill>
                  <w14:solidFill>
                    <w14:schemeClr w14:val="tx1"/>
                  </w14:solidFill>
                </w14:textFill>
              </w:rPr>
              <w:t>%</w:t>
            </w:r>
          </w:p>
        </w:tc>
        <w:tc>
          <w:tcPr>
            <w:tcW w:w="1260" w:type="dxa"/>
            <w:vAlign w:val="center"/>
          </w:tcPr>
          <w:p w14:paraId="75725B4F">
            <w:pPr>
              <w:jc w:val="cente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80</w:t>
            </w:r>
          </w:p>
        </w:tc>
        <w:tc>
          <w:tcPr>
            <w:tcW w:w="2205" w:type="dxa"/>
            <w:vMerge w:val="continue"/>
            <w:vAlign w:val="center"/>
          </w:tcPr>
          <w:p w14:paraId="3F25D86A">
            <w:pPr>
              <w:jc w:val="center"/>
              <w:rPr>
                <w:rFonts w:ascii="Arial" w:hAnsi="Arial" w:cs="Arial"/>
                <w:bCs/>
                <w:color w:val="000000" w:themeColor="text1"/>
                <w:szCs w:val="21"/>
                <w:highlight w:val="none"/>
                <w14:textFill>
                  <w14:solidFill>
                    <w14:schemeClr w14:val="tx1"/>
                  </w14:solidFill>
                </w14:textFill>
              </w:rPr>
            </w:pPr>
          </w:p>
        </w:tc>
      </w:tr>
      <w:tr w14:paraId="608D7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662B05CB">
            <w:pPr>
              <w:rPr>
                <w:rFonts w:ascii="Arial" w:hAnsi="Arial" w:cs="Arial"/>
                <w:bCs/>
                <w:color w:val="000000" w:themeColor="text1"/>
                <w:szCs w:val="21"/>
                <w:highlight w:val="none"/>
                <w14:textFill>
                  <w14:solidFill>
                    <w14:schemeClr w14:val="tx1"/>
                  </w14:solidFill>
                </w14:textFill>
              </w:rPr>
            </w:pPr>
          </w:p>
        </w:tc>
        <w:tc>
          <w:tcPr>
            <w:tcW w:w="1365" w:type="dxa"/>
            <w:vMerge w:val="continue"/>
          </w:tcPr>
          <w:p w14:paraId="1B8A3682">
            <w:pPr>
              <w:rPr>
                <w:rFonts w:ascii="Arial" w:hAnsi="Arial" w:cs="Arial"/>
                <w:bCs/>
                <w:color w:val="000000" w:themeColor="text1"/>
                <w:szCs w:val="21"/>
                <w:highlight w:val="none"/>
                <w14:textFill>
                  <w14:solidFill>
                    <w14:schemeClr w14:val="tx1"/>
                  </w14:solidFill>
                </w14:textFill>
              </w:rPr>
            </w:pPr>
          </w:p>
        </w:tc>
        <w:tc>
          <w:tcPr>
            <w:tcW w:w="2730" w:type="dxa"/>
            <w:vAlign w:val="center"/>
          </w:tcPr>
          <w:p w14:paraId="2059D313">
            <w:pP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5</w:t>
            </w:r>
            <w:r>
              <w:rPr>
                <w:rFonts w:ascii="Arial" w:hAnsi="Arial" w:cs="Arial"/>
                <w:bCs/>
                <w:color w:val="000000" w:themeColor="text1"/>
                <w:szCs w:val="21"/>
                <w:highlight w:val="none"/>
                <w14:textFill>
                  <w14:solidFill>
                    <w14:schemeClr w14:val="tx1"/>
                  </w14:solidFill>
                </w14:textFill>
              </w:rPr>
              <w:t>%</w:t>
            </w:r>
          </w:p>
        </w:tc>
        <w:tc>
          <w:tcPr>
            <w:tcW w:w="1260" w:type="dxa"/>
            <w:vAlign w:val="center"/>
          </w:tcPr>
          <w:p w14:paraId="31033C12">
            <w:pPr>
              <w:jc w:val="cente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75</w:t>
            </w:r>
          </w:p>
        </w:tc>
        <w:tc>
          <w:tcPr>
            <w:tcW w:w="2205" w:type="dxa"/>
            <w:vMerge w:val="continue"/>
            <w:vAlign w:val="center"/>
          </w:tcPr>
          <w:p w14:paraId="642452E8">
            <w:pPr>
              <w:jc w:val="center"/>
              <w:rPr>
                <w:rFonts w:ascii="Arial" w:hAnsi="Arial" w:cs="Arial"/>
                <w:bCs/>
                <w:color w:val="000000" w:themeColor="text1"/>
                <w:szCs w:val="21"/>
                <w:highlight w:val="none"/>
                <w14:textFill>
                  <w14:solidFill>
                    <w14:schemeClr w14:val="tx1"/>
                  </w14:solidFill>
                </w14:textFill>
              </w:rPr>
            </w:pPr>
          </w:p>
        </w:tc>
      </w:tr>
      <w:tr w14:paraId="1A3BE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Merge w:val="continue"/>
          </w:tcPr>
          <w:p w14:paraId="2EE85C04">
            <w:pPr>
              <w:rPr>
                <w:rFonts w:ascii="Arial" w:hAnsi="Arial" w:cs="Arial"/>
                <w:bCs/>
                <w:color w:val="000000" w:themeColor="text1"/>
                <w:szCs w:val="21"/>
                <w:highlight w:val="none"/>
                <w14:textFill>
                  <w14:solidFill>
                    <w14:schemeClr w14:val="tx1"/>
                  </w14:solidFill>
                </w14:textFill>
              </w:rPr>
            </w:pPr>
          </w:p>
        </w:tc>
        <w:tc>
          <w:tcPr>
            <w:tcW w:w="1365" w:type="dxa"/>
            <w:vMerge w:val="continue"/>
          </w:tcPr>
          <w:p w14:paraId="231EDEB2">
            <w:pPr>
              <w:rPr>
                <w:rFonts w:ascii="Arial" w:hAnsi="Arial" w:cs="Arial"/>
                <w:bCs/>
                <w:color w:val="000000" w:themeColor="text1"/>
                <w:szCs w:val="21"/>
                <w:highlight w:val="none"/>
                <w14:textFill>
                  <w14:solidFill>
                    <w14:schemeClr w14:val="tx1"/>
                  </w14:solidFill>
                </w14:textFill>
              </w:rPr>
            </w:pPr>
          </w:p>
        </w:tc>
        <w:tc>
          <w:tcPr>
            <w:tcW w:w="2730" w:type="dxa"/>
            <w:vAlign w:val="center"/>
          </w:tcPr>
          <w:p w14:paraId="725212F3">
            <w:pPr>
              <w:rPr>
                <w:rFonts w:ascii="Arial" w:hAnsi="Arial" w:cs="Arial"/>
                <w:bCs/>
                <w:color w:val="000000" w:themeColor="text1"/>
                <w:szCs w:val="21"/>
                <w:highlight w:val="none"/>
                <w14:textFill>
                  <w14:solidFill>
                    <w14:schemeClr w14:val="tx1"/>
                  </w14:solidFill>
                </w14:textFill>
              </w:rPr>
            </w:pPr>
            <w:r>
              <w:rPr>
                <w:rFonts w:ascii="Arial" w:hAnsi="Arial" w:cs="Arial"/>
                <w:bCs/>
                <w:color w:val="000000" w:themeColor="text1"/>
                <w:szCs w:val="21"/>
                <w:highlight w:val="none"/>
                <w14:textFill>
                  <w14:solidFill>
                    <w14:schemeClr w14:val="tx1"/>
                  </w14:solidFill>
                </w14:textFill>
              </w:rPr>
              <w:t>…</w:t>
            </w:r>
            <w:r>
              <w:rPr>
                <w:rFonts w:hint="eastAsia" w:ascii="Arial" w:hAnsi="Arial" w:cs="Arial"/>
                <w:bCs/>
                <w:color w:val="000000" w:themeColor="text1"/>
                <w:szCs w:val="21"/>
                <w:highlight w:val="none"/>
                <w14:textFill>
                  <w14:solidFill>
                    <w14:schemeClr w14:val="tx1"/>
                  </w14:solidFill>
                </w14:textFill>
              </w:rPr>
              <w:t>..</w:t>
            </w:r>
          </w:p>
        </w:tc>
        <w:tc>
          <w:tcPr>
            <w:tcW w:w="1260" w:type="dxa"/>
            <w:vAlign w:val="center"/>
          </w:tcPr>
          <w:p w14:paraId="51ADEEA2">
            <w:pPr>
              <w:jc w:val="cente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等比递减扣完为止</w:t>
            </w:r>
          </w:p>
        </w:tc>
        <w:tc>
          <w:tcPr>
            <w:tcW w:w="2205" w:type="dxa"/>
            <w:vMerge w:val="continue"/>
            <w:vAlign w:val="center"/>
          </w:tcPr>
          <w:p w14:paraId="18A8AE85">
            <w:pPr>
              <w:jc w:val="center"/>
              <w:rPr>
                <w:rFonts w:ascii="Arial" w:hAnsi="Arial" w:cs="Arial"/>
                <w:bCs/>
                <w:color w:val="000000" w:themeColor="text1"/>
                <w:szCs w:val="21"/>
                <w:highlight w:val="none"/>
                <w14:textFill>
                  <w14:solidFill>
                    <w14:schemeClr w14:val="tx1"/>
                  </w14:solidFill>
                </w14:textFill>
              </w:rPr>
            </w:pPr>
          </w:p>
        </w:tc>
      </w:tr>
      <w:tr w14:paraId="4C6E8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470" w:type="dxa"/>
            <w:vAlign w:val="center"/>
          </w:tcPr>
          <w:p w14:paraId="07FA1415">
            <w:pPr>
              <w:jc w:val="center"/>
              <w:rPr>
                <w:rFonts w:ascii="Arial" w:hAnsi="Arial" w:cs="Arial"/>
                <w:bCs/>
                <w:color w:val="000000" w:themeColor="text1"/>
                <w:szCs w:val="21"/>
                <w:highlight w:val="none"/>
                <w14:textFill>
                  <w14:solidFill>
                    <w14:schemeClr w14:val="tx1"/>
                  </w14:solidFill>
                </w14:textFill>
              </w:rPr>
            </w:pPr>
          </w:p>
        </w:tc>
        <w:tc>
          <w:tcPr>
            <w:tcW w:w="1365" w:type="dxa"/>
            <w:vAlign w:val="center"/>
          </w:tcPr>
          <w:p w14:paraId="1FE1158A">
            <w:pPr>
              <w:jc w:val="center"/>
              <w:rPr>
                <w:rFonts w:ascii="Arial" w:hAnsi="Arial" w:cs="Arial"/>
                <w:bCs/>
                <w:color w:val="000000" w:themeColor="text1"/>
                <w:szCs w:val="21"/>
                <w:highlight w:val="none"/>
                <w14:textFill>
                  <w14:solidFill>
                    <w14:schemeClr w14:val="tx1"/>
                  </w14:solidFill>
                </w14:textFill>
              </w:rPr>
            </w:pPr>
            <w:r>
              <w:rPr>
                <w:rFonts w:hint="eastAsia" w:ascii="Arial" w:hAnsi="Arial" w:cs="Arial"/>
                <w:bCs/>
                <w:color w:val="000000" w:themeColor="text1"/>
                <w:szCs w:val="21"/>
                <w:highlight w:val="none"/>
                <w14:textFill>
                  <w14:solidFill>
                    <w14:schemeClr w14:val="tx1"/>
                  </w14:solidFill>
                </w14:textFill>
              </w:rPr>
              <w:t>100</w:t>
            </w:r>
          </w:p>
        </w:tc>
        <w:tc>
          <w:tcPr>
            <w:tcW w:w="6195" w:type="dxa"/>
            <w:gridSpan w:val="3"/>
            <w:vAlign w:val="center"/>
          </w:tcPr>
          <w:p w14:paraId="1904138C">
            <w:pPr>
              <w:jc w:val="center"/>
              <w:rPr>
                <w:rFonts w:ascii="Arial" w:hAnsi="Arial" w:cs="Arial"/>
                <w:bCs/>
                <w:color w:val="000000" w:themeColor="text1"/>
                <w:szCs w:val="21"/>
                <w:highlight w:val="none"/>
                <w14:textFill>
                  <w14:solidFill>
                    <w14:schemeClr w14:val="tx1"/>
                  </w14:solidFill>
                </w14:textFill>
              </w:rPr>
            </w:pPr>
          </w:p>
        </w:tc>
      </w:tr>
    </w:tbl>
    <w:p w14:paraId="487540A6">
      <w:pPr>
        <w:pStyle w:val="8"/>
        <w:spacing w:line="360" w:lineRule="auto"/>
        <w:ind w:firstLine="480"/>
        <w:jc w:val="center"/>
        <w:rPr>
          <w:rFonts w:hint="eastAsia" w:hAnsi="宋体"/>
          <w:color w:val="000000" w:themeColor="text1"/>
          <w:sz w:val="24"/>
          <w:highlight w:val="none"/>
          <w14:textFill>
            <w14:solidFill>
              <w14:schemeClr w14:val="tx1"/>
            </w14:solidFill>
          </w14:textFill>
        </w:rPr>
      </w:pPr>
    </w:p>
    <w:p w14:paraId="553DF679">
      <w:pPr>
        <w:pStyle w:val="8"/>
        <w:spacing w:line="360" w:lineRule="auto"/>
        <w:ind w:firstLine="480"/>
        <w:jc w:val="center"/>
        <w:rPr>
          <w:rFonts w:hint="eastAsia" w:hAnsi="宋体"/>
          <w:color w:val="000000" w:themeColor="text1"/>
          <w:sz w:val="24"/>
          <w:highlight w:val="none"/>
          <w14:textFill>
            <w14:solidFill>
              <w14:schemeClr w14:val="tx1"/>
            </w14:solidFill>
          </w14:textFill>
        </w:rPr>
      </w:pPr>
    </w:p>
    <w:p w14:paraId="1ECB6659">
      <w:pPr>
        <w:spacing w:line="360" w:lineRule="auto"/>
        <w:rPr>
          <w:rFonts w:hint="eastAsia" w:hAnsi="宋体"/>
          <w:color w:val="000000" w:themeColor="text1"/>
          <w:sz w:val="24"/>
          <w:highlight w:val="none"/>
          <w14:textFill>
            <w14:solidFill>
              <w14:schemeClr w14:val="tx1"/>
            </w14:solidFill>
          </w14:textFill>
        </w:rPr>
        <w:sectPr>
          <w:pgSz w:w="11907" w:h="16840"/>
          <w:pgMar w:top="1417" w:right="1701" w:bottom="1417" w:left="1701" w:header="850" w:footer="1134" w:gutter="0"/>
          <w:pgNumType w:fmt="decimal"/>
          <w:cols w:space="0" w:num="1"/>
          <w:rtlGutter w:val="0"/>
          <w:docGrid w:linePitch="312" w:charSpace="0"/>
        </w:sectPr>
      </w:pPr>
    </w:p>
    <w:p w14:paraId="444C0048">
      <w:pPr>
        <w:spacing w:line="360" w:lineRule="auto"/>
        <w:rPr>
          <w:color w:val="000000" w:themeColor="text1"/>
          <w:sz w:val="24"/>
          <w:highlight w:val="none"/>
          <w14:textFill>
            <w14:solidFill>
              <w14:schemeClr w14:val="tx1"/>
            </w14:solidFill>
          </w14:textFill>
        </w:rPr>
      </w:pPr>
      <w:r>
        <w:rPr>
          <w:rFonts w:hAnsi="宋体"/>
          <w:color w:val="000000" w:themeColor="text1"/>
          <w:sz w:val="24"/>
          <w:highlight w:val="none"/>
          <w14:textFill>
            <w14:solidFill>
              <w14:schemeClr w14:val="tx1"/>
            </w14:solidFill>
          </w14:textFill>
        </w:rPr>
        <w:t>附表</w:t>
      </w:r>
      <w:r>
        <w:rPr>
          <w:rFonts w:hint="eastAsia" w:hAnsi="宋体"/>
          <w:color w:val="000000" w:themeColor="text1"/>
          <w:sz w:val="24"/>
          <w:highlight w:val="none"/>
          <w14:textFill>
            <w14:solidFill>
              <w14:schemeClr w14:val="tx1"/>
            </w14:solidFill>
          </w14:textFill>
        </w:rPr>
        <w:t>4</w:t>
      </w:r>
      <w:r>
        <w:rPr>
          <w:rFonts w:hAnsi="宋体"/>
          <w:color w:val="000000" w:themeColor="text1"/>
          <w:sz w:val="24"/>
          <w:highlight w:val="none"/>
          <w14:textFill>
            <w14:solidFill>
              <w14:schemeClr w14:val="tx1"/>
            </w14:solidFill>
          </w14:textFill>
        </w:rPr>
        <w:t>《综合得分表》</w:t>
      </w:r>
    </w:p>
    <w:p w14:paraId="32B3AC63">
      <w:pPr>
        <w:spacing w:line="360" w:lineRule="auto"/>
        <w:jc w:val="center"/>
        <w:rPr>
          <w:rFonts w:hint="eastAsia" w:hAnsi="宋体"/>
          <w:b/>
          <w:color w:val="000000" w:themeColor="text1"/>
          <w:sz w:val="24"/>
          <w:highlight w:val="none"/>
          <w14:textFill>
            <w14:solidFill>
              <w14:schemeClr w14:val="tx1"/>
            </w14:solidFill>
          </w14:textFill>
        </w:rPr>
      </w:pPr>
    </w:p>
    <w:p w14:paraId="31E930D3">
      <w:pPr>
        <w:spacing w:line="360" w:lineRule="auto"/>
        <w:jc w:val="center"/>
        <w:rPr>
          <w:rFonts w:hint="eastAsia" w:hAnsi="宋体"/>
          <w:b/>
          <w:color w:val="000000" w:themeColor="text1"/>
          <w:sz w:val="24"/>
          <w:highlight w:val="none"/>
          <w14:textFill>
            <w14:solidFill>
              <w14:schemeClr w14:val="tx1"/>
            </w14:solidFill>
          </w14:textFill>
        </w:rPr>
      </w:pPr>
      <w:r>
        <w:rPr>
          <w:rFonts w:hAnsi="宋体"/>
          <w:b/>
          <w:color w:val="000000" w:themeColor="text1"/>
          <w:sz w:val="24"/>
          <w:highlight w:val="none"/>
          <w14:textFill>
            <w14:solidFill>
              <w14:schemeClr w14:val="tx1"/>
            </w14:solidFill>
          </w14:textFill>
        </w:rPr>
        <w:t>综合得分表</w:t>
      </w:r>
    </w:p>
    <w:p w14:paraId="5A02E6D7">
      <w:pPr>
        <w:spacing w:line="360"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响应单位名称：</w:t>
      </w:r>
    </w:p>
    <w:tbl>
      <w:tblPr>
        <w:tblStyle w:val="31"/>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09"/>
        <w:gridCol w:w="1597"/>
        <w:gridCol w:w="1144"/>
        <w:gridCol w:w="1526"/>
        <w:gridCol w:w="2362"/>
        <w:gridCol w:w="768"/>
      </w:tblGrid>
      <w:tr w14:paraId="1B9345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809" w:type="dxa"/>
            <w:vAlign w:val="center"/>
          </w:tcPr>
          <w:p w14:paraId="3C5EBE4A">
            <w:pPr>
              <w:spacing w:line="360" w:lineRule="auto"/>
              <w:jc w:val="center"/>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序号</w:t>
            </w:r>
          </w:p>
        </w:tc>
        <w:tc>
          <w:tcPr>
            <w:tcW w:w="1597" w:type="dxa"/>
            <w:vAlign w:val="center"/>
          </w:tcPr>
          <w:p w14:paraId="19B70436">
            <w:pPr>
              <w:spacing w:line="360" w:lineRule="auto"/>
              <w:jc w:val="center"/>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项　目</w:t>
            </w:r>
          </w:p>
        </w:tc>
        <w:tc>
          <w:tcPr>
            <w:tcW w:w="1144" w:type="dxa"/>
            <w:vAlign w:val="center"/>
          </w:tcPr>
          <w:p w14:paraId="1D29519A">
            <w:pPr>
              <w:spacing w:line="360" w:lineRule="auto"/>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评分（A）</w:t>
            </w:r>
          </w:p>
        </w:tc>
        <w:tc>
          <w:tcPr>
            <w:tcW w:w="1526" w:type="dxa"/>
            <w:vAlign w:val="center"/>
          </w:tcPr>
          <w:p w14:paraId="552C4D72">
            <w:pPr>
              <w:spacing w:line="360" w:lineRule="auto"/>
              <w:jc w:val="center"/>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权重</w:t>
            </w:r>
            <w:r>
              <w:rPr>
                <w:rFonts w:hint="eastAsia" w:hAnsi="宋体"/>
                <w:color w:val="000000" w:themeColor="text1"/>
                <w:szCs w:val="21"/>
                <w:highlight w:val="none"/>
                <w14:textFill>
                  <w14:solidFill>
                    <w14:schemeClr w14:val="tx1"/>
                  </w14:solidFill>
                </w14:textFill>
              </w:rPr>
              <w:t>（K）</w:t>
            </w:r>
          </w:p>
        </w:tc>
        <w:tc>
          <w:tcPr>
            <w:tcW w:w="2362" w:type="dxa"/>
            <w:vAlign w:val="center"/>
          </w:tcPr>
          <w:p w14:paraId="1FA3F9B7">
            <w:pPr>
              <w:spacing w:line="360" w:lineRule="auto"/>
              <w:jc w:val="center"/>
              <w:rPr>
                <w:rFonts w:hint="eastAsia"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权重后得分（A*K）</w:t>
            </w:r>
          </w:p>
        </w:tc>
        <w:tc>
          <w:tcPr>
            <w:tcW w:w="768" w:type="dxa"/>
            <w:vAlign w:val="center"/>
          </w:tcPr>
          <w:p w14:paraId="70AF9926">
            <w:pPr>
              <w:spacing w:line="360" w:lineRule="auto"/>
              <w:jc w:val="center"/>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备注</w:t>
            </w:r>
          </w:p>
        </w:tc>
      </w:tr>
      <w:tr w14:paraId="3E137E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809" w:type="dxa"/>
            <w:vAlign w:val="center"/>
          </w:tcPr>
          <w:p w14:paraId="7BDB8C43">
            <w:pPr>
              <w:spacing w:line="360" w:lineRule="auto"/>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w:t>
            </w:r>
          </w:p>
        </w:tc>
        <w:tc>
          <w:tcPr>
            <w:tcW w:w="1597" w:type="dxa"/>
            <w:vAlign w:val="center"/>
          </w:tcPr>
          <w:p w14:paraId="30A0D77C">
            <w:pPr>
              <w:spacing w:line="360" w:lineRule="auto"/>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商务得分</w:t>
            </w:r>
          </w:p>
        </w:tc>
        <w:tc>
          <w:tcPr>
            <w:tcW w:w="1144" w:type="dxa"/>
            <w:vAlign w:val="center"/>
          </w:tcPr>
          <w:p w14:paraId="25776E50">
            <w:pPr>
              <w:spacing w:line="360" w:lineRule="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A1</w:t>
            </w:r>
            <w:r>
              <w:rPr>
                <w:rFonts w:hint="eastAsia"/>
                <w:color w:val="000000" w:themeColor="text1"/>
                <w:szCs w:val="21"/>
                <w:highlight w:val="none"/>
                <w14:textFill>
                  <w14:solidFill>
                    <w14:schemeClr w14:val="tx1"/>
                  </w14:solidFill>
                </w14:textFill>
              </w:rPr>
              <w:t>=</w:t>
            </w:r>
          </w:p>
        </w:tc>
        <w:tc>
          <w:tcPr>
            <w:tcW w:w="1526" w:type="dxa"/>
            <w:vAlign w:val="center"/>
          </w:tcPr>
          <w:p w14:paraId="71CFCABA">
            <w:pPr>
              <w:spacing w:line="360" w:lineRule="auto"/>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K1=</w:t>
            </w:r>
            <w:r>
              <w:rPr>
                <w:rFonts w:hint="eastAsia"/>
                <w:color w:val="000000" w:themeColor="text1"/>
                <w:szCs w:val="21"/>
                <w:highlight w:val="none"/>
                <w:lang w:val="en-US" w:eastAsia="zh-CN"/>
                <w14:textFill>
                  <w14:solidFill>
                    <w14:schemeClr w14:val="tx1"/>
                  </w14:solidFill>
                </w14:textFill>
              </w:rPr>
              <w:t>20</w:t>
            </w:r>
            <w:r>
              <w:rPr>
                <w:rFonts w:hint="eastAsia"/>
                <w:color w:val="000000" w:themeColor="text1"/>
                <w:szCs w:val="21"/>
                <w:highlight w:val="none"/>
                <w14:textFill>
                  <w14:solidFill>
                    <w14:schemeClr w14:val="tx1"/>
                  </w14:solidFill>
                </w14:textFill>
              </w:rPr>
              <w:t>%</w:t>
            </w:r>
          </w:p>
        </w:tc>
        <w:tc>
          <w:tcPr>
            <w:tcW w:w="2362" w:type="dxa"/>
            <w:vAlign w:val="center"/>
          </w:tcPr>
          <w:p w14:paraId="4BA12F57">
            <w:pPr>
              <w:jc w:val="center"/>
              <w:rPr>
                <w:color w:val="000000" w:themeColor="text1"/>
                <w:highlight w:val="none"/>
                <w14:textFill>
                  <w14:solidFill>
                    <w14:schemeClr w14:val="tx1"/>
                  </w14:solidFill>
                </w14:textFill>
              </w:rPr>
            </w:pPr>
          </w:p>
        </w:tc>
        <w:tc>
          <w:tcPr>
            <w:tcW w:w="768" w:type="dxa"/>
            <w:vAlign w:val="center"/>
          </w:tcPr>
          <w:p w14:paraId="01A1FA7F">
            <w:pPr>
              <w:spacing w:line="360" w:lineRule="auto"/>
              <w:jc w:val="center"/>
              <w:rPr>
                <w:color w:val="000000" w:themeColor="text1"/>
                <w:szCs w:val="21"/>
                <w:highlight w:val="none"/>
                <w14:textFill>
                  <w14:solidFill>
                    <w14:schemeClr w14:val="tx1"/>
                  </w14:solidFill>
                </w14:textFill>
              </w:rPr>
            </w:pPr>
          </w:p>
        </w:tc>
      </w:tr>
      <w:tr w14:paraId="012F67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809" w:type="dxa"/>
            <w:vAlign w:val="center"/>
          </w:tcPr>
          <w:p w14:paraId="0CD98C7B">
            <w:pPr>
              <w:spacing w:line="360" w:lineRule="auto"/>
              <w:jc w:val="cente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w:t>
            </w:r>
          </w:p>
        </w:tc>
        <w:tc>
          <w:tcPr>
            <w:tcW w:w="1597" w:type="dxa"/>
            <w:vAlign w:val="center"/>
          </w:tcPr>
          <w:p w14:paraId="10EF123E">
            <w:pPr>
              <w:spacing w:line="360" w:lineRule="auto"/>
              <w:jc w:val="center"/>
              <w:rPr>
                <w:rFonts w:hint="eastAsia" w:hAnsi="宋体"/>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技术得分</w:t>
            </w:r>
          </w:p>
        </w:tc>
        <w:tc>
          <w:tcPr>
            <w:tcW w:w="1144" w:type="dxa"/>
            <w:vAlign w:val="center"/>
          </w:tcPr>
          <w:p w14:paraId="3E9B99E8">
            <w:pPr>
              <w:spacing w:line="360" w:lineRule="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A2</w:t>
            </w:r>
            <w:r>
              <w:rPr>
                <w:rFonts w:hint="eastAsia"/>
                <w:color w:val="000000" w:themeColor="text1"/>
                <w:szCs w:val="21"/>
                <w:highlight w:val="none"/>
                <w14:textFill>
                  <w14:solidFill>
                    <w14:schemeClr w14:val="tx1"/>
                  </w14:solidFill>
                </w14:textFill>
              </w:rPr>
              <w:t>=</w:t>
            </w:r>
          </w:p>
        </w:tc>
        <w:tc>
          <w:tcPr>
            <w:tcW w:w="1526" w:type="dxa"/>
            <w:vAlign w:val="center"/>
          </w:tcPr>
          <w:p w14:paraId="726C3AC3">
            <w:pPr>
              <w:jc w:val="center"/>
              <w:rPr>
                <w:color w:val="000000" w:themeColor="text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K2=</w:t>
            </w:r>
            <w:r>
              <w:rPr>
                <w:rFonts w:hint="eastAsia"/>
                <w:color w:val="000000" w:themeColor="text1"/>
                <w:szCs w:val="21"/>
                <w:highlight w:val="none"/>
                <w:lang w:val="en-US" w:eastAsia="zh-CN"/>
                <w14:textFill>
                  <w14:solidFill>
                    <w14:schemeClr w14:val="tx1"/>
                  </w14:solidFill>
                </w14:textFill>
              </w:rPr>
              <w:t>20</w:t>
            </w:r>
            <w:r>
              <w:rPr>
                <w:rFonts w:hint="eastAsia"/>
                <w:color w:val="000000" w:themeColor="text1"/>
                <w:szCs w:val="21"/>
                <w:highlight w:val="none"/>
                <w14:textFill>
                  <w14:solidFill>
                    <w14:schemeClr w14:val="tx1"/>
                  </w14:solidFill>
                </w14:textFill>
              </w:rPr>
              <w:t>%</w:t>
            </w:r>
          </w:p>
        </w:tc>
        <w:tc>
          <w:tcPr>
            <w:tcW w:w="2362" w:type="dxa"/>
            <w:vAlign w:val="center"/>
          </w:tcPr>
          <w:p w14:paraId="3D1730BE">
            <w:pPr>
              <w:jc w:val="center"/>
              <w:rPr>
                <w:color w:val="000000" w:themeColor="text1"/>
                <w:highlight w:val="none"/>
                <w14:textFill>
                  <w14:solidFill>
                    <w14:schemeClr w14:val="tx1"/>
                  </w14:solidFill>
                </w14:textFill>
              </w:rPr>
            </w:pPr>
          </w:p>
        </w:tc>
        <w:tc>
          <w:tcPr>
            <w:tcW w:w="768" w:type="dxa"/>
            <w:vAlign w:val="center"/>
          </w:tcPr>
          <w:p w14:paraId="3DB5C410">
            <w:pPr>
              <w:spacing w:line="360" w:lineRule="auto"/>
              <w:jc w:val="center"/>
              <w:rPr>
                <w:color w:val="000000" w:themeColor="text1"/>
                <w:szCs w:val="21"/>
                <w:highlight w:val="none"/>
                <w14:textFill>
                  <w14:solidFill>
                    <w14:schemeClr w14:val="tx1"/>
                  </w14:solidFill>
                </w14:textFill>
              </w:rPr>
            </w:pPr>
          </w:p>
        </w:tc>
      </w:tr>
      <w:tr w14:paraId="5C7F71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809" w:type="dxa"/>
            <w:vAlign w:val="center"/>
          </w:tcPr>
          <w:p w14:paraId="12B153A6">
            <w:pPr>
              <w:spacing w:line="360" w:lineRule="auto"/>
              <w:jc w:val="center"/>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w:t>
            </w:r>
          </w:p>
        </w:tc>
        <w:tc>
          <w:tcPr>
            <w:tcW w:w="1597" w:type="dxa"/>
            <w:vAlign w:val="center"/>
          </w:tcPr>
          <w:p w14:paraId="37E2B52A">
            <w:pPr>
              <w:spacing w:line="360" w:lineRule="auto"/>
              <w:jc w:val="center"/>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经济得分</w:t>
            </w:r>
          </w:p>
        </w:tc>
        <w:tc>
          <w:tcPr>
            <w:tcW w:w="1144" w:type="dxa"/>
            <w:vAlign w:val="center"/>
          </w:tcPr>
          <w:p w14:paraId="0F4CD188">
            <w:pPr>
              <w:spacing w:line="360" w:lineRule="auto"/>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A</w:t>
            </w:r>
            <w:r>
              <w:rPr>
                <w:rFonts w:hint="eastAsia"/>
                <w:color w:val="000000" w:themeColor="text1"/>
                <w:szCs w:val="21"/>
                <w:highlight w:val="none"/>
                <w14:textFill>
                  <w14:solidFill>
                    <w14:schemeClr w14:val="tx1"/>
                  </w14:solidFill>
                </w14:textFill>
              </w:rPr>
              <w:t>3=</w:t>
            </w:r>
          </w:p>
        </w:tc>
        <w:tc>
          <w:tcPr>
            <w:tcW w:w="1526" w:type="dxa"/>
            <w:vAlign w:val="center"/>
          </w:tcPr>
          <w:p w14:paraId="110F124B">
            <w:pPr>
              <w:jc w:val="center"/>
              <w:rPr>
                <w:color w:val="000000" w:themeColor="text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K3=</w:t>
            </w:r>
            <w:r>
              <w:rPr>
                <w:rFonts w:hint="eastAsia"/>
                <w:color w:val="000000" w:themeColor="text1"/>
                <w:szCs w:val="21"/>
                <w:highlight w:val="none"/>
                <w:lang w:val="en-US" w:eastAsia="zh-CN"/>
                <w14:textFill>
                  <w14:solidFill>
                    <w14:schemeClr w14:val="tx1"/>
                  </w14:solidFill>
                </w14:textFill>
              </w:rPr>
              <w:t>60</w:t>
            </w:r>
            <w:r>
              <w:rPr>
                <w:rFonts w:hint="eastAsia"/>
                <w:color w:val="000000" w:themeColor="text1"/>
                <w:szCs w:val="21"/>
                <w:highlight w:val="none"/>
                <w14:textFill>
                  <w14:solidFill>
                    <w14:schemeClr w14:val="tx1"/>
                  </w14:solidFill>
                </w14:textFill>
              </w:rPr>
              <w:t>%</w:t>
            </w:r>
          </w:p>
        </w:tc>
        <w:tc>
          <w:tcPr>
            <w:tcW w:w="2362" w:type="dxa"/>
            <w:vAlign w:val="center"/>
          </w:tcPr>
          <w:p w14:paraId="0A3D9074">
            <w:pPr>
              <w:jc w:val="center"/>
              <w:rPr>
                <w:color w:val="000000" w:themeColor="text1"/>
                <w:highlight w:val="none"/>
                <w14:textFill>
                  <w14:solidFill>
                    <w14:schemeClr w14:val="tx1"/>
                  </w14:solidFill>
                </w14:textFill>
              </w:rPr>
            </w:pPr>
          </w:p>
        </w:tc>
        <w:tc>
          <w:tcPr>
            <w:tcW w:w="768" w:type="dxa"/>
            <w:vAlign w:val="center"/>
          </w:tcPr>
          <w:p w14:paraId="76DB775F">
            <w:pPr>
              <w:spacing w:line="360" w:lineRule="auto"/>
              <w:jc w:val="center"/>
              <w:rPr>
                <w:color w:val="000000" w:themeColor="text1"/>
                <w:szCs w:val="21"/>
                <w:highlight w:val="none"/>
                <w14:textFill>
                  <w14:solidFill>
                    <w14:schemeClr w14:val="tx1"/>
                  </w14:solidFill>
                </w14:textFill>
              </w:rPr>
            </w:pPr>
          </w:p>
        </w:tc>
      </w:tr>
      <w:tr w14:paraId="3E7551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2406" w:type="dxa"/>
            <w:gridSpan w:val="2"/>
            <w:vAlign w:val="center"/>
          </w:tcPr>
          <w:p w14:paraId="202F0418">
            <w:pPr>
              <w:spacing w:line="360" w:lineRule="auto"/>
              <w:jc w:val="center"/>
              <w:rPr>
                <w:color w:val="000000" w:themeColor="text1"/>
                <w:szCs w:val="21"/>
                <w:highlight w:val="none"/>
                <w14:textFill>
                  <w14:solidFill>
                    <w14:schemeClr w14:val="tx1"/>
                  </w14:solidFill>
                </w14:textFill>
              </w:rPr>
            </w:pPr>
            <w:r>
              <w:rPr>
                <w:rFonts w:hAnsi="宋体"/>
                <w:color w:val="000000" w:themeColor="text1"/>
                <w:szCs w:val="21"/>
                <w:highlight w:val="none"/>
                <w14:textFill>
                  <w14:solidFill>
                    <w14:schemeClr w14:val="tx1"/>
                  </w14:solidFill>
                </w14:textFill>
              </w:rPr>
              <w:t>最终得分</w:t>
            </w:r>
          </w:p>
        </w:tc>
        <w:tc>
          <w:tcPr>
            <w:tcW w:w="2670" w:type="dxa"/>
            <w:gridSpan w:val="2"/>
            <w:vAlign w:val="center"/>
          </w:tcPr>
          <w:p w14:paraId="46BCC79D">
            <w:pPr>
              <w:pStyle w:val="45"/>
              <w:rPr>
                <w:rFonts w:eastAsia="宋体"/>
                <w:color w:val="000000" w:themeColor="text1"/>
                <w:highlight w:val="none"/>
                <w14:textFill>
                  <w14:solidFill>
                    <w14:schemeClr w14:val="tx1"/>
                  </w14:solidFill>
                </w14:textFill>
              </w:rPr>
            </w:pPr>
            <w:r>
              <w:rPr>
                <w:rFonts w:eastAsia="宋体"/>
                <w:color w:val="000000" w:themeColor="text1"/>
                <w:highlight w:val="none"/>
                <w14:textFill>
                  <w14:solidFill>
                    <w14:schemeClr w14:val="tx1"/>
                  </w14:solidFill>
                </w14:textFill>
              </w:rPr>
              <w:t>∑</w:t>
            </w:r>
          </w:p>
        </w:tc>
        <w:tc>
          <w:tcPr>
            <w:tcW w:w="3130" w:type="dxa"/>
            <w:gridSpan w:val="2"/>
            <w:vAlign w:val="center"/>
          </w:tcPr>
          <w:p w14:paraId="5342A308">
            <w:pPr>
              <w:pStyle w:val="45"/>
              <w:rPr>
                <w:rFonts w:eastAsia="宋体"/>
                <w:color w:val="000000" w:themeColor="text1"/>
                <w:highlight w:val="none"/>
                <w14:textFill>
                  <w14:solidFill>
                    <w14:schemeClr w14:val="tx1"/>
                  </w14:solidFill>
                </w14:textFill>
              </w:rPr>
            </w:pPr>
          </w:p>
        </w:tc>
      </w:tr>
    </w:tbl>
    <w:p w14:paraId="35BD10A7">
      <w:pPr>
        <w:spacing w:line="360" w:lineRule="auto"/>
        <w:rPr>
          <w:color w:val="000000" w:themeColor="text1"/>
          <w:szCs w:val="21"/>
          <w:highlight w:val="none"/>
          <w14:textFill>
            <w14:solidFill>
              <w14:schemeClr w14:val="tx1"/>
            </w14:solidFill>
          </w14:textFill>
        </w:rPr>
      </w:pPr>
    </w:p>
    <w:p w14:paraId="31349F0D">
      <w:pPr>
        <w:spacing w:line="360" w:lineRule="auto"/>
        <w:rPr>
          <w:color w:val="000000" w:themeColor="text1"/>
          <w:szCs w:val="21"/>
          <w:highlight w:val="none"/>
          <w14:textFill>
            <w14:solidFill>
              <w14:schemeClr w14:val="tx1"/>
            </w14:solidFill>
          </w14:textFill>
        </w:rPr>
      </w:pPr>
    </w:p>
    <w:p w14:paraId="4AC67B08">
      <w:pPr>
        <w:spacing w:line="360" w:lineRule="auto"/>
        <w:rPr>
          <w:color w:val="000000" w:themeColor="text1"/>
          <w:szCs w:val="21"/>
          <w:highlight w:val="none"/>
          <w14:textFill>
            <w14:solidFill>
              <w14:schemeClr w14:val="tx1"/>
            </w14:solidFill>
          </w14:textFill>
        </w:rPr>
      </w:pPr>
    </w:p>
    <w:sectPr>
      <w:pgSz w:w="11907" w:h="16840"/>
      <w:pgMar w:top="1417" w:right="1701" w:bottom="1417" w:left="1701" w:header="850" w:footer="1134"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等线">
    <w:panose1 w:val="02010600030101010101"/>
    <w:charset w:val="86"/>
    <w:family w:val="auto"/>
    <w:pitch w:val="default"/>
    <w:sig w:usb0="A00002BF" w:usb1="38CF7CFA" w:usb2="00000016" w:usb3="00000000" w:csb0="0004000F"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Wingdings">
    <w:panose1 w:val="05000000000000000000"/>
    <w:charset w:val="00"/>
    <w:family w:val="auto"/>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DDA25F">
    <w:pPr>
      <w:pStyle w:val="20"/>
      <w:ind w:right="9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DF3212">
    <w:pPr>
      <w:pStyle w:val="20"/>
      <w:jc w:val="center"/>
    </w:pPr>
    <w:r>
      <w:rPr>
        <w:rStyle w:val="35"/>
      </w:rPr>
      <w:fldChar w:fldCharType="begin"/>
    </w:r>
    <w:r>
      <w:rPr>
        <w:rStyle w:val="35"/>
      </w:rPr>
      <w:instrText xml:space="preserve"> PAGE </w:instrText>
    </w:r>
    <w:r>
      <w:rPr>
        <w:rStyle w:val="35"/>
      </w:rPr>
      <w:fldChar w:fldCharType="separate"/>
    </w:r>
    <w:r>
      <w:rPr>
        <w:rStyle w:val="35"/>
      </w:rPr>
      <w:t>38</w:t>
    </w:r>
    <w:r>
      <w:rPr>
        <w:rStyle w:val="35"/>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1B009">
    <w:pPr>
      <w:pStyle w:val="20"/>
      <w:ind w:right="90"/>
      <w:jc w:val="right"/>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E28032">
                          <w:pPr>
                            <w:pStyle w:val="2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3E28032">
                    <w:pPr>
                      <w:pStyle w:val="20"/>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F0D37E">
    <w:pPr>
      <w:pStyle w:val="20"/>
      <w:tabs>
        <w:tab w:val="center" w:pos="4699"/>
        <w:tab w:val="left" w:pos="7320"/>
      </w:tabs>
      <w:ind w:right="360"/>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44D34">
    <w:pPr>
      <w:pStyle w:val="20"/>
      <w:jc w:val="center"/>
    </w:pPr>
    <w:r>
      <w:fldChar w:fldCharType="begin"/>
    </w:r>
    <w:r>
      <w:instrText xml:space="preserve">PAGE   \* MERGEFORMAT</w:instrText>
    </w:r>
    <w:r>
      <w:fldChar w:fldCharType="separate"/>
    </w:r>
    <w:r>
      <w:rPr>
        <w:lang w:val="zh-CN" w:eastAsia="zh-CN"/>
      </w:rPr>
      <w:t>27</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6937D">
    <w:pPr>
      <w:pStyle w:val="21"/>
      <w:jc w:val="both"/>
      <w:rPr>
        <w:sz w:val="18"/>
        <w:szCs w:val="18"/>
      </w:rPr>
    </w:pPr>
    <w:r>
      <w:rPr>
        <w:rFonts w:hint="eastAsia"/>
      </w:rPr>
      <w:drawing>
        <wp:inline distT="0" distB="0" distL="0" distR="0">
          <wp:extent cx="228600" cy="266700"/>
          <wp:effectExtent l="0" t="0" r="0" b="0"/>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28600" cy="266700"/>
                  </a:xfrm>
                  <a:prstGeom prst="rect">
                    <a:avLst/>
                  </a:prstGeom>
                  <a:noFill/>
                  <a:ln>
                    <a:noFill/>
                  </a:ln>
                </pic:spPr>
              </pic:pic>
            </a:graphicData>
          </a:graphic>
        </wp:inline>
      </w:drawing>
    </w:r>
    <w:r>
      <w:rPr>
        <w:rFonts w:hint="eastAsia"/>
        <w:sz w:val="18"/>
        <w:szCs w:val="18"/>
      </w:rPr>
      <w:t>【</w:t>
    </w:r>
    <w:r>
      <w:rPr>
        <w:rFonts w:hint="eastAsia"/>
        <w:sz w:val="18"/>
        <w:szCs w:val="18"/>
        <w:lang w:eastAsia="zh-CN"/>
      </w:rPr>
      <w:t>中建路桥集团</w:t>
    </w:r>
    <w:r>
      <w:rPr>
        <w:rFonts w:hint="eastAsia"/>
        <w:sz w:val="18"/>
        <w:szCs w:val="18"/>
        <w:lang w:val="en-US" w:eastAsia="zh-CN"/>
      </w:rPr>
      <w:t>第二工程</w:t>
    </w:r>
    <w:r>
      <w:rPr>
        <w:rFonts w:hint="eastAsia"/>
        <w:sz w:val="18"/>
        <w:szCs w:val="18"/>
        <w:lang w:eastAsia="zh-CN"/>
      </w:rPr>
      <w:t>有限公司</w:t>
    </w:r>
    <w:r>
      <w:rPr>
        <w:rFonts w:hint="eastAsia"/>
        <w:sz w:val="18"/>
        <w:szCs w:val="18"/>
        <w:lang w:val="en-US" w:eastAsia="zh-CN"/>
      </w:rPr>
      <w:t>海兴高速项目</w:t>
    </w:r>
    <w:r>
      <w:rPr>
        <w:rFonts w:hint="eastAsia"/>
        <w:sz w:val="18"/>
        <w:szCs w:val="18"/>
      </w:rPr>
      <w:t>分包采购】</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4BCCF6">
    <w:pPr>
      <w:pStyle w:val="21"/>
      <w:jc w:val="both"/>
    </w:pPr>
    <w:r>
      <w:rPr>
        <w:rFonts w:hint="eastAsia"/>
      </w:rPr>
      <w:drawing>
        <wp:inline distT="0" distB="0" distL="0" distR="0">
          <wp:extent cx="228600" cy="26670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28600" cy="266700"/>
                  </a:xfrm>
                  <a:prstGeom prst="rect">
                    <a:avLst/>
                  </a:prstGeom>
                  <a:noFill/>
                  <a:ln>
                    <a:noFill/>
                  </a:ln>
                </pic:spPr>
              </pic:pic>
            </a:graphicData>
          </a:graphic>
        </wp:inline>
      </w:drawing>
    </w:r>
    <w:r>
      <w:rPr>
        <w:rFonts w:hint="eastAsia"/>
        <w:sz w:val="21"/>
        <w:szCs w:val="21"/>
      </w:rPr>
      <w:t>【中建路桥集团有限公司×××分包采购】</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B71C6">
    <w:pPr>
      <w:pStyle w:val="21"/>
      <w:pBdr>
        <w:bottom w:val="thinThickSmallGap" w:color="auto" w:sz="12" w:space="0"/>
      </w:pBdr>
      <w:jc w:val="right"/>
    </w:pPr>
    <w:r>
      <w:rPr>
        <w:rFonts w:hAnsi="宋体"/>
        <w:sz w:val="21"/>
        <w:szCs w:val="21"/>
      </w:rPr>
      <w:t>第一篇</w:t>
    </w:r>
    <w:r>
      <w:rPr>
        <w:sz w:val="21"/>
        <w:szCs w:val="21"/>
      </w:rPr>
      <w:t xml:space="preserve">  </w:t>
    </w:r>
    <w:r>
      <w:rPr>
        <w:rFonts w:hAnsi="宋体"/>
        <w:sz w:val="21"/>
        <w:szCs w:val="21"/>
      </w:rPr>
      <w:t>投标《投标须知前附表》</w:t>
    </w:r>
    <w:r>
      <w:rPr>
        <w:sz w:val="21"/>
        <w:szCs w:val="21"/>
      </w:rPr>
      <w:t xml:space="preserve">      </w:t>
    </w:r>
    <w:r>
      <w:rPr>
        <w:b/>
        <w:sz w:val="21"/>
        <w:szCs w:val="21"/>
      </w:rPr>
      <w:t xml:space="preserve">. </w:t>
    </w:r>
    <w:r>
      <w:rPr>
        <w:b/>
        <w:sz w:val="21"/>
        <w:szCs w:val="21"/>
      </w:rPr>
      <w:fldChar w:fldCharType="begin"/>
    </w:r>
    <w:r>
      <w:rPr>
        <w:b/>
        <w:sz w:val="21"/>
        <w:szCs w:val="21"/>
      </w:rPr>
      <w:instrText xml:space="preserve"> PAGE </w:instrText>
    </w:r>
    <w:r>
      <w:rPr>
        <w:b/>
        <w:sz w:val="21"/>
        <w:szCs w:val="21"/>
      </w:rPr>
      <w:fldChar w:fldCharType="separate"/>
    </w:r>
    <w:r>
      <w:rPr>
        <w:b/>
        <w:sz w:val="21"/>
        <w:szCs w:val="21"/>
      </w:rPr>
      <w:t>3</w:t>
    </w:r>
    <w:r>
      <w:rPr>
        <w:b/>
        <w:sz w:val="21"/>
        <w:szCs w:val="21"/>
      </w:rPr>
      <w:fldChar w:fldCharType="end"/>
    </w:r>
    <w:r>
      <w:rPr>
        <w:b/>
        <w:sz w:val="21"/>
        <w:szCs w:val="21"/>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2FBBE">
    <w:pPr>
      <w:pStyle w:val="21"/>
      <w:jc w:val="both"/>
      <w:rPr>
        <w:sz w:val="18"/>
        <w:szCs w:val="18"/>
      </w:rPr>
    </w:pPr>
    <w:r>
      <w:rPr>
        <w:rFonts w:hint="eastAsia"/>
      </w:rPr>
      <w:drawing>
        <wp:inline distT="0" distB="0" distL="0" distR="0">
          <wp:extent cx="228600" cy="266700"/>
          <wp:effectExtent l="0" t="0" r="0" b="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28600" cy="266700"/>
                  </a:xfrm>
                  <a:prstGeom prst="rect">
                    <a:avLst/>
                  </a:prstGeom>
                  <a:noFill/>
                  <a:ln>
                    <a:noFill/>
                  </a:ln>
                </pic:spPr>
              </pic:pic>
            </a:graphicData>
          </a:graphic>
        </wp:inline>
      </w:drawing>
    </w:r>
    <w:r>
      <w:rPr>
        <w:rFonts w:hint="eastAsia"/>
        <w:sz w:val="18"/>
        <w:szCs w:val="18"/>
      </w:rPr>
      <w:t>【</w:t>
    </w:r>
    <w:r>
      <w:rPr>
        <w:rFonts w:hint="eastAsia"/>
        <w:sz w:val="18"/>
        <w:szCs w:val="18"/>
        <w:lang w:eastAsia="zh-CN"/>
      </w:rPr>
      <w:t>中建路桥集团</w:t>
    </w:r>
    <w:r>
      <w:rPr>
        <w:rFonts w:hint="eastAsia"/>
        <w:sz w:val="18"/>
        <w:szCs w:val="18"/>
        <w:lang w:val="en-US" w:eastAsia="zh-CN"/>
      </w:rPr>
      <w:t>第二工程</w:t>
    </w:r>
    <w:r>
      <w:rPr>
        <w:rFonts w:hint="eastAsia"/>
        <w:sz w:val="18"/>
        <w:szCs w:val="18"/>
        <w:lang w:eastAsia="zh-CN"/>
      </w:rPr>
      <w:t>有限公司</w:t>
    </w:r>
    <w:r>
      <w:rPr>
        <w:rFonts w:hint="eastAsia"/>
        <w:sz w:val="18"/>
        <w:szCs w:val="18"/>
        <w:lang w:val="en-US" w:eastAsia="zh-CN"/>
      </w:rPr>
      <w:t>海兴高速项目</w:t>
    </w:r>
    <w:r>
      <w:rPr>
        <w:rFonts w:hint="eastAsia"/>
        <w:sz w:val="18"/>
        <w:szCs w:val="18"/>
      </w:rPr>
      <w:t>分包采购】</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3ADC53">
    <w:pPr>
      <w:tabs>
        <w:tab w:val="center" w:pos="4153"/>
        <w:tab w:val="right" w:pos="8306"/>
      </w:tabs>
      <w:wordWrap w:val="0"/>
      <w:snapToGrid w:val="0"/>
      <w:rPr>
        <w:rFonts w:hint="eastAsia" w:ascii="黑体" w:hAnsi="黑体" w:eastAsia="黑体" w:cs="黑体"/>
        <w:b/>
        <w:sz w:val="28"/>
        <w:szCs w:val="28"/>
      </w:rPr>
    </w:pPr>
    <w:r>
      <w:drawing>
        <wp:anchor distT="0" distB="0" distL="114300" distR="114300" simplePos="0" relativeHeight="251659264" behindDoc="0" locked="0" layoutInCell="1" allowOverlap="1">
          <wp:simplePos x="0" y="0"/>
          <wp:positionH relativeFrom="column">
            <wp:posOffset>7620</wp:posOffset>
          </wp:positionH>
          <wp:positionV relativeFrom="paragraph">
            <wp:posOffset>-11430</wp:posOffset>
          </wp:positionV>
          <wp:extent cx="377190" cy="144145"/>
          <wp:effectExtent l="0" t="0" r="0" b="8255"/>
          <wp:wrapNone/>
          <wp:docPr id="7" name="图片 8"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 descr="图片1"/>
                  <pic:cNvPicPr>
                    <a:picLocks noChangeAspect="1"/>
                  </pic:cNvPicPr>
                </pic:nvPicPr>
                <pic:blipFill>
                  <a:blip r:embed="rId1">
                    <a:lum contrast="17999"/>
                  </a:blip>
                  <a:srcRect t="72632"/>
                  <a:stretch>
                    <a:fillRect/>
                  </a:stretch>
                </pic:blipFill>
                <pic:spPr>
                  <a:xfrm>
                    <a:off x="0" y="0"/>
                    <a:ext cx="377190" cy="144145"/>
                  </a:xfrm>
                  <a:prstGeom prst="rect">
                    <a:avLst/>
                  </a:prstGeom>
                  <a:noFill/>
                  <a:ln>
                    <a:noFill/>
                  </a:ln>
                </pic:spPr>
              </pic:pic>
            </a:graphicData>
          </a:graphic>
        </wp:anchor>
      </w:drawing>
    </w:r>
    <w:r>
      <w:rPr>
        <w:rFonts w:ascii="Calibri" w:hAnsi="Calibri"/>
        <w:sz w:val="18"/>
      </w:rPr>
      <w:t xml:space="preserve">                                         </w:t>
    </w:r>
    <w:r>
      <w:rPr>
        <w:rFonts w:ascii="Calibri" w:hAnsi="Calibri"/>
        <w:sz w:val="18"/>
        <w:lang w:eastAsia="zh-CN"/>
      </w:rPr>
      <w:t xml:space="preserve">                </w:t>
    </w:r>
    <w:r>
      <w:rPr>
        <w:rFonts w:ascii="Calibri" w:hAnsi="Calibri"/>
        <w:sz w:val="18"/>
      </w:rPr>
      <w:t xml:space="preserve">                                           </w:t>
    </w:r>
    <w:r>
      <w:rPr>
        <w:rFonts w:hint="eastAsia" w:ascii="宋体" w:hAnsi="宋体" w:cs="宋体"/>
        <w:b/>
        <w:color w:val="000000"/>
        <w:szCs w:val="21"/>
      </w:rPr>
      <w:t>CSCEC</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232911">
    <w:pPr>
      <w:tabs>
        <w:tab w:val="center" w:pos="4153"/>
        <w:tab w:val="right" w:pos="8306"/>
      </w:tabs>
      <w:wordWrap w:val="0"/>
      <w:snapToGrid w:val="0"/>
    </w:pPr>
    <w:r>
      <w:rPr>
        <w:rFonts w:hint="eastAsia"/>
      </w:rPr>
      <w:drawing>
        <wp:anchor distT="0" distB="0" distL="114300" distR="114300" simplePos="0" relativeHeight="251660288" behindDoc="0" locked="0" layoutInCell="1" allowOverlap="1">
          <wp:simplePos x="0" y="0"/>
          <wp:positionH relativeFrom="column">
            <wp:posOffset>7620</wp:posOffset>
          </wp:positionH>
          <wp:positionV relativeFrom="paragraph">
            <wp:posOffset>-11430</wp:posOffset>
          </wp:positionV>
          <wp:extent cx="377190" cy="144145"/>
          <wp:effectExtent l="0" t="0" r="0" b="8255"/>
          <wp:wrapNone/>
          <wp:docPr id="3" name="图片 864017878"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864017878" descr="图片1"/>
                  <pic:cNvPicPr>
                    <a:picLocks noChangeAspect="1"/>
                  </pic:cNvPicPr>
                </pic:nvPicPr>
                <pic:blipFill>
                  <a:blip r:embed="rId1">
                    <a:lum contrast="17999"/>
                  </a:blip>
                  <a:srcRect t="72632"/>
                  <a:stretch>
                    <a:fillRect/>
                  </a:stretch>
                </pic:blipFill>
                <pic:spPr>
                  <a:xfrm>
                    <a:off x="0" y="0"/>
                    <a:ext cx="377190" cy="144145"/>
                  </a:xfrm>
                  <a:prstGeom prst="rect">
                    <a:avLst/>
                  </a:prstGeom>
                  <a:noFill/>
                  <a:ln>
                    <a:noFill/>
                  </a:ln>
                </pic:spPr>
              </pic:pic>
            </a:graphicData>
          </a:graphic>
        </wp:anchor>
      </w:drawing>
    </w:r>
    <w:r>
      <w:rPr>
        <w:rFonts w:ascii="Calibri" w:hAnsi="Calibri"/>
        <w:sz w:val="18"/>
      </w:rPr>
      <w:t xml:space="preserve">                                     </w:t>
    </w:r>
    <w:r>
      <w:rPr>
        <w:rFonts w:ascii="Calibri" w:hAnsi="Calibri"/>
        <w:sz w:val="18"/>
        <w:lang w:eastAsia="zh-CN"/>
      </w:rPr>
      <w:t xml:space="preserve"> </w:t>
    </w:r>
    <w:r>
      <w:rPr>
        <w:rFonts w:ascii="Calibri" w:hAnsi="Calibri"/>
        <w:sz w:val="18"/>
      </w:rPr>
      <w:t xml:space="preserve">   </w:t>
    </w:r>
    <w:r>
      <w:rPr>
        <w:rFonts w:ascii="Calibri" w:hAnsi="Calibri"/>
        <w:sz w:val="18"/>
        <w:lang w:eastAsia="zh-CN"/>
      </w:rPr>
      <w:t xml:space="preserve">                </w:t>
    </w:r>
    <w:r>
      <w:rPr>
        <w:rFonts w:ascii="Calibri" w:hAnsi="Calibri"/>
        <w:sz w:val="18"/>
      </w:rPr>
      <w:t xml:space="preserve">                            </w:t>
    </w:r>
    <w:r>
      <w:rPr>
        <w:rFonts w:hint="eastAsia" w:ascii="宋体" w:hAnsi="宋体" w:cs="宋体"/>
        <w:b/>
        <w:color w:val="000000"/>
        <w:szCs w:val="21"/>
      </w:rPr>
      <w:t>CSCEC</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261F17">
    <w:pPr>
      <w:pStyle w:val="21"/>
      <w:pBdr>
        <w:bottom w:val="thinThickSmallGap" w:color="auto" w:sz="12" w:space="1"/>
      </w:pBdr>
      <w:jc w:val="right"/>
      <w:rPr>
        <w:sz w:val="21"/>
        <w:szCs w:val="21"/>
      </w:rPr>
    </w:pPr>
    <w:r>
      <w:rPr>
        <w:rFonts w:hAnsi="宋体"/>
        <w:sz w:val="21"/>
        <w:szCs w:val="21"/>
      </w:rPr>
      <w:t>第五篇</w:t>
    </w:r>
    <w:r>
      <w:rPr>
        <w:sz w:val="21"/>
        <w:szCs w:val="21"/>
      </w:rPr>
      <w:t xml:space="preserve">  </w:t>
    </w:r>
    <w:r>
      <w:rPr>
        <w:rFonts w:hAnsi="宋体"/>
        <w:sz w:val="21"/>
        <w:szCs w:val="21"/>
      </w:rPr>
      <w:t>图纸</w:t>
    </w:r>
    <w:r>
      <w:rPr>
        <w:sz w:val="21"/>
        <w:szCs w:val="21"/>
      </w:rPr>
      <w:t xml:space="preserve">      </w:t>
    </w:r>
    <w:r>
      <w:rPr>
        <w:b/>
        <w:sz w:val="21"/>
        <w:szCs w:val="21"/>
      </w:rPr>
      <w:t xml:space="preserve">. </w:t>
    </w:r>
    <w:r>
      <w:rPr>
        <w:b/>
        <w:sz w:val="21"/>
        <w:szCs w:val="21"/>
      </w:rPr>
      <w:fldChar w:fldCharType="begin"/>
    </w:r>
    <w:r>
      <w:rPr>
        <w:b/>
        <w:sz w:val="21"/>
        <w:szCs w:val="21"/>
      </w:rPr>
      <w:instrText xml:space="preserve"> PAGE </w:instrText>
    </w:r>
    <w:r>
      <w:rPr>
        <w:b/>
        <w:sz w:val="21"/>
        <w:szCs w:val="21"/>
      </w:rPr>
      <w:fldChar w:fldCharType="separate"/>
    </w:r>
    <w:r>
      <w:rPr>
        <w:b/>
        <w:sz w:val="21"/>
        <w:szCs w:val="21"/>
      </w:rPr>
      <w:t>19</w:t>
    </w:r>
    <w:r>
      <w:rPr>
        <w:b/>
        <w:sz w:val="21"/>
        <w:szCs w:val="21"/>
      </w:rPr>
      <w:fldChar w:fldCharType="end"/>
    </w:r>
    <w:r>
      <w:rPr>
        <w:b/>
        <w:sz w:val="21"/>
        <w:szCs w:val="21"/>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0D6C54">
    <w:pPr>
      <w:pStyle w:val="21"/>
      <w:jc w:val="both"/>
      <w:rPr>
        <w:sz w:val="18"/>
        <w:szCs w:val="18"/>
      </w:rPr>
    </w:pPr>
    <w:r>
      <w:rPr>
        <w:rFonts w:hint="eastAsia"/>
      </w:rPr>
      <w:drawing>
        <wp:inline distT="0" distB="0" distL="0" distR="0">
          <wp:extent cx="228600" cy="266700"/>
          <wp:effectExtent l="0" t="0" r="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28600" cy="266700"/>
                  </a:xfrm>
                  <a:prstGeom prst="rect">
                    <a:avLst/>
                  </a:prstGeom>
                  <a:noFill/>
                  <a:ln>
                    <a:noFill/>
                  </a:ln>
                </pic:spPr>
              </pic:pic>
            </a:graphicData>
          </a:graphic>
        </wp:inline>
      </w:drawing>
    </w:r>
    <w:r>
      <w:rPr>
        <w:rFonts w:hint="eastAsia"/>
        <w:sz w:val="18"/>
        <w:szCs w:val="18"/>
      </w:rPr>
      <w:t>【中建路桥集团</w:t>
    </w:r>
    <w:r>
      <w:rPr>
        <w:rFonts w:hint="eastAsia"/>
        <w:sz w:val="18"/>
        <w:szCs w:val="18"/>
        <w:lang w:val="en-US" w:eastAsia="zh-CN"/>
      </w:rPr>
      <w:t>第二工程</w:t>
    </w:r>
    <w:r>
      <w:rPr>
        <w:rFonts w:hint="eastAsia"/>
        <w:sz w:val="18"/>
        <w:szCs w:val="18"/>
      </w:rPr>
      <w:t>有限公司</w:t>
    </w:r>
    <w:r>
      <w:rPr>
        <w:rFonts w:hint="eastAsia"/>
        <w:sz w:val="18"/>
        <w:szCs w:val="18"/>
        <w:lang w:val="en-US" w:eastAsia="zh-CN"/>
      </w:rPr>
      <w:t>海兴高速项目</w:t>
    </w:r>
    <w:r>
      <w:rPr>
        <w:rFonts w:hint="eastAsia"/>
        <w:sz w:val="18"/>
        <w:szCs w:val="18"/>
      </w:rPr>
      <w:t>分包采购】</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EEAEE3"/>
    <w:multiLevelType w:val="multilevel"/>
    <w:tmpl w:val="80EEAEE3"/>
    <w:lvl w:ilvl="0" w:tentative="0">
      <w:start w:val="1"/>
      <w:numFmt w:val="decimal"/>
      <w:lvlText w:val="%1"/>
      <w:lvlJc w:val="left"/>
      <w:pPr>
        <w:tabs>
          <w:tab w:val="left" w:pos="425"/>
        </w:tabs>
        <w:ind w:left="113" w:hanging="113"/>
      </w:pPr>
      <w:rPr>
        <w:color w:val="auto"/>
      </w:rPr>
    </w:lvl>
    <w:lvl w:ilvl="1" w:tentative="0">
      <w:start w:val="1"/>
      <w:numFmt w:val="decimal"/>
      <w:suff w:val="space"/>
      <w:lvlText w:val="%1.%2"/>
      <w:lvlJc w:val="left"/>
      <w:pPr>
        <w:ind w:left="388" w:firstLine="0"/>
      </w:pPr>
      <w:rPr>
        <w:b/>
        <w:color w:val="auto"/>
      </w:rPr>
    </w:lvl>
    <w:lvl w:ilvl="2" w:tentative="0">
      <w:start w:val="1"/>
      <w:numFmt w:val="decimal"/>
      <w:lvlText w:val="%1.%2.%3"/>
      <w:lvlJc w:val="left"/>
      <w:pPr>
        <w:tabs>
          <w:tab w:val="left" w:pos="1020"/>
        </w:tabs>
        <w:ind w:left="113" w:firstLine="22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
    <w:nsid w:val="A3CEF7C3"/>
    <w:multiLevelType w:val="singleLevel"/>
    <w:tmpl w:val="A3CEF7C3"/>
    <w:lvl w:ilvl="0" w:tentative="0">
      <w:start w:val="3"/>
      <w:numFmt w:val="chineseCounting"/>
      <w:suff w:val="space"/>
      <w:lvlText w:val="第%1章"/>
      <w:lvlJc w:val="left"/>
      <w:rPr>
        <w:rFonts w:hint="eastAsia"/>
        <w:sz w:val="32"/>
        <w:szCs w:val="32"/>
      </w:rPr>
    </w:lvl>
  </w:abstractNum>
  <w:abstractNum w:abstractNumId="2">
    <w:nsid w:val="AD7538A6"/>
    <w:multiLevelType w:val="singleLevel"/>
    <w:tmpl w:val="AD7538A6"/>
    <w:lvl w:ilvl="0" w:tentative="0">
      <w:start w:val="1"/>
      <w:numFmt w:val="chineseCounting"/>
      <w:suff w:val="space"/>
      <w:lvlText w:val="第%1部分"/>
      <w:lvlJc w:val="left"/>
      <w:pPr>
        <w:ind w:left="0" w:firstLine="0"/>
      </w:pPr>
    </w:lvl>
  </w:abstractNum>
  <w:abstractNum w:abstractNumId="3">
    <w:nsid w:val="2115380E"/>
    <w:multiLevelType w:val="singleLevel"/>
    <w:tmpl w:val="2115380E"/>
    <w:lvl w:ilvl="0" w:tentative="0">
      <w:start w:val="1"/>
      <w:numFmt w:val="decimal"/>
      <w:suff w:val="nothing"/>
      <w:lvlText w:val="（%1）"/>
      <w:lvlJc w:val="left"/>
      <w:pPr>
        <w:ind w:left="0" w:firstLine="0"/>
      </w:pPr>
    </w:lvl>
  </w:abstractNum>
  <w:abstractNum w:abstractNumId="4">
    <w:nsid w:val="233A1860"/>
    <w:multiLevelType w:val="multilevel"/>
    <w:tmpl w:val="233A1860"/>
    <w:lvl w:ilvl="0" w:tentative="0">
      <w:start w:val="1"/>
      <w:numFmt w:val="decimal"/>
      <w:lvlText w:val="（%1）"/>
      <w:lvlJc w:val="left"/>
      <w:pPr>
        <w:ind w:left="1140" w:hanging="72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5">
    <w:nsid w:val="273E2A57"/>
    <w:multiLevelType w:val="multilevel"/>
    <w:tmpl w:val="273E2A57"/>
    <w:lvl w:ilvl="0" w:tentative="0">
      <w:start w:val="1"/>
      <w:numFmt w:val="decimal"/>
      <w:lvlText w:val="（%1）"/>
      <w:lvlJc w:val="left"/>
      <w:pPr>
        <w:tabs>
          <w:tab w:val="left" w:pos="720"/>
        </w:tabs>
        <w:ind w:left="720" w:hanging="720"/>
      </w:pPr>
      <w:rPr>
        <w:rFonts w:hint="default" w:ascii="Arial" w:hAnsi="Arial"/>
        <w:b w:val="0"/>
        <w:i w:val="0"/>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3D827672"/>
    <w:multiLevelType w:val="multilevel"/>
    <w:tmpl w:val="3D827672"/>
    <w:lvl w:ilvl="0" w:tentative="0">
      <w:start w:val="1"/>
      <w:numFmt w:val="decimal"/>
      <w:lvlText w:val="（%1）"/>
      <w:lvlJc w:val="left"/>
      <w:pPr>
        <w:ind w:left="720" w:hanging="7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48F38846"/>
    <w:multiLevelType w:val="multilevel"/>
    <w:tmpl w:val="48F38846"/>
    <w:lvl w:ilvl="0" w:tentative="0">
      <w:start w:val="1"/>
      <w:numFmt w:val="decimal"/>
      <w:lvlText w:val="%1"/>
      <w:lvlJc w:val="left"/>
      <w:pPr>
        <w:tabs>
          <w:tab w:val="left" w:pos="0"/>
        </w:tabs>
        <w:ind w:left="0" w:firstLine="0"/>
      </w:pPr>
    </w:lvl>
    <w:lvl w:ilvl="1" w:tentative="0">
      <w:start w:val="1"/>
      <w:numFmt w:val="decimal"/>
      <w:lvlText w:val="%1.%2"/>
      <w:lvlJc w:val="left"/>
      <w:pPr>
        <w:tabs>
          <w:tab w:val="left" w:pos="567"/>
        </w:tabs>
        <w:ind w:left="0" w:firstLine="0"/>
      </w:pPr>
      <w:rPr>
        <w:rFonts w:hint="eastAsia" w:ascii="宋体" w:hAnsi="宋体" w:eastAsia="宋体" w:cs="宋体"/>
        <w:b/>
        <w:color w:val="auto"/>
      </w:rPr>
    </w:lvl>
    <w:lvl w:ilvl="2" w:tentative="0">
      <w:start w:val="1"/>
      <w:numFmt w:val="decimal"/>
      <w:lvlText w:val="%1.%2.%3"/>
      <w:lvlJc w:val="left"/>
      <w:pPr>
        <w:tabs>
          <w:tab w:val="left" w:pos="0"/>
        </w:tabs>
        <w:ind w:left="0" w:firstLine="0"/>
      </w:pPr>
      <w:rPr>
        <w:rFonts w:hint="eastAsia" w:ascii="宋体" w:hAnsi="宋体" w:eastAsia="宋体" w:cs="宋体"/>
      </w:rPr>
    </w:lvl>
    <w:lvl w:ilvl="3" w:tentative="0">
      <w:start w:val="1"/>
      <w:numFmt w:val="decimal"/>
      <w:lvlText w:val="%1.%2.%3.%4"/>
      <w:lvlJc w:val="left"/>
      <w:pPr>
        <w:tabs>
          <w:tab w:val="left" w:pos="0"/>
        </w:tabs>
        <w:ind w:left="0" w:firstLine="0"/>
      </w:pPr>
      <w:rPr>
        <w:rFonts w:hint="eastAsia" w:ascii="宋体" w:hAnsi="宋体" w:eastAsia="宋体" w:cs="宋体"/>
      </w:rPr>
    </w:lvl>
    <w:lvl w:ilvl="4" w:tentative="0">
      <w:start w:val="1"/>
      <w:numFmt w:val="decimal"/>
      <w:lvlText w:val="%1.%2.%3.%4.%5"/>
      <w:lvlJc w:val="left"/>
      <w:pPr>
        <w:tabs>
          <w:tab w:val="left" w:pos="0"/>
        </w:tabs>
        <w:ind w:left="0" w:firstLine="0"/>
      </w:pPr>
      <w:rPr>
        <w:rFonts w:hint="eastAsia" w:ascii="宋体" w:hAnsi="宋体" w:eastAsia="宋体" w:cs="宋体"/>
      </w:r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8">
    <w:nsid w:val="522C26EC"/>
    <w:multiLevelType w:val="multilevel"/>
    <w:tmpl w:val="522C26EC"/>
    <w:lvl w:ilvl="0" w:tentative="0">
      <w:start w:val="1"/>
      <w:numFmt w:val="decimal"/>
      <w:lvlText w:val="（%1）"/>
      <w:lvlJc w:val="left"/>
      <w:pPr>
        <w:ind w:left="720" w:hanging="7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5A7E6313"/>
    <w:multiLevelType w:val="multilevel"/>
    <w:tmpl w:val="5A7E6313"/>
    <w:lvl w:ilvl="0" w:tentative="0">
      <w:start w:val="1"/>
      <w:numFmt w:val="decimal"/>
      <w:lvlText w:val="%1."/>
      <w:lvlJc w:val="right"/>
      <w:pPr>
        <w:tabs>
          <w:tab w:val="left" w:pos="630"/>
        </w:tabs>
        <w:ind w:left="63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66E3D89C"/>
    <w:multiLevelType w:val="singleLevel"/>
    <w:tmpl w:val="66E3D89C"/>
    <w:lvl w:ilvl="0" w:tentative="0">
      <w:start w:val="1"/>
      <w:numFmt w:val="decimal"/>
      <w:suff w:val="nothing"/>
      <w:lvlText w:val="（%1）"/>
      <w:lvlJc w:val="left"/>
    </w:lvl>
  </w:abstractNum>
  <w:abstractNum w:abstractNumId="11">
    <w:nsid w:val="6AE60F9E"/>
    <w:multiLevelType w:val="singleLevel"/>
    <w:tmpl w:val="6AE60F9E"/>
    <w:lvl w:ilvl="0" w:tentative="0">
      <w:start w:val="4"/>
      <w:numFmt w:val="chineseCounting"/>
      <w:suff w:val="space"/>
      <w:lvlText w:val="第%1章"/>
      <w:lvlJc w:val="left"/>
      <w:rPr>
        <w:rFonts w:hint="eastAsia"/>
      </w:rPr>
    </w:lvl>
  </w:abstractNum>
  <w:abstractNum w:abstractNumId="12">
    <w:nsid w:val="710E65B5"/>
    <w:multiLevelType w:val="multilevel"/>
    <w:tmpl w:val="710E65B5"/>
    <w:lvl w:ilvl="0" w:tentative="0">
      <w:start w:val="1"/>
      <w:numFmt w:val="decimal"/>
      <w:lvlText w:val="%1"/>
      <w:lvlJc w:val="left"/>
      <w:pPr>
        <w:tabs>
          <w:tab w:val="left" w:pos="425"/>
        </w:tabs>
        <w:ind w:left="425" w:hanging="425"/>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8"/>
        </w:tabs>
        <w:ind w:left="1418"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3">
    <w:nsid w:val="79A482B7"/>
    <w:multiLevelType w:val="singleLevel"/>
    <w:tmpl w:val="79A482B7"/>
    <w:lvl w:ilvl="0" w:tentative="0">
      <w:start w:val="3"/>
      <w:numFmt w:val="decimal"/>
      <w:suff w:val="nothing"/>
      <w:lvlText w:val="（%1）"/>
      <w:lvlJc w:val="left"/>
      <w:pPr>
        <w:ind w:left="0" w:firstLine="0"/>
      </w:pPr>
    </w:lvl>
  </w:abstractNum>
  <w:num w:numId="1">
    <w:abstractNumId w:val="5"/>
  </w:num>
  <w:num w:numId="2">
    <w:abstractNumId w:val="11"/>
  </w:num>
  <w:num w:numId="3">
    <w:abstractNumId w:val="2"/>
    <w:lvlOverride w:ilvl="0">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3"/>
    </w:lvlOverride>
  </w:num>
  <w:num w:numId="12">
    <w:abstractNumId w:val="3"/>
    <w:lvlOverride w:ilvl="0">
      <w:startOverride w:val="1"/>
    </w:lvlOverride>
  </w:num>
  <w:num w:numId="13">
    <w:abstractNumId w:val="9"/>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bordersDoNotSurroundHeader w:val="1"/>
  <w:bordersDoNotSurroundFooter w:val="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FkMmEyNjg0YmM0NGU0YWIxYjc4NWI2YTVkMDM5MjcifQ=="/>
  </w:docVars>
  <w:rsids>
    <w:rsidRoot w:val="00172A27"/>
    <w:rsid w:val="0000049D"/>
    <w:rsid w:val="0000075C"/>
    <w:rsid w:val="000007D9"/>
    <w:rsid w:val="0000233E"/>
    <w:rsid w:val="000025DE"/>
    <w:rsid w:val="00002994"/>
    <w:rsid w:val="00002C2E"/>
    <w:rsid w:val="00002D01"/>
    <w:rsid w:val="00002E4D"/>
    <w:rsid w:val="000033EC"/>
    <w:rsid w:val="00004CAF"/>
    <w:rsid w:val="00004CD9"/>
    <w:rsid w:val="00004E8D"/>
    <w:rsid w:val="00005908"/>
    <w:rsid w:val="0000618E"/>
    <w:rsid w:val="00007080"/>
    <w:rsid w:val="000071B8"/>
    <w:rsid w:val="000077F8"/>
    <w:rsid w:val="00007AA8"/>
    <w:rsid w:val="00010133"/>
    <w:rsid w:val="0001123B"/>
    <w:rsid w:val="000112C6"/>
    <w:rsid w:val="00011769"/>
    <w:rsid w:val="000119F3"/>
    <w:rsid w:val="00012DAE"/>
    <w:rsid w:val="00012F9E"/>
    <w:rsid w:val="00013457"/>
    <w:rsid w:val="0001349B"/>
    <w:rsid w:val="00013535"/>
    <w:rsid w:val="000142E4"/>
    <w:rsid w:val="0001431F"/>
    <w:rsid w:val="00014AF1"/>
    <w:rsid w:val="00015CEA"/>
    <w:rsid w:val="000166CA"/>
    <w:rsid w:val="00016962"/>
    <w:rsid w:val="00017BAD"/>
    <w:rsid w:val="000201A1"/>
    <w:rsid w:val="00020BE0"/>
    <w:rsid w:val="00021750"/>
    <w:rsid w:val="0002201F"/>
    <w:rsid w:val="000221FC"/>
    <w:rsid w:val="000224DC"/>
    <w:rsid w:val="00022A72"/>
    <w:rsid w:val="00023084"/>
    <w:rsid w:val="000230B0"/>
    <w:rsid w:val="00023789"/>
    <w:rsid w:val="00023F98"/>
    <w:rsid w:val="00024A9E"/>
    <w:rsid w:val="00025935"/>
    <w:rsid w:val="0002599F"/>
    <w:rsid w:val="00025FAB"/>
    <w:rsid w:val="00026975"/>
    <w:rsid w:val="00026EB5"/>
    <w:rsid w:val="0002721E"/>
    <w:rsid w:val="0002733B"/>
    <w:rsid w:val="000275D7"/>
    <w:rsid w:val="000277AD"/>
    <w:rsid w:val="00030168"/>
    <w:rsid w:val="0003052C"/>
    <w:rsid w:val="00030817"/>
    <w:rsid w:val="00030890"/>
    <w:rsid w:val="00030CBE"/>
    <w:rsid w:val="0003120D"/>
    <w:rsid w:val="00031F71"/>
    <w:rsid w:val="00032CF3"/>
    <w:rsid w:val="00033B74"/>
    <w:rsid w:val="00034F3B"/>
    <w:rsid w:val="0003580D"/>
    <w:rsid w:val="000358FF"/>
    <w:rsid w:val="00035B70"/>
    <w:rsid w:val="00035D31"/>
    <w:rsid w:val="00036213"/>
    <w:rsid w:val="000367C6"/>
    <w:rsid w:val="00036A1F"/>
    <w:rsid w:val="00036C8B"/>
    <w:rsid w:val="00036E3A"/>
    <w:rsid w:val="00036ED4"/>
    <w:rsid w:val="000378CD"/>
    <w:rsid w:val="000409AD"/>
    <w:rsid w:val="00040C04"/>
    <w:rsid w:val="00040F1B"/>
    <w:rsid w:val="00041A31"/>
    <w:rsid w:val="00041FDD"/>
    <w:rsid w:val="000423ED"/>
    <w:rsid w:val="00042DA2"/>
    <w:rsid w:val="000433D2"/>
    <w:rsid w:val="00043496"/>
    <w:rsid w:val="00043C1F"/>
    <w:rsid w:val="00043C9C"/>
    <w:rsid w:val="0004414B"/>
    <w:rsid w:val="00044511"/>
    <w:rsid w:val="000449D2"/>
    <w:rsid w:val="00045103"/>
    <w:rsid w:val="00045B5D"/>
    <w:rsid w:val="00047074"/>
    <w:rsid w:val="0004761C"/>
    <w:rsid w:val="00047956"/>
    <w:rsid w:val="00047A77"/>
    <w:rsid w:val="00047F59"/>
    <w:rsid w:val="000500DB"/>
    <w:rsid w:val="00050D7C"/>
    <w:rsid w:val="00050E5D"/>
    <w:rsid w:val="00050E8B"/>
    <w:rsid w:val="0005157F"/>
    <w:rsid w:val="00052934"/>
    <w:rsid w:val="00052E88"/>
    <w:rsid w:val="00053198"/>
    <w:rsid w:val="00053999"/>
    <w:rsid w:val="00053A91"/>
    <w:rsid w:val="000540EC"/>
    <w:rsid w:val="000551CD"/>
    <w:rsid w:val="00055DFC"/>
    <w:rsid w:val="00055FF3"/>
    <w:rsid w:val="00056399"/>
    <w:rsid w:val="00056BD3"/>
    <w:rsid w:val="00056D41"/>
    <w:rsid w:val="0005750B"/>
    <w:rsid w:val="00057886"/>
    <w:rsid w:val="0006027D"/>
    <w:rsid w:val="000604C3"/>
    <w:rsid w:val="00060547"/>
    <w:rsid w:val="00060D0D"/>
    <w:rsid w:val="000615CD"/>
    <w:rsid w:val="00061C33"/>
    <w:rsid w:val="000623CB"/>
    <w:rsid w:val="00062B92"/>
    <w:rsid w:val="00062F42"/>
    <w:rsid w:val="0006342B"/>
    <w:rsid w:val="00063663"/>
    <w:rsid w:val="00063E69"/>
    <w:rsid w:val="000640FE"/>
    <w:rsid w:val="00064FC3"/>
    <w:rsid w:val="000650CF"/>
    <w:rsid w:val="00065A8D"/>
    <w:rsid w:val="00065F4A"/>
    <w:rsid w:val="000660BE"/>
    <w:rsid w:val="000660CC"/>
    <w:rsid w:val="00066283"/>
    <w:rsid w:val="00066807"/>
    <w:rsid w:val="00066F3E"/>
    <w:rsid w:val="0006736D"/>
    <w:rsid w:val="0006755E"/>
    <w:rsid w:val="0007013C"/>
    <w:rsid w:val="0007025A"/>
    <w:rsid w:val="000708BD"/>
    <w:rsid w:val="0007176B"/>
    <w:rsid w:val="000726A7"/>
    <w:rsid w:val="00072EFE"/>
    <w:rsid w:val="00073978"/>
    <w:rsid w:val="000746F9"/>
    <w:rsid w:val="000747CD"/>
    <w:rsid w:val="000748B8"/>
    <w:rsid w:val="00074ABA"/>
    <w:rsid w:val="00075AA3"/>
    <w:rsid w:val="0007656C"/>
    <w:rsid w:val="00076683"/>
    <w:rsid w:val="00076A31"/>
    <w:rsid w:val="00076B20"/>
    <w:rsid w:val="00076BB0"/>
    <w:rsid w:val="00076F05"/>
    <w:rsid w:val="0007701E"/>
    <w:rsid w:val="00077499"/>
    <w:rsid w:val="000774DF"/>
    <w:rsid w:val="000807ED"/>
    <w:rsid w:val="00080868"/>
    <w:rsid w:val="00080A65"/>
    <w:rsid w:val="000810A8"/>
    <w:rsid w:val="000813F8"/>
    <w:rsid w:val="000816B4"/>
    <w:rsid w:val="00082C34"/>
    <w:rsid w:val="00082E6B"/>
    <w:rsid w:val="00084E7F"/>
    <w:rsid w:val="0008534B"/>
    <w:rsid w:val="000855D3"/>
    <w:rsid w:val="00085806"/>
    <w:rsid w:val="0008599D"/>
    <w:rsid w:val="00086055"/>
    <w:rsid w:val="00086298"/>
    <w:rsid w:val="000862DC"/>
    <w:rsid w:val="000865B3"/>
    <w:rsid w:val="000869FB"/>
    <w:rsid w:val="00086B34"/>
    <w:rsid w:val="00086E58"/>
    <w:rsid w:val="000873AC"/>
    <w:rsid w:val="000904AC"/>
    <w:rsid w:val="000907C8"/>
    <w:rsid w:val="00090C02"/>
    <w:rsid w:val="00090E2F"/>
    <w:rsid w:val="000921A7"/>
    <w:rsid w:val="00092402"/>
    <w:rsid w:val="00092570"/>
    <w:rsid w:val="0009294C"/>
    <w:rsid w:val="000930A8"/>
    <w:rsid w:val="00093DC3"/>
    <w:rsid w:val="000940D0"/>
    <w:rsid w:val="00094A70"/>
    <w:rsid w:val="00095601"/>
    <w:rsid w:val="000957E6"/>
    <w:rsid w:val="000959D0"/>
    <w:rsid w:val="000962AC"/>
    <w:rsid w:val="00096B29"/>
    <w:rsid w:val="00097B1A"/>
    <w:rsid w:val="000A0393"/>
    <w:rsid w:val="000A0DEA"/>
    <w:rsid w:val="000A1B78"/>
    <w:rsid w:val="000A22BD"/>
    <w:rsid w:val="000A22DE"/>
    <w:rsid w:val="000A34FE"/>
    <w:rsid w:val="000A3B03"/>
    <w:rsid w:val="000A48E1"/>
    <w:rsid w:val="000A4C85"/>
    <w:rsid w:val="000A4D90"/>
    <w:rsid w:val="000A5730"/>
    <w:rsid w:val="000A5791"/>
    <w:rsid w:val="000A59ED"/>
    <w:rsid w:val="000A5E98"/>
    <w:rsid w:val="000A762D"/>
    <w:rsid w:val="000B03F5"/>
    <w:rsid w:val="000B0EAD"/>
    <w:rsid w:val="000B12A7"/>
    <w:rsid w:val="000B13F5"/>
    <w:rsid w:val="000B1435"/>
    <w:rsid w:val="000B170B"/>
    <w:rsid w:val="000B198A"/>
    <w:rsid w:val="000B1A75"/>
    <w:rsid w:val="000B1F2F"/>
    <w:rsid w:val="000B206C"/>
    <w:rsid w:val="000B24CE"/>
    <w:rsid w:val="000B3017"/>
    <w:rsid w:val="000B39AC"/>
    <w:rsid w:val="000B4EBD"/>
    <w:rsid w:val="000B531D"/>
    <w:rsid w:val="000B5AC7"/>
    <w:rsid w:val="000B6439"/>
    <w:rsid w:val="000B6518"/>
    <w:rsid w:val="000B6A22"/>
    <w:rsid w:val="000B772C"/>
    <w:rsid w:val="000C01B7"/>
    <w:rsid w:val="000C02AC"/>
    <w:rsid w:val="000C0312"/>
    <w:rsid w:val="000C05B5"/>
    <w:rsid w:val="000C1282"/>
    <w:rsid w:val="000C173F"/>
    <w:rsid w:val="000C20DA"/>
    <w:rsid w:val="000C27DB"/>
    <w:rsid w:val="000C3050"/>
    <w:rsid w:val="000C346D"/>
    <w:rsid w:val="000C3A60"/>
    <w:rsid w:val="000C3F09"/>
    <w:rsid w:val="000C4621"/>
    <w:rsid w:val="000C47EB"/>
    <w:rsid w:val="000C5B58"/>
    <w:rsid w:val="000C6148"/>
    <w:rsid w:val="000C640D"/>
    <w:rsid w:val="000C6665"/>
    <w:rsid w:val="000C6783"/>
    <w:rsid w:val="000C72F2"/>
    <w:rsid w:val="000C7DE6"/>
    <w:rsid w:val="000D13A7"/>
    <w:rsid w:val="000D1595"/>
    <w:rsid w:val="000D1B45"/>
    <w:rsid w:val="000D1E34"/>
    <w:rsid w:val="000D1ECA"/>
    <w:rsid w:val="000D2675"/>
    <w:rsid w:val="000D3BB4"/>
    <w:rsid w:val="000D4255"/>
    <w:rsid w:val="000D466F"/>
    <w:rsid w:val="000D4872"/>
    <w:rsid w:val="000D6525"/>
    <w:rsid w:val="000D6A12"/>
    <w:rsid w:val="000D7624"/>
    <w:rsid w:val="000D7938"/>
    <w:rsid w:val="000D79E4"/>
    <w:rsid w:val="000D7AD0"/>
    <w:rsid w:val="000D7FA8"/>
    <w:rsid w:val="000E04B9"/>
    <w:rsid w:val="000E04D5"/>
    <w:rsid w:val="000E082F"/>
    <w:rsid w:val="000E09FD"/>
    <w:rsid w:val="000E0E1C"/>
    <w:rsid w:val="000E187F"/>
    <w:rsid w:val="000E22C0"/>
    <w:rsid w:val="000E271A"/>
    <w:rsid w:val="000E33F5"/>
    <w:rsid w:val="000E4C58"/>
    <w:rsid w:val="000E4D37"/>
    <w:rsid w:val="000E53EE"/>
    <w:rsid w:val="000E592E"/>
    <w:rsid w:val="000E74E4"/>
    <w:rsid w:val="000F02BD"/>
    <w:rsid w:val="000F03A5"/>
    <w:rsid w:val="000F12BE"/>
    <w:rsid w:val="000F2DBB"/>
    <w:rsid w:val="000F3DED"/>
    <w:rsid w:val="000F49CD"/>
    <w:rsid w:val="000F4B41"/>
    <w:rsid w:val="000F5098"/>
    <w:rsid w:val="000F5D71"/>
    <w:rsid w:val="000F5E8B"/>
    <w:rsid w:val="000F623E"/>
    <w:rsid w:val="000F647D"/>
    <w:rsid w:val="000F6A05"/>
    <w:rsid w:val="000F6E0A"/>
    <w:rsid w:val="000F7858"/>
    <w:rsid w:val="000F7AD1"/>
    <w:rsid w:val="000F7FF6"/>
    <w:rsid w:val="0010034C"/>
    <w:rsid w:val="00100359"/>
    <w:rsid w:val="00101216"/>
    <w:rsid w:val="00101316"/>
    <w:rsid w:val="001014E7"/>
    <w:rsid w:val="001017AB"/>
    <w:rsid w:val="0010267F"/>
    <w:rsid w:val="001026AA"/>
    <w:rsid w:val="001028E9"/>
    <w:rsid w:val="00103427"/>
    <w:rsid w:val="00103A48"/>
    <w:rsid w:val="00103B7F"/>
    <w:rsid w:val="00103BFC"/>
    <w:rsid w:val="00103F43"/>
    <w:rsid w:val="001048EF"/>
    <w:rsid w:val="0010596E"/>
    <w:rsid w:val="00105B1D"/>
    <w:rsid w:val="001063D4"/>
    <w:rsid w:val="001066E5"/>
    <w:rsid w:val="00107167"/>
    <w:rsid w:val="00107575"/>
    <w:rsid w:val="00107B45"/>
    <w:rsid w:val="00107C35"/>
    <w:rsid w:val="001117B7"/>
    <w:rsid w:val="00111BB0"/>
    <w:rsid w:val="00111DA2"/>
    <w:rsid w:val="00111F7B"/>
    <w:rsid w:val="001122EF"/>
    <w:rsid w:val="0011249D"/>
    <w:rsid w:val="00112628"/>
    <w:rsid w:val="00112990"/>
    <w:rsid w:val="00113760"/>
    <w:rsid w:val="001143CF"/>
    <w:rsid w:val="00114B20"/>
    <w:rsid w:val="001155DE"/>
    <w:rsid w:val="001156F4"/>
    <w:rsid w:val="00116315"/>
    <w:rsid w:val="00116885"/>
    <w:rsid w:val="00116C3C"/>
    <w:rsid w:val="00120834"/>
    <w:rsid w:val="00121083"/>
    <w:rsid w:val="001210C1"/>
    <w:rsid w:val="001211E9"/>
    <w:rsid w:val="0012132C"/>
    <w:rsid w:val="001218AB"/>
    <w:rsid w:val="001218AC"/>
    <w:rsid w:val="00121D74"/>
    <w:rsid w:val="00122417"/>
    <w:rsid w:val="00122536"/>
    <w:rsid w:val="00122715"/>
    <w:rsid w:val="001229D8"/>
    <w:rsid w:val="00123066"/>
    <w:rsid w:val="0012439C"/>
    <w:rsid w:val="001255B0"/>
    <w:rsid w:val="0012578D"/>
    <w:rsid w:val="001257D7"/>
    <w:rsid w:val="00126948"/>
    <w:rsid w:val="001276D4"/>
    <w:rsid w:val="0012796C"/>
    <w:rsid w:val="00127D8E"/>
    <w:rsid w:val="00127E98"/>
    <w:rsid w:val="0013095A"/>
    <w:rsid w:val="001311DA"/>
    <w:rsid w:val="00131690"/>
    <w:rsid w:val="00131747"/>
    <w:rsid w:val="0013216C"/>
    <w:rsid w:val="001331D1"/>
    <w:rsid w:val="001332C2"/>
    <w:rsid w:val="001335FC"/>
    <w:rsid w:val="001343AE"/>
    <w:rsid w:val="00134460"/>
    <w:rsid w:val="0013469E"/>
    <w:rsid w:val="00134893"/>
    <w:rsid w:val="001348D7"/>
    <w:rsid w:val="00135B59"/>
    <w:rsid w:val="001360BA"/>
    <w:rsid w:val="00136586"/>
    <w:rsid w:val="00136615"/>
    <w:rsid w:val="00136714"/>
    <w:rsid w:val="00136CDA"/>
    <w:rsid w:val="001370BE"/>
    <w:rsid w:val="0013719E"/>
    <w:rsid w:val="0013720E"/>
    <w:rsid w:val="001373EB"/>
    <w:rsid w:val="00137515"/>
    <w:rsid w:val="00137870"/>
    <w:rsid w:val="00137E04"/>
    <w:rsid w:val="00140E9F"/>
    <w:rsid w:val="0014199F"/>
    <w:rsid w:val="00142054"/>
    <w:rsid w:val="001428C5"/>
    <w:rsid w:val="00142DFA"/>
    <w:rsid w:val="00142E50"/>
    <w:rsid w:val="0014313D"/>
    <w:rsid w:val="00143EEF"/>
    <w:rsid w:val="001450D2"/>
    <w:rsid w:val="00146B76"/>
    <w:rsid w:val="00146D1D"/>
    <w:rsid w:val="00147060"/>
    <w:rsid w:val="001475CA"/>
    <w:rsid w:val="00147C33"/>
    <w:rsid w:val="001500EC"/>
    <w:rsid w:val="00150BB5"/>
    <w:rsid w:val="001516C0"/>
    <w:rsid w:val="00151AA0"/>
    <w:rsid w:val="00152DE7"/>
    <w:rsid w:val="001534B2"/>
    <w:rsid w:val="00153A01"/>
    <w:rsid w:val="001550F1"/>
    <w:rsid w:val="00155516"/>
    <w:rsid w:val="001555FC"/>
    <w:rsid w:val="001559AA"/>
    <w:rsid w:val="00156003"/>
    <w:rsid w:val="001560E0"/>
    <w:rsid w:val="00156145"/>
    <w:rsid w:val="00156557"/>
    <w:rsid w:val="00156AED"/>
    <w:rsid w:val="00156F2A"/>
    <w:rsid w:val="00157124"/>
    <w:rsid w:val="00157712"/>
    <w:rsid w:val="00157A2E"/>
    <w:rsid w:val="00157A41"/>
    <w:rsid w:val="00160832"/>
    <w:rsid w:val="00161493"/>
    <w:rsid w:val="0016354C"/>
    <w:rsid w:val="00163690"/>
    <w:rsid w:val="00163CE1"/>
    <w:rsid w:val="00164141"/>
    <w:rsid w:val="00164762"/>
    <w:rsid w:val="00166483"/>
    <w:rsid w:val="00166E62"/>
    <w:rsid w:val="0016753A"/>
    <w:rsid w:val="00167601"/>
    <w:rsid w:val="001679C1"/>
    <w:rsid w:val="001713DB"/>
    <w:rsid w:val="0017253A"/>
    <w:rsid w:val="00172CF6"/>
    <w:rsid w:val="00173221"/>
    <w:rsid w:val="001736EF"/>
    <w:rsid w:val="001737AF"/>
    <w:rsid w:val="00173C67"/>
    <w:rsid w:val="00173C6F"/>
    <w:rsid w:val="00173ED9"/>
    <w:rsid w:val="0017428F"/>
    <w:rsid w:val="001748A4"/>
    <w:rsid w:val="00174BA7"/>
    <w:rsid w:val="001756AE"/>
    <w:rsid w:val="0017642E"/>
    <w:rsid w:val="001771FE"/>
    <w:rsid w:val="00177214"/>
    <w:rsid w:val="00180195"/>
    <w:rsid w:val="001805BD"/>
    <w:rsid w:val="00180819"/>
    <w:rsid w:val="00180F24"/>
    <w:rsid w:val="0018145F"/>
    <w:rsid w:val="00181F9B"/>
    <w:rsid w:val="00182392"/>
    <w:rsid w:val="001826FC"/>
    <w:rsid w:val="00182A8B"/>
    <w:rsid w:val="00182BB1"/>
    <w:rsid w:val="00182D0D"/>
    <w:rsid w:val="00182F8D"/>
    <w:rsid w:val="00183484"/>
    <w:rsid w:val="00183F16"/>
    <w:rsid w:val="00183F35"/>
    <w:rsid w:val="001841DB"/>
    <w:rsid w:val="0018426A"/>
    <w:rsid w:val="00184464"/>
    <w:rsid w:val="00184508"/>
    <w:rsid w:val="00184985"/>
    <w:rsid w:val="001859BE"/>
    <w:rsid w:val="00185A73"/>
    <w:rsid w:val="00185ACE"/>
    <w:rsid w:val="00186600"/>
    <w:rsid w:val="00186F90"/>
    <w:rsid w:val="00186FB0"/>
    <w:rsid w:val="0018772A"/>
    <w:rsid w:val="00187E9D"/>
    <w:rsid w:val="001902B7"/>
    <w:rsid w:val="001904F6"/>
    <w:rsid w:val="00191D3D"/>
    <w:rsid w:val="00192C53"/>
    <w:rsid w:val="00193568"/>
    <w:rsid w:val="00193EC2"/>
    <w:rsid w:val="001944DE"/>
    <w:rsid w:val="0019505A"/>
    <w:rsid w:val="00195301"/>
    <w:rsid w:val="00195950"/>
    <w:rsid w:val="001962CA"/>
    <w:rsid w:val="00196E04"/>
    <w:rsid w:val="001970E9"/>
    <w:rsid w:val="00197742"/>
    <w:rsid w:val="00197A1C"/>
    <w:rsid w:val="00197D89"/>
    <w:rsid w:val="001A002B"/>
    <w:rsid w:val="001A006F"/>
    <w:rsid w:val="001A0592"/>
    <w:rsid w:val="001A0ED7"/>
    <w:rsid w:val="001A14A8"/>
    <w:rsid w:val="001A21D2"/>
    <w:rsid w:val="001A244F"/>
    <w:rsid w:val="001A25F4"/>
    <w:rsid w:val="001A3009"/>
    <w:rsid w:val="001A32C2"/>
    <w:rsid w:val="001A344D"/>
    <w:rsid w:val="001A41F5"/>
    <w:rsid w:val="001A61E6"/>
    <w:rsid w:val="001A685E"/>
    <w:rsid w:val="001A6D03"/>
    <w:rsid w:val="001A7234"/>
    <w:rsid w:val="001A7584"/>
    <w:rsid w:val="001A7B1C"/>
    <w:rsid w:val="001A7BE4"/>
    <w:rsid w:val="001A7EF6"/>
    <w:rsid w:val="001B0451"/>
    <w:rsid w:val="001B05F9"/>
    <w:rsid w:val="001B0EB4"/>
    <w:rsid w:val="001B0F07"/>
    <w:rsid w:val="001B14C0"/>
    <w:rsid w:val="001B19F7"/>
    <w:rsid w:val="001B2155"/>
    <w:rsid w:val="001B2832"/>
    <w:rsid w:val="001B2BC8"/>
    <w:rsid w:val="001B304A"/>
    <w:rsid w:val="001B31EA"/>
    <w:rsid w:val="001B3CD1"/>
    <w:rsid w:val="001B3D6D"/>
    <w:rsid w:val="001B459A"/>
    <w:rsid w:val="001B4C3A"/>
    <w:rsid w:val="001B51BA"/>
    <w:rsid w:val="001B5368"/>
    <w:rsid w:val="001B67A8"/>
    <w:rsid w:val="001B71BA"/>
    <w:rsid w:val="001B740B"/>
    <w:rsid w:val="001B7EC4"/>
    <w:rsid w:val="001C068D"/>
    <w:rsid w:val="001C0900"/>
    <w:rsid w:val="001C0A0F"/>
    <w:rsid w:val="001C0B38"/>
    <w:rsid w:val="001C0E28"/>
    <w:rsid w:val="001C12DA"/>
    <w:rsid w:val="001C1347"/>
    <w:rsid w:val="001C1D18"/>
    <w:rsid w:val="001C232C"/>
    <w:rsid w:val="001C2E21"/>
    <w:rsid w:val="001C30CC"/>
    <w:rsid w:val="001C33D3"/>
    <w:rsid w:val="001C33DA"/>
    <w:rsid w:val="001C3413"/>
    <w:rsid w:val="001C3B6D"/>
    <w:rsid w:val="001C3BA2"/>
    <w:rsid w:val="001C3CB4"/>
    <w:rsid w:val="001C44E8"/>
    <w:rsid w:val="001C45C9"/>
    <w:rsid w:val="001C50E1"/>
    <w:rsid w:val="001C58A8"/>
    <w:rsid w:val="001C668A"/>
    <w:rsid w:val="001C7548"/>
    <w:rsid w:val="001C7F97"/>
    <w:rsid w:val="001D0A54"/>
    <w:rsid w:val="001D0C7D"/>
    <w:rsid w:val="001D115B"/>
    <w:rsid w:val="001D1687"/>
    <w:rsid w:val="001D19AD"/>
    <w:rsid w:val="001D2E7C"/>
    <w:rsid w:val="001D2FEE"/>
    <w:rsid w:val="001D303D"/>
    <w:rsid w:val="001D3A54"/>
    <w:rsid w:val="001D4312"/>
    <w:rsid w:val="001D4529"/>
    <w:rsid w:val="001D4F1F"/>
    <w:rsid w:val="001D5325"/>
    <w:rsid w:val="001D5A69"/>
    <w:rsid w:val="001D5D40"/>
    <w:rsid w:val="001D5DD8"/>
    <w:rsid w:val="001D64DF"/>
    <w:rsid w:val="001D682E"/>
    <w:rsid w:val="001D68EC"/>
    <w:rsid w:val="001D6DBF"/>
    <w:rsid w:val="001D701A"/>
    <w:rsid w:val="001D77FC"/>
    <w:rsid w:val="001E008E"/>
    <w:rsid w:val="001E0224"/>
    <w:rsid w:val="001E0DA8"/>
    <w:rsid w:val="001E1912"/>
    <w:rsid w:val="001E2003"/>
    <w:rsid w:val="001E226B"/>
    <w:rsid w:val="001E250D"/>
    <w:rsid w:val="001E28B1"/>
    <w:rsid w:val="001E31B4"/>
    <w:rsid w:val="001E3C34"/>
    <w:rsid w:val="001E400E"/>
    <w:rsid w:val="001E43EE"/>
    <w:rsid w:val="001E44F5"/>
    <w:rsid w:val="001E4972"/>
    <w:rsid w:val="001E520F"/>
    <w:rsid w:val="001E5896"/>
    <w:rsid w:val="001E6318"/>
    <w:rsid w:val="001E75A5"/>
    <w:rsid w:val="001E7DC9"/>
    <w:rsid w:val="001F0B1C"/>
    <w:rsid w:val="001F15A3"/>
    <w:rsid w:val="001F24DA"/>
    <w:rsid w:val="001F2FDE"/>
    <w:rsid w:val="001F383A"/>
    <w:rsid w:val="001F3C27"/>
    <w:rsid w:val="001F3DB5"/>
    <w:rsid w:val="001F3DF4"/>
    <w:rsid w:val="001F4656"/>
    <w:rsid w:val="001F46E1"/>
    <w:rsid w:val="001F4CBB"/>
    <w:rsid w:val="001F4D53"/>
    <w:rsid w:val="001F4EB1"/>
    <w:rsid w:val="001F620B"/>
    <w:rsid w:val="001F6B8E"/>
    <w:rsid w:val="001F6C0C"/>
    <w:rsid w:val="001F6D2F"/>
    <w:rsid w:val="001F70EF"/>
    <w:rsid w:val="001F717B"/>
    <w:rsid w:val="001F746A"/>
    <w:rsid w:val="001F7DA9"/>
    <w:rsid w:val="0020013D"/>
    <w:rsid w:val="002004C7"/>
    <w:rsid w:val="00200D32"/>
    <w:rsid w:val="00200D49"/>
    <w:rsid w:val="0020131A"/>
    <w:rsid w:val="002015D8"/>
    <w:rsid w:val="00201CE0"/>
    <w:rsid w:val="002023A7"/>
    <w:rsid w:val="002025B0"/>
    <w:rsid w:val="00202839"/>
    <w:rsid w:val="00203C36"/>
    <w:rsid w:val="00204395"/>
    <w:rsid w:val="00204576"/>
    <w:rsid w:val="00204AC6"/>
    <w:rsid w:val="002061E1"/>
    <w:rsid w:val="00207E52"/>
    <w:rsid w:val="002106D1"/>
    <w:rsid w:val="0021097D"/>
    <w:rsid w:val="00210A55"/>
    <w:rsid w:val="00210E5E"/>
    <w:rsid w:val="00210EA1"/>
    <w:rsid w:val="00211306"/>
    <w:rsid w:val="00211507"/>
    <w:rsid w:val="0021171A"/>
    <w:rsid w:val="00211880"/>
    <w:rsid w:val="00212BF1"/>
    <w:rsid w:val="00212D54"/>
    <w:rsid w:val="00212E64"/>
    <w:rsid w:val="00213E16"/>
    <w:rsid w:val="002142AD"/>
    <w:rsid w:val="0021467B"/>
    <w:rsid w:val="002162B6"/>
    <w:rsid w:val="00216763"/>
    <w:rsid w:val="0021699F"/>
    <w:rsid w:val="00217113"/>
    <w:rsid w:val="0021777A"/>
    <w:rsid w:val="00217A54"/>
    <w:rsid w:val="00220E7D"/>
    <w:rsid w:val="00221519"/>
    <w:rsid w:val="0022163A"/>
    <w:rsid w:val="00223431"/>
    <w:rsid w:val="0022365A"/>
    <w:rsid w:val="0022415C"/>
    <w:rsid w:val="002244D8"/>
    <w:rsid w:val="0022470E"/>
    <w:rsid w:val="00224D18"/>
    <w:rsid w:val="00225195"/>
    <w:rsid w:val="0022593E"/>
    <w:rsid w:val="00225D21"/>
    <w:rsid w:val="002263B9"/>
    <w:rsid w:val="0022689E"/>
    <w:rsid w:val="00226B93"/>
    <w:rsid w:val="00227C7D"/>
    <w:rsid w:val="00230A21"/>
    <w:rsid w:val="00230E7C"/>
    <w:rsid w:val="002312CE"/>
    <w:rsid w:val="00231567"/>
    <w:rsid w:val="002329EF"/>
    <w:rsid w:val="002331D3"/>
    <w:rsid w:val="00233283"/>
    <w:rsid w:val="0023390A"/>
    <w:rsid w:val="00233ABC"/>
    <w:rsid w:val="002343C4"/>
    <w:rsid w:val="00235536"/>
    <w:rsid w:val="00235D8E"/>
    <w:rsid w:val="00235F93"/>
    <w:rsid w:val="00236619"/>
    <w:rsid w:val="00236935"/>
    <w:rsid w:val="00236A08"/>
    <w:rsid w:val="00236B84"/>
    <w:rsid w:val="00237E58"/>
    <w:rsid w:val="00237F57"/>
    <w:rsid w:val="00240242"/>
    <w:rsid w:val="00240548"/>
    <w:rsid w:val="002408F7"/>
    <w:rsid w:val="00240A6A"/>
    <w:rsid w:val="00241AB8"/>
    <w:rsid w:val="00241AEE"/>
    <w:rsid w:val="00242AA3"/>
    <w:rsid w:val="00242FB0"/>
    <w:rsid w:val="0024388A"/>
    <w:rsid w:val="00244CCB"/>
    <w:rsid w:val="00245530"/>
    <w:rsid w:val="00245BC6"/>
    <w:rsid w:val="00245C76"/>
    <w:rsid w:val="00246025"/>
    <w:rsid w:val="002466C7"/>
    <w:rsid w:val="002469CD"/>
    <w:rsid w:val="00246B05"/>
    <w:rsid w:val="00246E17"/>
    <w:rsid w:val="00247128"/>
    <w:rsid w:val="00247D12"/>
    <w:rsid w:val="00247E7A"/>
    <w:rsid w:val="00250154"/>
    <w:rsid w:val="002501D6"/>
    <w:rsid w:val="0025060A"/>
    <w:rsid w:val="002507B3"/>
    <w:rsid w:val="00250C6F"/>
    <w:rsid w:val="00250E0E"/>
    <w:rsid w:val="002525C9"/>
    <w:rsid w:val="00253009"/>
    <w:rsid w:val="00253CD8"/>
    <w:rsid w:val="00254A4E"/>
    <w:rsid w:val="0025523D"/>
    <w:rsid w:val="002552F2"/>
    <w:rsid w:val="00255450"/>
    <w:rsid w:val="00255B73"/>
    <w:rsid w:val="00255F4A"/>
    <w:rsid w:val="002566A7"/>
    <w:rsid w:val="0025674E"/>
    <w:rsid w:val="00256C73"/>
    <w:rsid w:val="00256DC1"/>
    <w:rsid w:val="00256E52"/>
    <w:rsid w:val="00256F9D"/>
    <w:rsid w:val="00257A74"/>
    <w:rsid w:val="00257C0D"/>
    <w:rsid w:val="0026029A"/>
    <w:rsid w:val="002608D7"/>
    <w:rsid w:val="00260D54"/>
    <w:rsid w:val="00261280"/>
    <w:rsid w:val="00262144"/>
    <w:rsid w:val="00262CCE"/>
    <w:rsid w:val="0026447F"/>
    <w:rsid w:val="00264A4F"/>
    <w:rsid w:val="00265BCE"/>
    <w:rsid w:val="0027061A"/>
    <w:rsid w:val="002715CD"/>
    <w:rsid w:val="00271812"/>
    <w:rsid w:val="00271D6D"/>
    <w:rsid w:val="00272061"/>
    <w:rsid w:val="002728C7"/>
    <w:rsid w:val="002730CE"/>
    <w:rsid w:val="00273413"/>
    <w:rsid w:val="00274601"/>
    <w:rsid w:val="002746F5"/>
    <w:rsid w:val="0027497B"/>
    <w:rsid w:val="00274E8E"/>
    <w:rsid w:val="00275234"/>
    <w:rsid w:val="00275DDF"/>
    <w:rsid w:val="00275DEC"/>
    <w:rsid w:val="002766BD"/>
    <w:rsid w:val="0027752D"/>
    <w:rsid w:val="00277903"/>
    <w:rsid w:val="00277AEA"/>
    <w:rsid w:val="00277C17"/>
    <w:rsid w:val="00280108"/>
    <w:rsid w:val="002807C2"/>
    <w:rsid w:val="00280F74"/>
    <w:rsid w:val="00281455"/>
    <w:rsid w:val="002814EA"/>
    <w:rsid w:val="00281BD5"/>
    <w:rsid w:val="00282931"/>
    <w:rsid w:val="002830C7"/>
    <w:rsid w:val="00283104"/>
    <w:rsid w:val="002836BE"/>
    <w:rsid w:val="0028400D"/>
    <w:rsid w:val="0028449F"/>
    <w:rsid w:val="00284A8F"/>
    <w:rsid w:val="00284C9B"/>
    <w:rsid w:val="0028515D"/>
    <w:rsid w:val="00285742"/>
    <w:rsid w:val="00285BC1"/>
    <w:rsid w:val="00285E50"/>
    <w:rsid w:val="00286727"/>
    <w:rsid w:val="00286735"/>
    <w:rsid w:val="00286812"/>
    <w:rsid w:val="00286954"/>
    <w:rsid w:val="00286BC4"/>
    <w:rsid w:val="00286CE3"/>
    <w:rsid w:val="0028718A"/>
    <w:rsid w:val="002871E8"/>
    <w:rsid w:val="00290990"/>
    <w:rsid w:val="00290B4A"/>
    <w:rsid w:val="00291155"/>
    <w:rsid w:val="00291418"/>
    <w:rsid w:val="002917C1"/>
    <w:rsid w:val="002921C0"/>
    <w:rsid w:val="00292C59"/>
    <w:rsid w:val="00293409"/>
    <w:rsid w:val="00293AE1"/>
    <w:rsid w:val="00294469"/>
    <w:rsid w:val="00294C41"/>
    <w:rsid w:val="002956F5"/>
    <w:rsid w:val="002959F1"/>
    <w:rsid w:val="00295BA1"/>
    <w:rsid w:val="002968FB"/>
    <w:rsid w:val="00296A42"/>
    <w:rsid w:val="00296B40"/>
    <w:rsid w:val="00297CAC"/>
    <w:rsid w:val="002A023B"/>
    <w:rsid w:val="002A034A"/>
    <w:rsid w:val="002A0A66"/>
    <w:rsid w:val="002A1B29"/>
    <w:rsid w:val="002A2060"/>
    <w:rsid w:val="002A2466"/>
    <w:rsid w:val="002A2532"/>
    <w:rsid w:val="002A267A"/>
    <w:rsid w:val="002A2CE1"/>
    <w:rsid w:val="002A32CA"/>
    <w:rsid w:val="002A3747"/>
    <w:rsid w:val="002A4515"/>
    <w:rsid w:val="002A4D5E"/>
    <w:rsid w:val="002A54BA"/>
    <w:rsid w:val="002A6289"/>
    <w:rsid w:val="002B095A"/>
    <w:rsid w:val="002B0D2E"/>
    <w:rsid w:val="002B0E1E"/>
    <w:rsid w:val="002B1FC1"/>
    <w:rsid w:val="002B2C35"/>
    <w:rsid w:val="002B398D"/>
    <w:rsid w:val="002B3EAA"/>
    <w:rsid w:val="002B3F40"/>
    <w:rsid w:val="002B4132"/>
    <w:rsid w:val="002B5DC5"/>
    <w:rsid w:val="002B611C"/>
    <w:rsid w:val="002B61D9"/>
    <w:rsid w:val="002B63EB"/>
    <w:rsid w:val="002B6810"/>
    <w:rsid w:val="002B685B"/>
    <w:rsid w:val="002B6BFF"/>
    <w:rsid w:val="002B6C4B"/>
    <w:rsid w:val="002B7007"/>
    <w:rsid w:val="002B726F"/>
    <w:rsid w:val="002B7306"/>
    <w:rsid w:val="002B7340"/>
    <w:rsid w:val="002B73EB"/>
    <w:rsid w:val="002C0516"/>
    <w:rsid w:val="002C150D"/>
    <w:rsid w:val="002C2108"/>
    <w:rsid w:val="002C21B7"/>
    <w:rsid w:val="002C21EF"/>
    <w:rsid w:val="002C230C"/>
    <w:rsid w:val="002C2A9A"/>
    <w:rsid w:val="002C2AFF"/>
    <w:rsid w:val="002C3473"/>
    <w:rsid w:val="002C36C6"/>
    <w:rsid w:val="002C3FC8"/>
    <w:rsid w:val="002C4B10"/>
    <w:rsid w:val="002C57C8"/>
    <w:rsid w:val="002C59E9"/>
    <w:rsid w:val="002C5EDB"/>
    <w:rsid w:val="002C66A1"/>
    <w:rsid w:val="002C6FCF"/>
    <w:rsid w:val="002C78F1"/>
    <w:rsid w:val="002C7B2E"/>
    <w:rsid w:val="002D01DE"/>
    <w:rsid w:val="002D1453"/>
    <w:rsid w:val="002D23C9"/>
    <w:rsid w:val="002D2740"/>
    <w:rsid w:val="002D301E"/>
    <w:rsid w:val="002D30FC"/>
    <w:rsid w:val="002D3275"/>
    <w:rsid w:val="002D37FA"/>
    <w:rsid w:val="002D38D9"/>
    <w:rsid w:val="002D3C19"/>
    <w:rsid w:val="002D40CC"/>
    <w:rsid w:val="002D5752"/>
    <w:rsid w:val="002D58F3"/>
    <w:rsid w:val="002D5C28"/>
    <w:rsid w:val="002D670C"/>
    <w:rsid w:val="002D6CF2"/>
    <w:rsid w:val="002D6EBE"/>
    <w:rsid w:val="002D7935"/>
    <w:rsid w:val="002D7F33"/>
    <w:rsid w:val="002E0506"/>
    <w:rsid w:val="002E0DD0"/>
    <w:rsid w:val="002E1CC5"/>
    <w:rsid w:val="002E2041"/>
    <w:rsid w:val="002E24B3"/>
    <w:rsid w:val="002E28BC"/>
    <w:rsid w:val="002E2980"/>
    <w:rsid w:val="002E3087"/>
    <w:rsid w:val="002E33BD"/>
    <w:rsid w:val="002E575F"/>
    <w:rsid w:val="002E5DA3"/>
    <w:rsid w:val="002E76F9"/>
    <w:rsid w:val="002E776C"/>
    <w:rsid w:val="002E7F05"/>
    <w:rsid w:val="002E7FBA"/>
    <w:rsid w:val="002F0600"/>
    <w:rsid w:val="002F0E6C"/>
    <w:rsid w:val="002F11B5"/>
    <w:rsid w:val="002F1241"/>
    <w:rsid w:val="002F1321"/>
    <w:rsid w:val="002F15B9"/>
    <w:rsid w:val="002F16A1"/>
    <w:rsid w:val="002F214F"/>
    <w:rsid w:val="002F3930"/>
    <w:rsid w:val="002F3D48"/>
    <w:rsid w:val="002F4110"/>
    <w:rsid w:val="002F4373"/>
    <w:rsid w:val="002F468F"/>
    <w:rsid w:val="002F49ED"/>
    <w:rsid w:val="002F4A17"/>
    <w:rsid w:val="002F5041"/>
    <w:rsid w:val="002F60FE"/>
    <w:rsid w:val="002F6BEB"/>
    <w:rsid w:val="002F7489"/>
    <w:rsid w:val="00300280"/>
    <w:rsid w:val="00300918"/>
    <w:rsid w:val="00300C81"/>
    <w:rsid w:val="00300FED"/>
    <w:rsid w:val="00301061"/>
    <w:rsid w:val="0030176D"/>
    <w:rsid w:val="00302897"/>
    <w:rsid w:val="00302A4B"/>
    <w:rsid w:val="003038C3"/>
    <w:rsid w:val="00303C8B"/>
    <w:rsid w:val="0030440B"/>
    <w:rsid w:val="003044D9"/>
    <w:rsid w:val="003046CE"/>
    <w:rsid w:val="003053A4"/>
    <w:rsid w:val="003063A2"/>
    <w:rsid w:val="00306408"/>
    <w:rsid w:val="003066F9"/>
    <w:rsid w:val="00306A92"/>
    <w:rsid w:val="00306F08"/>
    <w:rsid w:val="00307B20"/>
    <w:rsid w:val="00307BAB"/>
    <w:rsid w:val="00307BB2"/>
    <w:rsid w:val="0031000C"/>
    <w:rsid w:val="00310546"/>
    <w:rsid w:val="00310629"/>
    <w:rsid w:val="00310808"/>
    <w:rsid w:val="00310834"/>
    <w:rsid w:val="00310EF7"/>
    <w:rsid w:val="00311AFF"/>
    <w:rsid w:val="00311BC6"/>
    <w:rsid w:val="00312528"/>
    <w:rsid w:val="003127D2"/>
    <w:rsid w:val="00312BB2"/>
    <w:rsid w:val="00313868"/>
    <w:rsid w:val="00313A45"/>
    <w:rsid w:val="003146AA"/>
    <w:rsid w:val="00315342"/>
    <w:rsid w:val="00315DB8"/>
    <w:rsid w:val="00317639"/>
    <w:rsid w:val="003176DE"/>
    <w:rsid w:val="00317D6D"/>
    <w:rsid w:val="0032028A"/>
    <w:rsid w:val="003204A8"/>
    <w:rsid w:val="0032088A"/>
    <w:rsid w:val="00320D31"/>
    <w:rsid w:val="00320DD7"/>
    <w:rsid w:val="003211AA"/>
    <w:rsid w:val="003215AA"/>
    <w:rsid w:val="0032192E"/>
    <w:rsid w:val="00321A6E"/>
    <w:rsid w:val="00321A9E"/>
    <w:rsid w:val="00322A10"/>
    <w:rsid w:val="00322A84"/>
    <w:rsid w:val="00322C28"/>
    <w:rsid w:val="00322F53"/>
    <w:rsid w:val="003238EF"/>
    <w:rsid w:val="00323B93"/>
    <w:rsid w:val="00323C69"/>
    <w:rsid w:val="00323E6F"/>
    <w:rsid w:val="00324367"/>
    <w:rsid w:val="00324491"/>
    <w:rsid w:val="00324787"/>
    <w:rsid w:val="0032531C"/>
    <w:rsid w:val="0032544B"/>
    <w:rsid w:val="00325601"/>
    <w:rsid w:val="00325E23"/>
    <w:rsid w:val="00326575"/>
    <w:rsid w:val="00326A59"/>
    <w:rsid w:val="0032752A"/>
    <w:rsid w:val="00327D97"/>
    <w:rsid w:val="0033030F"/>
    <w:rsid w:val="00330AB2"/>
    <w:rsid w:val="00330CAB"/>
    <w:rsid w:val="00330D94"/>
    <w:rsid w:val="00331438"/>
    <w:rsid w:val="003314C7"/>
    <w:rsid w:val="00331541"/>
    <w:rsid w:val="003327DF"/>
    <w:rsid w:val="0033310B"/>
    <w:rsid w:val="00333378"/>
    <w:rsid w:val="003339EC"/>
    <w:rsid w:val="00334923"/>
    <w:rsid w:val="00335530"/>
    <w:rsid w:val="00335638"/>
    <w:rsid w:val="00335F15"/>
    <w:rsid w:val="00336884"/>
    <w:rsid w:val="00337DFC"/>
    <w:rsid w:val="00340BF0"/>
    <w:rsid w:val="00340DBC"/>
    <w:rsid w:val="00341D2E"/>
    <w:rsid w:val="00341EF3"/>
    <w:rsid w:val="00343A4D"/>
    <w:rsid w:val="00343BA1"/>
    <w:rsid w:val="00343C98"/>
    <w:rsid w:val="003440BB"/>
    <w:rsid w:val="00344BB0"/>
    <w:rsid w:val="00345354"/>
    <w:rsid w:val="00345463"/>
    <w:rsid w:val="003456A9"/>
    <w:rsid w:val="00345E85"/>
    <w:rsid w:val="00346534"/>
    <w:rsid w:val="003471E6"/>
    <w:rsid w:val="003479D7"/>
    <w:rsid w:val="00347E10"/>
    <w:rsid w:val="00350D50"/>
    <w:rsid w:val="00350E2C"/>
    <w:rsid w:val="00352100"/>
    <w:rsid w:val="003521C7"/>
    <w:rsid w:val="003527A8"/>
    <w:rsid w:val="00352A80"/>
    <w:rsid w:val="0035329B"/>
    <w:rsid w:val="00353639"/>
    <w:rsid w:val="00353DB3"/>
    <w:rsid w:val="00354078"/>
    <w:rsid w:val="00355987"/>
    <w:rsid w:val="00356DC3"/>
    <w:rsid w:val="00357169"/>
    <w:rsid w:val="00357E3C"/>
    <w:rsid w:val="003609E0"/>
    <w:rsid w:val="00361143"/>
    <w:rsid w:val="003612B2"/>
    <w:rsid w:val="0036136A"/>
    <w:rsid w:val="003618E8"/>
    <w:rsid w:val="00361973"/>
    <w:rsid w:val="00361AC9"/>
    <w:rsid w:val="00361EAE"/>
    <w:rsid w:val="00361F31"/>
    <w:rsid w:val="00362246"/>
    <w:rsid w:val="003622A2"/>
    <w:rsid w:val="003626AE"/>
    <w:rsid w:val="003632CF"/>
    <w:rsid w:val="00363424"/>
    <w:rsid w:val="00363776"/>
    <w:rsid w:val="0036397E"/>
    <w:rsid w:val="003649EA"/>
    <w:rsid w:val="00364BC0"/>
    <w:rsid w:val="00365467"/>
    <w:rsid w:val="00365AFF"/>
    <w:rsid w:val="00365E1D"/>
    <w:rsid w:val="003665D8"/>
    <w:rsid w:val="00370D5D"/>
    <w:rsid w:val="003714C1"/>
    <w:rsid w:val="00371F73"/>
    <w:rsid w:val="00371FB7"/>
    <w:rsid w:val="00372281"/>
    <w:rsid w:val="0037320D"/>
    <w:rsid w:val="003734A4"/>
    <w:rsid w:val="0037404F"/>
    <w:rsid w:val="00374276"/>
    <w:rsid w:val="0037569F"/>
    <w:rsid w:val="00375704"/>
    <w:rsid w:val="003759B7"/>
    <w:rsid w:val="003761CA"/>
    <w:rsid w:val="00376324"/>
    <w:rsid w:val="003766CB"/>
    <w:rsid w:val="00376E3E"/>
    <w:rsid w:val="00376EC8"/>
    <w:rsid w:val="00377381"/>
    <w:rsid w:val="0037765A"/>
    <w:rsid w:val="00377B07"/>
    <w:rsid w:val="00380052"/>
    <w:rsid w:val="003803E9"/>
    <w:rsid w:val="00380F91"/>
    <w:rsid w:val="003811FE"/>
    <w:rsid w:val="00381373"/>
    <w:rsid w:val="003816C5"/>
    <w:rsid w:val="003819B8"/>
    <w:rsid w:val="00383297"/>
    <w:rsid w:val="0038331A"/>
    <w:rsid w:val="00383974"/>
    <w:rsid w:val="00383E1A"/>
    <w:rsid w:val="00384D22"/>
    <w:rsid w:val="0038569B"/>
    <w:rsid w:val="0038587A"/>
    <w:rsid w:val="00385B73"/>
    <w:rsid w:val="003863B7"/>
    <w:rsid w:val="00386768"/>
    <w:rsid w:val="00386872"/>
    <w:rsid w:val="003875C4"/>
    <w:rsid w:val="00387753"/>
    <w:rsid w:val="0038777A"/>
    <w:rsid w:val="003900CF"/>
    <w:rsid w:val="00390219"/>
    <w:rsid w:val="00390A61"/>
    <w:rsid w:val="00390CBA"/>
    <w:rsid w:val="00391058"/>
    <w:rsid w:val="00391493"/>
    <w:rsid w:val="00391AF8"/>
    <w:rsid w:val="00392251"/>
    <w:rsid w:val="0039255E"/>
    <w:rsid w:val="00392F6D"/>
    <w:rsid w:val="00393AF3"/>
    <w:rsid w:val="00393C8C"/>
    <w:rsid w:val="00393F33"/>
    <w:rsid w:val="00394ABD"/>
    <w:rsid w:val="00394D2A"/>
    <w:rsid w:val="00395F24"/>
    <w:rsid w:val="003965C0"/>
    <w:rsid w:val="00396D01"/>
    <w:rsid w:val="00396D0A"/>
    <w:rsid w:val="00396F81"/>
    <w:rsid w:val="00397C66"/>
    <w:rsid w:val="003A00ED"/>
    <w:rsid w:val="003A05DE"/>
    <w:rsid w:val="003A17F3"/>
    <w:rsid w:val="003A21CC"/>
    <w:rsid w:val="003A2783"/>
    <w:rsid w:val="003A29E8"/>
    <w:rsid w:val="003A30E5"/>
    <w:rsid w:val="003A3A4F"/>
    <w:rsid w:val="003A4D6B"/>
    <w:rsid w:val="003A55BF"/>
    <w:rsid w:val="003A58AE"/>
    <w:rsid w:val="003A5F90"/>
    <w:rsid w:val="003A64E9"/>
    <w:rsid w:val="003A6C25"/>
    <w:rsid w:val="003A7847"/>
    <w:rsid w:val="003A786B"/>
    <w:rsid w:val="003A7FE2"/>
    <w:rsid w:val="003B0211"/>
    <w:rsid w:val="003B0B64"/>
    <w:rsid w:val="003B10AA"/>
    <w:rsid w:val="003B1A40"/>
    <w:rsid w:val="003B2331"/>
    <w:rsid w:val="003B2590"/>
    <w:rsid w:val="003B42D1"/>
    <w:rsid w:val="003B6388"/>
    <w:rsid w:val="003B6905"/>
    <w:rsid w:val="003B74E8"/>
    <w:rsid w:val="003B752D"/>
    <w:rsid w:val="003B7CD1"/>
    <w:rsid w:val="003C107D"/>
    <w:rsid w:val="003C1722"/>
    <w:rsid w:val="003C1F4C"/>
    <w:rsid w:val="003C242A"/>
    <w:rsid w:val="003C295E"/>
    <w:rsid w:val="003C2D5C"/>
    <w:rsid w:val="003C2F65"/>
    <w:rsid w:val="003C31FD"/>
    <w:rsid w:val="003C449A"/>
    <w:rsid w:val="003C49D3"/>
    <w:rsid w:val="003C4F8C"/>
    <w:rsid w:val="003C4FEB"/>
    <w:rsid w:val="003C5794"/>
    <w:rsid w:val="003C5F55"/>
    <w:rsid w:val="003C6106"/>
    <w:rsid w:val="003C64E6"/>
    <w:rsid w:val="003C6DC8"/>
    <w:rsid w:val="003D0426"/>
    <w:rsid w:val="003D0455"/>
    <w:rsid w:val="003D1DEB"/>
    <w:rsid w:val="003D2301"/>
    <w:rsid w:val="003D2CB7"/>
    <w:rsid w:val="003D4D5B"/>
    <w:rsid w:val="003D5754"/>
    <w:rsid w:val="003D58E0"/>
    <w:rsid w:val="003D5B54"/>
    <w:rsid w:val="003D6203"/>
    <w:rsid w:val="003D62D3"/>
    <w:rsid w:val="003D6305"/>
    <w:rsid w:val="003D6DAC"/>
    <w:rsid w:val="003D7C80"/>
    <w:rsid w:val="003E03BE"/>
    <w:rsid w:val="003E062C"/>
    <w:rsid w:val="003E0E22"/>
    <w:rsid w:val="003E113D"/>
    <w:rsid w:val="003E1D6B"/>
    <w:rsid w:val="003E20E2"/>
    <w:rsid w:val="003E2780"/>
    <w:rsid w:val="003E28A4"/>
    <w:rsid w:val="003E2A83"/>
    <w:rsid w:val="003E2DEB"/>
    <w:rsid w:val="003E311E"/>
    <w:rsid w:val="003E34D2"/>
    <w:rsid w:val="003E382C"/>
    <w:rsid w:val="003E40CA"/>
    <w:rsid w:val="003E4267"/>
    <w:rsid w:val="003E43DF"/>
    <w:rsid w:val="003E44F3"/>
    <w:rsid w:val="003E4546"/>
    <w:rsid w:val="003E4BCE"/>
    <w:rsid w:val="003E4CC6"/>
    <w:rsid w:val="003E5063"/>
    <w:rsid w:val="003E52C9"/>
    <w:rsid w:val="003E620C"/>
    <w:rsid w:val="003E6E0F"/>
    <w:rsid w:val="003E7036"/>
    <w:rsid w:val="003E7752"/>
    <w:rsid w:val="003E79D2"/>
    <w:rsid w:val="003F04D4"/>
    <w:rsid w:val="003F0B18"/>
    <w:rsid w:val="003F0FA2"/>
    <w:rsid w:val="003F104E"/>
    <w:rsid w:val="003F10BC"/>
    <w:rsid w:val="003F1776"/>
    <w:rsid w:val="003F4E9F"/>
    <w:rsid w:val="003F5438"/>
    <w:rsid w:val="003F60C6"/>
    <w:rsid w:val="003F61D7"/>
    <w:rsid w:val="003F6440"/>
    <w:rsid w:val="003F696F"/>
    <w:rsid w:val="003F6BE9"/>
    <w:rsid w:val="003F7202"/>
    <w:rsid w:val="003F74CC"/>
    <w:rsid w:val="003F75D5"/>
    <w:rsid w:val="003F7826"/>
    <w:rsid w:val="004003FA"/>
    <w:rsid w:val="00401306"/>
    <w:rsid w:val="00401745"/>
    <w:rsid w:val="004025D6"/>
    <w:rsid w:val="00402E8B"/>
    <w:rsid w:val="00403A23"/>
    <w:rsid w:val="00405BB7"/>
    <w:rsid w:val="00407864"/>
    <w:rsid w:val="00407E39"/>
    <w:rsid w:val="00410199"/>
    <w:rsid w:val="00410320"/>
    <w:rsid w:val="004107C9"/>
    <w:rsid w:val="00410B9E"/>
    <w:rsid w:val="004113A3"/>
    <w:rsid w:val="00412239"/>
    <w:rsid w:val="00413BF1"/>
    <w:rsid w:val="00414354"/>
    <w:rsid w:val="00414916"/>
    <w:rsid w:val="0041505D"/>
    <w:rsid w:val="00415593"/>
    <w:rsid w:val="004158E1"/>
    <w:rsid w:val="00415EDA"/>
    <w:rsid w:val="00416906"/>
    <w:rsid w:val="00417028"/>
    <w:rsid w:val="00417CD2"/>
    <w:rsid w:val="00417DD2"/>
    <w:rsid w:val="00420260"/>
    <w:rsid w:val="00420DD7"/>
    <w:rsid w:val="004218BB"/>
    <w:rsid w:val="00421936"/>
    <w:rsid w:val="0042233D"/>
    <w:rsid w:val="00422CAB"/>
    <w:rsid w:val="00422DF2"/>
    <w:rsid w:val="004232CE"/>
    <w:rsid w:val="00423884"/>
    <w:rsid w:val="0042406C"/>
    <w:rsid w:val="00424F9B"/>
    <w:rsid w:val="004250EB"/>
    <w:rsid w:val="0042571B"/>
    <w:rsid w:val="00425CB6"/>
    <w:rsid w:val="00425CD3"/>
    <w:rsid w:val="004264FF"/>
    <w:rsid w:val="00426767"/>
    <w:rsid w:val="0042697E"/>
    <w:rsid w:val="00426A15"/>
    <w:rsid w:val="00426C43"/>
    <w:rsid w:val="004271F2"/>
    <w:rsid w:val="004275FD"/>
    <w:rsid w:val="004277C5"/>
    <w:rsid w:val="00427938"/>
    <w:rsid w:val="00427E8B"/>
    <w:rsid w:val="004300DE"/>
    <w:rsid w:val="004303A3"/>
    <w:rsid w:val="0043064C"/>
    <w:rsid w:val="004309DC"/>
    <w:rsid w:val="00430A26"/>
    <w:rsid w:val="0043131D"/>
    <w:rsid w:val="00431A44"/>
    <w:rsid w:val="0043250C"/>
    <w:rsid w:val="00432DAC"/>
    <w:rsid w:val="00432E2C"/>
    <w:rsid w:val="00432FB2"/>
    <w:rsid w:val="00433CD8"/>
    <w:rsid w:val="00434B4A"/>
    <w:rsid w:val="0043510E"/>
    <w:rsid w:val="00436267"/>
    <w:rsid w:val="0043646D"/>
    <w:rsid w:val="00436A30"/>
    <w:rsid w:val="00436C75"/>
    <w:rsid w:val="00436FC9"/>
    <w:rsid w:val="0043734F"/>
    <w:rsid w:val="004378EA"/>
    <w:rsid w:val="0043798C"/>
    <w:rsid w:val="00440636"/>
    <w:rsid w:val="00441073"/>
    <w:rsid w:val="0044107A"/>
    <w:rsid w:val="004415DC"/>
    <w:rsid w:val="0044164D"/>
    <w:rsid w:val="0044176A"/>
    <w:rsid w:val="00441BBF"/>
    <w:rsid w:val="00442555"/>
    <w:rsid w:val="00442635"/>
    <w:rsid w:val="00442809"/>
    <w:rsid w:val="00442A7B"/>
    <w:rsid w:val="00442F44"/>
    <w:rsid w:val="004437F6"/>
    <w:rsid w:val="00443817"/>
    <w:rsid w:val="00443C4D"/>
    <w:rsid w:val="00444062"/>
    <w:rsid w:val="00444214"/>
    <w:rsid w:val="00444348"/>
    <w:rsid w:val="0044511C"/>
    <w:rsid w:val="00445307"/>
    <w:rsid w:val="00445B45"/>
    <w:rsid w:val="00445BF5"/>
    <w:rsid w:val="00445C17"/>
    <w:rsid w:val="00445D1C"/>
    <w:rsid w:val="00445E0F"/>
    <w:rsid w:val="00445FBB"/>
    <w:rsid w:val="0044639A"/>
    <w:rsid w:val="0044651B"/>
    <w:rsid w:val="00446614"/>
    <w:rsid w:val="0044677D"/>
    <w:rsid w:val="00446D1C"/>
    <w:rsid w:val="00446DF4"/>
    <w:rsid w:val="00446FBF"/>
    <w:rsid w:val="0044722E"/>
    <w:rsid w:val="00447982"/>
    <w:rsid w:val="00447A0E"/>
    <w:rsid w:val="00447A80"/>
    <w:rsid w:val="00447BC7"/>
    <w:rsid w:val="0045055A"/>
    <w:rsid w:val="00450CF9"/>
    <w:rsid w:val="00451362"/>
    <w:rsid w:val="004517FE"/>
    <w:rsid w:val="00452313"/>
    <w:rsid w:val="00452618"/>
    <w:rsid w:val="00452639"/>
    <w:rsid w:val="00452DFD"/>
    <w:rsid w:val="004535A6"/>
    <w:rsid w:val="004554FC"/>
    <w:rsid w:val="004556D2"/>
    <w:rsid w:val="00455AEF"/>
    <w:rsid w:val="004567AC"/>
    <w:rsid w:val="004568C8"/>
    <w:rsid w:val="00456A41"/>
    <w:rsid w:val="004575CC"/>
    <w:rsid w:val="00457651"/>
    <w:rsid w:val="00457CFB"/>
    <w:rsid w:val="00460690"/>
    <w:rsid w:val="00460DD1"/>
    <w:rsid w:val="00460E30"/>
    <w:rsid w:val="00460F93"/>
    <w:rsid w:val="00461E2E"/>
    <w:rsid w:val="004627A7"/>
    <w:rsid w:val="00462E86"/>
    <w:rsid w:val="00463400"/>
    <w:rsid w:val="0046352F"/>
    <w:rsid w:val="00463676"/>
    <w:rsid w:val="00463BA6"/>
    <w:rsid w:val="0046410C"/>
    <w:rsid w:val="00464E41"/>
    <w:rsid w:val="00465759"/>
    <w:rsid w:val="00465E03"/>
    <w:rsid w:val="0046608A"/>
    <w:rsid w:val="004662B1"/>
    <w:rsid w:val="00466649"/>
    <w:rsid w:val="00466890"/>
    <w:rsid w:val="00467016"/>
    <w:rsid w:val="0046763C"/>
    <w:rsid w:val="00467F89"/>
    <w:rsid w:val="00470430"/>
    <w:rsid w:val="00471710"/>
    <w:rsid w:val="00471857"/>
    <w:rsid w:val="004718DD"/>
    <w:rsid w:val="00472040"/>
    <w:rsid w:val="00472660"/>
    <w:rsid w:val="00472965"/>
    <w:rsid w:val="00472B44"/>
    <w:rsid w:val="00472C9E"/>
    <w:rsid w:val="00473AA8"/>
    <w:rsid w:val="00473EE9"/>
    <w:rsid w:val="00474BE8"/>
    <w:rsid w:val="004750E6"/>
    <w:rsid w:val="004753B3"/>
    <w:rsid w:val="00475664"/>
    <w:rsid w:val="004757C1"/>
    <w:rsid w:val="00475B75"/>
    <w:rsid w:val="00475EDE"/>
    <w:rsid w:val="00475F55"/>
    <w:rsid w:val="0047629E"/>
    <w:rsid w:val="00476AA8"/>
    <w:rsid w:val="0047730B"/>
    <w:rsid w:val="00477350"/>
    <w:rsid w:val="004776F8"/>
    <w:rsid w:val="00480F21"/>
    <w:rsid w:val="00481341"/>
    <w:rsid w:val="004825FE"/>
    <w:rsid w:val="00482901"/>
    <w:rsid w:val="00483011"/>
    <w:rsid w:val="00483132"/>
    <w:rsid w:val="00483570"/>
    <w:rsid w:val="00483F4F"/>
    <w:rsid w:val="00484E52"/>
    <w:rsid w:val="00485472"/>
    <w:rsid w:val="0048662E"/>
    <w:rsid w:val="00486A66"/>
    <w:rsid w:val="00486F78"/>
    <w:rsid w:val="004901A1"/>
    <w:rsid w:val="0049027B"/>
    <w:rsid w:val="004904A8"/>
    <w:rsid w:val="00490908"/>
    <w:rsid w:val="00490F2F"/>
    <w:rsid w:val="004916EB"/>
    <w:rsid w:val="00491A6E"/>
    <w:rsid w:val="004935E8"/>
    <w:rsid w:val="0049377D"/>
    <w:rsid w:val="00493991"/>
    <w:rsid w:val="00493C97"/>
    <w:rsid w:val="00493EBA"/>
    <w:rsid w:val="004942D8"/>
    <w:rsid w:val="0049456A"/>
    <w:rsid w:val="00494E18"/>
    <w:rsid w:val="0049580B"/>
    <w:rsid w:val="00495C26"/>
    <w:rsid w:val="004971A5"/>
    <w:rsid w:val="0049756E"/>
    <w:rsid w:val="00497F52"/>
    <w:rsid w:val="004A09FC"/>
    <w:rsid w:val="004A10BA"/>
    <w:rsid w:val="004A226B"/>
    <w:rsid w:val="004A36C5"/>
    <w:rsid w:val="004A37A3"/>
    <w:rsid w:val="004A397A"/>
    <w:rsid w:val="004A4718"/>
    <w:rsid w:val="004A5B83"/>
    <w:rsid w:val="004A6015"/>
    <w:rsid w:val="004A7960"/>
    <w:rsid w:val="004B02D6"/>
    <w:rsid w:val="004B143D"/>
    <w:rsid w:val="004B2582"/>
    <w:rsid w:val="004B259E"/>
    <w:rsid w:val="004B2608"/>
    <w:rsid w:val="004B27CA"/>
    <w:rsid w:val="004B2994"/>
    <w:rsid w:val="004B33E0"/>
    <w:rsid w:val="004B377F"/>
    <w:rsid w:val="004B3795"/>
    <w:rsid w:val="004B4125"/>
    <w:rsid w:val="004B491F"/>
    <w:rsid w:val="004B4E01"/>
    <w:rsid w:val="004B5F1A"/>
    <w:rsid w:val="004B5F2A"/>
    <w:rsid w:val="004B5F8C"/>
    <w:rsid w:val="004B697C"/>
    <w:rsid w:val="004B6F66"/>
    <w:rsid w:val="004B7308"/>
    <w:rsid w:val="004C0F3B"/>
    <w:rsid w:val="004C2594"/>
    <w:rsid w:val="004C2B83"/>
    <w:rsid w:val="004C3D93"/>
    <w:rsid w:val="004C3DE5"/>
    <w:rsid w:val="004C3F73"/>
    <w:rsid w:val="004C40B0"/>
    <w:rsid w:val="004C423C"/>
    <w:rsid w:val="004C4C96"/>
    <w:rsid w:val="004C4DDB"/>
    <w:rsid w:val="004C51D4"/>
    <w:rsid w:val="004C5388"/>
    <w:rsid w:val="004C5C33"/>
    <w:rsid w:val="004C5E8E"/>
    <w:rsid w:val="004C6E23"/>
    <w:rsid w:val="004C75E7"/>
    <w:rsid w:val="004C7F5A"/>
    <w:rsid w:val="004D0E4E"/>
    <w:rsid w:val="004D215F"/>
    <w:rsid w:val="004D23D3"/>
    <w:rsid w:val="004D2E1F"/>
    <w:rsid w:val="004D30FB"/>
    <w:rsid w:val="004D353C"/>
    <w:rsid w:val="004D36BC"/>
    <w:rsid w:val="004D379E"/>
    <w:rsid w:val="004D3F27"/>
    <w:rsid w:val="004D471E"/>
    <w:rsid w:val="004D4864"/>
    <w:rsid w:val="004D53AB"/>
    <w:rsid w:val="004D54AB"/>
    <w:rsid w:val="004D5521"/>
    <w:rsid w:val="004D5DBA"/>
    <w:rsid w:val="004D6B99"/>
    <w:rsid w:val="004D6DD1"/>
    <w:rsid w:val="004D76F1"/>
    <w:rsid w:val="004E175D"/>
    <w:rsid w:val="004E1F90"/>
    <w:rsid w:val="004E2BF5"/>
    <w:rsid w:val="004E333A"/>
    <w:rsid w:val="004E3E28"/>
    <w:rsid w:val="004E478A"/>
    <w:rsid w:val="004E484F"/>
    <w:rsid w:val="004E48CE"/>
    <w:rsid w:val="004E4A34"/>
    <w:rsid w:val="004E50CF"/>
    <w:rsid w:val="004E564D"/>
    <w:rsid w:val="004E58AC"/>
    <w:rsid w:val="004E5B17"/>
    <w:rsid w:val="004E5B61"/>
    <w:rsid w:val="004E5E01"/>
    <w:rsid w:val="004E5ED5"/>
    <w:rsid w:val="004E5FEC"/>
    <w:rsid w:val="004E646D"/>
    <w:rsid w:val="004E69CD"/>
    <w:rsid w:val="004E69FF"/>
    <w:rsid w:val="004E6CFC"/>
    <w:rsid w:val="004E70D5"/>
    <w:rsid w:val="004E73A0"/>
    <w:rsid w:val="004E761B"/>
    <w:rsid w:val="004E7789"/>
    <w:rsid w:val="004E77AE"/>
    <w:rsid w:val="004E7891"/>
    <w:rsid w:val="004E793F"/>
    <w:rsid w:val="004F0400"/>
    <w:rsid w:val="004F071A"/>
    <w:rsid w:val="004F0A6B"/>
    <w:rsid w:val="004F0B44"/>
    <w:rsid w:val="004F0EB1"/>
    <w:rsid w:val="004F2496"/>
    <w:rsid w:val="004F24BB"/>
    <w:rsid w:val="004F283F"/>
    <w:rsid w:val="004F2A17"/>
    <w:rsid w:val="004F45A4"/>
    <w:rsid w:val="004F47A0"/>
    <w:rsid w:val="004F4C85"/>
    <w:rsid w:val="004F53E9"/>
    <w:rsid w:val="004F5624"/>
    <w:rsid w:val="004F7E30"/>
    <w:rsid w:val="00500301"/>
    <w:rsid w:val="0050150D"/>
    <w:rsid w:val="00501985"/>
    <w:rsid w:val="00502210"/>
    <w:rsid w:val="005025AC"/>
    <w:rsid w:val="005028E8"/>
    <w:rsid w:val="00502EA8"/>
    <w:rsid w:val="00502F8F"/>
    <w:rsid w:val="0050340E"/>
    <w:rsid w:val="00503891"/>
    <w:rsid w:val="00504428"/>
    <w:rsid w:val="005045D1"/>
    <w:rsid w:val="00504AF0"/>
    <w:rsid w:val="00504DD2"/>
    <w:rsid w:val="00504EAD"/>
    <w:rsid w:val="00505166"/>
    <w:rsid w:val="00505ABB"/>
    <w:rsid w:val="00505E23"/>
    <w:rsid w:val="00505FB6"/>
    <w:rsid w:val="005062EF"/>
    <w:rsid w:val="00506740"/>
    <w:rsid w:val="00506AFF"/>
    <w:rsid w:val="00506BE8"/>
    <w:rsid w:val="00507237"/>
    <w:rsid w:val="0050790E"/>
    <w:rsid w:val="00507D8A"/>
    <w:rsid w:val="005106AE"/>
    <w:rsid w:val="00510718"/>
    <w:rsid w:val="00510A42"/>
    <w:rsid w:val="00510C07"/>
    <w:rsid w:val="00511249"/>
    <w:rsid w:val="0051126B"/>
    <w:rsid w:val="0051158F"/>
    <w:rsid w:val="005118BD"/>
    <w:rsid w:val="00511C0D"/>
    <w:rsid w:val="00511F2D"/>
    <w:rsid w:val="005126FA"/>
    <w:rsid w:val="00512952"/>
    <w:rsid w:val="00512D7C"/>
    <w:rsid w:val="00513067"/>
    <w:rsid w:val="005130ED"/>
    <w:rsid w:val="005137FF"/>
    <w:rsid w:val="0051419D"/>
    <w:rsid w:val="0051421F"/>
    <w:rsid w:val="00514274"/>
    <w:rsid w:val="00514486"/>
    <w:rsid w:val="005148E2"/>
    <w:rsid w:val="0051508A"/>
    <w:rsid w:val="005154A1"/>
    <w:rsid w:val="005159B9"/>
    <w:rsid w:val="0051630A"/>
    <w:rsid w:val="0051660A"/>
    <w:rsid w:val="00516A1C"/>
    <w:rsid w:val="00516DD5"/>
    <w:rsid w:val="0051768B"/>
    <w:rsid w:val="00517AD0"/>
    <w:rsid w:val="00520097"/>
    <w:rsid w:val="005200E5"/>
    <w:rsid w:val="00520406"/>
    <w:rsid w:val="0052057C"/>
    <w:rsid w:val="00520DCC"/>
    <w:rsid w:val="00521187"/>
    <w:rsid w:val="00521612"/>
    <w:rsid w:val="00521D22"/>
    <w:rsid w:val="00521EB7"/>
    <w:rsid w:val="00522332"/>
    <w:rsid w:val="00522CB7"/>
    <w:rsid w:val="00523131"/>
    <w:rsid w:val="00523A3C"/>
    <w:rsid w:val="00523AD7"/>
    <w:rsid w:val="00523FA0"/>
    <w:rsid w:val="00523FCB"/>
    <w:rsid w:val="0052422E"/>
    <w:rsid w:val="00524274"/>
    <w:rsid w:val="00524402"/>
    <w:rsid w:val="005256CA"/>
    <w:rsid w:val="00525ED0"/>
    <w:rsid w:val="00525F0B"/>
    <w:rsid w:val="005264C0"/>
    <w:rsid w:val="00526D9F"/>
    <w:rsid w:val="00530072"/>
    <w:rsid w:val="00530972"/>
    <w:rsid w:val="00530D33"/>
    <w:rsid w:val="005312C5"/>
    <w:rsid w:val="005314F3"/>
    <w:rsid w:val="00531A57"/>
    <w:rsid w:val="00531C29"/>
    <w:rsid w:val="00532939"/>
    <w:rsid w:val="0053294E"/>
    <w:rsid w:val="00533144"/>
    <w:rsid w:val="0053335E"/>
    <w:rsid w:val="0053421E"/>
    <w:rsid w:val="00535D67"/>
    <w:rsid w:val="00536977"/>
    <w:rsid w:val="005369D1"/>
    <w:rsid w:val="00536C37"/>
    <w:rsid w:val="00537484"/>
    <w:rsid w:val="0053761F"/>
    <w:rsid w:val="005376BB"/>
    <w:rsid w:val="005378D8"/>
    <w:rsid w:val="005379EC"/>
    <w:rsid w:val="00537D7C"/>
    <w:rsid w:val="005407D2"/>
    <w:rsid w:val="005409D7"/>
    <w:rsid w:val="0054124A"/>
    <w:rsid w:val="00541526"/>
    <w:rsid w:val="00541A07"/>
    <w:rsid w:val="005423D6"/>
    <w:rsid w:val="00542491"/>
    <w:rsid w:val="005425D2"/>
    <w:rsid w:val="005436BA"/>
    <w:rsid w:val="00543938"/>
    <w:rsid w:val="00543E7B"/>
    <w:rsid w:val="0054468B"/>
    <w:rsid w:val="00544801"/>
    <w:rsid w:val="005449BE"/>
    <w:rsid w:val="00545CCD"/>
    <w:rsid w:val="00546A66"/>
    <w:rsid w:val="00547DB5"/>
    <w:rsid w:val="00551F8D"/>
    <w:rsid w:val="00552529"/>
    <w:rsid w:val="005534B8"/>
    <w:rsid w:val="00554003"/>
    <w:rsid w:val="005546D0"/>
    <w:rsid w:val="0055516E"/>
    <w:rsid w:val="00555BB9"/>
    <w:rsid w:val="00555E51"/>
    <w:rsid w:val="00556391"/>
    <w:rsid w:val="00556437"/>
    <w:rsid w:val="00556C11"/>
    <w:rsid w:val="00557248"/>
    <w:rsid w:val="00557F06"/>
    <w:rsid w:val="00557FE2"/>
    <w:rsid w:val="0056007B"/>
    <w:rsid w:val="00560B1F"/>
    <w:rsid w:val="0056106F"/>
    <w:rsid w:val="005610BD"/>
    <w:rsid w:val="005612EA"/>
    <w:rsid w:val="0056134A"/>
    <w:rsid w:val="00561BDC"/>
    <w:rsid w:val="00561E37"/>
    <w:rsid w:val="00561EF7"/>
    <w:rsid w:val="00562372"/>
    <w:rsid w:val="00562612"/>
    <w:rsid w:val="00563043"/>
    <w:rsid w:val="00563361"/>
    <w:rsid w:val="005635E2"/>
    <w:rsid w:val="005636AB"/>
    <w:rsid w:val="0056500A"/>
    <w:rsid w:val="0056617F"/>
    <w:rsid w:val="00566A74"/>
    <w:rsid w:val="00566C39"/>
    <w:rsid w:val="005670F1"/>
    <w:rsid w:val="0056756F"/>
    <w:rsid w:val="0056761E"/>
    <w:rsid w:val="00570327"/>
    <w:rsid w:val="00570522"/>
    <w:rsid w:val="00570ECB"/>
    <w:rsid w:val="00570F4B"/>
    <w:rsid w:val="00571323"/>
    <w:rsid w:val="005715D9"/>
    <w:rsid w:val="00571BB4"/>
    <w:rsid w:val="00571DAF"/>
    <w:rsid w:val="00572351"/>
    <w:rsid w:val="00572A0C"/>
    <w:rsid w:val="00573365"/>
    <w:rsid w:val="0057399F"/>
    <w:rsid w:val="00573CCE"/>
    <w:rsid w:val="00573F08"/>
    <w:rsid w:val="0057408F"/>
    <w:rsid w:val="00574961"/>
    <w:rsid w:val="00574973"/>
    <w:rsid w:val="0057505B"/>
    <w:rsid w:val="00575429"/>
    <w:rsid w:val="00575866"/>
    <w:rsid w:val="00575CFA"/>
    <w:rsid w:val="00576503"/>
    <w:rsid w:val="005767DC"/>
    <w:rsid w:val="00576B4B"/>
    <w:rsid w:val="00576C2B"/>
    <w:rsid w:val="00577127"/>
    <w:rsid w:val="005776C4"/>
    <w:rsid w:val="005776CD"/>
    <w:rsid w:val="00577C06"/>
    <w:rsid w:val="00577CC3"/>
    <w:rsid w:val="00577ED9"/>
    <w:rsid w:val="0058021D"/>
    <w:rsid w:val="00580EFD"/>
    <w:rsid w:val="0058178A"/>
    <w:rsid w:val="00582027"/>
    <w:rsid w:val="005824CA"/>
    <w:rsid w:val="00582A81"/>
    <w:rsid w:val="00582D08"/>
    <w:rsid w:val="005835D0"/>
    <w:rsid w:val="0058385A"/>
    <w:rsid w:val="00583E88"/>
    <w:rsid w:val="00584047"/>
    <w:rsid w:val="00584DB8"/>
    <w:rsid w:val="00585CE9"/>
    <w:rsid w:val="0058612D"/>
    <w:rsid w:val="005864D2"/>
    <w:rsid w:val="00587822"/>
    <w:rsid w:val="0058782F"/>
    <w:rsid w:val="00590216"/>
    <w:rsid w:val="00590663"/>
    <w:rsid w:val="00590D0B"/>
    <w:rsid w:val="00591668"/>
    <w:rsid w:val="00591B11"/>
    <w:rsid w:val="005920CA"/>
    <w:rsid w:val="0059228B"/>
    <w:rsid w:val="00592879"/>
    <w:rsid w:val="00593154"/>
    <w:rsid w:val="005935AD"/>
    <w:rsid w:val="005941D6"/>
    <w:rsid w:val="00595139"/>
    <w:rsid w:val="00595722"/>
    <w:rsid w:val="005962D9"/>
    <w:rsid w:val="00596CEA"/>
    <w:rsid w:val="00597393"/>
    <w:rsid w:val="005975CC"/>
    <w:rsid w:val="0059789E"/>
    <w:rsid w:val="005A05CF"/>
    <w:rsid w:val="005A071F"/>
    <w:rsid w:val="005A0FEF"/>
    <w:rsid w:val="005A12C1"/>
    <w:rsid w:val="005A1834"/>
    <w:rsid w:val="005A1F25"/>
    <w:rsid w:val="005A27EC"/>
    <w:rsid w:val="005A3291"/>
    <w:rsid w:val="005A398D"/>
    <w:rsid w:val="005A3997"/>
    <w:rsid w:val="005A3CFF"/>
    <w:rsid w:val="005A49FC"/>
    <w:rsid w:val="005A590B"/>
    <w:rsid w:val="005A68DC"/>
    <w:rsid w:val="005A6AEF"/>
    <w:rsid w:val="005A7073"/>
    <w:rsid w:val="005A7460"/>
    <w:rsid w:val="005A7937"/>
    <w:rsid w:val="005A7A8A"/>
    <w:rsid w:val="005A7B72"/>
    <w:rsid w:val="005A7EA8"/>
    <w:rsid w:val="005B0940"/>
    <w:rsid w:val="005B0BE2"/>
    <w:rsid w:val="005B0C73"/>
    <w:rsid w:val="005B0CE2"/>
    <w:rsid w:val="005B0EF1"/>
    <w:rsid w:val="005B19D3"/>
    <w:rsid w:val="005B19E2"/>
    <w:rsid w:val="005B1B2D"/>
    <w:rsid w:val="005B1E0E"/>
    <w:rsid w:val="005B1EA5"/>
    <w:rsid w:val="005B1F8C"/>
    <w:rsid w:val="005B2199"/>
    <w:rsid w:val="005B2735"/>
    <w:rsid w:val="005B3385"/>
    <w:rsid w:val="005B3877"/>
    <w:rsid w:val="005B39A8"/>
    <w:rsid w:val="005B3B17"/>
    <w:rsid w:val="005B436D"/>
    <w:rsid w:val="005B438E"/>
    <w:rsid w:val="005B4512"/>
    <w:rsid w:val="005B471E"/>
    <w:rsid w:val="005B4C54"/>
    <w:rsid w:val="005B4EBC"/>
    <w:rsid w:val="005B6C23"/>
    <w:rsid w:val="005B6D91"/>
    <w:rsid w:val="005B6E87"/>
    <w:rsid w:val="005B749E"/>
    <w:rsid w:val="005B7854"/>
    <w:rsid w:val="005C017A"/>
    <w:rsid w:val="005C0946"/>
    <w:rsid w:val="005C0C4A"/>
    <w:rsid w:val="005C0DCE"/>
    <w:rsid w:val="005C11D6"/>
    <w:rsid w:val="005C1968"/>
    <w:rsid w:val="005C32DA"/>
    <w:rsid w:val="005C385D"/>
    <w:rsid w:val="005C39E1"/>
    <w:rsid w:val="005C3A8E"/>
    <w:rsid w:val="005C3CCE"/>
    <w:rsid w:val="005C4545"/>
    <w:rsid w:val="005C55B7"/>
    <w:rsid w:val="005C5699"/>
    <w:rsid w:val="005C5ECE"/>
    <w:rsid w:val="005C6BE7"/>
    <w:rsid w:val="005C6F47"/>
    <w:rsid w:val="005C6F8E"/>
    <w:rsid w:val="005C742F"/>
    <w:rsid w:val="005C7504"/>
    <w:rsid w:val="005C7533"/>
    <w:rsid w:val="005D04CD"/>
    <w:rsid w:val="005D074B"/>
    <w:rsid w:val="005D12F3"/>
    <w:rsid w:val="005D1A75"/>
    <w:rsid w:val="005D2F91"/>
    <w:rsid w:val="005D3494"/>
    <w:rsid w:val="005D3F93"/>
    <w:rsid w:val="005D43CD"/>
    <w:rsid w:val="005D4901"/>
    <w:rsid w:val="005D5599"/>
    <w:rsid w:val="005D5832"/>
    <w:rsid w:val="005D5DE5"/>
    <w:rsid w:val="005D6A6F"/>
    <w:rsid w:val="005D706C"/>
    <w:rsid w:val="005D73C1"/>
    <w:rsid w:val="005D74E6"/>
    <w:rsid w:val="005D76DB"/>
    <w:rsid w:val="005E0352"/>
    <w:rsid w:val="005E100E"/>
    <w:rsid w:val="005E168A"/>
    <w:rsid w:val="005E247E"/>
    <w:rsid w:val="005E29B8"/>
    <w:rsid w:val="005E2B64"/>
    <w:rsid w:val="005E31FA"/>
    <w:rsid w:val="005E32C8"/>
    <w:rsid w:val="005E3442"/>
    <w:rsid w:val="005E5074"/>
    <w:rsid w:val="005E5843"/>
    <w:rsid w:val="005E5B75"/>
    <w:rsid w:val="005E65C0"/>
    <w:rsid w:val="005E6680"/>
    <w:rsid w:val="005E6EDF"/>
    <w:rsid w:val="005E74B0"/>
    <w:rsid w:val="005E77F2"/>
    <w:rsid w:val="005F025A"/>
    <w:rsid w:val="005F08D1"/>
    <w:rsid w:val="005F094A"/>
    <w:rsid w:val="005F15A6"/>
    <w:rsid w:val="005F29A1"/>
    <w:rsid w:val="005F36F1"/>
    <w:rsid w:val="005F39F4"/>
    <w:rsid w:val="005F3C96"/>
    <w:rsid w:val="005F44CE"/>
    <w:rsid w:val="005F4EE2"/>
    <w:rsid w:val="005F6403"/>
    <w:rsid w:val="005F6BC5"/>
    <w:rsid w:val="005F6F90"/>
    <w:rsid w:val="005F7151"/>
    <w:rsid w:val="005F7522"/>
    <w:rsid w:val="005F7888"/>
    <w:rsid w:val="00600763"/>
    <w:rsid w:val="00600E0D"/>
    <w:rsid w:val="0060174B"/>
    <w:rsid w:val="00601C72"/>
    <w:rsid w:val="00602712"/>
    <w:rsid w:val="00603375"/>
    <w:rsid w:val="00603CB1"/>
    <w:rsid w:val="0060526D"/>
    <w:rsid w:val="00605474"/>
    <w:rsid w:val="006056A7"/>
    <w:rsid w:val="00606FE5"/>
    <w:rsid w:val="006071FC"/>
    <w:rsid w:val="00607238"/>
    <w:rsid w:val="00607B0F"/>
    <w:rsid w:val="00607EB3"/>
    <w:rsid w:val="00607FCE"/>
    <w:rsid w:val="00610832"/>
    <w:rsid w:val="006109C4"/>
    <w:rsid w:val="00611DFC"/>
    <w:rsid w:val="00612CE1"/>
    <w:rsid w:val="00613451"/>
    <w:rsid w:val="006134B2"/>
    <w:rsid w:val="00614368"/>
    <w:rsid w:val="006145DB"/>
    <w:rsid w:val="006145E8"/>
    <w:rsid w:val="006147FD"/>
    <w:rsid w:val="006153A2"/>
    <w:rsid w:val="00617959"/>
    <w:rsid w:val="00620012"/>
    <w:rsid w:val="0062003B"/>
    <w:rsid w:val="006209E2"/>
    <w:rsid w:val="00620DCD"/>
    <w:rsid w:val="00620F40"/>
    <w:rsid w:val="00621044"/>
    <w:rsid w:val="006213CD"/>
    <w:rsid w:val="00621800"/>
    <w:rsid w:val="00621889"/>
    <w:rsid w:val="00621BD5"/>
    <w:rsid w:val="006220E1"/>
    <w:rsid w:val="00622E9D"/>
    <w:rsid w:val="00623B05"/>
    <w:rsid w:val="00623C42"/>
    <w:rsid w:val="00624949"/>
    <w:rsid w:val="00624B31"/>
    <w:rsid w:val="0062529C"/>
    <w:rsid w:val="006254DF"/>
    <w:rsid w:val="006259E1"/>
    <w:rsid w:val="00625F53"/>
    <w:rsid w:val="00626152"/>
    <w:rsid w:val="00626338"/>
    <w:rsid w:val="006267D5"/>
    <w:rsid w:val="00626E68"/>
    <w:rsid w:val="00626FE0"/>
    <w:rsid w:val="00627E9C"/>
    <w:rsid w:val="00631A5A"/>
    <w:rsid w:val="00632238"/>
    <w:rsid w:val="006329B5"/>
    <w:rsid w:val="0063301F"/>
    <w:rsid w:val="006332B4"/>
    <w:rsid w:val="0063379E"/>
    <w:rsid w:val="00633BFC"/>
    <w:rsid w:val="00634822"/>
    <w:rsid w:val="00634925"/>
    <w:rsid w:val="00634A41"/>
    <w:rsid w:val="00634EAE"/>
    <w:rsid w:val="00634ED3"/>
    <w:rsid w:val="00635B0A"/>
    <w:rsid w:val="00636425"/>
    <w:rsid w:val="006367FC"/>
    <w:rsid w:val="00640AA6"/>
    <w:rsid w:val="00640B80"/>
    <w:rsid w:val="006410A6"/>
    <w:rsid w:val="00641D27"/>
    <w:rsid w:val="00642144"/>
    <w:rsid w:val="0064249E"/>
    <w:rsid w:val="006424E3"/>
    <w:rsid w:val="00642E03"/>
    <w:rsid w:val="00644097"/>
    <w:rsid w:val="00644A71"/>
    <w:rsid w:val="00645125"/>
    <w:rsid w:val="00645885"/>
    <w:rsid w:val="0064627A"/>
    <w:rsid w:val="00646B0B"/>
    <w:rsid w:val="00647801"/>
    <w:rsid w:val="00647A96"/>
    <w:rsid w:val="00647CC0"/>
    <w:rsid w:val="00650370"/>
    <w:rsid w:val="00650A92"/>
    <w:rsid w:val="00650CE4"/>
    <w:rsid w:val="00651062"/>
    <w:rsid w:val="00651137"/>
    <w:rsid w:val="0065141E"/>
    <w:rsid w:val="00651477"/>
    <w:rsid w:val="0065251D"/>
    <w:rsid w:val="00652976"/>
    <w:rsid w:val="006534BF"/>
    <w:rsid w:val="00653508"/>
    <w:rsid w:val="00653787"/>
    <w:rsid w:val="00653982"/>
    <w:rsid w:val="00654235"/>
    <w:rsid w:val="006548F1"/>
    <w:rsid w:val="006552E4"/>
    <w:rsid w:val="00655348"/>
    <w:rsid w:val="00655FBC"/>
    <w:rsid w:val="006560E0"/>
    <w:rsid w:val="00656159"/>
    <w:rsid w:val="00656466"/>
    <w:rsid w:val="006575DE"/>
    <w:rsid w:val="00657B63"/>
    <w:rsid w:val="00657F01"/>
    <w:rsid w:val="00660246"/>
    <w:rsid w:val="00660887"/>
    <w:rsid w:val="00660AB2"/>
    <w:rsid w:val="006615AE"/>
    <w:rsid w:val="00661660"/>
    <w:rsid w:val="00661756"/>
    <w:rsid w:val="006617F5"/>
    <w:rsid w:val="0066202C"/>
    <w:rsid w:val="00662367"/>
    <w:rsid w:val="00662826"/>
    <w:rsid w:val="00663528"/>
    <w:rsid w:val="006637D6"/>
    <w:rsid w:val="00663969"/>
    <w:rsid w:val="006643AC"/>
    <w:rsid w:val="006648E7"/>
    <w:rsid w:val="006649BA"/>
    <w:rsid w:val="00664ADF"/>
    <w:rsid w:val="00664C26"/>
    <w:rsid w:val="00664E20"/>
    <w:rsid w:val="00665CC7"/>
    <w:rsid w:val="006668F4"/>
    <w:rsid w:val="00666DDF"/>
    <w:rsid w:val="00667A33"/>
    <w:rsid w:val="00667E51"/>
    <w:rsid w:val="00667FF0"/>
    <w:rsid w:val="00670021"/>
    <w:rsid w:val="006701D0"/>
    <w:rsid w:val="006705DD"/>
    <w:rsid w:val="00671379"/>
    <w:rsid w:val="0067148C"/>
    <w:rsid w:val="00671807"/>
    <w:rsid w:val="006718D0"/>
    <w:rsid w:val="00672131"/>
    <w:rsid w:val="006725A3"/>
    <w:rsid w:val="0067269A"/>
    <w:rsid w:val="00673DCD"/>
    <w:rsid w:val="0067522C"/>
    <w:rsid w:val="006760CF"/>
    <w:rsid w:val="00676345"/>
    <w:rsid w:val="0067662D"/>
    <w:rsid w:val="00676880"/>
    <w:rsid w:val="00676979"/>
    <w:rsid w:val="00676BE2"/>
    <w:rsid w:val="00676DF4"/>
    <w:rsid w:val="006803E3"/>
    <w:rsid w:val="00680497"/>
    <w:rsid w:val="0068087A"/>
    <w:rsid w:val="00681DE2"/>
    <w:rsid w:val="00683022"/>
    <w:rsid w:val="00683ECD"/>
    <w:rsid w:val="00684B1A"/>
    <w:rsid w:val="00685C95"/>
    <w:rsid w:val="0068629D"/>
    <w:rsid w:val="006862E9"/>
    <w:rsid w:val="0068676B"/>
    <w:rsid w:val="0068724F"/>
    <w:rsid w:val="00687349"/>
    <w:rsid w:val="00687825"/>
    <w:rsid w:val="0068791E"/>
    <w:rsid w:val="0068799D"/>
    <w:rsid w:val="00687E9D"/>
    <w:rsid w:val="00690064"/>
    <w:rsid w:val="00690072"/>
    <w:rsid w:val="00690232"/>
    <w:rsid w:val="006905B2"/>
    <w:rsid w:val="00690949"/>
    <w:rsid w:val="00690A63"/>
    <w:rsid w:val="0069109F"/>
    <w:rsid w:val="00691243"/>
    <w:rsid w:val="00691645"/>
    <w:rsid w:val="00691684"/>
    <w:rsid w:val="0069255A"/>
    <w:rsid w:val="00692722"/>
    <w:rsid w:val="00692F7B"/>
    <w:rsid w:val="00693221"/>
    <w:rsid w:val="0069346D"/>
    <w:rsid w:val="0069467E"/>
    <w:rsid w:val="00694688"/>
    <w:rsid w:val="006959CC"/>
    <w:rsid w:val="00695A42"/>
    <w:rsid w:val="00695E51"/>
    <w:rsid w:val="006961D6"/>
    <w:rsid w:val="0069621E"/>
    <w:rsid w:val="00697121"/>
    <w:rsid w:val="00697BCB"/>
    <w:rsid w:val="00697C06"/>
    <w:rsid w:val="006A0666"/>
    <w:rsid w:val="006A08E6"/>
    <w:rsid w:val="006A0A90"/>
    <w:rsid w:val="006A0F62"/>
    <w:rsid w:val="006A10FD"/>
    <w:rsid w:val="006A1339"/>
    <w:rsid w:val="006A24AB"/>
    <w:rsid w:val="006A26A3"/>
    <w:rsid w:val="006A280D"/>
    <w:rsid w:val="006A3926"/>
    <w:rsid w:val="006A3AFB"/>
    <w:rsid w:val="006A3CF9"/>
    <w:rsid w:val="006A451D"/>
    <w:rsid w:val="006A475A"/>
    <w:rsid w:val="006A4BED"/>
    <w:rsid w:val="006A4EF3"/>
    <w:rsid w:val="006A6196"/>
    <w:rsid w:val="006A63CD"/>
    <w:rsid w:val="006A7C47"/>
    <w:rsid w:val="006A7D15"/>
    <w:rsid w:val="006B00C4"/>
    <w:rsid w:val="006B0257"/>
    <w:rsid w:val="006B0C6C"/>
    <w:rsid w:val="006B0D54"/>
    <w:rsid w:val="006B163C"/>
    <w:rsid w:val="006B16E4"/>
    <w:rsid w:val="006B20E1"/>
    <w:rsid w:val="006B27AF"/>
    <w:rsid w:val="006B333E"/>
    <w:rsid w:val="006B34BB"/>
    <w:rsid w:val="006B3A5A"/>
    <w:rsid w:val="006B3EEE"/>
    <w:rsid w:val="006B41E8"/>
    <w:rsid w:val="006B575F"/>
    <w:rsid w:val="006B5C79"/>
    <w:rsid w:val="006B5CBB"/>
    <w:rsid w:val="006B6E6C"/>
    <w:rsid w:val="006C02D4"/>
    <w:rsid w:val="006C0872"/>
    <w:rsid w:val="006C0B4C"/>
    <w:rsid w:val="006C0F95"/>
    <w:rsid w:val="006C2078"/>
    <w:rsid w:val="006C2BCB"/>
    <w:rsid w:val="006C2DD2"/>
    <w:rsid w:val="006C3B74"/>
    <w:rsid w:val="006C466E"/>
    <w:rsid w:val="006C4B69"/>
    <w:rsid w:val="006C4EC1"/>
    <w:rsid w:val="006C5701"/>
    <w:rsid w:val="006C5BD4"/>
    <w:rsid w:val="006C6054"/>
    <w:rsid w:val="006C6308"/>
    <w:rsid w:val="006C6484"/>
    <w:rsid w:val="006C728C"/>
    <w:rsid w:val="006C72D6"/>
    <w:rsid w:val="006C74B7"/>
    <w:rsid w:val="006C7513"/>
    <w:rsid w:val="006C7D37"/>
    <w:rsid w:val="006D0428"/>
    <w:rsid w:val="006D0E74"/>
    <w:rsid w:val="006D0EC0"/>
    <w:rsid w:val="006D14D9"/>
    <w:rsid w:val="006D1BE5"/>
    <w:rsid w:val="006D2050"/>
    <w:rsid w:val="006D2670"/>
    <w:rsid w:val="006D2A34"/>
    <w:rsid w:val="006D2BC4"/>
    <w:rsid w:val="006D2D73"/>
    <w:rsid w:val="006D2E59"/>
    <w:rsid w:val="006D2EB4"/>
    <w:rsid w:val="006D30DA"/>
    <w:rsid w:val="006D3303"/>
    <w:rsid w:val="006D33A9"/>
    <w:rsid w:val="006D3719"/>
    <w:rsid w:val="006D48CD"/>
    <w:rsid w:val="006D4949"/>
    <w:rsid w:val="006D49AD"/>
    <w:rsid w:val="006D4BF6"/>
    <w:rsid w:val="006D4E0A"/>
    <w:rsid w:val="006D529A"/>
    <w:rsid w:val="006D57C9"/>
    <w:rsid w:val="006D580A"/>
    <w:rsid w:val="006D5E5F"/>
    <w:rsid w:val="006D6B5C"/>
    <w:rsid w:val="006D6CB9"/>
    <w:rsid w:val="006D7BE6"/>
    <w:rsid w:val="006E04F5"/>
    <w:rsid w:val="006E10C6"/>
    <w:rsid w:val="006E206B"/>
    <w:rsid w:val="006E39BD"/>
    <w:rsid w:val="006E4BF5"/>
    <w:rsid w:val="006E5537"/>
    <w:rsid w:val="006E57D9"/>
    <w:rsid w:val="006E5864"/>
    <w:rsid w:val="006E5F65"/>
    <w:rsid w:val="006E5F6A"/>
    <w:rsid w:val="006E6A60"/>
    <w:rsid w:val="006E6C35"/>
    <w:rsid w:val="006E6E91"/>
    <w:rsid w:val="006E6F3E"/>
    <w:rsid w:val="006E7066"/>
    <w:rsid w:val="006F047B"/>
    <w:rsid w:val="006F079A"/>
    <w:rsid w:val="006F0850"/>
    <w:rsid w:val="006F0BC8"/>
    <w:rsid w:val="006F0CF0"/>
    <w:rsid w:val="006F14AE"/>
    <w:rsid w:val="006F154C"/>
    <w:rsid w:val="006F15DA"/>
    <w:rsid w:val="006F1AE8"/>
    <w:rsid w:val="006F1BE7"/>
    <w:rsid w:val="006F27B0"/>
    <w:rsid w:val="006F317C"/>
    <w:rsid w:val="006F322E"/>
    <w:rsid w:val="006F3684"/>
    <w:rsid w:val="006F3715"/>
    <w:rsid w:val="006F41A0"/>
    <w:rsid w:val="006F48EB"/>
    <w:rsid w:val="006F4913"/>
    <w:rsid w:val="006F4B2A"/>
    <w:rsid w:val="006F5A3D"/>
    <w:rsid w:val="006F5AB3"/>
    <w:rsid w:val="006F6C7A"/>
    <w:rsid w:val="006F6E48"/>
    <w:rsid w:val="006F7294"/>
    <w:rsid w:val="00700E17"/>
    <w:rsid w:val="00700F31"/>
    <w:rsid w:val="007015BF"/>
    <w:rsid w:val="00701B23"/>
    <w:rsid w:val="0070212E"/>
    <w:rsid w:val="0070366E"/>
    <w:rsid w:val="00703719"/>
    <w:rsid w:val="00703F1C"/>
    <w:rsid w:val="007041E4"/>
    <w:rsid w:val="00704E5F"/>
    <w:rsid w:val="007051ED"/>
    <w:rsid w:val="007053BB"/>
    <w:rsid w:val="00706001"/>
    <w:rsid w:val="0070723D"/>
    <w:rsid w:val="0070736A"/>
    <w:rsid w:val="00707710"/>
    <w:rsid w:val="00707859"/>
    <w:rsid w:val="007102FF"/>
    <w:rsid w:val="007107A7"/>
    <w:rsid w:val="0071134F"/>
    <w:rsid w:val="00711817"/>
    <w:rsid w:val="00711D8C"/>
    <w:rsid w:val="0071221C"/>
    <w:rsid w:val="0071308E"/>
    <w:rsid w:val="007132DE"/>
    <w:rsid w:val="00714510"/>
    <w:rsid w:val="007145C2"/>
    <w:rsid w:val="00714811"/>
    <w:rsid w:val="00715527"/>
    <w:rsid w:val="0071566E"/>
    <w:rsid w:val="0071569B"/>
    <w:rsid w:val="00715EBE"/>
    <w:rsid w:val="00716275"/>
    <w:rsid w:val="0071682E"/>
    <w:rsid w:val="00716992"/>
    <w:rsid w:val="00717085"/>
    <w:rsid w:val="007173FC"/>
    <w:rsid w:val="0071750A"/>
    <w:rsid w:val="00717DAB"/>
    <w:rsid w:val="00721F4E"/>
    <w:rsid w:val="0072239B"/>
    <w:rsid w:val="00722BA7"/>
    <w:rsid w:val="00722CA6"/>
    <w:rsid w:val="007237CD"/>
    <w:rsid w:val="0072472A"/>
    <w:rsid w:val="007247A7"/>
    <w:rsid w:val="00724887"/>
    <w:rsid w:val="007249F6"/>
    <w:rsid w:val="00725DDC"/>
    <w:rsid w:val="00727456"/>
    <w:rsid w:val="00727C1E"/>
    <w:rsid w:val="00727CB1"/>
    <w:rsid w:val="00731105"/>
    <w:rsid w:val="00731424"/>
    <w:rsid w:val="0073172F"/>
    <w:rsid w:val="00731FBC"/>
    <w:rsid w:val="007325C6"/>
    <w:rsid w:val="00732749"/>
    <w:rsid w:val="00732BD9"/>
    <w:rsid w:val="00732C19"/>
    <w:rsid w:val="007330B5"/>
    <w:rsid w:val="00733F23"/>
    <w:rsid w:val="0073447B"/>
    <w:rsid w:val="00735243"/>
    <w:rsid w:val="0073627B"/>
    <w:rsid w:val="0073662C"/>
    <w:rsid w:val="0073679A"/>
    <w:rsid w:val="007369A7"/>
    <w:rsid w:val="00737A23"/>
    <w:rsid w:val="00737AC8"/>
    <w:rsid w:val="007402CF"/>
    <w:rsid w:val="00740B9C"/>
    <w:rsid w:val="0074118C"/>
    <w:rsid w:val="007411A8"/>
    <w:rsid w:val="0074139F"/>
    <w:rsid w:val="00741BD2"/>
    <w:rsid w:val="007420C2"/>
    <w:rsid w:val="00742155"/>
    <w:rsid w:val="00742EBE"/>
    <w:rsid w:val="00742FE1"/>
    <w:rsid w:val="00743132"/>
    <w:rsid w:val="00744031"/>
    <w:rsid w:val="0074452D"/>
    <w:rsid w:val="007447ED"/>
    <w:rsid w:val="00744D20"/>
    <w:rsid w:val="00744E7B"/>
    <w:rsid w:val="00745191"/>
    <w:rsid w:val="0074540A"/>
    <w:rsid w:val="007458A5"/>
    <w:rsid w:val="00746245"/>
    <w:rsid w:val="00746B68"/>
    <w:rsid w:val="00746E9A"/>
    <w:rsid w:val="00747138"/>
    <w:rsid w:val="007472B5"/>
    <w:rsid w:val="0074743D"/>
    <w:rsid w:val="00747579"/>
    <w:rsid w:val="007501C8"/>
    <w:rsid w:val="00750226"/>
    <w:rsid w:val="00750D2D"/>
    <w:rsid w:val="00751122"/>
    <w:rsid w:val="007520AD"/>
    <w:rsid w:val="007528F0"/>
    <w:rsid w:val="00752A8C"/>
    <w:rsid w:val="00753284"/>
    <w:rsid w:val="007541F9"/>
    <w:rsid w:val="00754215"/>
    <w:rsid w:val="0075451C"/>
    <w:rsid w:val="00754C7A"/>
    <w:rsid w:val="00755253"/>
    <w:rsid w:val="00756244"/>
    <w:rsid w:val="00756371"/>
    <w:rsid w:val="007573A9"/>
    <w:rsid w:val="00757F4E"/>
    <w:rsid w:val="00760045"/>
    <w:rsid w:val="007601F4"/>
    <w:rsid w:val="0076053C"/>
    <w:rsid w:val="00760720"/>
    <w:rsid w:val="00760ADA"/>
    <w:rsid w:val="00760D04"/>
    <w:rsid w:val="00761CB0"/>
    <w:rsid w:val="00762277"/>
    <w:rsid w:val="0076264D"/>
    <w:rsid w:val="00762A47"/>
    <w:rsid w:val="0076346E"/>
    <w:rsid w:val="00763920"/>
    <w:rsid w:val="00763D5B"/>
    <w:rsid w:val="00764A7E"/>
    <w:rsid w:val="0076510D"/>
    <w:rsid w:val="007651BF"/>
    <w:rsid w:val="007657B9"/>
    <w:rsid w:val="007660A5"/>
    <w:rsid w:val="0076611F"/>
    <w:rsid w:val="0076693F"/>
    <w:rsid w:val="00766CAF"/>
    <w:rsid w:val="00767037"/>
    <w:rsid w:val="00767481"/>
    <w:rsid w:val="00767C34"/>
    <w:rsid w:val="00767E99"/>
    <w:rsid w:val="007703B6"/>
    <w:rsid w:val="0077065D"/>
    <w:rsid w:val="0077066B"/>
    <w:rsid w:val="00770B92"/>
    <w:rsid w:val="00771053"/>
    <w:rsid w:val="00771B2B"/>
    <w:rsid w:val="00771F3E"/>
    <w:rsid w:val="00772337"/>
    <w:rsid w:val="007723DD"/>
    <w:rsid w:val="007724A1"/>
    <w:rsid w:val="00772A14"/>
    <w:rsid w:val="00773B08"/>
    <w:rsid w:val="00775193"/>
    <w:rsid w:val="00776B0E"/>
    <w:rsid w:val="007778D4"/>
    <w:rsid w:val="00777981"/>
    <w:rsid w:val="0078000E"/>
    <w:rsid w:val="0078031B"/>
    <w:rsid w:val="00780EE2"/>
    <w:rsid w:val="007812B4"/>
    <w:rsid w:val="00781431"/>
    <w:rsid w:val="00781B7D"/>
    <w:rsid w:val="00781C7E"/>
    <w:rsid w:val="00783101"/>
    <w:rsid w:val="00783936"/>
    <w:rsid w:val="00783973"/>
    <w:rsid w:val="007839A5"/>
    <w:rsid w:val="00783A60"/>
    <w:rsid w:val="00784181"/>
    <w:rsid w:val="00784895"/>
    <w:rsid w:val="00784A52"/>
    <w:rsid w:val="0078545D"/>
    <w:rsid w:val="0078662B"/>
    <w:rsid w:val="007870EE"/>
    <w:rsid w:val="00787B9E"/>
    <w:rsid w:val="00790216"/>
    <w:rsid w:val="00790437"/>
    <w:rsid w:val="0079068B"/>
    <w:rsid w:val="00790771"/>
    <w:rsid w:val="00790EB0"/>
    <w:rsid w:val="00791218"/>
    <w:rsid w:val="007915E6"/>
    <w:rsid w:val="007918C5"/>
    <w:rsid w:val="007919EF"/>
    <w:rsid w:val="00791AFA"/>
    <w:rsid w:val="00791D11"/>
    <w:rsid w:val="00791D58"/>
    <w:rsid w:val="00792595"/>
    <w:rsid w:val="0079300C"/>
    <w:rsid w:val="007930F2"/>
    <w:rsid w:val="00793791"/>
    <w:rsid w:val="00793A9C"/>
    <w:rsid w:val="00794288"/>
    <w:rsid w:val="00794E79"/>
    <w:rsid w:val="007966B9"/>
    <w:rsid w:val="00796A13"/>
    <w:rsid w:val="00796EB8"/>
    <w:rsid w:val="00797528"/>
    <w:rsid w:val="00797601"/>
    <w:rsid w:val="00797E32"/>
    <w:rsid w:val="007A027B"/>
    <w:rsid w:val="007A061F"/>
    <w:rsid w:val="007A0624"/>
    <w:rsid w:val="007A135C"/>
    <w:rsid w:val="007A145C"/>
    <w:rsid w:val="007A18D1"/>
    <w:rsid w:val="007A3D1B"/>
    <w:rsid w:val="007A4D38"/>
    <w:rsid w:val="007A5D1D"/>
    <w:rsid w:val="007A5D38"/>
    <w:rsid w:val="007A5E60"/>
    <w:rsid w:val="007A5FFD"/>
    <w:rsid w:val="007A723A"/>
    <w:rsid w:val="007A7298"/>
    <w:rsid w:val="007B015E"/>
    <w:rsid w:val="007B06AC"/>
    <w:rsid w:val="007B18F6"/>
    <w:rsid w:val="007B1A83"/>
    <w:rsid w:val="007B215E"/>
    <w:rsid w:val="007B2319"/>
    <w:rsid w:val="007B27BB"/>
    <w:rsid w:val="007B35E7"/>
    <w:rsid w:val="007B3B24"/>
    <w:rsid w:val="007B4215"/>
    <w:rsid w:val="007B421C"/>
    <w:rsid w:val="007B45FC"/>
    <w:rsid w:val="007B5D12"/>
    <w:rsid w:val="007B6B6E"/>
    <w:rsid w:val="007B6DC9"/>
    <w:rsid w:val="007B7794"/>
    <w:rsid w:val="007C0D98"/>
    <w:rsid w:val="007C1C36"/>
    <w:rsid w:val="007C2448"/>
    <w:rsid w:val="007C25ED"/>
    <w:rsid w:val="007C285E"/>
    <w:rsid w:val="007C29F1"/>
    <w:rsid w:val="007C2DE5"/>
    <w:rsid w:val="007C3818"/>
    <w:rsid w:val="007C3BE8"/>
    <w:rsid w:val="007C3D02"/>
    <w:rsid w:val="007C52BB"/>
    <w:rsid w:val="007C5A99"/>
    <w:rsid w:val="007C5BB5"/>
    <w:rsid w:val="007C6353"/>
    <w:rsid w:val="007C681A"/>
    <w:rsid w:val="007C7393"/>
    <w:rsid w:val="007C75CE"/>
    <w:rsid w:val="007C76CC"/>
    <w:rsid w:val="007C7885"/>
    <w:rsid w:val="007C7BD8"/>
    <w:rsid w:val="007D06F9"/>
    <w:rsid w:val="007D0B61"/>
    <w:rsid w:val="007D113E"/>
    <w:rsid w:val="007D157B"/>
    <w:rsid w:val="007D1737"/>
    <w:rsid w:val="007D1ED4"/>
    <w:rsid w:val="007D1F43"/>
    <w:rsid w:val="007D2089"/>
    <w:rsid w:val="007D267E"/>
    <w:rsid w:val="007D26D5"/>
    <w:rsid w:val="007D2C91"/>
    <w:rsid w:val="007D2E44"/>
    <w:rsid w:val="007D382B"/>
    <w:rsid w:val="007D392E"/>
    <w:rsid w:val="007D431E"/>
    <w:rsid w:val="007D4947"/>
    <w:rsid w:val="007D4E88"/>
    <w:rsid w:val="007D52B1"/>
    <w:rsid w:val="007D53FE"/>
    <w:rsid w:val="007D5524"/>
    <w:rsid w:val="007D58AD"/>
    <w:rsid w:val="007D5EB1"/>
    <w:rsid w:val="007D6D91"/>
    <w:rsid w:val="007D6F3D"/>
    <w:rsid w:val="007D75E9"/>
    <w:rsid w:val="007E0080"/>
    <w:rsid w:val="007E0C3A"/>
    <w:rsid w:val="007E1427"/>
    <w:rsid w:val="007E17F7"/>
    <w:rsid w:val="007E18B4"/>
    <w:rsid w:val="007E1BE0"/>
    <w:rsid w:val="007E1D71"/>
    <w:rsid w:val="007E225E"/>
    <w:rsid w:val="007E256A"/>
    <w:rsid w:val="007E2FA0"/>
    <w:rsid w:val="007E33F5"/>
    <w:rsid w:val="007E4CB5"/>
    <w:rsid w:val="007E4F84"/>
    <w:rsid w:val="007E560C"/>
    <w:rsid w:val="007E609D"/>
    <w:rsid w:val="007E6231"/>
    <w:rsid w:val="007E7E6D"/>
    <w:rsid w:val="007F00AD"/>
    <w:rsid w:val="007F1362"/>
    <w:rsid w:val="007F16FF"/>
    <w:rsid w:val="007F2B9D"/>
    <w:rsid w:val="007F335F"/>
    <w:rsid w:val="007F3B13"/>
    <w:rsid w:val="007F3FE2"/>
    <w:rsid w:val="007F4523"/>
    <w:rsid w:val="007F4BF1"/>
    <w:rsid w:val="007F505F"/>
    <w:rsid w:val="007F55A1"/>
    <w:rsid w:val="007F5AEB"/>
    <w:rsid w:val="007F6347"/>
    <w:rsid w:val="007F69F7"/>
    <w:rsid w:val="007F74F0"/>
    <w:rsid w:val="007F756D"/>
    <w:rsid w:val="007F7A00"/>
    <w:rsid w:val="00800E55"/>
    <w:rsid w:val="0080183F"/>
    <w:rsid w:val="00801BCE"/>
    <w:rsid w:val="00801C6B"/>
    <w:rsid w:val="00801C6D"/>
    <w:rsid w:val="00801DB8"/>
    <w:rsid w:val="008024F3"/>
    <w:rsid w:val="008028F8"/>
    <w:rsid w:val="008036E7"/>
    <w:rsid w:val="008039E7"/>
    <w:rsid w:val="00804C38"/>
    <w:rsid w:val="00805135"/>
    <w:rsid w:val="00805C4A"/>
    <w:rsid w:val="008060B0"/>
    <w:rsid w:val="00806BDB"/>
    <w:rsid w:val="0080711A"/>
    <w:rsid w:val="00807A71"/>
    <w:rsid w:val="0081012E"/>
    <w:rsid w:val="00810B59"/>
    <w:rsid w:val="00810B5C"/>
    <w:rsid w:val="00812261"/>
    <w:rsid w:val="00812381"/>
    <w:rsid w:val="00812DAA"/>
    <w:rsid w:val="00813FC0"/>
    <w:rsid w:val="00814F24"/>
    <w:rsid w:val="00815380"/>
    <w:rsid w:val="008153E6"/>
    <w:rsid w:val="00815CFF"/>
    <w:rsid w:val="00815D10"/>
    <w:rsid w:val="0081611B"/>
    <w:rsid w:val="00817A20"/>
    <w:rsid w:val="0082027D"/>
    <w:rsid w:val="0082161C"/>
    <w:rsid w:val="008216C9"/>
    <w:rsid w:val="00822E91"/>
    <w:rsid w:val="0082305A"/>
    <w:rsid w:val="0082443A"/>
    <w:rsid w:val="00824601"/>
    <w:rsid w:val="00824C89"/>
    <w:rsid w:val="008252BE"/>
    <w:rsid w:val="008253E5"/>
    <w:rsid w:val="008256A7"/>
    <w:rsid w:val="00825A37"/>
    <w:rsid w:val="008263AE"/>
    <w:rsid w:val="0082660C"/>
    <w:rsid w:val="008271C9"/>
    <w:rsid w:val="00831BA5"/>
    <w:rsid w:val="00831D37"/>
    <w:rsid w:val="00831F62"/>
    <w:rsid w:val="008323B6"/>
    <w:rsid w:val="0083279E"/>
    <w:rsid w:val="008327C8"/>
    <w:rsid w:val="00832CC0"/>
    <w:rsid w:val="00833003"/>
    <w:rsid w:val="0083336C"/>
    <w:rsid w:val="0083342C"/>
    <w:rsid w:val="00833935"/>
    <w:rsid w:val="00833BF1"/>
    <w:rsid w:val="00834191"/>
    <w:rsid w:val="00834E24"/>
    <w:rsid w:val="0083584C"/>
    <w:rsid w:val="00835979"/>
    <w:rsid w:val="00835DE7"/>
    <w:rsid w:val="00835DF2"/>
    <w:rsid w:val="00836204"/>
    <w:rsid w:val="00836C09"/>
    <w:rsid w:val="00837524"/>
    <w:rsid w:val="008376A4"/>
    <w:rsid w:val="008377FD"/>
    <w:rsid w:val="00837970"/>
    <w:rsid w:val="00837B61"/>
    <w:rsid w:val="008402FC"/>
    <w:rsid w:val="00840E17"/>
    <w:rsid w:val="00840E94"/>
    <w:rsid w:val="008413FD"/>
    <w:rsid w:val="008418FB"/>
    <w:rsid w:val="00841921"/>
    <w:rsid w:val="00841E86"/>
    <w:rsid w:val="0084311C"/>
    <w:rsid w:val="0084365A"/>
    <w:rsid w:val="00843A4D"/>
    <w:rsid w:val="00843BF6"/>
    <w:rsid w:val="00843D02"/>
    <w:rsid w:val="00843E3E"/>
    <w:rsid w:val="008448C9"/>
    <w:rsid w:val="00844CE8"/>
    <w:rsid w:val="00844D88"/>
    <w:rsid w:val="00845929"/>
    <w:rsid w:val="00846138"/>
    <w:rsid w:val="008466C2"/>
    <w:rsid w:val="008472DF"/>
    <w:rsid w:val="00850059"/>
    <w:rsid w:val="0085035E"/>
    <w:rsid w:val="0085246D"/>
    <w:rsid w:val="00853078"/>
    <w:rsid w:val="008532F3"/>
    <w:rsid w:val="00853E9B"/>
    <w:rsid w:val="00854596"/>
    <w:rsid w:val="008548DE"/>
    <w:rsid w:val="00854ABE"/>
    <w:rsid w:val="00854B3E"/>
    <w:rsid w:val="00856A9C"/>
    <w:rsid w:val="00856CB7"/>
    <w:rsid w:val="00856CC3"/>
    <w:rsid w:val="00857DCE"/>
    <w:rsid w:val="00860D94"/>
    <w:rsid w:val="0086147B"/>
    <w:rsid w:val="008614B0"/>
    <w:rsid w:val="00861A6C"/>
    <w:rsid w:val="00861CFC"/>
    <w:rsid w:val="00862075"/>
    <w:rsid w:val="008628E3"/>
    <w:rsid w:val="008628F2"/>
    <w:rsid w:val="00862F47"/>
    <w:rsid w:val="00863597"/>
    <w:rsid w:val="00863BC9"/>
    <w:rsid w:val="00863C9C"/>
    <w:rsid w:val="0086403D"/>
    <w:rsid w:val="008640DF"/>
    <w:rsid w:val="0086412D"/>
    <w:rsid w:val="00864309"/>
    <w:rsid w:val="00864457"/>
    <w:rsid w:val="00864467"/>
    <w:rsid w:val="0086487F"/>
    <w:rsid w:val="00864B61"/>
    <w:rsid w:val="00865269"/>
    <w:rsid w:val="008655A3"/>
    <w:rsid w:val="00865636"/>
    <w:rsid w:val="00865779"/>
    <w:rsid w:val="00865DA7"/>
    <w:rsid w:val="00865E68"/>
    <w:rsid w:val="008670D6"/>
    <w:rsid w:val="00867D3A"/>
    <w:rsid w:val="008706BB"/>
    <w:rsid w:val="00870829"/>
    <w:rsid w:val="00870D3C"/>
    <w:rsid w:val="0087129D"/>
    <w:rsid w:val="00871464"/>
    <w:rsid w:val="008719E4"/>
    <w:rsid w:val="00871BEB"/>
    <w:rsid w:val="00871D05"/>
    <w:rsid w:val="00872D0B"/>
    <w:rsid w:val="008738DB"/>
    <w:rsid w:val="00873956"/>
    <w:rsid w:val="00873BC4"/>
    <w:rsid w:val="0087466C"/>
    <w:rsid w:val="00874685"/>
    <w:rsid w:val="00874ACD"/>
    <w:rsid w:val="00874C9C"/>
    <w:rsid w:val="00874D80"/>
    <w:rsid w:val="008752AB"/>
    <w:rsid w:val="00875F11"/>
    <w:rsid w:val="00876FAC"/>
    <w:rsid w:val="00877B7C"/>
    <w:rsid w:val="00877B9D"/>
    <w:rsid w:val="00877F93"/>
    <w:rsid w:val="008806A5"/>
    <w:rsid w:val="0088158F"/>
    <w:rsid w:val="00881679"/>
    <w:rsid w:val="00881702"/>
    <w:rsid w:val="008817C9"/>
    <w:rsid w:val="00881D28"/>
    <w:rsid w:val="008820E6"/>
    <w:rsid w:val="00882C68"/>
    <w:rsid w:val="00883B63"/>
    <w:rsid w:val="00883C9D"/>
    <w:rsid w:val="00884682"/>
    <w:rsid w:val="00884CDC"/>
    <w:rsid w:val="00884D9B"/>
    <w:rsid w:val="00884F48"/>
    <w:rsid w:val="00885E55"/>
    <w:rsid w:val="00886AA4"/>
    <w:rsid w:val="008872DA"/>
    <w:rsid w:val="00887B4A"/>
    <w:rsid w:val="00890735"/>
    <w:rsid w:val="00891E60"/>
    <w:rsid w:val="00892481"/>
    <w:rsid w:val="00892E1D"/>
    <w:rsid w:val="00892EE9"/>
    <w:rsid w:val="00893002"/>
    <w:rsid w:val="00893419"/>
    <w:rsid w:val="00894319"/>
    <w:rsid w:val="00894444"/>
    <w:rsid w:val="008944A6"/>
    <w:rsid w:val="0089452C"/>
    <w:rsid w:val="00894709"/>
    <w:rsid w:val="00894BE6"/>
    <w:rsid w:val="00894D66"/>
    <w:rsid w:val="008950FF"/>
    <w:rsid w:val="00895203"/>
    <w:rsid w:val="008953CE"/>
    <w:rsid w:val="0089541A"/>
    <w:rsid w:val="00895454"/>
    <w:rsid w:val="008956DC"/>
    <w:rsid w:val="0089579A"/>
    <w:rsid w:val="00895B9A"/>
    <w:rsid w:val="00896449"/>
    <w:rsid w:val="00896F38"/>
    <w:rsid w:val="00897326"/>
    <w:rsid w:val="008978AD"/>
    <w:rsid w:val="008979E8"/>
    <w:rsid w:val="00897D75"/>
    <w:rsid w:val="008A0E20"/>
    <w:rsid w:val="008A178B"/>
    <w:rsid w:val="008A1A92"/>
    <w:rsid w:val="008A243D"/>
    <w:rsid w:val="008A3410"/>
    <w:rsid w:val="008A3498"/>
    <w:rsid w:val="008A532E"/>
    <w:rsid w:val="008A6024"/>
    <w:rsid w:val="008A61CD"/>
    <w:rsid w:val="008A624E"/>
    <w:rsid w:val="008A658F"/>
    <w:rsid w:val="008A7FE2"/>
    <w:rsid w:val="008B000D"/>
    <w:rsid w:val="008B0650"/>
    <w:rsid w:val="008B0AB9"/>
    <w:rsid w:val="008B1519"/>
    <w:rsid w:val="008B193B"/>
    <w:rsid w:val="008B19BC"/>
    <w:rsid w:val="008B2220"/>
    <w:rsid w:val="008B2A05"/>
    <w:rsid w:val="008B3274"/>
    <w:rsid w:val="008B32E0"/>
    <w:rsid w:val="008B3568"/>
    <w:rsid w:val="008B434A"/>
    <w:rsid w:val="008B489E"/>
    <w:rsid w:val="008B4F3E"/>
    <w:rsid w:val="008B56AB"/>
    <w:rsid w:val="008B5AB3"/>
    <w:rsid w:val="008B5F62"/>
    <w:rsid w:val="008B6D06"/>
    <w:rsid w:val="008B6D9A"/>
    <w:rsid w:val="008B7B95"/>
    <w:rsid w:val="008C00E9"/>
    <w:rsid w:val="008C04CC"/>
    <w:rsid w:val="008C11F4"/>
    <w:rsid w:val="008C1809"/>
    <w:rsid w:val="008C2EE5"/>
    <w:rsid w:val="008C2FE3"/>
    <w:rsid w:val="008C407B"/>
    <w:rsid w:val="008C44D5"/>
    <w:rsid w:val="008C4BB1"/>
    <w:rsid w:val="008C4E33"/>
    <w:rsid w:val="008C5266"/>
    <w:rsid w:val="008C5EC8"/>
    <w:rsid w:val="008C7C40"/>
    <w:rsid w:val="008D0FCD"/>
    <w:rsid w:val="008D1C20"/>
    <w:rsid w:val="008D26A3"/>
    <w:rsid w:val="008D2927"/>
    <w:rsid w:val="008D2ED3"/>
    <w:rsid w:val="008D3491"/>
    <w:rsid w:val="008D3AE8"/>
    <w:rsid w:val="008D3D3E"/>
    <w:rsid w:val="008D4142"/>
    <w:rsid w:val="008D4302"/>
    <w:rsid w:val="008D46B5"/>
    <w:rsid w:val="008D5301"/>
    <w:rsid w:val="008D6124"/>
    <w:rsid w:val="008D6299"/>
    <w:rsid w:val="008D62C8"/>
    <w:rsid w:val="008D6BA1"/>
    <w:rsid w:val="008D7FF4"/>
    <w:rsid w:val="008E10EA"/>
    <w:rsid w:val="008E11C4"/>
    <w:rsid w:val="008E2A06"/>
    <w:rsid w:val="008E314D"/>
    <w:rsid w:val="008E35BC"/>
    <w:rsid w:val="008E37E9"/>
    <w:rsid w:val="008E3E1A"/>
    <w:rsid w:val="008E40ED"/>
    <w:rsid w:val="008E448E"/>
    <w:rsid w:val="008E4735"/>
    <w:rsid w:val="008E47C1"/>
    <w:rsid w:val="008E4DE1"/>
    <w:rsid w:val="008E5E53"/>
    <w:rsid w:val="008E6F01"/>
    <w:rsid w:val="008E7105"/>
    <w:rsid w:val="008F023E"/>
    <w:rsid w:val="008F04D1"/>
    <w:rsid w:val="008F0824"/>
    <w:rsid w:val="008F0ECA"/>
    <w:rsid w:val="008F14A9"/>
    <w:rsid w:val="008F19A8"/>
    <w:rsid w:val="008F1EE5"/>
    <w:rsid w:val="008F26C2"/>
    <w:rsid w:val="008F2950"/>
    <w:rsid w:val="008F39E2"/>
    <w:rsid w:val="008F3B47"/>
    <w:rsid w:val="008F3C99"/>
    <w:rsid w:val="008F3EC1"/>
    <w:rsid w:val="008F4956"/>
    <w:rsid w:val="008F5556"/>
    <w:rsid w:val="008F561E"/>
    <w:rsid w:val="008F5D12"/>
    <w:rsid w:val="008F5ED0"/>
    <w:rsid w:val="008F60BD"/>
    <w:rsid w:val="008F6809"/>
    <w:rsid w:val="008F6FC1"/>
    <w:rsid w:val="008F71C8"/>
    <w:rsid w:val="008F755B"/>
    <w:rsid w:val="008F7F54"/>
    <w:rsid w:val="009000E2"/>
    <w:rsid w:val="00900B57"/>
    <w:rsid w:val="00900CAD"/>
    <w:rsid w:val="009014F8"/>
    <w:rsid w:val="00901A4B"/>
    <w:rsid w:val="00901C71"/>
    <w:rsid w:val="00901CCB"/>
    <w:rsid w:val="00901E0A"/>
    <w:rsid w:val="00902EB6"/>
    <w:rsid w:val="00903228"/>
    <w:rsid w:val="00903B0C"/>
    <w:rsid w:val="00903BA1"/>
    <w:rsid w:val="009042C8"/>
    <w:rsid w:val="009052EC"/>
    <w:rsid w:val="00905E78"/>
    <w:rsid w:val="0090658B"/>
    <w:rsid w:val="00906672"/>
    <w:rsid w:val="00906D95"/>
    <w:rsid w:val="00907036"/>
    <w:rsid w:val="00907971"/>
    <w:rsid w:val="009079E6"/>
    <w:rsid w:val="009104A2"/>
    <w:rsid w:val="009105C4"/>
    <w:rsid w:val="00910D3A"/>
    <w:rsid w:val="00910F38"/>
    <w:rsid w:val="009113AB"/>
    <w:rsid w:val="00911E7D"/>
    <w:rsid w:val="009129BA"/>
    <w:rsid w:val="00913554"/>
    <w:rsid w:val="009140C8"/>
    <w:rsid w:val="0091416C"/>
    <w:rsid w:val="0091511A"/>
    <w:rsid w:val="00915126"/>
    <w:rsid w:val="009157CA"/>
    <w:rsid w:val="00916181"/>
    <w:rsid w:val="00917988"/>
    <w:rsid w:val="0092021C"/>
    <w:rsid w:val="00921D82"/>
    <w:rsid w:val="00921ECA"/>
    <w:rsid w:val="009222C2"/>
    <w:rsid w:val="009223D3"/>
    <w:rsid w:val="00923579"/>
    <w:rsid w:val="0092358B"/>
    <w:rsid w:val="00923AF1"/>
    <w:rsid w:val="00924021"/>
    <w:rsid w:val="0092420A"/>
    <w:rsid w:val="009243BC"/>
    <w:rsid w:val="00924752"/>
    <w:rsid w:val="00924CA7"/>
    <w:rsid w:val="009250AB"/>
    <w:rsid w:val="009252CF"/>
    <w:rsid w:val="00926318"/>
    <w:rsid w:val="00926370"/>
    <w:rsid w:val="009269EB"/>
    <w:rsid w:val="00926D85"/>
    <w:rsid w:val="00927E45"/>
    <w:rsid w:val="00930E29"/>
    <w:rsid w:val="00931BA7"/>
    <w:rsid w:val="0093248F"/>
    <w:rsid w:val="009326D0"/>
    <w:rsid w:val="00932B63"/>
    <w:rsid w:val="00933584"/>
    <w:rsid w:val="0093389C"/>
    <w:rsid w:val="0093405C"/>
    <w:rsid w:val="00934807"/>
    <w:rsid w:val="00934D8D"/>
    <w:rsid w:val="00935592"/>
    <w:rsid w:val="00935752"/>
    <w:rsid w:val="00935AA1"/>
    <w:rsid w:val="009364E7"/>
    <w:rsid w:val="00936560"/>
    <w:rsid w:val="009368A8"/>
    <w:rsid w:val="009368D7"/>
    <w:rsid w:val="009368DC"/>
    <w:rsid w:val="0093708A"/>
    <w:rsid w:val="009404ED"/>
    <w:rsid w:val="00940ADA"/>
    <w:rsid w:val="00943176"/>
    <w:rsid w:val="00943594"/>
    <w:rsid w:val="009438FF"/>
    <w:rsid w:val="00943B97"/>
    <w:rsid w:val="00944430"/>
    <w:rsid w:val="00944FCD"/>
    <w:rsid w:val="0094585E"/>
    <w:rsid w:val="009462FD"/>
    <w:rsid w:val="00946357"/>
    <w:rsid w:val="00946628"/>
    <w:rsid w:val="00946852"/>
    <w:rsid w:val="00946C51"/>
    <w:rsid w:val="00946CCA"/>
    <w:rsid w:val="00946E4D"/>
    <w:rsid w:val="0094739C"/>
    <w:rsid w:val="00950263"/>
    <w:rsid w:val="00950624"/>
    <w:rsid w:val="00951213"/>
    <w:rsid w:val="00951324"/>
    <w:rsid w:val="00951F26"/>
    <w:rsid w:val="009520C7"/>
    <w:rsid w:val="009520ED"/>
    <w:rsid w:val="009523EC"/>
    <w:rsid w:val="00953819"/>
    <w:rsid w:val="009538D1"/>
    <w:rsid w:val="00953A22"/>
    <w:rsid w:val="00953B41"/>
    <w:rsid w:val="00953BB8"/>
    <w:rsid w:val="00953CAC"/>
    <w:rsid w:val="00953E1D"/>
    <w:rsid w:val="0095447E"/>
    <w:rsid w:val="009544B3"/>
    <w:rsid w:val="00954B1C"/>
    <w:rsid w:val="00954FD8"/>
    <w:rsid w:val="0095518E"/>
    <w:rsid w:val="009557C0"/>
    <w:rsid w:val="00956665"/>
    <w:rsid w:val="00956BC1"/>
    <w:rsid w:val="00956F13"/>
    <w:rsid w:val="009600CA"/>
    <w:rsid w:val="009606E4"/>
    <w:rsid w:val="00960962"/>
    <w:rsid w:val="009609E1"/>
    <w:rsid w:val="009619B7"/>
    <w:rsid w:val="00961A79"/>
    <w:rsid w:val="00961E26"/>
    <w:rsid w:val="0096214F"/>
    <w:rsid w:val="0096275F"/>
    <w:rsid w:val="00962863"/>
    <w:rsid w:val="00962945"/>
    <w:rsid w:val="00962A89"/>
    <w:rsid w:val="00962B33"/>
    <w:rsid w:val="00964053"/>
    <w:rsid w:val="00964114"/>
    <w:rsid w:val="00964646"/>
    <w:rsid w:val="009648AF"/>
    <w:rsid w:val="009656A2"/>
    <w:rsid w:val="00965811"/>
    <w:rsid w:val="009667DE"/>
    <w:rsid w:val="0096783B"/>
    <w:rsid w:val="00967886"/>
    <w:rsid w:val="0097012D"/>
    <w:rsid w:val="009701EA"/>
    <w:rsid w:val="009703B9"/>
    <w:rsid w:val="00970C07"/>
    <w:rsid w:val="009724F2"/>
    <w:rsid w:val="00973421"/>
    <w:rsid w:val="0097374D"/>
    <w:rsid w:val="00974362"/>
    <w:rsid w:val="009744CF"/>
    <w:rsid w:val="009748B2"/>
    <w:rsid w:val="0097493E"/>
    <w:rsid w:val="00974DC2"/>
    <w:rsid w:val="00976702"/>
    <w:rsid w:val="00976813"/>
    <w:rsid w:val="009768F1"/>
    <w:rsid w:val="00976ADB"/>
    <w:rsid w:val="00976B22"/>
    <w:rsid w:val="00977777"/>
    <w:rsid w:val="00977EFD"/>
    <w:rsid w:val="009804C1"/>
    <w:rsid w:val="0098135B"/>
    <w:rsid w:val="00982015"/>
    <w:rsid w:val="009829AD"/>
    <w:rsid w:val="00982FB2"/>
    <w:rsid w:val="009833D1"/>
    <w:rsid w:val="00983493"/>
    <w:rsid w:val="00983561"/>
    <w:rsid w:val="0098372D"/>
    <w:rsid w:val="00983B2E"/>
    <w:rsid w:val="00983F3D"/>
    <w:rsid w:val="00983F7F"/>
    <w:rsid w:val="00984567"/>
    <w:rsid w:val="009846BC"/>
    <w:rsid w:val="0098487C"/>
    <w:rsid w:val="00984DDD"/>
    <w:rsid w:val="00984F20"/>
    <w:rsid w:val="00985214"/>
    <w:rsid w:val="00985E04"/>
    <w:rsid w:val="00985EAD"/>
    <w:rsid w:val="00986157"/>
    <w:rsid w:val="00987638"/>
    <w:rsid w:val="0098778D"/>
    <w:rsid w:val="00987A36"/>
    <w:rsid w:val="00987C75"/>
    <w:rsid w:val="00987EFD"/>
    <w:rsid w:val="009905E3"/>
    <w:rsid w:val="00990A4F"/>
    <w:rsid w:val="00991194"/>
    <w:rsid w:val="00992314"/>
    <w:rsid w:val="009923AA"/>
    <w:rsid w:val="00992EDE"/>
    <w:rsid w:val="00993C15"/>
    <w:rsid w:val="00994DD8"/>
    <w:rsid w:val="0099501F"/>
    <w:rsid w:val="009954AD"/>
    <w:rsid w:val="00995620"/>
    <w:rsid w:val="00997646"/>
    <w:rsid w:val="00997670"/>
    <w:rsid w:val="00997C1A"/>
    <w:rsid w:val="00997C3D"/>
    <w:rsid w:val="00997F73"/>
    <w:rsid w:val="009A049D"/>
    <w:rsid w:val="009A050D"/>
    <w:rsid w:val="009A05E2"/>
    <w:rsid w:val="009A0C22"/>
    <w:rsid w:val="009A2025"/>
    <w:rsid w:val="009A2D58"/>
    <w:rsid w:val="009A2FCC"/>
    <w:rsid w:val="009A32D9"/>
    <w:rsid w:val="009A3A20"/>
    <w:rsid w:val="009A3D5C"/>
    <w:rsid w:val="009A3E1D"/>
    <w:rsid w:val="009A43A1"/>
    <w:rsid w:val="009A4A96"/>
    <w:rsid w:val="009A4AC3"/>
    <w:rsid w:val="009A4CE8"/>
    <w:rsid w:val="009A4E42"/>
    <w:rsid w:val="009A5052"/>
    <w:rsid w:val="009A5254"/>
    <w:rsid w:val="009A5BCC"/>
    <w:rsid w:val="009A678B"/>
    <w:rsid w:val="009A684F"/>
    <w:rsid w:val="009A6F75"/>
    <w:rsid w:val="009A7469"/>
    <w:rsid w:val="009A7640"/>
    <w:rsid w:val="009B054A"/>
    <w:rsid w:val="009B064E"/>
    <w:rsid w:val="009B2763"/>
    <w:rsid w:val="009B2876"/>
    <w:rsid w:val="009B290A"/>
    <w:rsid w:val="009B2AE3"/>
    <w:rsid w:val="009B3529"/>
    <w:rsid w:val="009B3970"/>
    <w:rsid w:val="009B43A5"/>
    <w:rsid w:val="009B4A49"/>
    <w:rsid w:val="009B4A5C"/>
    <w:rsid w:val="009B4FCC"/>
    <w:rsid w:val="009B5B61"/>
    <w:rsid w:val="009B619E"/>
    <w:rsid w:val="009B75D3"/>
    <w:rsid w:val="009B7F4A"/>
    <w:rsid w:val="009C0CF8"/>
    <w:rsid w:val="009C0DD2"/>
    <w:rsid w:val="009C112C"/>
    <w:rsid w:val="009C148F"/>
    <w:rsid w:val="009C1F05"/>
    <w:rsid w:val="009C2283"/>
    <w:rsid w:val="009C22D8"/>
    <w:rsid w:val="009C297B"/>
    <w:rsid w:val="009C2A5A"/>
    <w:rsid w:val="009C3075"/>
    <w:rsid w:val="009C3A61"/>
    <w:rsid w:val="009C3B09"/>
    <w:rsid w:val="009C3D08"/>
    <w:rsid w:val="009C48F0"/>
    <w:rsid w:val="009C4FA4"/>
    <w:rsid w:val="009C5220"/>
    <w:rsid w:val="009C53FC"/>
    <w:rsid w:val="009C54CF"/>
    <w:rsid w:val="009C6CD4"/>
    <w:rsid w:val="009C6E03"/>
    <w:rsid w:val="009C7A58"/>
    <w:rsid w:val="009D050F"/>
    <w:rsid w:val="009D0561"/>
    <w:rsid w:val="009D30BB"/>
    <w:rsid w:val="009D323B"/>
    <w:rsid w:val="009D355D"/>
    <w:rsid w:val="009D4E9E"/>
    <w:rsid w:val="009D52B8"/>
    <w:rsid w:val="009D59EE"/>
    <w:rsid w:val="009D5D13"/>
    <w:rsid w:val="009D629C"/>
    <w:rsid w:val="009D73A0"/>
    <w:rsid w:val="009D7F6F"/>
    <w:rsid w:val="009E0386"/>
    <w:rsid w:val="009E0D24"/>
    <w:rsid w:val="009E11F6"/>
    <w:rsid w:val="009E1C78"/>
    <w:rsid w:val="009E2494"/>
    <w:rsid w:val="009E3395"/>
    <w:rsid w:val="009E33A1"/>
    <w:rsid w:val="009E3F03"/>
    <w:rsid w:val="009E544C"/>
    <w:rsid w:val="009E55FF"/>
    <w:rsid w:val="009E5D8A"/>
    <w:rsid w:val="009E65D9"/>
    <w:rsid w:val="009E6A44"/>
    <w:rsid w:val="009E6F0B"/>
    <w:rsid w:val="009E75FF"/>
    <w:rsid w:val="009E7A5E"/>
    <w:rsid w:val="009F049A"/>
    <w:rsid w:val="009F09A5"/>
    <w:rsid w:val="009F09A6"/>
    <w:rsid w:val="009F0C90"/>
    <w:rsid w:val="009F102D"/>
    <w:rsid w:val="009F197D"/>
    <w:rsid w:val="009F1AE6"/>
    <w:rsid w:val="009F1B99"/>
    <w:rsid w:val="009F1C8F"/>
    <w:rsid w:val="009F2D65"/>
    <w:rsid w:val="009F35B4"/>
    <w:rsid w:val="009F37C8"/>
    <w:rsid w:val="009F3CA1"/>
    <w:rsid w:val="009F460B"/>
    <w:rsid w:val="009F58AE"/>
    <w:rsid w:val="009F6A8F"/>
    <w:rsid w:val="009F6D08"/>
    <w:rsid w:val="009F7513"/>
    <w:rsid w:val="009F778D"/>
    <w:rsid w:val="009F7C3C"/>
    <w:rsid w:val="00A001F2"/>
    <w:rsid w:val="00A004C1"/>
    <w:rsid w:val="00A01967"/>
    <w:rsid w:val="00A0247E"/>
    <w:rsid w:val="00A0353C"/>
    <w:rsid w:val="00A036D3"/>
    <w:rsid w:val="00A03797"/>
    <w:rsid w:val="00A03811"/>
    <w:rsid w:val="00A039FE"/>
    <w:rsid w:val="00A03A4F"/>
    <w:rsid w:val="00A03C5D"/>
    <w:rsid w:val="00A0424D"/>
    <w:rsid w:val="00A04A5E"/>
    <w:rsid w:val="00A04D9A"/>
    <w:rsid w:val="00A05829"/>
    <w:rsid w:val="00A0631C"/>
    <w:rsid w:val="00A06E27"/>
    <w:rsid w:val="00A0735E"/>
    <w:rsid w:val="00A073E1"/>
    <w:rsid w:val="00A100C3"/>
    <w:rsid w:val="00A105F7"/>
    <w:rsid w:val="00A1060A"/>
    <w:rsid w:val="00A10A07"/>
    <w:rsid w:val="00A116AD"/>
    <w:rsid w:val="00A1216D"/>
    <w:rsid w:val="00A13057"/>
    <w:rsid w:val="00A13284"/>
    <w:rsid w:val="00A13D56"/>
    <w:rsid w:val="00A1400B"/>
    <w:rsid w:val="00A143DC"/>
    <w:rsid w:val="00A14A8A"/>
    <w:rsid w:val="00A14E4E"/>
    <w:rsid w:val="00A153ED"/>
    <w:rsid w:val="00A15B3C"/>
    <w:rsid w:val="00A15BAC"/>
    <w:rsid w:val="00A16F90"/>
    <w:rsid w:val="00A17A48"/>
    <w:rsid w:val="00A17A5A"/>
    <w:rsid w:val="00A201C4"/>
    <w:rsid w:val="00A20A98"/>
    <w:rsid w:val="00A21CD9"/>
    <w:rsid w:val="00A22006"/>
    <w:rsid w:val="00A22146"/>
    <w:rsid w:val="00A226E4"/>
    <w:rsid w:val="00A22B7F"/>
    <w:rsid w:val="00A2315D"/>
    <w:rsid w:val="00A23EBE"/>
    <w:rsid w:val="00A23FBA"/>
    <w:rsid w:val="00A24138"/>
    <w:rsid w:val="00A24664"/>
    <w:rsid w:val="00A2501B"/>
    <w:rsid w:val="00A25892"/>
    <w:rsid w:val="00A25F9B"/>
    <w:rsid w:val="00A2685F"/>
    <w:rsid w:val="00A26F05"/>
    <w:rsid w:val="00A27828"/>
    <w:rsid w:val="00A27D75"/>
    <w:rsid w:val="00A302EB"/>
    <w:rsid w:val="00A3036A"/>
    <w:rsid w:val="00A305E5"/>
    <w:rsid w:val="00A30ABC"/>
    <w:rsid w:val="00A30AD3"/>
    <w:rsid w:val="00A30AE8"/>
    <w:rsid w:val="00A30B1E"/>
    <w:rsid w:val="00A30C54"/>
    <w:rsid w:val="00A325AB"/>
    <w:rsid w:val="00A32A63"/>
    <w:rsid w:val="00A33CB1"/>
    <w:rsid w:val="00A34161"/>
    <w:rsid w:val="00A34325"/>
    <w:rsid w:val="00A3457E"/>
    <w:rsid w:val="00A34592"/>
    <w:rsid w:val="00A3538F"/>
    <w:rsid w:val="00A35B5C"/>
    <w:rsid w:val="00A36322"/>
    <w:rsid w:val="00A36590"/>
    <w:rsid w:val="00A36B5F"/>
    <w:rsid w:val="00A36DF0"/>
    <w:rsid w:val="00A374E8"/>
    <w:rsid w:val="00A37F6C"/>
    <w:rsid w:val="00A40178"/>
    <w:rsid w:val="00A4062A"/>
    <w:rsid w:val="00A40B86"/>
    <w:rsid w:val="00A40CDA"/>
    <w:rsid w:val="00A40DE3"/>
    <w:rsid w:val="00A412A3"/>
    <w:rsid w:val="00A415BB"/>
    <w:rsid w:val="00A41CB6"/>
    <w:rsid w:val="00A424D2"/>
    <w:rsid w:val="00A428DB"/>
    <w:rsid w:val="00A42CCF"/>
    <w:rsid w:val="00A43436"/>
    <w:rsid w:val="00A436FD"/>
    <w:rsid w:val="00A450AC"/>
    <w:rsid w:val="00A450E6"/>
    <w:rsid w:val="00A45819"/>
    <w:rsid w:val="00A45D75"/>
    <w:rsid w:val="00A46148"/>
    <w:rsid w:val="00A47648"/>
    <w:rsid w:val="00A47FF0"/>
    <w:rsid w:val="00A50A08"/>
    <w:rsid w:val="00A50A58"/>
    <w:rsid w:val="00A51198"/>
    <w:rsid w:val="00A51481"/>
    <w:rsid w:val="00A51D56"/>
    <w:rsid w:val="00A52F9F"/>
    <w:rsid w:val="00A53ECE"/>
    <w:rsid w:val="00A542ED"/>
    <w:rsid w:val="00A5485E"/>
    <w:rsid w:val="00A54932"/>
    <w:rsid w:val="00A555DC"/>
    <w:rsid w:val="00A55C2B"/>
    <w:rsid w:val="00A55CEB"/>
    <w:rsid w:val="00A55DE7"/>
    <w:rsid w:val="00A574F8"/>
    <w:rsid w:val="00A57681"/>
    <w:rsid w:val="00A606F9"/>
    <w:rsid w:val="00A608DF"/>
    <w:rsid w:val="00A609DB"/>
    <w:rsid w:val="00A60ACC"/>
    <w:rsid w:val="00A6146A"/>
    <w:rsid w:val="00A61A92"/>
    <w:rsid w:val="00A61CA5"/>
    <w:rsid w:val="00A624D7"/>
    <w:rsid w:val="00A62712"/>
    <w:rsid w:val="00A63F78"/>
    <w:rsid w:val="00A64425"/>
    <w:rsid w:val="00A6517D"/>
    <w:rsid w:val="00A65360"/>
    <w:rsid w:val="00A65A0E"/>
    <w:rsid w:val="00A65DBA"/>
    <w:rsid w:val="00A660CF"/>
    <w:rsid w:val="00A667B3"/>
    <w:rsid w:val="00A66846"/>
    <w:rsid w:val="00A671F5"/>
    <w:rsid w:val="00A6722B"/>
    <w:rsid w:val="00A700E5"/>
    <w:rsid w:val="00A7035D"/>
    <w:rsid w:val="00A70377"/>
    <w:rsid w:val="00A70C79"/>
    <w:rsid w:val="00A7238C"/>
    <w:rsid w:val="00A7275C"/>
    <w:rsid w:val="00A728AC"/>
    <w:rsid w:val="00A732E0"/>
    <w:rsid w:val="00A7332E"/>
    <w:rsid w:val="00A73623"/>
    <w:rsid w:val="00A740C3"/>
    <w:rsid w:val="00A7440C"/>
    <w:rsid w:val="00A74750"/>
    <w:rsid w:val="00A75112"/>
    <w:rsid w:val="00A752EF"/>
    <w:rsid w:val="00A753C8"/>
    <w:rsid w:val="00A7572F"/>
    <w:rsid w:val="00A7627A"/>
    <w:rsid w:val="00A7644E"/>
    <w:rsid w:val="00A7646C"/>
    <w:rsid w:val="00A76B7F"/>
    <w:rsid w:val="00A77733"/>
    <w:rsid w:val="00A802E0"/>
    <w:rsid w:val="00A8060C"/>
    <w:rsid w:val="00A807C9"/>
    <w:rsid w:val="00A81629"/>
    <w:rsid w:val="00A8202F"/>
    <w:rsid w:val="00A822D9"/>
    <w:rsid w:val="00A82A2C"/>
    <w:rsid w:val="00A82BC1"/>
    <w:rsid w:val="00A83450"/>
    <w:rsid w:val="00A8357C"/>
    <w:rsid w:val="00A83C2E"/>
    <w:rsid w:val="00A84C6A"/>
    <w:rsid w:val="00A856CF"/>
    <w:rsid w:val="00A85D90"/>
    <w:rsid w:val="00A86425"/>
    <w:rsid w:val="00A86BA7"/>
    <w:rsid w:val="00A87353"/>
    <w:rsid w:val="00A9045A"/>
    <w:rsid w:val="00A9069F"/>
    <w:rsid w:val="00A9087A"/>
    <w:rsid w:val="00A9211D"/>
    <w:rsid w:val="00A92B01"/>
    <w:rsid w:val="00A92CA2"/>
    <w:rsid w:val="00A92FC9"/>
    <w:rsid w:val="00A93D2C"/>
    <w:rsid w:val="00A944D0"/>
    <w:rsid w:val="00A947F6"/>
    <w:rsid w:val="00A94D34"/>
    <w:rsid w:val="00A94E77"/>
    <w:rsid w:val="00A94EB1"/>
    <w:rsid w:val="00A95356"/>
    <w:rsid w:val="00A954F4"/>
    <w:rsid w:val="00A95768"/>
    <w:rsid w:val="00A95C08"/>
    <w:rsid w:val="00A96770"/>
    <w:rsid w:val="00A97164"/>
    <w:rsid w:val="00AA035C"/>
    <w:rsid w:val="00AA0629"/>
    <w:rsid w:val="00AA08EE"/>
    <w:rsid w:val="00AA0ECE"/>
    <w:rsid w:val="00AA0EF5"/>
    <w:rsid w:val="00AA13F7"/>
    <w:rsid w:val="00AA1431"/>
    <w:rsid w:val="00AA165E"/>
    <w:rsid w:val="00AA1B01"/>
    <w:rsid w:val="00AA33F7"/>
    <w:rsid w:val="00AA3FCF"/>
    <w:rsid w:val="00AA61C4"/>
    <w:rsid w:val="00AA621E"/>
    <w:rsid w:val="00AA6457"/>
    <w:rsid w:val="00AA6486"/>
    <w:rsid w:val="00AA6791"/>
    <w:rsid w:val="00AA69E1"/>
    <w:rsid w:val="00AA6DE9"/>
    <w:rsid w:val="00AA75BB"/>
    <w:rsid w:val="00AB0034"/>
    <w:rsid w:val="00AB0BA3"/>
    <w:rsid w:val="00AB1190"/>
    <w:rsid w:val="00AB1911"/>
    <w:rsid w:val="00AB20B7"/>
    <w:rsid w:val="00AB24E3"/>
    <w:rsid w:val="00AB2666"/>
    <w:rsid w:val="00AB2681"/>
    <w:rsid w:val="00AB279F"/>
    <w:rsid w:val="00AB2AEF"/>
    <w:rsid w:val="00AB4702"/>
    <w:rsid w:val="00AB4853"/>
    <w:rsid w:val="00AB5A1D"/>
    <w:rsid w:val="00AB647A"/>
    <w:rsid w:val="00AB681D"/>
    <w:rsid w:val="00AB6E4B"/>
    <w:rsid w:val="00AB7099"/>
    <w:rsid w:val="00AB7B45"/>
    <w:rsid w:val="00AC03B6"/>
    <w:rsid w:val="00AC206C"/>
    <w:rsid w:val="00AC2A17"/>
    <w:rsid w:val="00AC3208"/>
    <w:rsid w:val="00AC35A8"/>
    <w:rsid w:val="00AC42DE"/>
    <w:rsid w:val="00AC4F29"/>
    <w:rsid w:val="00AC5584"/>
    <w:rsid w:val="00AC584D"/>
    <w:rsid w:val="00AC59C9"/>
    <w:rsid w:val="00AC6565"/>
    <w:rsid w:val="00AC66B1"/>
    <w:rsid w:val="00AC6A36"/>
    <w:rsid w:val="00AC6C20"/>
    <w:rsid w:val="00AC6E72"/>
    <w:rsid w:val="00AC706B"/>
    <w:rsid w:val="00AC7864"/>
    <w:rsid w:val="00AC7ADB"/>
    <w:rsid w:val="00AD0133"/>
    <w:rsid w:val="00AD08D5"/>
    <w:rsid w:val="00AD127F"/>
    <w:rsid w:val="00AD1780"/>
    <w:rsid w:val="00AD210D"/>
    <w:rsid w:val="00AD26BD"/>
    <w:rsid w:val="00AD2944"/>
    <w:rsid w:val="00AD3B2F"/>
    <w:rsid w:val="00AD3F46"/>
    <w:rsid w:val="00AD42C1"/>
    <w:rsid w:val="00AD43BE"/>
    <w:rsid w:val="00AD4F84"/>
    <w:rsid w:val="00AD54D4"/>
    <w:rsid w:val="00AD58F5"/>
    <w:rsid w:val="00AD5A77"/>
    <w:rsid w:val="00AD5B92"/>
    <w:rsid w:val="00AD7170"/>
    <w:rsid w:val="00AE004E"/>
    <w:rsid w:val="00AE0339"/>
    <w:rsid w:val="00AE098D"/>
    <w:rsid w:val="00AE1147"/>
    <w:rsid w:val="00AE1CD4"/>
    <w:rsid w:val="00AE2B68"/>
    <w:rsid w:val="00AE3283"/>
    <w:rsid w:val="00AE3318"/>
    <w:rsid w:val="00AE379F"/>
    <w:rsid w:val="00AE37B2"/>
    <w:rsid w:val="00AE3DF8"/>
    <w:rsid w:val="00AE3DFC"/>
    <w:rsid w:val="00AE4B7B"/>
    <w:rsid w:val="00AE4C79"/>
    <w:rsid w:val="00AE531D"/>
    <w:rsid w:val="00AE5625"/>
    <w:rsid w:val="00AE57BF"/>
    <w:rsid w:val="00AE5881"/>
    <w:rsid w:val="00AE672C"/>
    <w:rsid w:val="00AE6BDC"/>
    <w:rsid w:val="00AF1209"/>
    <w:rsid w:val="00AF14D5"/>
    <w:rsid w:val="00AF215B"/>
    <w:rsid w:val="00AF22E0"/>
    <w:rsid w:val="00AF244A"/>
    <w:rsid w:val="00AF34F1"/>
    <w:rsid w:val="00AF373D"/>
    <w:rsid w:val="00AF3BEC"/>
    <w:rsid w:val="00AF47E1"/>
    <w:rsid w:val="00AF4AF3"/>
    <w:rsid w:val="00AF4D81"/>
    <w:rsid w:val="00AF4E9D"/>
    <w:rsid w:val="00AF4F9B"/>
    <w:rsid w:val="00AF4FA1"/>
    <w:rsid w:val="00AF5683"/>
    <w:rsid w:val="00AF56C0"/>
    <w:rsid w:val="00AF69A6"/>
    <w:rsid w:val="00AF7120"/>
    <w:rsid w:val="00AF757E"/>
    <w:rsid w:val="00AF7584"/>
    <w:rsid w:val="00AF781B"/>
    <w:rsid w:val="00AF7C63"/>
    <w:rsid w:val="00AF7E49"/>
    <w:rsid w:val="00B0071C"/>
    <w:rsid w:val="00B00C8F"/>
    <w:rsid w:val="00B010B9"/>
    <w:rsid w:val="00B0154C"/>
    <w:rsid w:val="00B01E2E"/>
    <w:rsid w:val="00B02247"/>
    <w:rsid w:val="00B02848"/>
    <w:rsid w:val="00B02939"/>
    <w:rsid w:val="00B02B09"/>
    <w:rsid w:val="00B02E7A"/>
    <w:rsid w:val="00B03065"/>
    <w:rsid w:val="00B03156"/>
    <w:rsid w:val="00B03E32"/>
    <w:rsid w:val="00B0433F"/>
    <w:rsid w:val="00B0463B"/>
    <w:rsid w:val="00B04CDC"/>
    <w:rsid w:val="00B04E86"/>
    <w:rsid w:val="00B063E7"/>
    <w:rsid w:val="00B06940"/>
    <w:rsid w:val="00B069E7"/>
    <w:rsid w:val="00B07015"/>
    <w:rsid w:val="00B0712A"/>
    <w:rsid w:val="00B10095"/>
    <w:rsid w:val="00B102D9"/>
    <w:rsid w:val="00B10F51"/>
    <w:rsid w:val="00B110CF"/>
    <w:rsid w:val="00B118B7"/>
    <w:rsid w:val="00B13526"/>
    <w:rsid w:val="00B13C25"/>
    <w:rsid w:val="00B15144"/>
    <w:rsid w:val="00B15437"/>
    <w:rsid w:val="00B1552F"/>
    <w:rsid w:val="00B15DD4"/>
    <w:rsid w:val="00B162D4"/>
    <w:rsid w:val="00B16B66"/>
    <w:rsid w:val="00B177D7"/>
    <w:rsid w:val="00B201F3"/>
    <w:rsid w:val="00B20A3F"/>
    <w:rsid w:val="00B20DCE"/>
    <w:rsid w:val="00B2106F"/>
    <w:rsid w:val="00B2148B"/>
    <w:rsid w:val="00B21B38"/>
    <w:rsid w:val="00B22021"/>
    <w:rsid w:val="00B223F7"/>
    <w:rsid w:val="00B224C5"/>
    <w:rsid w:val="00B22737"/>
    <w:rsid w:val="00B23041"/>
    <w:rsid w:val="00B23C4B"/>
    <w:rsid w:val="00B24420"/>
    <w:rsid w:val="00B24441"/>
    <w:rsid w:val="00B259CC"/>
    <w:rsid w:val="00B25B2F"/>
    <w:rsid w:val="00B260F3"/>
    <w:rsid w:val="00B2642F"/>
    <w:rsid w:val="00B26C23"/>
    <w:rsid w:val="00B26F13"/>
    <w:rsid w:val="00B275E7"/>
    <w:rsid w:val="00B27872"/>
    <w:rsid w:val="00B27C42"/>
    <w:rsid w:val="00B27CE7"/>
    <w:rsid w:val="00B31704"/>
    <w:rsid w:val="00B329A0"/>
    <w:rsid w:val="00B32D85"/>
    <w:rsid w:val="00B32EEC"/>
    <w:rsid w:val="00B33762"/>
    <w:rsid w:val="00B33799"/>
    <w:rsid w:val="00B33D39"/>
    <w:rsid w:val="00B34504"/>
    <w:rsid w:val="00B34839"/>
    <w:rsid w:val="00B36E8B"/>
    <w:rsid w:val="00B36FCE"/>
    <w:rsid w:val="00B373F3"/>
    <w:rsid w:val="00B37F72"/>
    <w:rsid w:val="00B41C84"/>
    <w:rsid w:val="00B41D0C"/>
    <w:rsid w:val="00B41FC5"/>
    <w:rsid w:val="00B42502"/>
    <w:rsid w:val="00B42F5C"/>
    <w:rsid w:val="00B44750"/>
    <w:rsid w:val="00B44A0D"/>
    <w:rsid w:val="00B44CC1"/>
    <w:rsid w:val="00B451EB"/>
    <w:rsid w:val="00B451F4"/>
    <w:rsid w:val="00B45AE0"/>
    <w:rsid w:val="00B45B97"/>
    <w:rsid w:val="00B46DD1"/>
    <w:rsid w:val="00B46E48"/>
    <w:rsid w:val="00B476D7"/>
    <w:rsid w:val="00B47B06"/>
    <w:rsid w:val="00B47B80"/>
    <w:rsid w:val="00B50277"/>
    <w:rsid w:val="00B504A8"/>
    <w:rsid w:val="00B5055C"/>
    <w:rsid w:val="00B50665"/>
    <w:rsid w:val="00B50AC9"/>
    <w:rsid w:val="00B50BB8"/>
    <w:rsid w:val="00B52011"/>
    <w:rsid w:val="00B52242"/>
    <w:rsid w:val="00B5253F"/>
    <w:rsid w:val="00B52782"/>
    <w:rsid w:val="00B53CC1"/>
    <w:rsid w:val="00B53D2E"/>
    <w:rsid w:val="00B542C0"/>
    <w:rsid w:val="00B54369"/>
    <w:rsid w:val="00B5455D"/>
    <w:rsid w:val="00B5463D"/>
    <w:rsid w:val="00B547A0"/>
    <w:rsid w:val="00B54B0E"/>
    <w:rsid w:val="00B54D1A"/>
    <w:rsid w:val="00B54DE5"/>
    <w:rsid w:val="00B54E35"/>
    <w:rsid w:val="00B55223"/>
    <w:rsid w:val="00B5779C"/>
    <w:rsid w:val="00B57B37"/>
    <w:rsid w:val="00B607EF"/>
    <w:rsid w:val="00B60D2C"/>
    <w:rsid w:val="00B6151F"/>
    <w:rsid w:val="00B61F84"/>
    <w:rsid w:val="00B6225D"/>
    <w:rsid w:val="00B63610"/>
    <w:rsid w:val="00B63F47"/>
    <w:rsid w:val="00B64152"/>
    <w:rsid w:val="00B64DC4"/>
    <w:rsid w:val="00B6575E"/>
    <w:rsid w:val="00B657C2"/>
    <w:rsid w:val="00B65B1D"/>
    <w:rsid w:val="00B66A35"/>
    <w:rsid w:val="00B66CA5"/>
    <w:rsid w:val="00B67180"/>
    <w:rsid w:val="00B673C8"/>
    <w:rsid w:val="00B67934"/>
    <w:rsid w:val="00B67A99"/>
    <w:rsid w:val="00B71AE9"/>
    <w:rsid w:val="00B71EE2"/>
    <w:rsid w:val="00B72CBE"/>
    <w:rsid w:val="00B735F3"/>
    <w:rsid w:val="00B7477B"/>
    <w:rsid w:val="00B74950"/>
    <w:rsid w:val="00B755ED"/>
    <w:rsid w:val="00B75B2E"/>
    <w:rsid w:val="00B76B9A"/>
    <w:rsid w:val="00B77477"/>
    <w:rsid w:val="00B7747F"/>
    <w:rsid w:val="00B77D12"/>
    <w:rsid w:val="00B810B0"/>
    <w:rsid w:val="00B81561"/>
    <w:rsid w:val="00B81954"/>
    <w:rsid w:val="00B81D5B"/>
    <w:rsid w:val="00B81F15"/>
    <w:rsid w:val="00B824B2"/>
    <w:rsid w:val="00B824BA"/>
    <w:rsid w:val="00B839B3"/>
    <w:rsid w:val="00B83CEF"/>
    <w:rsid w:val="00B84441"/>
    <w:rsid w:val="00B846B9"/>
    <w:rsid w:val="00B8493D"/>
    <w:rsid w:val="00B84AD2"/>
    <w:rsid w:val="00B85577"/>
    <w:rsid w:val="00B855FC"/>
    <w:rsid w:val="00B864B2"/>
    <w:rsid w:val="00B866C7"/>
    <w:rsid w:val="00B874D1"/>
    <w:rsid w:val="00B87524"/>
    <w:rsid w:val="00B878C5"/>
    <w:rsid w:val="00B87A84"/>
    <w:rsid w:val="00B90819"/>
    <w:rsid w:val="00B90C8E"/>
    <w:rsid w:val="00B91E7F"/>
    <w:rsid w:val="00B91EAC"/>
    <w:rsid w:val="00B91F3E"/>
    <w:rsid w:val="00B921B2"/>
    <w:rsid w:val="00B948F9"/>
    <w:rsid w:val="00B95D23"/>
    <w:rsid w:val="00B96033"/>
    <w:rsid w:val="00B969A3"/>
    <w:rsid w:val="00B9755D"/>
    <w:rsid w:val="00BA0277"/>
    <w:rsid w:val="00BA03C0"/>
    <w:rsid w:val="00BA04A8"/>
    <w:rsid w:val="00BA05DF"/>
    <w:rsid w:val="00BA0CB6"/>
    <w:rsid w:val="00BA0FE1"/>
    <w:rsid w:val="00BA1239"/>
    <w:rsid w:val="00BA1277"/>
    <w:rsid w:val="00BA26D4"/>
    <w:rsid w:val="00BA2C65"/>
    <w:rsid w:val="00BA2D25"/>
    <w:rsid w:val="00BA3121"/>
    <w:rsid w:val="00BA3390"/>
    <w:rsid w:val="00BA35B4"/>
    <w:rsid w:val="00BA3901"/>
    <w:rsid w:val="00BA3B30"/>
    <w:rsid w:val="00BA3B8A"/>
    <w:rsid w:val="00BA47E3"/>
    <w:rsid w:val="00BA47ED"/>
    <w:rsid w:val="00BA4E31"/>
    <w:rsid w:val="00BA538F"/>
    <w:rsid w:val="00BA577A"/>
    <w:rsid w:val="00BA57BB"/>
    <w:rsid w:val="00BA5AFF"/>
    <w:rsid w:val="00BA6B2E"/>
    <w:rsid w:val="00BA7E90"/>
    <w:rsid w:val="00BB21EB"/>
    <w:rsid w:val="00BB2492"/>
    <w:rsid w:val="00BB322E"/>
    <w:rsid w:val="00BB45C1"/>
    <w:rsid w:val="00BB4B00"/>
    <w:rsid w:val="00BB4B76"/>
    <w:rsid w:val="00BB5B30"/>
    <w:rsid w:val="00BB5E05"/>
    <w:rsid w:val="00BB5EF9"/>
    <w:rsid w:val="00BB6165"/>
    <w:rsid w:val="00BB6D61"/>
    <w:rsid w:val="00BB782D"/>
    <w:rsid w:val="00BC05AD"/>
    <w:rsid w:val="00BC132A"/>
    <w:rsid w:val="00BC156E"/>
    <w:rsid w:val="00BC1620"/>
    <w:rsid w:val="00BC2935"/>
    <w:rsid w:val="00BC3B53"/>
    <w:rsid w:val="00BC43E1"/>
    <w:rsid w:val="00BC4646"/>
    <w:rsid w:val="00BC4D79"/>
    <w:rsid w:val="00BC5205"/>
    <w:rsid w:val="00BC53DF"/>
    <w:rsid w:val="00BC587B"/>
    <w:rsid w:val="00BC5CD1"/>
    <w:rsid w:val="00BC5F44"/>
    <w:rsid w:val="00BC6263"/>
    <w:rsid w:val="00BC629B"/>
    <w:rsid w:val="00BC637C"/>
    <w:rsid w:val="00BC6C21"/>
    <w:rsid w:val="00BC6C65"/>
    <w:rsid w:val="00BC6FA3"/>
    <w:rsid w:val="00BC7448"/>
    <w:rsid w:val="00BC751E"/>
    <w:rsid w:val="00BC7F9E"/>
    <w:rsid w:val="00BC7FC7"/>
    <w:rsid w:val="00BD01B4"/>
    <w:rsid w:val="00BD1DA5"/>
    <w:rsid w:val="00BD1E70"/>
    <w:rsid w:val="00BD2595"/>
    <w:rsid w:val="00BD25EF"/>
    <w:rsid w:val="00BD3378"/>
    <w:rsid w:val="00BD3DA8"/>
    <w:rsid w:val="00BD401A"/>
    <w:rsid w:val="00BD4CD0"/>
    <w:rsid w:val="00BD52D2"/>
    <w:rsid w:val="00BD62D8"/>
    <w:rsid w:val="00BD65E2"/>
    <w:rsid w:val="00BD6F31"/>
    <w:rsid w:val="00BD79F5"/>
    <w:rsid w:val="00BE00F5"/>
    <w:rsid w:val="00BE02B8"/>
    <w:rsid w:val="00BE1132"/>
    <w:rsid w:val="00BE141D"/>
    <w:rsid w:val="00BE1931"/>
    <w:rsid w:val="00BE21F6"/>
    <w:rsid w:val="00BE22E0"/>
    <w:rsid w:val="00BE246D"/>
    <w:rsid w:val="00BE28F1"/>
    <w:rsid w:val="00BE2EA3"/>
    <w:rsid w:val="00BE2ED5"/>
    <w:rsid w:val="00BE32AF"/>
    <w:rsid w:val="00BE3869"/>
    <w:rsid w:val="00BE4D60"/>
    <w:rsid w:val="00BE4F03"/>
    <w:rsid w:val="00BE54E8"/>
    <w:rsid w:val="00BE5533"/>
    <w:rsid w:val="00BE553A"/>
    <w:rsid w:val="00BE5A12"/>
    <w:rsid w:val="00BE5C62"/>
    <w:rsid w:val="00BE5F42"/>
    <w:rsid w:val="00BE67B1"/>
    <w:rsid w:val="00BE6ADC"/>
    <w:rsid w:val="00BE6F4C"/>
    <w:rsid w:val="00BE75EE"/>
    <w:rsid w:val="00BE7FAC"/>
    <w:rsid w:val="00BF00B0"/>
    <w:rsid w:val="00BF0C28"/>
    <w:rsid w:val="00BF1963"/>
    <w:rsid w:val="00BF1DCB"/>
    <w:rsid w:val="00BF277C"/>
    <w:rsid w:val="00BF2787"/>
    <w:rsid w:val="00BF27C7"/>
    <w:rsid w:val="00BF2F8A"/>
    <w:rsid w:val="00BF33C1"/>
    <w:rsid w:val="00BF3601"/>
    <w:rsid w:val="00BF3A87"/>
    <w:rsid w:val="00BF4046"/>
    <w:rsid w:val="00BF5405"/>
    <w:rsid w:val="00BF58D2"/>
    <w:rsid w:val="00BF6473"/>
    <w:rsid w:val="00BF6A0A"/>
    <w:rsid w:val="00BF6F61"/>
    <w:rsid w:val="00BF72F8"/>
    <w:rsid w:val="00BF79B9"/>
    <w:rsid w:val="00C0023A"/>
    <w:rsid w:val="00C00960"/>
    <w:rsid w:val="00C00AD6"/>
    <w:rsid w:val="00C00D2C"/>
    <w:rsid w:val="00C00F3E"/>
    <w:rsid w:val="00C018A6"/>
    <w:rsid w:val="00C01DB7"/>
    <w:rsid w:val="00C02B87"/>
    <w:rsid w:val="00C030FB"/>
    <w:rsid w:val="00C0329E"/>
    <w:rsid w:val="00C032F4"/>
    <w:rsid w:val="00C034BA"/>
    <w:rsid w:val="00C03C1F"/>
    <w:rsid w:val="00C0404D"/>
    <w:rsid w:val="00C044C8"/>
    <w:rsid w:val="00C04CB1"/>
    <w:rsid w:val="00C04FCC"/>
    <w:rsid w:val="00C04FF2"/>
    <w:rsid w:val="00C055F3"/>
    <w:rsid w:val="00C0573C"/>
    <w:rsid w:val="00C0703F"/>
    <w:rsid w:val="00C0727E"/>
    <w:rsid w:val="00C074E2"/>
    <w:rsid w:val="00C07C36"/>
    <w:rsid w:val="00C07E08"/>
    <w:rsid w:val="00C10C68"/>
    <w:rsid w:val="00C10D85"/>
    <w:rsid w:val="00C10ED5"/>
    <w:rsid w:val="00C118BB"/>
    <w:rsid w:val="00C12230"/>
    <w:rsid w:val="00C12326"/>
    <w:rsid w:val="00C1263B"/>
    <w:rsid w:val="00C129C8"/>
    <w:rsid w:val="00C12B5A"/>
    <w:rsid w:val="00C12D64"/>
    <w:rsid w:val="00C132E4"/>
    <w:rsid w:val="00C142C6"/>
    <w:rsid w:val="00C14E19"/>
    <w:rsid w:val="00C14ECE"/>
    <w:rsid w:val="00C150E4"/>
    <w:rsid w:val="00C154B0"/>
    <w:rsid w:val="00C1565E"/>
    <w:rsid w:val="00C15946"/>
    <w:rsid w:val="00C15D97"/>
    <w:rsid w:val="00C160C8"/>
    <w:rsid w:val="00C16648"/>
    <w:rsid w:val="00C16821"/>
    <w:rsid w:val="00C16829"/>
    <w:rsid w:val="00C16A3D"/>
    <w:rsid w:val="00C16BC4"/>
    <w:rsid w:val="00C17342"/>
    <w:rsid w:val="00C17576"/>
    <w:rsid w:val="00C17718"/>
    <w:rsid w:val="00C20BD2"/>
    <w:rsid w:val="00C2195F"/>
    <w:rsid w:val="00C226C2"/>
    <w:rsid w:val="00C23311"/>
    <w:rsid w:val="00C240BA"/>
    <w:rsid w:val="00C25857"/>
    <w:rsid w:val="00C25E5A"/>
    <w:rsid w:val="00C26283"/>
    <w:rsid w:val="00C27334"/>
    <w:rsid w:val="00C273E3"/>
    <w:rsid w:val="00C27533"/>
    <w:rsid w:val="00C27A48"/>
    <w:rsid w:val="00C30A14"/>
    <w:rsid w:val="00C30C2C"/>
    <w:rsid w:val="00C30E40"/>
    <w:rsid w:val="00C312C5"/>
    <w:rsid w:val="00C31768"/>
    <w:rsid w:val="00C31DA2"/>
    <w:rsid w:val="00C327F3"/>
    <w:rsid w:val="00C32DB7"/>
    <w:rsid w:val="00C33EFC"/>
    <w:rsid w:val="00C35185"/>
    <w:rsid w:val="00C35552"/>
    <w:rsid w:val="00C363B8"/>
    <w:rsid w:val="00C36B57"/>
    <w:rsid w:val="00C36D16"/>
    <w:rsid w:val="00C36D3D"/>
    <w:rsid w:val="00C36DA3"/>
    <w:rsid w:val="00C37C3A"/>
    <w:rsid w:val="00C37E46"/>
    <w:rsid w:val="00C410A3"/>
    <w:rsid w:val="00C414A7"/>
    <w:rsid w:val="00C42B39"/>
    <w:rsid w:val="00C42ECB"/>
    <w:rsid w:val="00C432DF"/>
    <w:rsid w:val="00C43BAB"/>
    <w:rsid w:val="00C43C36"/>
    <w:rsid w:val="00C43D36"/>
    <w:rsid w:val="00C45585"/>
    <w:rsid w:val="00C45674"/>
    <w:rsid w:val="00C45B6F"/>
    <w:rsid w:val="00C46519"/>
    <w:rsid w:val="00C4656D"/>
    <w:rsid w:val="00C46666"/>
    <w:rsid w:val="00C47493"/>
    <w:rsid w:val="00C5110C"/>
    <w:rsid w:val="00C52077"/>
    <w:rsid w:val="00C5245C"/>
    <w:rsid w:val="00C526AA"/>
    <w:rsid w:val="00C52C17"/>
    <w:rsid w:val="00C52D2E"/>
    <w:rsid w:val="00C54329"/>
    <w:rsid w:val="00C545E3"/>
    <w:rsid w:val="00C551F8"/>
    <w:rsid w:val="00C55697"/>
    <w:rsid w:val="00C558A4"/>
    <w:rsid w:val="00C568C2"/>
    <w:rsid w:val="00C569CF"/>
    <w:rsid w:val="00C56B83"/>
    <w:rsid w:val="00C570AD"/>
    <w:rsid w:val="00C57A8B"/>
    <w:rsid w:val="00C60CB3"/>
    <w:rsid w:val="00C60F91"/>
    <w:rsid w:val="00C6158B"/>
    <w:rsid w:val="00C62799"/>
    <w:rsid w:val="00C65AB7"/>
    <w:rsid w:val="00C65B6F"/>
    <w:rsid w:val="00C66097"/>
    <w:rsid w:val="00C6623C"/>
    <w:rsid w:val="00C662F7"/>
    <w:rsid w:val="00C66D12"/>
    <w:rsid w:val="00C677E1"/>
    <w:rsid w:val="00C679B2"/>
    <w:rsid w:val="00C71327"/>
    <w:rsid w:val="00C714A9"/>
    <w:rsid w:val="00C71CCF"/>
    <w:rsid w:val="00C72343"/>
    <w:rsid w:val="00C72378"/>
    <w:rsid w:val="00C726EB"/>
    <w:rsid w:val="00C72789"/>
    <w:rsid w:val="00C7298D"/>
    <w:rsid w:val="00C729E8"/>
    <w:rsid w:val="00C7333A"/>
    <w:rsid w:val="00C73406"/>
    <w:rsid w:val="00C734C5"/>
    <w:rsid w:val="00C73668"/>
    <w:rsid w:val="00C73DFB"/>
    <w:rsid w:val="00C74CE8"/>
    <w:rsid w:val="00C74E06"/>
    <w:rsid w:val="00C7517F"/>
    <w:rsid w:val="00C752F0"/>
    <w:rsid w:val="00C754A3"/>
    <w:rsid w:val="00C7558D"/>
    <w:rsid w:val="00C759CC"/>
    <w:rsid w:val="00C75A64"/>
    <w:rsid w:val="00C75DB3"/>
    <w:rsid w:val="00C7609F"/>
    <w:rsid w:val="00C7649A"/>
    <w:rsid w:val="00C7665F"/>
    <w:rsid w:val="00C76E10"/>
    <w:rsid w:val="00C7714F"/>
    <w:rsid w:val="00C77171"/>
    <w:rsid w:val="00C77824"/>
    <w:rsid w:val="00C77D4A"/>
    <w:rsid w:val="00C80503"/>
    <w:rsid w:val="00C80BBC"/>
    <w:rsid w:val="00C81E13"/>
    <w:rsid w:val="00C81F01"/>
    <w:rsid w:val="00C83464"/>
    <w:rsid w:val="00C83697"/>
    <w:rsid w:val="00C84265"/>
    <w:rsid w:val="00C84A20"/>
    <w:rsid w:val="00C84C1A"/>
    <w:rsid w:val="00C85845"/>
    <w:rsid w:val="00C86167"/>
    <w:rsid w:val="00C8645F"/>
    <w:rsid w:val="00C865CC"/>
    <w:rsid w:val="00C865E4"/>
    <w:rsid w:val="00C8672B"/>
    <w:rsid w:val="00C86D03"/>
    <w:rsid w:val="00C87E8E"/>
    <w:rsid w:val="00C91B5C"/>
    <w:rsid w:val="00C91CFC"/>
    <w:rsid w:val="00C91FB2"/>
    <w:rsid w:val="00C92242"/>
    <w:rsid w:val="00C92349"/>
    <w:rsid w:val="00C923AE"/>
    <w:rsid w:val="00C92892"/>
    <w:rsid w:val="00C929A1"/>
    <w:rsid w:val="00C92B0A"/>
    <w:rsid w:val="00C933F3"/>
    <w:rsid w:val="00C936DE"/>
    <w:rsid w:val="00C93D51"/>
    <w:rsid w:val="00C945B7"/>
    <w:rsid w:val="00C946E8"/>
    <w:rsid w:val="00C95118"/>
    <w:rsid w:val="00C957B6"/>
    <w:rsid w:val="00C95876"/>
    <w:rsid w:val="00C95B6E"/>
    <w:rsid w:val="00C9603F"/>
    <w:rsid w:val="00C960D9"/>
    <w:rsid w:val="00C96597"/>
    <w:rsid w:val="00C96E9C"/>
    <w:rsid w:val="00C971E4"/>
    <w:rsid w:val="00C97896"/>
    <w:rsid w:val="00C97AD9"/>
    <w:rsid w:val="00CA12AF"/>
    <w:rsid w:val="00CA1685"/>
    <w:rsid w:val="00CA1955"/>
    <w:rsid w:val="00CA27F8"/>
    <w:rsid w:val="00CA3761"/>
    <w:rsid w:val="00CA38F2"/>
    <w:rsid w:val="00CA39C2"/>
    <w:rsid w:val="00CA4279"/>
    <w:rsid w:val="00CA4AE4"/>
    <w:rsid w:val="00CA51C1"/>
    <w:rsid w:val="00CA525F"/>
    <w:rsid w:val="00CA52D5"/>
    <w:rsid w:val="00CA5F90"/>
    <w:rsid w:val="00CA66A4"/>
    <w:rsid w:val="00CA7384"/>
    <w:rsid w:val="00CA7497"/>
    <w:rsid w:val="00CA7E20"/>
    <w:rsid w:val="00CB09B9"/>
    <w:rsid w:val="00CB105A"/>
    <w:rsid w:val="00CB1932"/>
    <w:rsid w:val="00CB288E"/>
    <w:rsid w:val="00CB2BAA"/>
    <w:rsid w:val="00CB2D5B"/>
    <w:rsid w:val="00CB3437"/>
    <w:rsid w:val="00CB3E10"/>
    <w:rsid w:val="00CB40FC"/>
    <w:rsid w:val="00CB52CE"/>
    <w:rsid w:val="00CB5A8A"/>
    <w:rsid w:val="00CB5B30"/>
    <w:rsid w:val="00CB6CC2"/>
    <w:rsid w:val="00CB7B9F"/>
    <w:rsid w:val="00CB7CDC"/>
    <w:rsid w:val="00CC1164"/>
    <w:rsid w:val="00CC13B8"/>
    <w:rsid w:val="00CC2E37"/>
    <w:rsid w:val="00CC30F5"/>
    <w:rsid w:val="00CC32AA"/>
    <w:rsid w:val="00CC33DE"/>
    <w:rsid w:val="00CC35EA"/>
    <w:rsid w:val="00CC36ED"/>
    <w:rsid w:val="00CC3971"/>
    <w:rsid w:val="00CC417E"/>
    <w:rsid w:val="00CC462C"/>
    <w:rsid w:val="00CC47D4"/>
    <w:rsid w:val="00CC4860"/>
    <w:rsid w:val="00CC5168"/>
    <w:rsid w:val="00CC528D"/>
    <w:rsid w:val="00CC5317"/>
    <w:rsid w:val="00CC53BB"/>
    <w:rsid w:val="00CC58D1"/>
    <w:rsid w:val="00CC6222"/>
    <w:rsid w:val="00CC6C6F"/>
    <w:rsid w:val="00CC75DC"/>
    <w:rsid w:val="00CC7815"/>
    <w:rsid w:val="00CC7A7F"/>
    <w:rsid w:val="00CD04B7"/>
    <w:rsid w:val="00CD07B6"/>
    <w:rsid w:val="00CD0D86"/>
    <w:rsid w:val="00CD0DCD"/>
    <w:rsid w:val="00CD0FBE"/>
    <w:rsid w:val="00CD1175"/>
    <w:rsid w:val="00CD14C0"/>
    <w:rsid w:val="00CD165E"/>
    <w:rsid w:val="00CD16C8"/>
    <w:rsid w:val="00CD18EE"/>
    <w:rsid w:val="00CD275D"/>
    <w:rsid w:val="00CD2837"/>
    <w:rsid w:val="00CD2F9D"/>
    <w:rsid w:val="00CD39CA"/>
    <w:rsid w:val="00CD444A"/>
    <w:rsid w:val="00CD45C2"/>
    <w:rsid w:val="00CD4B9B"/>
    <w:rsid w:val="00CD5C41"/>
    <w:rsid w:val="00CD6011"/>
    <w:rsid w:val="00CD68CB"/>
    <w:rsid w:val="00CD6BF8"/>
    <w:rsid w:val="00CD71AA"/>
    <w:rsid w:val="00CD7E7F"/>
    <w:rsid w:val="00CE0147"/>
    <w:rsid w:val="00CE1941"/>
    <w:rsid w:val="00CE1A74"/>
    <w:rsid w:val="00CE2211"/>
    <w:rsid w:val="00CE28EC"/>
    <w:rsid w:val="00CE2E3B"/>
    <w:rsid w:val="00CE2F7B"/>
    <w:rsid w:val="00CE41BE"/>
    <w:rsid w:val="00CE4DA3"/>
    <w:rsid w:val="00CE4E2C"/>
    <w:rsid w:val="00CE5CF6"/>
    <w:rsid w:val="00CE6406"/>
    <w:rsid w:val="00CE657B"/>
    <w:rsid w:val="00CE7AB9"/>
    <w:rsid w:val="00CE7CBC"/>
    <w:rsid w:val="00CE7DB8"/>
    <w:rsid w:val="00CF0546"/>
    <w:rsid w:val="00CF0E57"/>
    <w:rsid w:val="00CF0EE3"/>
    <w:rsid w:val="00CF1405"/>
    <w:rsid w:val="00CF1790"/>
    <w:rsid w:val="00CF195E"/>
    <w:rsid w:val="00CF222F"/>
    <w:rsid w:val="00CF290C"/>
    <w:rsid w:val="00CF2A62"/>
    <w:rsid w:val="00CF2ADD"/>
    <w:rsid w:val="00CF2F4E"/>
    <w:rsid w:val="00CF3CCC"/>
    <w:rsid w:val="00CF3FDB"/>
    <w:rsid w:val="00CF41BA"/>
    <w:rsid w:val="00CF4E95"/>
    <w:rsid w:val="00CF60DA"/>
    <w:rsid w:val="00CF7438"/>
    <w:rsid w:val="00CF7ABE"/>
    <w:rsid w:val="00D00A87"/>
    <w:rsid w:val="00D00D13"/>
    <w:rsid w:val="00D013AD"/>
    <w:rsid w:val="00D01776"/>
    <w:rsid w:val="00D01E23"/>
    <w:rsid w:val="00D0252C"/>
    <w:rsid w:val="00D03997"/>
    <w:rsid w:val="00D03999"/>
    <w:rsid w:val="00D039A1"/>
    <w:rsid w:val="00D044E5"/>
    <w:rsid w:val="00D0456C"/>
    <w:rsid w:val="00D045E7"/>
    <w:rsid w:val="00D04836"/>
    <w:rsid w:val="00D04BC8"/>
    <w:rsid w:val="00D05730"/>
    <w:rsid w:val="00D05E9C"/>
    <w:rsid w:val="00D062AD"/>
    <w:rsid w:val="00D062BD"/>
    <w:rsid w:val="00D06709"/>
    <w:rsid w:val="00D06CDE"/>
    <w:rsid w:val="00D071D3"/>
    <w:rsid w:val="00D071E6"/>
    <w:rsid w:val="00D074E3"/>
    <w:rsid w:val="00D07CB8"/>
    <w:rsid w:val="00D07F2C"/>
    <w:rsid w:val="00D102E4"/>
    <w:rsid w:val="00D10935"/>
    <w:rsid w:val="00D119BD"/>
    <w:rsid w:val="00D12442"/>
    <w:rsid w:val="00D130EE"/>
    <w:rsid w:val="00D139DB"/>
    <w:rsid w:val="00D13D25"/>
    <w:rsid w:val="00D13FBA"/>
    <w:rsid w:val="00D145FB"/>
    <w:rsid w:val="00D14969"/>
    <w:rsid w:val="00D158C2"/>
    <w:rsid w:val="00D15DB7"/>
    <w:rsid w:val="00D16D4B"/>
    <w:rsid w:val="00D17BF3"/>
    <w:rsid w:val="00D2058A"/>
    <w:rsid w:val="00D205B7"/>
    <w:rsid w:val="00D20CE5"/>
    <w:rsid w:val="00D22A77"/>
    <w:rsid w:val="00D237EE"/>
    <w:rsid w:val="00D2455E"/>
    <w:rsid w:val="00D245FA"/>
    <w:rsid w:val="00D24E4F"/>
    <w:rsid w:val="00D25A96"/>
    <w:rsid w:val="00D25F0F"/>
    <w:rsid w:val="00D262E2"/>
    <w:rsid w:val="00D26422"/>
    <w:rsid w:val="00D2753C"/>
    <w:rsid w:val="00D27834"/>
    <w:rsid w:val="00D279AE"/>
    <w:rsid w:val="00D305E3"/>
    <w:rsid w:val="00D31167"/>
    <w:rsid w:val="00D311DC"/>
    <w:rsid w:val="00D322D3"/>
    <w:rsid w:val="00D3237C"/>
    <w:rsid w:val="00D32788"/>
    <w:rsid w:val="00D32C60"/>
    <w:rsid w:val="00D33F3F"/>
    <w:rsid w:val="00D3461C"/>
    <w:rsid w:val="00D347A0"/>
    <w:rsid w:val="00D34E41"/>
    <w:rsid w:val="00D355BD"/>
    <w:rsid w:val="00D35792"/>
    <w:rsid w:val="00D369B1"/>
    <w:rsid w:val="00D36CDF"/>
    <w:rsid w:val="00D36DB9"/>
    <w:rsid w:val="00D37254"/>
    <w:rsid w:val="00D37DA7"/>
    <w:rsid w:val="00D37FCB"/>
    <w:rsid w:val="00D415F6"/>
    <w:rsid w:val="00D41E2E"/>
    <w:rsid w:val="00D41E9C"/>
    <w:rsid w:val="00D4221D"/>
    <w:rsid w:val="00D42A9A"/>
    <w:rsid w:val="00D43370"/>
    <w:rsid w:val="00D44121"/>
    <w:rsid w:val="00D4456E"/>
    <w:rsid w:val="00D449D8"/>
    <w:rsid w:val="00D45A60"/>
    <w:rsid w:val="00D45E46"/>
    <w:rsid w:val="00D45E5E"/>
    <w:rsid w:val="00D460AB"/>
    <w:rsid w:val="00D46638"/>
    <w:rsid w:val="00D467A1"/>
    <w:rsid w:val="00D46EC8"/>
    <w:rsid w:val="00D471E3"/>
    <w:rsid w:val="00D47285"/>
    <w:rsid w:val="00D47A43"/>
    <w:rsid w:val="00D47FF6"/>
    <w:rsid w:val="00D513F0"/>
    <w:rsid w:val="00D51FA2"/>
    <w:rsid w:val="00D52065"/>
    <w:rsid w:val="00D5211A"/>
    <w:rsid w:val="00D536CF"/>
    <w:rsid w:val="00D53714"/>
    <w:rsid w:val="00D53CF8"/>
    <w:rsid w:val="00D54223"/>
    <w:rsid w:val="00D54FAB"/>
    <w:rsid w:val="00D552DD"/>
    <w:rsid w:val="00D55394"/>
    <w:rsid w:val="00D55871"/>
    <w:rsid w:val="00D55CF5"/>
    <w:rsid w:val="00D56202"/>
    <w:rsid w:val="00D564EC"/>
    <w:rsid w:val="00D56BAB"/>
    <w:rsid w:val="00D5701E"/>
    <w:rsid w:val="00D57C34"/>
    <w:rsid w:val="00D60A7F"/>
    <w:rsid w:val="00D60EFE"/>
    <w:rsid w:val="00D61137"/>
    <w:rsid w:val="00D6155B"/>
    <w:rsid w:val="00D61BA3"/>
    <w:rsid w:val="00D62161"/>
    <w:rsid w:val="00D62384"/>
    <w:rsid w:val="00D62AEB"/>
    <w:rsid w:val="00D63E6C"/>
    <w:rsid w:val="00D64103"/>
    <w:rsid w:val="00D64B09"/>
    <w:rsid w:val="00D64BF8"/>
    <w:rsid w:val="00D64DB1"/>
    <w:rsid w:val="00D65CA1"/>
    <w:rsid w:val="00D66AB3"/>
    <w:rsid w:val="00D67223"/>
    <w:rsid w:val="00D679BB"/>
    <w:rsid w:val="00D7008E"/>
    <w:rsid w:val="00D706B6"/>
    <w:rsid w:val="00D7154A"/>
    <w:rsid w:val="00D71E4D"/>
    <w:rsid w:val="00D7281A"/>
    <w:rsid w:val="00D7330D"/>
    <w:rsid w:val="00D7393A"/>
    <w:rsid w:val="00D73EEF"/>
    <w:rsid w:val="00D742D9"/>
    <w:rsid w:val="00D74540"/>
    <w:rsid w:val="00D74E6E"/>
    <w:rsid w:val="00D75FD2"/>
    <w:rsid w:val="00D7615A"/>
    <w:rsid w:val="00D7615F"/>
    <w:rsid w:val="00D76C2E"/>
    <w:rsid w:val="00D76DD9"/>
    <w:rsid w:val="00D76E10"/>
    <w:rsid w:val="00D77080"/>
    <w:rsid w:val="00D770F0"/>
    <w:rsid w:val="00D77327"/>
    <w:rsid w:val="00D80FB9"/>
    <w:rsid w:val="00D81E5C"/>
    <w:rsid w:val="00D8217F"/>
    <w:rsid w:val="00D82340"/>
    <w:rsid w:val="00D824B8"/>
    <w:rsid w:val="00D82A19"/>
    <w:rsid w:val="00D82BA0"/>
    <w:rsid w:val="00D8311C"/>
    <w:rsid w:val="00D83E52"/>
    <w:rsid w:val="00D847E7"/>
    <w:rsid w:val="00D853CC"/>
    <w:rsid w:val="00D85531"/>
    <w:rsid w:val="00D87258"/>
    <w:rsid w:val="00D874E0"/>
    <w:rsid w:val="00D9071B"/>
    <w:rsid w:val="00D90834"/>
    <w:rsid w:val="00D90CDD"/>
    <w:rsid w:val="00D90E7C"/>
    <w:rsid w:val="00D918D7"/>
    <w:rsid w:val="00D92037"/>
    <w:rsid w:val="00D92341"/>
    <w:rsid w:val="00D9237D"/>
    <w:rsid w:val="00D9255E"/>
    <w:rsid w:val="00D925F9"/>
    <w:rsid w:val="00D92F3F"/>
    <w:rsid w:val="00D92FB3"/>
    <w:rsid w:val="00D9454E"/>
    <w:rsid w:val="00D95220"/>
    <w:rsid w:val="00D95771"/>
    <w:rsid w:val="00D95A0F"/>
    <w:rsid w:val="00D95A90"/>
    <w:rsid w:val="00D95F6C"/>
    <w:rsid w:val="00D9668D"/>
    <w:rsid w:val="00D97613"/>
    <w:rsid w:val="00D9777F"/>
    <w:rsid w:val="00DA0210"/>
    <w:rsid w:val="00DA0793"/>
    <w:rsid w:val="00DA0E56"/>
    <w:rsid w:val="00DA14DC"/>
    <w:rsid w:val="00DA1E4D"/>
    <w:rsid w:val="00DA20A9"/>
    <w:rsid w:val="00DA20DF"/>
    <w:rsid w:val="00DA26BA"/>
    <w:rsid w:val="00DA36D7"/>
    <w:rsid w:val="00DA3A55"/>
    <w:rsid w:val="00DA3C44"/>
    <w:rsid w:val="00DA3D3A"/>
    <w:rsid w:val="00DA3EB0"/>
    <w:rsid w:val="00DA3F15"/>
    <w:rsid w:val="00DA3FE0"/>
    <w:rsid w:val="00DA401C"/>
    <w:rsid w:val="00DA5541"/>
    <w:rsid w:val="00DA56BF"/>
    <w:rsid w:val="00DA589D"/>
    <w:rsid w:val="00DA5B89"/>
    <w:rsid w:val="00DA5EAF"/>
    <w:rsid w:val="00DA6BBC"/>
    <w:rsid w:val="00DA6E9E"/>
    <w:rsid w:val="00DB18BC"/>
    <w:rsid w:val="00DB214C"/>
    <w:rsid w:val="00DB2448"/>
    <w:rsid w:val="00DB24DE"/>
    <w:rsid w:val="00DB2F81"/>
    <w:rsid w:val="00DB30D2"/>
    <w:rsid w:val="00DB34BB"/>
    <w:rsid w:val="00DB4170"/>
    <w:rsid w:val="00DB4686"/>
    <w:rsid w:val="00DB5AA3"/>
    <w:rsid w:val="00DB5C2E"/>
    <w:rsid w:val="00DB63E9"/>
    <w:rsid w:val="00DB6684"/>
    <w:rsid w:val="00DB7105"/>
    <w:rsid w:val="00DB7E81"/>
    <w:rsid w:val="00DB7FB4"/>
    <w:rsid w:val="00DC0C25"/>
    <w:rsid w:val="00DC25A7"/>
    <w:rsid w:val="00DC3795"/>
    <w:rsid w:val="00DC4289"/>
    <w:rsid w:val="00DC4715"/>
    <w:rsid w:val="00DC4FC0"/>
    <w:rsid w:val="00DC5FF5"/>
    <w:rsid w:val="00DC7B56"/>
    <w:rsid w:val="00DC7EDB"/>
    <w:rsid w:val="00DC7FD6"/>
    <w:rsid w:val="00DD11E3"/>
    <w:rsid w:val="00DD147B"/>
    <w:rsid w:val="00DD1DB8"/>
    <w:rsid w:val="00DD205A"/>
    <w:rsid w:val="00DD2495"/>
    <w:rsid w:val="00DD25B7"/>
    <w:rsid w:val="00DD2789"/>
    <w:rsid w:val="00DD288E"/>
    <w:rsid w:val="00DD2A70"/>
    <w:rsid w:val="00DD2B76"/>
    <w:rsid w:val="00DD2C60"/>
    <w:rsid w:val="00DD3F27"/>
    <w:rsid w:val="00DD48E6"/>
    <w:rsid w:val="00DD4CB5"/>
    <w:rsid w:val="00DD4DDB"/>
    <w:rsid w:val="00DD5EA3"/>
    <w:rsid w:val="00DD6291"/>
    <w:rsid w:val="00DD649C"/>
    <w:rsid w:val="00DD6CF1"/>
    <w:rsid w:val="00DD70E9"/>
    <w:rsid w:val="00DD796D"/>
    <w:rsid w:val="00DE0049"/>
    <w:rsid w:val="00DE015B"/>
    <w:rsid w:val="00DE0935"/>
    <w:rsid w:val="00DE12CC"/>
    <w:rsid w:val="00DE13BC"/>
    <w:rsid w:val="00DE15AC"/>
    <w:rsid w:val="00DE169D"/>
    <w:rsid w:val="00DE1756"/>
    <w:rsid w:val="00DE1D2D"/>
    <w:rsid w:val="00DE27A6"/>
    <w:rsid w:val="00DE2993"/>
    <w:rsid w:val="00DE2A4E"/>
    <w:rsid w:val="00DE2EF1"/>
    <w:rsid w:val="00DE3398"/>
    <w:rsid w:val="00DE3CBF"/>
    <w:rsid w:val="00DE3EFF"/>
    <w:rsid w:val="00DE46AE"/>
    <w:rsid w:val="00DE4B81"/>
    <w:rsid w:val="00DE4EF8"/>
    <w:rsid w:val="00DE574D"/>
    <w:rsid w:val="00DE6222"/>
    <w:rsid w:val="00DE65AA"/>
    <w:rsid w:val="00DE6779"/>
    <w:rsid w:val="00DE6A72"/>
    <w:rsid w:val="00DE6B57"/>
    <w:rsid w:val="00DE6F39"/>
    <w:rsid w:val="00DE7B96"/>
    <w:rsid w:val="00DF069D"/>
    <w:rsid w:val="00DF1531"/>
    <w:rsid w:val="00DF1745"/>
    <w:rsid w:val="00DF2674"/>
    <w:rsid w:val="00DF321A"/>
    <w:rsid w:val="00DF367B"/>
    <w:rsid w:val="00DF3855"/>
    <w:rsid w:val="00DF38CC"/>
    <w:rsid w:val="00DF418C"/>
    <w:rsid w:val="00DF43FB"/>
    <w:rsid w:val="00DF4704"/>
    <w:rsid w:val="00DF47EA"/>
    <w:rsid w:val="00DF4D78"/>
    <w:rsid w:val="00DF537D"/>
    <w:rsid w:val="00DF56F1"/>
    <w:rsid w:val="00DF5DE5"/>
    <w:rsid w:val="00DF61BA"/>
    <w:rsid w:val="00DF6748"/>
    <w:rsid w:val="00DF6BB0"/>
    <w:rsid w:val="00DF774A"/>
    <w:rsid w:val="00DF7EBD"/>
    <w:rsid w:val="00E0126F"/>
    <w:rsid w:val="00E01426"/>
    <w:rsid w:val="00E015F9"/>
    <w:rsid w:val="00E01975"/>
    <w:rsid w:val="00E01D7E"/>
    <w:rsid w:val="00E01E30"/>
    <w:rsid w:val="00E020D9"/>
    <w:rsid w:val="00E027AD"/>
    <w:rsid w:val="00E030AA"/>
    <w:rsid w:val="00E03795"/>
    <w:rsid w:val="00E04653"/>
    <w:rsid w:val="00E0578F"/>
    <w:rsid w:val="00E05AAE"/>
    <w:rsid w:val="00E05C27"/>
    <w:rsid w:val="00E06203"/>
    <w:rsid w:val="00E066F5"/>
    <w:rsid w:val="00E069DB"/>
    <w:rsid w:val="00E06B69"/>
    <w:rsid w:val="00E0700E"/>
    <w:rsid w:val="00E0703D"/>
    <w:rsid w:val="00E07531"/>
    <w:rsid w:val="00E0769B"/>
    <w:rsid w:val="00E0781E"/>
    <w:rsid w:val="00E105C3"/>
    <w:rsid w:val="00E10CD4"/>
    <w:rsid w:val="00E110AD"/>
    <w:rsid w:val="00E114E3"/>
    <w:rsid w:val="00E11669"/>
    <w:rsid w:val="00E11FBB"/>
    <w:rsid w:val="00E12F4A"/>
    <w:rsid w:val="00E132BC"/>
    <w:rsid w:val="00E13726"/>
    <w:rsid w:val="00E1406D"/>
    <w:rsid w:val="00E15A99"/>
    <w:rsid w:val="00E15B47"/>
    <w:rsid w:val="00E15C0A"/>
    <w:rsid w:val="00E16392"/>
    <w:rsid w:val="00E163BF"/>
    <w:rsid w:val="00E165C4"/>
    <w:rsid w:val="00E1693C"/>
    <w:rsid w:val="00E201E9"/>
    <w:rsid w:val="00E206CA"/>
    <w:rsid w:val="00E2109A"/>
    <w:rsid w:val="00E2183E"/>
    <w:rsid w:val="00E21E3F"/>
    <w:rsid w:val="00E222AF"/>
    <w:rsid w:val="00E22FB1"/>
    <w:rsid w:val="00E23B4A"/>
    <w:rsid w:val="00E23DF7"/>
    <w:rsid w:val="00E24680"/>
    <w:rsid w:val="00E2490B"/>
    <w:rsid w:val="00E24919"/>
    <w:rsid w:val="00E24CDF"/>
    <w:rsid w:val="00E24F5C"/>
    <w:rsid w:val="00E25151"/>
    <w:rsid w:val="00E2521D"/>
    <w:rsid w:val="00E253BE"/>
    <w:rsid w:val="00E254AA"/>
    <w:rsid w:val="00E25653"/>
    <w:rsid w:val="00E25B97"/>
    <w:rsid w:val="00E26365"/>
    <w:rsid w:val="00E2655D"/>
    <w:rsid w:val="00E27EE2"/>
    <w:rsid w:val="00E3055C"/>
    <w:rsid w:val="00E30A3C"/>
    <w:rsid w:val="00E31801"/>
    <w:rsid w:val="00E32262"/>
    <w:rsid w:val="00E32431"/>
    <w:rsid w:val="00E32432"/>
    <w:rsid w:val="00E337B9"/>
    <w:rsid w:val="00E34207"/>
    <w:rsid w:val="00E347DE"/>
    <w:rsid w:val="00E34C92"/>
    <w:rsid w:val="00E34DCC"/>
    <w:rsid w:val="00E353ED"/>
    <w:rsid w:val="00E35E5E"/>
    <w:rsid w:val="00E36126"/>
    <w:rsid w:val="00E36A3A"/>
    <w:rsid w:val="00E36EA8"/>
    <w:rsid w:val="00E36FD2"/>
    <w:rsid w:val="00E373C5"/>
    <w:rsid w:val="00E374C5"/>
    <w:rsid w:val="00E3778A"/>
    <w:rsid w:val="00E37D67"/>
    <w:rsid w:val="00E40FF9"/>
    <w:rsid w:val="00E4135C"/>
    <w:rsid w:val="00E41DFA"/>
    <w:rsid w:val="00E427F3"/>
    <w:rsid w:val="00E428D0"/>
    <w:rsid w:val="00E429CC"/>
    <w:rsid w:val="00E42A19"/>
    <w:rsid w:val="00E43F7B"/>
    <w:rsid w:val="00E44BD4"/>
    <w:rsid w:val="00E454BE"/>
    <w:rsid w:val="00E459AE"/>
    <w:rsid w:val="00E45F51"/>
    <w:rsid w:val="00E46BBC"/>
    <w:rsid w:val="00E47429"/>
    <w:rsid w:val="00E476A9"/>
    <w:rsid w:val="00E509DE"/>
    <w:rsid w:val="00E523AA"/>
    <w:rsid w:val="00E52485"/>
    <w:rsid w:val="00E52BD1"/>
    <w:rsid w:val="00E52C01"/>
    <w:rsid w:val="00E52EC4"/>
    <w:rsid w:val="00E540A6"/>
    <w:rsid w:val="00E54A5C"/>
    <w:rsid w:val="00E55109"/>
    <w:rsid w:val="00E5626E"/>
    <w:rsid w:val="00E565FA"/>
    <w:rsid w:val="00E5689F"/>
    <w:rsid w:val="00E57368"/>
    <w:rsid w:val="00E604CD"/>
    <w:rsid w:val="00E60791"/>
    <w:rsid w:val="00E61050"/>
    <w:rsid w:val="00E61C3A"/>
    <w:rsid w:val="00E61DF3"/>
    <w:rsid w:val="00E61F51"/>
    <w:rsid w:val="00E6221D"/>
    <w:rsid w:val="00E62C34"/>
    <w:rsid w:val="00E633EB"/>
    <w:rsid w:val="00E63CD4"/>
    <w:rsid w:val="00E648B7"/>
    <w:rsid w:val="00E64D27"/>
    <w:rsid w:val="00E64F77"/>
    <w:rsid w:val="00E65894"/>
    <w:rsid w:val="00E65F48"/>
    <w:rsid w:val="00E669A2"/>
    <w:rsid w:val="00E66BC9"/>
    <w:rsid w:val="00E672DC"/>
    <w:rsid w:val="00E673DF"/>
    <w:rsid w:val="00E70716"/>
    <w:rsid w:val="00E70E52"/>
    <w:rsid w:val="00E71211"/>
    <w:rsid w:val="00E71E12"/>
    <w:rsid w:val="00E7228B"/>
    <w:rsid w:val="00E7243A"/>
    <w:rsid w:val="00E7276D"/>
    <w:rsid w:val="00E7348E"/>
    <w:rsid w:val="00E736A9"/>
    <w:rsid w:val="00E73C11"/>
    <w:rsid w:val="00E803EC"/>
    <w:rsid w:val="00E807CD"/>
    <w:rsid w:val="00E80BD2"/>
    <w:rsid w:val="00E80FF7"/>
    <w:rsid w:val="00E816F4"/>
    <w:rsid w:val="00E81885"/>
    <w:rsid w:val="00E81B1F"/>
    <w:rsid w:val="00E81EF7"/>
    <w:rsid w:val="00E82F29"/>
    <w:rsid w:val="00E83117"/>
    <w:rsid w:val="00E839E6"/>
    <w:rsid w:val="00E8448D"/>
    <w:rsid w:val="00E84654"/>
    <w:rsid w:val="00E846C8"/>
    <w:rsid w:val="00E84D5B"/>
    <w:rsid w:val="00E84FA0"/>
    <w:rsid w:val="00E85910"/>
    <w:rsid w:val="00E861C1"/>
    <w:rsid w:val="00E861EE"/>
    <w:rsid w:val="00E86903"/>
    <w:rsid w:val="00E87074"/>
    <w:rsid w:val="00E87C5E"/>
    <w:rsid w:val="00E87F30"/>
    <w:rsid w:val="00E900E5"/>
    <w:rsid w:val="00E90396"/>
    <w:rsid w:val="00E90BFD"/>
    <w:rsid w:val="00E9186B"/>
    <w:rsid w:val="00E91A96"/>
    <w:rsid w:val="00E92D1D"/>
    <w:rsid w:val="00E93C1F"/>
    <w:rsid w:val="00E952D4"/>
    <w:rsid w:val="00E95DC4"/>
    <w:rsid w:val="00E9764C"/>
    <w:rsid w:val="00E97DD9"/>
    <w:rsid w:val="00EA04E7"/>
    <w:rsid w:val="00EA0866"/>
    <w:rsid w:val="00EA10F0"/>
    <w:rsid w:val="00EA110F"/>
    <w:rsid w:val="00EA178A"/>
    <w:rsid w:val="00EA18DF"/>
    <w:rsid w:val="00EA27FB"/>
    <w:rsid w:val="00EA2F9D"/>
    <w:rsid w:val="00EA3120"/>
    <w:rsid w:val="00EA3702"/>
    <w:rsid w:val="00EA3A0B"/>
    <w:rsid w:val="00EA405E"/>
    <w:rsid w:val="00EA4F5D"/>
    <w:rsid w:val="00EA550F"/>
    <w:rsid w:val="00EA5616"/>
    <w:rsid w:val="00EA5FD6"/>
    <w:rsid w:val="00EA64E8"/>
    <w:rsid w:val="00EA6769"/>
    <w:rsid w:val="00EA6874"/>
    <w:rsid w:val="00EA6A7B"/>
    <w:rsid w:val="00EA6DBE"/>
    <w:rsid w:val="00EA6E34"/>
    <w:rsid w:val="00EA6EAC"/>
    <w:rsid w:val="00EA6FDC"/>
    <w:rsid w:val="00EA7751"/>
    <w:rsid w:val="00EB02D5"/>
    <w:rsid w:val="00EB096D"/>
    <w:rsid w:val="00EB27DF"/>
    <w:rsid w:val="00EB28AD"/>
    <w:rsid w:val="00EB291B"/>
    <w:rsid w:val="00EB2B8C"/>
    <w:rsid w:val="00EB2EF2"/>
    <w:rsid w:val="00EB3185"/>
    <w:rsid w:val="00EB3BD9"/>
    <w:rsid w:val="00EB3C36"/>
    <w:rsid w:val="00EB4859"/>
    <w:rsid w:val="00EB519A"/>
    <w:rsid w:val="00EB5445"/>
    <w:rsid w:val="00EB566C"/>
    <w:rsid w:val="00EB5C8F"/>
    <w:rsid w:val="00EB6653"/>
    <w:rsid w:val="00EB668F"/>
    <w:rsid w:val="00EB68BB"/>
    <w:rsid w:val="00EB7253"/>
    <w:rsid w:val="00EB7A1A"/>
    <w:rsid w:val="00EB7BC2"/>
    <w:rsid w:val="00EC00E3"/>
    <w:rsid w:val="00EC1260"/>
    <w:rsid w:val="00EC1E2B"/>
    <w:rsid w:val="00EC3175"/>
    <w:rsid w:val="00EC33EE"/>
    <w:rsid w:val="00EC3831"/>
    <w:rsid w:val="00EC41ED"/>
    <w:rsid w:val="00EC4430"/>
    <w:rsid w:val="00EC576A"/>
    <w:rsid w:val="00EC6419"/>
    <w:rsid w:val="00EC67F4"/>
    <w:rsid w:val="00EC6A20"/>
    <w:rsid w:val="00EC6BE4"/>
    <w:rsid w:val="00EC6DE7"/>
    <w:rsid w:val="00EC6E65"/>
    <w:rsid w:val="00EC75A2"/>
    <w:rsid w:val="00ED02DF"/>
    <w:rsid w:val="00ED0F44"/>
    <w:rsid w:val="00ED1A86"/>
    <w:rsid w:val="00ED27F3"/>
    <w:rsid w:val="00ED2979"/>
    <w:rsid w:val="00ED31FA"/>
    <w:rsid w:val="00ED4A23"/>
    <w:rsid w:val="00ED539A"/>
    <w:rsid w:val="00ED57C9"/>
    <w:rsid w:val="00ED58C4"/>
    <w:rsid w:val="00ED6E90"/>
    <w:rsid w:val="00ED6F72"/>
    <w:rsid w:val="00ED6FDA"/>
    <w:rsid w:val="00ED7C27"/>
    <w:rsid w:val="00EE052E"/>
    <w:rsid w:val="00EE1C13"/>
    <w:rsid w:val="00EE24C5"/>
    <w:rsid w:val="00EE284D"/>
    <w:rsid w:val="00EE3583"/>
    <w:rsid w:val="00EE3701"/>
    <w:rsid w:val="00EE373E"/>
    <w:rsid w:val="00EE42A6"/>
    <w:rsid w:val="00EE4E51"/>
    <w:rsid w:val="00EE591F"/>
    <w:rsid w:val="00EE59C8"/>
    <w:rsid w:val="00EE5C21"/>
    <w:rsid w:val="00EE602C"/>
    <w:rsid w:val="00EE77DB"/>
    <w:rsid w:val="00EE7D9A"/>
    <w:rsid w:val="00EF0731"/>
    <w:rsid w:val="00EF0BDF"/>
    <w:rsid w:val="00EF132D"/>
    <w:rsid w:val="00EF18DA"/>
    <w:rsid w:val="00EF20DD"/>
    <w:rsid w:val="00EF349F"/>
    <w:rsid w:val="00EF3713"/>
    <w:rsid w:val="00EF39D6"/>
    <w:rsid w:val="00EF3A27"/>
    <w:rsid w:val="00EF3CCC"/>
    <w:rsid w:val="00EF4040"/>
    <w:rsid w:val="00EF4744"/>
    <w:rsid w:val="00EF48BF"/>
    <w:rsid w:val="00EF5436"/>
    <w:rsid w:val="00EF5A1B"/>
    <w:rsid w:val="00EF5A67"/>
    <w:rsid w:val="00EF6627"/>
    <w:rsid w:val="00EF66AD"/>
    <w:rsid w:val="00EF6AC5"/>
    <w:rsid w:val="00EF6E12"/>
    <w:rsid w:val="00EF7C04"/>
    <w:rsid w:val="00EF7F90"/>
    <w:rsid w:val="00F00A6D"/>
    <w:rsid w:val="00F00B43"/>
    <w:rsid w:val="00F01017"/>
    <w:rsid w:val="00F011FF"/>
    <w:rsid w:val="00F01257"/>
    <w:rsid w:val="00F015B3"/>
    <w:rsid w:val="00F0264C"/>
    <w:rsid w:val="00F032F5"/>
    <w:rsid w:val="00F03884"/>
    <w:rsid w:val="00F03FA4"/>
    <w:rsid w:val="00F0455A"/>
    <w:rsid w:val="00F04810"/>
    <w:rsid w:val="00F05235"/>
    <w:rsid w:val="00F05F57"/>
    <w:rsid w:val="00F06080"/>
    <w:rsid w:val="00F064E5"/>
    <w:rsid w:val="00F0692D"/>
    <w:rsid w:val="00F072A1"/>
    <w:rsid w:val="00F078FB"/>
    <w:rsid w:val="00F10199"/>
    <w:rsid w:val="00F10CAA"/>
    <w:rsid w:val="00F12BC9"/>
    <w:rsid w:val="00F140D6"/>
    <w:rsid w:val="00F1437E"/>
    <w:rsid w:val="00F15769"/>
    <w:rsid w:val="00F158DB"/>
    <w:rsid w:val="00F1606E"/>
    <w:rsid w:val="00F16120"/>
    <w:rsid w:val="00F16FBD"/>
    <w:rsid w:val="00F174F4"/>
    <w:rsid w:val="00F17944"/>
    <w:rsid w:val="00F17A5D"/>
    <w:rsid w:val="00F17FF3"/>
    <w:rsid w:val="00F2153E"/>
    <w:rsid w:val="00F2212A"/>
    <w:rsid w:val="00F22516"/>
    <w:rsid w:val="00F2261C"/>
    <w:rsid w:val="00F22D07"/>
    <w:rsid w:val="00F23110"/>
    <w:rsid w:val="00F235E6"/>
    <w:rsid w:val="00F2365E"/>
    <w:rsid w:val="00F2380D"/>
    <w:rsid w:val="00F23FF8"/>
    <w:rsid w:val="00F24AB7"/>
    <w:rsid w:val="00F24FAE"/>
    <w:rsid w:val="00F256D7"/>
    <w:rsid w:val="00F26102"/>
    <w:rsid w:val="00F2729B"/>
    <w:rsid w:val="00F27793"/>
    <w:rsid w:val="00F30A83"/>
    <w:rsid w:val="00F316B2"/>
    <w:rsid w:val="00F31862"/>
    <w:rsid w:val="00F32B5E"/>
    <w:rsid w:val="00F3368D"/>
    <w:rsid w:val="00F33C99"/>
    <w:rsid w:val="00F34042"/>
    <w:rsid w:val="00F34270"/>
    <w:rsid w:val="00F34383"/>
    <w:rsid w:val="00F3486A"/>
    <w:rsid w:val="00F34949"/>
    <w:rsid w:val="00F35079"/>
    <w:rsid w:val="00F35830"/>
    <w:rsid w:val="00F3598A"/>
    <w:rsid w:val="00F36248"/>
    <w:rsid w:val="00F365EE"/>
    <w:rsid w:val="00F3667E"/>
    <w:rsid w:val="00F368E5"/>
    <w:rsid w:val="00F36C76"/>
    <w:rsid w:val="00F36F06"/>
    <w:rsid w:val="00F37266"/>
    <w:rsid w:val="00F3795F"/>
    <w:rsid w:val="00F37D76"/>
    <w:rsid w:val="00F41A85"/>
    <w:rsid w:val="00F420DE"/>
    <w:rsid w:val="00F42114"/>
    <w:rsid w:val="00F424AC"/>
    <w:rsid w:val="00F43D20"/>
    <w:rsid w:val="00F43D53"/>
    <w:rsid w:val="00F44106"/>
    <w:rsid w:val="00F44723"/>
    <w:rsid w:val="00F45A2A"/>
    <w:rsid w:val="00F45F43"/>
    <w:rsid w:val="00F46B84"/>
    <w:rsid w:val="00F47649"/>
    <w:rsid w:val="00F50362"/>
    <w:rsid w:val="00F51017"/>
    <w:rsid w:val="00F516AE"/>
    <w:rsid w:val="00F518E0"/>
    <w:rsid w:val="00F52EC8"/>
    <w:rsid w:val="00F53698"/>
    <w:rsid w:val="00F5545F"/>
    <w:rsid w:val="00F559C6"/>
    <w:rsid w:val="00F56BF6"/>
    <w:rsid w:val="00F57419"/>
    <w:rsid w:val="00F57425"/>
    <w:rsid w:val="00F57619"/>
    <w:rsid w:val="00F57740"/>
    <w:rsid w:val="00F57B5E"/>
    <w:rsid w:val="00F57C3D"/>
    <w:rsid w:val="00F602D3"/>
    <w:rsid w:val="00F60617"/>
    <w:rsid w:val="00F610B7"/>
    <w:rsid w:val="00F61367"/>
    <w:rsid w:val="00F6166B"/>
    <w:rsid w:val="00F618C4"/>
    <w:rsid w:val="00F619C4"/>
    <w:rsid w:val="00F62B5B"/>
    <w:rsid w:val="00F62EA3"/>
    <w:rsid w:val="00F62F87"/>
    <w:rsid w:val="00F63379"/>
    <w:rsid w:val="00F63A7C"/>
    <w:rsid w:val="00F63D93"/>
    <w:rsid w:val="00F63EC2"/>
    <w:rsid w:val="00F64488"/>
    <w:rsid w:val="00F64C11"/>
    <w:rsid w:val="00F64E94"/>
    <w:rsid w:val="00F64F6C"/>
    <w:rsid w:val="00F65D2A"/>
    <w:rsid w:val="00F66145"/>
    <w:rsid w:val="00F665FA"/>
    <w:rsid w:val="00F66C3C"/>
    <w:rsid w:val="00F67668"/>
    <w:rsid w:val="00F67908"/>
    <w:rsid w:val="00F6795E"/>
    <w:rsid w:val="00F679D5"/>
    <w:rsid w:val="00F67BF4"/>
    <w:rsid w:val="00F70135"/>
    <w:rsid w:val="00F70166"/>
    <w:rsid w:val="00F706D3"/>
    <w:rsid w:val="00F70CB0"/>
    <w:rsid w:val="00F7140E"/>
    <w:rsid w:val="00F7167B"/>
    <w:rsid w:val="00F71807"/>
    <w:rsid w:val="00F72090"/>
    <w:rsid w:val="00F72182"/>
    <w:rsid w:val="00F725C5"/>
    <w:rsid w:val="00F73446"/>
    <w:rsid w:val="00F7361B"/>
    <w:rsid w:val="00F73AA0"/>
    <w:rsid w:val="00F7446E"/>
    <w:rsid w:val="00F7458B"/>
    <w:rsid w:val="00F7494D"/>
    <w:rsid w:val="00F74AED"/>
    <w:rsid w:val="00F74D88"/>
    <w:rsid w:val="00F752C0"/>
    <w:rsid w:val="00F75B14"/>
    <w:rsid w:val="00F75FC0"/>
    <w:rsid w:val="00F762EB"/>
    <w:rsid w:val="00F7687F"/>
    <w:rsid w:val="00F77302"/>
    <w:rsid w:val="00F801FE"/>
    <w:rsid w:val="00F805EE"/>
    <w:rsid w:val="00F8114C"/>
    <w:rsid w:val="00F81652"/>
    <w:rsid w:val="00F81EB1"/>
    <w:rsid w:val="00F82B78"/>
    <w:rsid w:val="00F82E53"/>
    <w:rsid w:val="00F8370F"/>
    <w:rsid w:val="00F837B0"/>
    <w:rsid w:val="00F83FC4"/>
    <w:rsid w:val="00F84032"/>
    <w:rsid w:val="00F84F78"/>
    <w:rsid w:val="00F85744"/>
    <w:rsid w:val="00F85A12"/>
    <w:rsid w:val="00F85F9E"/>
    <w:rsid w:val="00F87904"/>
    <w:rsid w:val="00F87A19"/>
    <w:rsid w:val="00F87C14"/>
    <w:rsid w:val="00F90690"/>
    <w:rsid w:val="00F90889"/>
    <w:rsid w:val="00F90DDE"/>
    <w:rsid w:val="00F91333"/>
    <w:rsid w:val="00F91826"/>
    <w:rsid w:val="00F921D2"/>
    <w:rsid w:val="00F92FF0"/>
    <w:rsid w:val="00F93095"/>
    <w:rsid w:val="00F9330B"/>
    <w:rsid w:val="00F93CAD"/>
    <w:rsid w:val="00F93D18"/>
    <w:rsid w:val="00F93E53"/>
    <w:rsid w:val="00F94047"/>
    <w:rsid w:val="00F943A4"/>
    <w:rsid w:val="00F946E1"/>
    <w:rsid w:val="00F94968"/>
    <w:rsid w:val="00F95621"/>
    <w:rsid w:val="00F963B3"/>
    <w:rsid w:val="00F96FAD"/>
    <w:rsid w:val="00F97F65"/>
    <w:rsid w:val="00FA02D4"/>
    <w:rsid w:val="00FA0570"/>
    <w:rsid w:val="00FA0693"/>
    <w:rsid w:val="00FA0758"/>
    <w:rsid w:val="00FA0870"/>
    <w:rsid w:val="00FA0EFD"/>
    <w:rsid w:val="00FA1428"/>
    <w:rsid w:val="00FA19B4"/>
    <w:rsid w:val="00FA19E9"/>
    <w:rsid w:val="00FA1CF7"/>
    <w:rsid w:val="00FA210E"/>
    <w:rsid w:val="00FA2480"/>
    <w:rsid w:val="00FA3429"/>
    <w:rsid w:val="00FA3B09"/>
    <w:rsid w:val="00FA55E4"/>
    <w:rsid w:val="00FA6BB5"/>
    <w:rsid w:val="00FA7025"/>
    <w:rsid w:val="00FB00A0"/>
    <w:rsid w:val="00FB069C"/>
    <w:rsid w:val="00FB08B7"/>
    <w:rsid w:val="00FB1015"/>
    <w:rsid w:val="00FB1774"/>
    <w:rsid w:val="00FB1864"/>
    <w:rsid w:val="00FB1B96"/>
    <w:rsid w:val="00FB20AB"/>
    <w:rsid w:val="00FB23E0"/>
    <w:rsid w:val="00FB2605"/>
    <w:rsid w:val="00FB3D12"/>
    <w:rsid w:val="00FB50F7"/>
    <w:rsid w:val="00FB57EB"/>
    <w:rsid w:val="00FB65E6"/>
    <w:rsid w:val="00FB6E72"/>
    <w:rsid w:val="00FB7E94"/>
    <w:rsid w:val="00FC051C"/>
    <w:rsid w:val="00FC097E"/>
    <w:rsid w:val="00FC0E05"/>
    <w:rsid w:val="00FC2516"/>
    <w:rsid w:val="00FC3C30"/>
    <w:rsid w:val="00FC3D7D"/>
    <w:rsid w:val="00FC450B"/>
    <w:rsid w:val="00FC55DC"/>
    <w:rsid w:val="00FC5640"/>
    <w:rsid w:val="00FC5647"/>
    <w:rsid w:val="00FC5A25"/>
    <w:rsid w:val="00FC6C1C"/>
    <w:rsid w:val="00FC6E49"/>
    <w:rsid w:val="00FC7615"/>
    <w:rsid w:val="00FC7772"/>
    <w:rsid w:val="00FD05DF"/>
    <w:rsid w:val="00FD06C5"/>
    <w:rsid w:val="00FD0983"/>
    <w:rsid w:val="00FD12CE"/>
    <w:rsid w:val="00FD1F60"/>
    <w:rsid w:val="00FD21EA"/>
    <w:rsid w:val="00FD2CFB"/>
    <w:rsid w:val="00FD31D4"/>
    <w:rsid w:val="00FD38D6"/>
    <w:rsid w:val="00FD3C82"/>
    <w:rsid w:val="00FD47BB"/>
    <w:rsid w:val="00FD527F"/>
    <w:rsid w:val="00FD5B53"/>
    <w:rsid w:val="00FD6830"/>
    <w:rsid w:val="00FD6CD7"/>
    <w:rsid w:val="00FE02BA"/>
    <w:rsid w:val="00FE109E"/>
    <w:rsid w:val="00FE34B6"/>
    <w:rsid w:val="00FE374D"/>
    <w:rsid w:val="00FE3782"/>
    <w:rsid w:val="00FE3BA1"/>
    <w:rsid w:val="00FE4306"/>
    <w:rsid w:val="00FE4380"/>
    <w:rsid w:val="00FE516D"/>
    <w:rsid w:val="00FE5203"/>
    <w:rsid w:val="00FE5484"/>
    <w:rsid w:val="00FE59A7"/>
    <w:rsid w:val="00FE5E13"/>
    <w:rsid w:val="00FE68BC"/>
    <w:rsid w:val="00FE6BEA"/>
    <w:rsid w:val="00FE6FF9"/>
    <w:rsid w:val="00FE78BA"/>
    <w:rsid w:val="00FE799F"/>
    <w:rsid w:val="00FF09E7"/>
    <w:rsid w:val="00FF24CD"/>
    <w:rsid w:val="00FF2FBE"/>
    <w:rsid w:val="00FF3002"/>
    <w:rsid w:val="00FF303C"/>
    <w:rsid w:val="00FF322D"/>
    <w:rsid w:val="00FF4D0E"/>
    <w:rsid w:val="00FF51A9"/>
    <w:rsid w:val="00FF5452"/>
    <w:rsid w:val="00FF5AB8"/>
    <w:rsid w:val="00FF63AF"/>
    <w:rsid w:val="00FF650F"/>
    <w:rsid w:val="00FF672E"/>
    <w:rsid w:val="00FF7541"/>
    <w:rsid w:val="00FF778C"/>
    <w:rsid w:val="00FF797C"/>
    <w:rsid w:val="00FF7B0F"/>
    <w:rsid w:val="01017684"/>
    <w:rsid w:val="02C72207"/>
    <w:rsid w:val="02CE7898"/>
    <w:rsid w:val="02FF5E45"/>
    <w:rsid w:val="03125B78"/>
    <w:rsid w:val="03764359"/>
    <w:rsid w:val="038518B3"/>
    <w:rsid w:val="04C051EC"/>
    <w:rsid w:val="04EF43C3"/>
    <w:rsid w:val="08184A7B"/>
    <w:rsid w:val="092972F5"/>
    <w:rsid w:val="0A2A40FB"/>
    <w:rsid w:val="0AC534D0"/>
    <w:rsid w:val="0B8E547B"/>
    <w:rsid w:val="0D1644B7"/>
    <w:rsid w:val="0D1B387B"/>
    <w:rsid w:val="0E4B6324"/>
    <w:rsid w:val="0E574D87"/>
    <w:rsid w:val="0E781184"/>
    <w:rsid w:val="102D51F6"/>
    <w:rsid w:val="12080FF5"/>
    <w:rsid w:val="120B0362"/>
    <w:rsid w:val="122B4561"/>
    <w:rsid w:val="12D230BE"/>
    <w:rsid w:val="13C8330B"/>
    <w:rsid w:val="145F42FA"/>
    <w:rsid w:val="14B03784"/>
    <w:rsid w:val="150C68CB"/>
    <w:rsid w:val="17A05AB4"/>
    <w:rsid w:val="17C3523B"/>
    <w:rsid w:val="18DE057F"/>
    <w:rsid w:val="1B72378B"/>
    <w:rsid w:val="1BD21EF1"/>
    <w:rsid w:val="1C006A5E"/>
    <w:rsid w:val="1C3404B6"/>
    <w:rsid w:val="1C45326E"/>
    <w:rsid w:val="1C6A3ED7"/>
    <w:rsid w:val="1CDF48C5"/>
    <w:rsid w:val="1DB23D88"/>
    <w:rsid w:val="1E2E78B2"/>
    <w:rsid w:val="1EE6018D"/>
    <w:rsid w:val="1EF623ED"/>
    <w:rsid w:val="1F4C5B16"/>
    <w:rsid w:val="1FD620C2"/>
    <w:rsid w:val="200E130A"/>
    <w:rsid w:val="20735A50"/>
    <w:rsid w:val="20880DD0"/>
    <w:rsid w:val="233C481F"/>
    <w:rsid w:val="24851C89"/>
    <w:rsid w:val="277327DA"/>
    <w:rsid w:val="278F0C96"/>
    <w:rsid w:val="28226878"/>
    <w:rsid w:val="2A510485"/>
    <w:rsid w:val="2AEC6B2B"/>
    <w:rsid w:val="2C7548FE"/>
    <w:rsid w:val="2CE90E48"/>
    <w:rsid w:val="2D2F2CFF"/>
    <w:rsid w:val="2DE5579D"/>
    <w:rsid w:val="2DEF5412"/>
    <w:rsid w:val="2E94021A"/>
    <w:rsid w:val="2EF67C47"/>
    <w:rsid w:val="2FAF45CB"/>
    <w:rsid w:val="313A1C72"/>
    <w:rsid w:val="31CC05D4"/>
    <w:rsid w:val="32470AEB"/>
    <w:rsid w:val="32794A1C"/>
    <w:rsid w:val="339C4E66"/>
    <w:rsid w:val="33DE547F"/>
    <w:rsid w:val="342400A9"/>
    <w:rsid w:val="3555351F"/>
    <w:rsid w:val="356814A4"/>
    <w:rsid w:val="35BF6BEA"/>
    <w:rsid w:val="35DA3A24"/>
    <w:rsid w:val="378F28CE"/>
    <w:rsid w:val="3CAA568E"/>
    <w:rsid w:val="3D0C6BB9"/>
    <w:rsid w:val="3D9077EA"/>
    <w:rsid w:val="3E571A4E"/>
    <w:rsid w:val="3EC314F9"/>
    <w:rsid w:val="3F0B01A8"/>
    <w:rsid w:val="3F453F9E"/>
    <w:rsid w:val="406E1939"/>
    <w:rsid w:val="422A188F"/>
    <w:rsid w:val="42576B28"/>
    <w:rsid w:val="43486471"/>
    <w:rsid w:val="44315157"/>
    <w:rsid w:val="44CB1108"/>
    <w:rsid w:val="45DE130F"/>
    <w:rsid w:val="462C5BD6"/>
    <w:rsid w:val="46B77D56"/>
    <w:rsid w:val="487D4E0F"/>
    <w:rsid w:val="499F2B63"/>
    <w:rsid w:val="4A0A2B0B"/>
    <w:rsid w:val="4B6F2FB4"/>
    <w:rsid w:val="4BCB7C3F"/>
    <w:rsid w:val="4C0C011A"/>
    <w:rsid w:val="4C705328"/>
    <w:rsid w:val="4E4D5283"/>
    <w:rsid w:val="4E8011B5"/>
    <w:rsid w:val="4EC866B8"/>
    <w:rsid w:val="4F0B3174"/>
    <w:rsid w:val="510559A1"/>
    <w:rsid w:val="51A056CA"/>
    <w:rsid w:val="5290573F"/>
    <w:rsid w:val="52E53CDC"/>
    <w:rsid w:val="53234805"/>
    <w:rsid w:val="535D4396"/>
    <w:rsid w:val="53D84887"/>
    <w:rsid w:val="54A55CAF"/>
    <w:rsid w:val="55A03EEB"/>
    <w:rsid w:val="56222B52"/>
    <w:rsid w:val="572C012C"/>
    <w:rsid w:val="58B253F5"/>
    <w:rsid w:val="59745DBA"/>
    <w:rsid w:val="59D6437F"/>
    <w:rsid w:val="59D800F7"/>
    <w:rsid w:val="5AA12BDF"/>
    <w:rsid w:val="5AB67D0C"/>
    <w:rsid w:val="5B0B634B"/>
    <w:rsid w:val="5B781394"/>
    <w:rsid w:val="5BBA2879"/>
    <w:rsid w:val="5E023994"/>
    <w:rsid w:val="5E6006BB"/>
    <w:rsid w:val="62553409"/>
    <w:rsid w:val="6278415A"/>
    <w:rsid w:val="62A11FA0"/>
    <w:rsid w:val="64C179D9"/>
    <w:rsid w:val="64D427F8"/>
    <w:rsid w:val="65297A59"/>
    <w:rsid w:val="664873A1"/>
    <w:rsid w:val="6784366C"/>
    <w:rsid w:val="68842D92"/>
    <w:rsid w:val="68E746EE"/>
    <w:rsid w:val="6B8743D3"/>
    <w:rsid w:val="6BA02A3F"/>
    <w:rsid w:val="6C1F5E15"/>
    <w:rsid w:val="6C5E271B"/>
    <w:rsid w:val="6C760448"/>
    <w:rsid w:val="6CD72490"/>
    <w:rsid w:val="6D0112BB"/>
    <w:rsid w:val="6D1C7EA3"/>
    <w:rsid w:val="6E4E22DE"/>
    <w:rsid w:val="6E82467D"/>
    <w:rsid w:val="70253370"/>
    <w:rsid w:val="703379DD"/>
    <w:rsid w:val="707A3F4E"/>
    <w:rsid w:val="708A15C7"/>
    <w:rsid w:val="712215CC"/>
    <w:rsid w:val="71B52674"/>
    <w:rsid w:val="72353142"/>
    <w:rsid w:val="72BF641D"/>
    <w:rsid w:val="72E408C6"/>
    <w:rsid w:val="73905147"/>
    <w:rsid w:val="747D1B6F"/>
    <w:rsid w:val="74CA6436"/>
    <w:rsid w:val="77F35CA4"/>
    <w:rsid w:val="79C00537"/>
    <w:rsid w:val="7B1B1DDD"/>
    <w:rsid w:val="7B5B603A"/>
    <w:rsid w:val="7BBD1CA9"/>
    <w:rsid w:val="7C817D22"/>
    <w:rsid w:val="7CE32B26"/>
    <w:rsid w:val="7D4B1532"/>
    <w:rsid w:val="7DB351AA"/>
    <w:rsid w:val="7DCB394B"/>
    <w:rsid w:val="7DE70059"/>
    <w:rsid w:val="7E080065"/>
    <w:rsid w:val="7ED002D9"/>
    <w:rsid w:val="7EEF5417"/>
    <w:rsid w:val="7F4C286A"/>
    <w:rsid w:val="7F5160D2"/>
    <w:rsid w:val="7F8A33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jc w:val="center"/>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5"/>
    <w:next w:val="1"/>
    <w:qFormat/>
    <w:uiPriority w:val="0"/>
    <w:pPr>
      <w:keepNext/>
      <w:keepLines/>
      <w:spacing w:before="120" w:beforeLines="50" w:after="120" w:afterLines="50" w:line="340" w:lineRule="exact"/>
      <w:jc w:val="left"/>
      <w:outlineLvl w:val="2"/>
    </w:pPr>
    <w:rPr>
      <w:rFonts w:ascii="仿宋_GB2312"/>
      <w:bCs/>
      <w:sz w:val="24"/>
    </w:rPr>
  </w:style>
  <w:style w:type="paragraph" w:styleId="6">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33">
    <w:name w:val="Default Paragraph Font"/>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5">
    <w:name w:val="index 1"/>
    <w:basedOn w:val="1"/>
    <w:next w:val="1"/>
    <w:semiHidden/>
    <w:qFormat/>
    <w:uiPriority w:val="0"/>
    <w:rPr>
      <w:rFonts w:eastAsia="仿宋_GB2312"/>
    </w:rPr>
  </w:style>
  <w:style w:type="paragraph" w:styleId="7">
    <w:name w:val="toc 7"/>
    <w:basedOn w:val="1"/>
    <w:next w:val="1"/>
    <w:semiHidden/>
    <w:qFormat/>
    <w:uiPriority w:val="0"/>
    <w:pPr>
      <w:ind w:left="2520"/>
    </w:pPr>
  </w:style>
  <w:style w:type="paragraph" w:styleId="8">
    <w:name w:val="Normal Indent"/>
    <w:basedOn w:val="1"/>
    <w:qFormat/>
    <w:uiPriority w:val="0"/>
    <w:pPr>
      <w:ind w:firstLine="420" w:firstLineChars="200"/>
    </w:pPr>
  </w:style>
  <w:style w:type="paragraph" w:styleId="9">
    <w:name w:val="Document Map"/>
    <w:basedOn w:val="1"/>
    <w:semiHidden/>
    <w:qFormat/>
    <w:uiPriority w:val="0"/>
    <w:pPr>
      <w:shd w:val="clear" w:color="auto" w:fill="000080"/>
    </w:pPr>
  </w:style>
  <w:style w:type="paragraph" w:styleId="10">
    <w:name w:val="annotation text"/>
    <w:basedOn w:val="1"/>
    <w:semiHidden/>
    <w:qFormat/>
    <w:uiPriority w:val="0"/>
    <w:pPr>
      <w:jc w:val="left"/>
    </w:pPr>
  </w:style>
  <w:style w:type="paragraph" w:styleId="11">
    <w:name w:val="Body Text"/>
    <w:basedOn w:val="1"/>
    <w:next w:val="1"/>
    <w:qFormat/>
    <w:uiPriority w:val="0"/>
    <w:pPr>
      <w:spacing w:after="120"/>
    </w:pPr>
  </w:style>
  <w:style w:type="paragraph" w:styleId="12">
    <w:name w:val="Body Text Indent"/>
    <w:basedOn w:val="1"/>
    <w:qFormat/>
    <w:uiPriority w:val="0"/>
    <w:pPr>
      <w:widowControl/>
      <w:spacing w:line="360" w:lineRule="auto"/>
      <w:ind w:left="240"/>
      <w:jc w:val="left"/>
    </w:pPr>
    <w:rPr>
      <w:kern w:val="0"/>
      <w:sz w:val="24"/>
    </w:rPr>
  </w:style>
  <w:style w:type="paragraph" w:styleId="13">
    <w:name w:val="toc 5"/>
    <w:basedOn w:val="1"/>
    <w:next w:val="1"/>
    <w:semiHidden/>
    <w:qFormat/>
    <w:uiPriority w:val="0"/>
    <w:pPr>
      <w:ind w:left="1680"/>
    </w:pPr>
  </w:style>
  <w:style w:type="paragraph" w:styleId="14">
    <w:name w:val="toc 3"/>
    <w:basedOn w:val="1"/>
    <w:next w:val="1"/>
    <w:semiHidden/>
    <w:qFormat/>
    <w:uiPriority w:val="0"/>
    <w:pPr>
      <w:tabs>
        <w:tab w:val="right" w:leader="dot" w:pos="8505"/>
        <w:tab w:val="left" w:pos="8925"/>
      </w:tabs>
      <w:spacing w:line="360" w:lineRule="auto"/>
      <w:ind w:left="336" w:leftChars="160" w:right="210" w:rightChars="100" w:firstLine="28"/>
    </w:pPr>
    <w:rPr>
      <w:rFonts w:eastAsia="仿宋_GB2312"/>
    </w:rPr>
  </w:style>
  <w:style w:type="paragraph" w:styleId="15">
    <w:name w:val="Plain Text"/>
    <w:basedOn w:val="1"/>
    <w:link w:val="39"/>
    <w:qFormat/>
    <w:uiPriority w:val="0"/>
    <w:rPr>
      <w:rFonts w:ascii="宋体" w:hAnsi="Courier New"/>
      <w:szCs w:val="20"/>
    </w:rPr>
  </w:style>
  <w:style w:type="paragraph" w:styleId="16">
    <w:name w:val="toc 8"/>
    <w:basedOn w:val="1"/>
    <w:next w:val="1"/>
    <w:semiHidden/>
    <w:qFormat/>
    <w:uiPriority w:val="0"/>
    <w:pPr>
      <w:ind w:left="2940"/>
    </w:pPr>
  </w:style>
  <w:style w:type="paragraph" w:styleId="17">
    <w:name w:val="Date"/>
    <w:basedOn w:val="1"/>
    <w:next w:val="1"/>
    <w:link w:val="40"/>
    <w:qFormat/>
    <w:uiPriority w:val="0"/>
    <w:pPr>
      <w:ind w:left="100" w:leftChars="2500"/>
    </w:pPr>
  </w:style>
  <w:style w:type="paragraph" w:styleId="18">
    <w:name w:val="Body Text Indent 2"/>
    <w:basedOn w:val="1"/>
    <w:qFormat/>
    <w:uiPriority w:val="0"/>
    <w:pPr>
      <w:spacing w:line="440" w:lineRule="exact"/>
      <w:ind w:left="1" w:firstLine="490" w:firstLineChars="204"/>
      <w:jc w:val="left"/>
    </w:pPr>
    <w:rPr>
      <w:rFonts w:eastAsia="仿宋_GB2312"/>
      <w:color w:val="000000"/>
      <w:kern w:val="0"/>
      <w:sz w:val="24"/>
      <w:szCs w:val="20"/>
    </w:rPr>
  </w:style>
  <w:style w:type="paragraph" w:styleId="19">
    <w:name w:val="Balloon Text"/>
    <w:basedOn w:val="1"/>
    <w:semiHidden/>
    <w:qFormat/>
    <w:uiPriority w:val="0"/>
    <w:rPr>
      <w:sz w:val="18"/>
      <w:szCs w:val="18"/>
    </w:rPr>
  </w:style>
  <w:style w:type="paragraph" w:styleId="20">
    <w:name w:val="footer"/>
    <w:basedOn w:val="1"/>
    <w:qFormat/>
    <w:uiPriority w:val="0"/>
    <w:pPr>
      <w:tabs>
        <w:tab w:val="center" w:pos="4153"/>
        <w:tab w:val="right" w:pos="8306"/>
      </w:tabs>
      <w:snapToGrid w:val="0"/>
      <w:jc w:val="left"/>
    </w:pPr>
    <w:rPr>
      <w:sz w:val="18"/>
      <w:szCs w:val="18"/>
    </w:rPr>
  </w:style>
  <w:style w:type="paragraph" w:styleId="2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semiHidden/>
    <w:qFormat/>
    <w:uiPriority w:val="0"/>
    <w:pPr>
      <w:tabs>
        <w:tab w:val="right" w:leader="dot" w:pos="8511"/>
      </w:tabs>
      <w:spacing w:line="360" w:lineRule="auto"/>
      <w:ind w:left="349" w:hanging="349" w:hangingChars="166"/>
    </w:pPr>
    <w:rPr>
      <w:b/>
    </w:rPr>
  </w:style>
  <w:style w:type="paragraph" w:styleId="23">
    <w:name w:val="toc 4"/>
    <w:basedOn w:val="1"/>
    <w:next w:val="1"/>
    <w:semiHidden/>
    <w:qFormat/>
    <w:uiPriority w:val="0"/>
    <w:pPr>
      <w:ind w:left="1260"/>
    </w:pPr>
  </w:style>
  <w:style w:type="paragraph" w:styleId="24">
    <w:name w:val="toc 6"/>
    <w:basedOn w:val="1"/>
    <w:next w:val="1"/>
    <w:semiHidden/>
    <w:qFormat/>
    <w:uiPriority w:val="0"/>
    <w:pPr>
      <w:ind w:left="2100"/>
    </w:pPr>
  </w:style>
  <w:style w:type="paragraph" w:styleId="25">
    <w:name w:val="Body Text Indent 3"/>
    <w:basedOn w:val="1"/>
    <w:qFormat/>
    <w:uiPriority w:val="0"/>
    <w:pPr>
      <w:spacing w:after="120"/>
      <w:ind w:left="420" w:leftChars="200"/>
    </w:pPr>
    <w:rPr>
      <w:sz w:val="16"/>
      <w:szCs w:val="16"/>
    </w:rPr>
  </w:style>
  <w:style w:type="paragraph" w:styleId="26">
    <w:name w:val="toc 2"/>
    <w:basedOn w:val="1"/>
    <w:next w:val="1"/>
    <w:semiHidden/>
    <w:qFormat/>
    <w:uiPriority w:val="0"/>
    <w:pPr>
      <w:tabs>
        <w:tab w:val="right" w:leader="dot" w:pos="8505"/>
      </w:tabs>
      <w:spacing w:line="360" w:lineRule="auto"/>
      <w:ind w:left="393" w:leftChars="50" w:hanging="288" w:hangingChars="120"/>
    </w:pPr>
    <w:rPr>
      <w:b/>
    </w:rPr>
  </w:style>
  <w:style w:type="paragraph" w:styleId="27">
    <w:name w:val="toc 9"/>
    <w:basedOn w:val="1"/>
    <w:next w:val="1"/>
    <w:semiHidden/>
    <w:qFormat/>
    <w:uiPriority w:val="0"/>
    <w:pPr>
      <w:ind w:left="3360"/>
    </w:pPr>
  </w:style>
  <w:style w:type="paragraph" w:styleId="2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9">
    <w:name w:val="Title"/>
    <w:basedOn w:val="1"/>
    <w:qFormat/>
    <w:uiPriority w:val="0"/>
    <w:pPr>
      <w:spacing w:before="240" w:after="60"/>
      <w:jc w:val="center"/>
      <w:outlineLvl w:val="0"/>
    </w:pPr>
    <w:rPr>
      <w:rFonts w:ascii="Arial" w:hAnsi="Arial" w:cs="Arial"/>
      <w:b/>
      <w:bCs/>
      <w:sz w:val="32"/>
      <w:szCs w:val="32"/>
    </w:rPr>
  </w:style>
  <w:style w:type="paragraph" w:styleId="30">
    <w:name w:val="annotation subject"/>
    <w:basedOn w:val="10"/>
    <w:next w:val="10"/>
    <w:semiHidden/>
    <w:qFormat/>
    <w:uiPriority w:val="0"/>
    <w:rPr>
      <w:b/>
      <w:bCs/>
    </w:rPr>
  </w:style>
  <w:style w:type="table" w:styleId="32">
    <w:name w:val="Table Grid"/>
    <w:basedOn w:val="3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qFormat/>
    <w:uiPriority w:val="0"/>
    <w:rPr>
      <w:b/>
      <w:bCs/>
    </w:rPr>
  </w:style>
  <w:style w:type="character" w:styleId="35">
    <w:name w:val="page number"/>
    <w:qFormat/>
    <w:uiPriority w:val="0"/>
  </w:style>
  <w:style w:type="character" w:styleId="36">
    <w:name w:val="FollowedHyperlink"/>
    <w:qFormat/>
    <w:uiPriority w:val="0"/>
    <w:rPr>
      <w:color w:val="800080"/>
      <w:u w:val="single"/>
    </w:rPr>
  </w:style>
  <w:style w:type="character" w:styleId="37">
    <w:name w:val="Hyperlink"/>
    <w:qFormat/>
    <w:uiPriority w:val="0"/>
    <w:rPr>
      <w:color w:val="auto"/>
      <w:u w:val="none"/>
    </w:rPr>
  </w:style>
  <w:style w:type="character" w:styleId="38">
    <w:name w:val="annotation reference"/>
    <w:basedOn w:val="33"/>
    <w:semiHidden/>
    <w:qFormat/>
    <w:uiPriority w:val="0"/>
    <w:rPr>
      <w:sz w:val="21"/>
      <w:szCs w:val="21"/>
    </w:rPr>
  </w:style>
  <w:style w:type="character" w:customStyle="1" w:styleId="39">
    <w:name w:val="纯文本 字符"/>
    <w:link w:val="15"/>
    <w:qFormat/>
    <w:uiPriority w:val="0"/>
    <w:rPr>
      <w:rFonts w:ascii="宋体" w:hAnsi="Courier New"/>
      <w:kern w:val="2"/>
      <w:sz w:val="21"/>
    </w:rPr>
  </w:style>
  <w:style w:type="character" w:customStyle="1" w:styleId="40">
    <w:name w:val="日期 字符"/>
    <w:link w:val="17"/>
    <w:qFormat/>
    <w:uiPriority w:val="0"/>
    <w:rPr>
      <w:rFonts w:eastAsia="宋体"/>
      <w:kern w:val="2"/>
      <w:sz w:val="21"/>
      <w:szCs w:val="24"/>
      <w:lang w:val="en-US" w:eastAsia="zh-CN" w:bidi="ar-SA"/>
    </w:rPr>
  </w:style>
  <w:style w:type="paragraph" w:customStyle="1" w:styleId="41">
    <w:name w:val="Char Char Char Char Char Char Char Char Char Char Char Char Char"/>
    <w:basedOn w:val="1"/>
    <w:qFormat/>
    <w:uiPriority w:val="0"/>
    <w:rPr>
      <w:rFonts w:ascii="仿宋_GB2312" w:eastAsia="仿宋_GB2312"/>
      <w:b/>
      <w:sz w:val="32"/>
      <w:szCs w:val="32"/>
    </w:rPr>
  </w:style>
  <w:style w:type="paragraph" w:customStyle="1" w:styleId="42">
    <w:name w:val="表"/>
    <w:basedOn w:val="1"/>
    <w:qFormat/>
    <w:uiPriority w:val="0"/>
    <w:pPr>
      <w:adjustRightInd w:val="0"/>
      <w:snapToGrid w:val="0"/>
      <w:spacing w:line="240" w:lineRule="atLeast"/>
    </w:pPr>
    <w:rPr>
      <w:rFonts w:ascii="Arial" w:hAnsi="Arial"/>
      <w:sz w:val="24"/>
    </w:rPr>
  </w:style>
  <w:style w:type="character" w:customStyle="1" w:styleId="43">
    <w:name w:val="索引 1 Char Char"/>
    <w:qFormat/>
    <w:uiPriority w:val="0"/>
    <w:rPr>
      <w:rFonts w:eastAsia="宋体"/>
      <w:kern w:val="2"/>
      <w:sz w:val="21"/>
      <w:szCs w:val="24"/>
      <w:lang w:val="en-US" w:eastAsia="zh-CN" w:bidi="ar-SA"/>
    </w:rPr>
  </w:style>
  <w:style w:type="character" w:customStyle="1" w:styleId="44">
    <w:name w:val="标题 3 Char Char"/>
    <w:qFormat/>
    <w:uiPriority w:val="0"/>
    <w:rPr>
      <w:rFonts w:ascii="仿宋_GB2312" w:eastAsia="仿宋_GB2312"/>
      <w:bCs/>
      <w:kern w:val="2"/>
      <w:sz w:val="24"/>
      <w:szCs w:val="24"/>
      <w:lang w:val="en-US" w:eastAsia="zh-CN" w:bidi="ar-SA"/>
    </w:rPr>
  </w:style>
  <w:style w:type="paragraph" w:customStyle="1" w:styleId="45">
    <w:name w:val="样式 楷体_GB2312 小四 首行缩进:  0.8 厘米 行距: 固定值 28 磅"/>
    <w:basedOn w:val="1"/>
    <w:qFormat/>
    <w:uiPriority w:val="0"/>
    <w:pPr>
      <w:spacing w:line="360" w:lineRule="auto"/>
      <w:jc w:val="center"/>
    </w:pPr>
    <w:rPr>
      <w:rFonts w:eastAsia="仿宋_GB2312"/>
      <w:szCs w:val="21"/>
    </w:rPr>
  </w:style>
  <w:style w:type="character" w:customStyle="1" w:styleId="46">
    <w:name w:val="样式 超链接 + 仿宋_GB2312 小四 加粗"/>
    <w:qFormat/>
    <w:uiPriority w:val="0"/>
    <w:rPr>
      <w:rFonts w:ascii="仿宋_GB2312" w:hAnsi="仿宋_GB2312" w:eastAsia="黑体"/>
      <w:b/>
      <w:bCs/>
      <w:color w:val="auto"/>
      <w:sz w:val="24"/>
      <w:u w:val="none"/>
    </w:rPr>
  </w:style>
  <w:style w:type="paragraph" w:customStyle="1" w:styleId="47">
    <w:name w:val="样式 标题 3 + 二号 Char Char Char Char"/>
    <w:basedOn w:val="4"/>
    <w:qFormat/>
    <w:uiPriority w:val="0"/>
    <w:pPr>
      <w:spacing w:before="0" w:beforeLines="0" w:after="0" w:afterLines="0" w:line="240" w:lineRule="auto"/>
    </w:pPr>
    <w:rPr>
      <w:rFonts w:hAnsi="华文中宋"/>
      <w:sz w:val="44"/>
    </w:rPr>
  </w:style>
  <w:style w:type="character" w:customStyle="1" w:styleId="48">
    <w:name w:val="样式 标题 3 + 二号 Char Char Char Char Char"/>
    <w:qFormat/>
    <w:uiPriority w:val="0"/>
    <w:rPr>
      <w:rFonts w:ascii="仿宋_GB2312" w:hAnsi="华文中宋" w:eastAsia="仿宋_GB2312"/>
      <w:bCs/>
      <w:kern w:val="2"/>
      <w:sz w:val="44"/>
      <w:szCs w:val="24"/>
      <w:lang w:val="en-US" w:eastAsia="zh-CN" w:bidi="ar-SA"/>
    </w:rPr>
  </w:style>
  <w:style w:type="paragraph" w:customStyle="1" w:styleId="49">
    <w:name w:val="样式 华文中宋 小四 加粗 Char"/>
    <w:basedOn w:val="1"/>
    <w:qFormat/>
    <w:uiPriority w:val="0"/>
    <w:rPr>
      <w:rFonts w:ascii="华文中宋" w:hAnsi="华文中宋" w:eastAsia="华文中宋"/>
      <w:b/>
      <w:bCs/>
      <w:sz w:val="24"/>
    </w:rPr>
  </w:style>
  <w:style w:type="character" w:customStyle="1" w:styleId="50">
    <w:name w:val="样式 华文中宋 小四 加粗 Char Char"/>
    <w:qFormat/>
    <w:uiPriority w:val="0"/>
    <w:rPr>
      <w:rFonts w:ascii="华文中宋" w:hAnsi="华文中宋" w:eastAsia="华文中宋"/>
      <w:b/>
      <w:bCs/>
      <w:kern w:val="2"/>
      <w:sz w:val="24"/>
      <w:szCs w:val="24"/>
      <w:lang w:val="en-US" w:eastAsia="zh-CN" w:bidi="ar-SA"/>
    </w:rPr>
  </w:style>
  <w:style w:type="paragraph" w:customStyle="1" w:styleId="51">
    <w:name w:val="正文2"/>
    <w:basedOn w:val="1"/>
    <w:qFormat/>
    <w:uiPriority w:val="0"/>
    <w:pPr>
      <w:spacing w:line="360" w:lineRule="auto"/>
    </w:pPr>
    <w:rPr>
      <w:rFonts w:eastAsia="楷体_GB2312"/>
      <w:sz w:val="28"/>
    </w:rPr>
  </w:style>
  <w:style w:type="paragraph" w:customStyle="1" w:styleId="52">
    <w:name w:val="样式 标题 3 +"/>
    <w:basedOn w:val="4"/>
    <w:qFormat/>
    <w:uiPriority w:val="0"/>
    <w:pPr>
      <w:spacing w:before="0" w:beforeLines="0" w:after="0" w:afterLines="0" w:line="360" w:lineRule="auto"/>
    </w:pPr>
    <w:rPr>
      <w:rFonts w:ascii="Times New Roman"/>
      <w:kern w:val="0"/>
      <w:lang w:val="zh-CN"/>
    </w:rPr>
  </w:style>
  <w:style w:type="paragraph" w:customStyle="1" w:styleId="53">
    <w:name w:val="样式 标题 3 + 仿宋_GB2312 小四 段前: 0 磅 段后: 0 磅"/>
    <w:basedOn w:val="4"/>
    <w:qFormat/>
    <w:uiPriority w:val="0"/>
    <w:pPr>
      <w:spacing w:before="50" w:after="0" w:afterLines="0" w:line="415" w:lineRule="auto"/>
    </w:pPr>
    <w:rPr>
      <w:rFonts w:cs="宋体"/>
      <w:b/>
      <w:kern w:val="0"/>
      <w:szCs w:val="20"/>
    </w:rPr>
  </w:style>
  <w:style w:type="paragraph" w:customStyle="1" w:styleId="54">
    <w:name w:val="样式 样式 标题 3 + 仿宋_GB2312 小四 段前: 0 磅 段后: 0 磅 + 段前: 0.5 行"/>
    <w:basedOn w:val="53"/>
    <w:qFormat/>
    <w:uiPriority w:val="0"/>
    <w:pPr>
      <w:spacing w:after="50" w:afterLines="50"/>
    </w:pPr>
  </w:style>
  <w:style w:type="paragraph" w:customStyle="1" w:styleId="55">
    <w:name w:val="样式 样式 样式 标题 3 + 仿宋_GB2312 小四 段前: 0 磅 段后: 0 磅 + 段前: 0.5 行 + 段前: 0..."/>
    <w:basedOn w:val="54"/>
    <w:qFormat/>
    <w:uiPriority w:val="0"/>
    <w:pPr>
      <w:spacing w:before="100" w:beforeLines="100"/>
    </w:pPr>
  </w:style>
  <w:style w:type="paragraph" w:customStyle="1" w:styleId="56">
    <w:name w:val="2"/>
    <w:basedOn w:val="1"/>
    <w:next w:val="28"/>
    <w:qFormat/>
    <w:uiPriority w:val="0"/>
    <w:pPr>
      <w:widowControl/>
      <w:spacing w:before="100" w:beforeAutospacing="1" w:after="100" w:afterAutospacing="1"/>
      <w:jc w:val="left"/>
    </w:pPr>
    <w:rPr>
      <w:rFonts w:ascii="宋体" w:hAnsi="宋体" w:cs="宋体"/>
      <w:kern w:val="0"/>
      <w:sz w:val="24"/>
    </w:rPr>
  </w:style>
  <w:style w:type="paragraph" w:customStyle="1" w:styleId="57">
    <w:name w:val="样式 标题 3 + 二号 Char Char Char"/>
    <w:basedOn w:val="4"/>
    <w:qFormat/>
    <w:uiPriority w:val="0"/>
    <w:pPr>
      <w:spacing w:before="0" w:beforeLines="0" w:after="0" w:afterLines="0" w:line="240" w:lineRule="auto"/>
    </w:pPr>
    <w:rPr>
      <w:rFonts w:hAnsi="华文中宋"/>
      <w:sz w:val="44"/>
    </w:rPr>
  </w:style>
  <w:style w:type="paragraph" w:customStyle="1" w:styleId="58">
    <w:name w:val="样式 华文中宋 小四 加粗"/>
    <w:basedOn w:val="1"/>
    <w:qFormat/>
    <w:uiPriority w:val="0"/>
    <w:rPr>
      <w:rFonts w:ascii="华文中宋" w:hAnsi="华文中宋" w:eastAsia="华文中宋"/>
      <w:b/>
      <w:bCs/>
      <w:sz w:val="24"/>
    </w:rPr>
  </w:style>
  <w:style w:type="paragraph" w:customStyle="1" w:styleId="59">
    <w:name w:val="1"/>
    <w:basedOn w:val="1"/>
    <w:next w:val="28"/>
    <w:qFormat/>
    <w:uiPriority w:val="0"/>
    <w:pPr>
      <w:widowControl/>
      <w:spacing w:before="100" w:beforeAutospacing="1" w:after="100" w:afterAutospacing="1"/>
      <w:jc w:val="left"/>
    </w:pPr>
    <w:rPr>
      <w:rFonts w:ascii="宋体" w:hAnsi="宋体" w:cs="宋体"/>
      <w:kern w:val="0"/>
      <w:sz w:val="24"/>
    </w:rPr>
  </w:style>
  <w:style w:type="paragraph" w:customStyle="1" w:styleId="60">
    <w:name w:val="Char"/>
    <w:basedOn w:val="1"/>
    <w:qFormat/>
    <w:uiPriority w:val="0"/>
    <w:rPr>
      <w:rFonts w:ascii="仿宋_GB2312" w:eastAsia="仿宋_GB2312"/>
      <w:b/>
      <w:sz w:val="32"/>
      <w:szCs w:val="32"/>
    </w:rPr>
  </w:style>
  <w:style w:type="paragraph" w:customStyle="1" w:styleId="61">
    <w:name w:val="样式 标题 2 + (西文) Times New Roman (中文) 仿宋_GB2312 居中 段前: 6 磅 段后:..."/>
    <w:basedOn w:val="3"/>
    <w:qFormat/>
    <w:uiPriority w:val="0"/>
    <w:pPr>
      <w:spacing w:before="120" w:after="120" w:line="360" w:lineRule="auto"/>
      <w:ind w:firstLine="200" w:firstLineChars="200"/>
      <w:jc w:val="left"/>
    </w:pPr>
    <w:rPr>
      <w:rFonts w:ascii="Times New Roman" w:hAnsi="Times New Roman" w:eastAsia="仿宋_GB2312" w:cs="宋体"/>
      <w:szCs w:val="20"/>
    </w:rPr>
  </w:style>
  <w:style w:type="paragraph" w:customStyle="1" w:styleId="62">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63">
    <w:name w:val="font6"/>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64">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65">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66">
    <w:name w:val="xl26"/>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6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68">
    <w:name w:val="xl28"/>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69">
    <w:name w:val="xl29"/>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70">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71">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72">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73">
    <w:name w:val="xl33"/>
    <w:basedOn w:val="1"/>
    <w:qFormat/>
    <w:uiPriority w:val="0"/>
    <w:pPr>
      <w:widowControl/>
      <w:pBdr>
        <w:top w:val="single" w:color="auto" w:sz="4" w:space="0"/>
      </w:pBdr>
      <w:spacing w:before="100" w:beforeAutospacing="1" w:after="100" w:afterAutospacing="1"/>
      <w:jc w:val="center"/>
    </w:pPr>
    <w:rPr>
      <w:rFonts w:ascii="宋体" w:hAnsi="宋体"/>
      <w:b/>
      <w:bCs/>
      <w:kern w:val="0"/>
      <w:sz w:val="22"/>
      <w:szCs w:val="22"/>
    </w:rPr>
  </w:style>
  <w:style w:type="paragraph" w:customStyle="1" w:styleId="74">
    <w:name w:val="xl68"/>
    <w:basedOn w:val="1"/>
    <w:qFormat/>
    <w:uiPriority w:val="0"/>
    <w:pPr>
      <w:widowControl/>
      <w:spacing w:before="100" w:beforeAutospacing="1" w:after="100" w:afterAutospacing="1"/>
      <w:jc w:val="center"/>
      <w:textAlignment w:val="center"/>
    </w:pPr>
    <w:rPr>
      <w:rFonts w:ascii="宋体" w:hAnsi="宋体"/>
      <w:b/>
      <w:bCs/>
      <w:kern w:val="0"/>
      <w:sz w:val="36"/>
      <w:szCs w:val="36"/>
    </w:rPr>
  </w:style>
  <w:style w:type="paragraph" w:customStyle="1" w:styleId="75">
    <w:name w:val="Char Char Char Char Char Char Char Char Char Char Char Char Char1"/>
    <w:basedOn w:val="1"/>
    <w:qFormat/>
    <w:uiPriority w:val="0"/>
    <w:rPr>
      <w:rFonts w:ascii="仿宋_GB2312" w:eastAsia="仿宋_GB2312"/>
      <w:b/>
      <w:sz w:val="32"/>
      <w:szCs w:val="32"/>
    </w:rPr>
  </w:style>
  <w:style w:type="paragraph" w:customStyle="1" w:styleId="76">
    <w:name w:val="Char Char Char Char Char Char Char"/>
    <w:basedOn w:val="1"/>
    <w:qFormat/>
    <w:uiPriority w:val="0"/>
    <w:rPr>
      <w:rFonts w:ascii="仿宋_GB2312" w:eastAsia="仿宋_GB2312"/>
      <w:b/>
      <w:sz w:val="32"/>
      <w:szCs w:val="32"/>
    </w:rPr>
  </w:style>
  <w:style w:type="paragraph" w:customStyle="1" w:styleId="77">
    <w:name w:val="ee"/>
    <w:basedOn w:val="1"/>
    <w:qFormat/>
    <w:uiPriority w:val="0"/>
    <w:pPr>
      <w:widowControl/>
      <w:spacing w:before="100" w:beforeAutospacing="1" w:after="100" w:afterAutospacing="1" w:line="300" w:lineRule="atLeast"/>
      <w:jc w:val="left"/>
    </w:pPr>
    <w:rPr>
      <w:rFonts w:ascii="宋体" w:hAnsi="宋体" w:cs="宋体"/>
      <w:color w:val="000000"/>
      <w:kern w:val="0"/>
      <w:sz w:val="18"/>
      <w:szCs w:val="18"/>
    </w:rPr>
  </w:style>
  <w:style w:type="paragraph" w:customStyle="1" w:styleId="78">
    <w:name w:val="Char1"/>
    <w:basedOn w:val="1"/>
    <w:qFormat/>
    <w:uiPriority w:val="0"/>
    <w:rPr>
      <w:rFonts w:ascii="仿宋_GB2312" w:eastAsia="仿宋_GB2312"/>
      <w:b/>
      <w:sz w:val="32"/>
      <w:szCs w:val="32"/>
    </w:rPr>
  </w:style>
  <w:style w:type="paragraph" w:customStyle="1" w:styleId="79">
    <w:name w:val="正文H"/>
    <w:next w:val="1"/>
    <w:qFormat/>
    <w:uiPriority w:val="0"/>
    <w:pPr>
      <w:adjustRightInd w:val="0"/>
      <w:spacing w:line="360" w:lineRule="auto"/>
      <w:ind w:firstLine="200" w:firstLineChars="200"/>
    </w:pPr>
    <w:rPr>
      <w:rFonts w:ascii="Times New Roman" w:hAnsi="Times New Roman" w:eastAsia="宋体" w:cs="Times New Roman"/>
      <w:kern w:val="2"/>
      <w:sz w:val="21"/>
      <w:szCs w:val="21"/>
      <w:lang w:val="en-US" w:eastAsia="zh-CN" w:bidi="ar-SA"/>
    </w:rPr>
  </w:style>
  <w:style w:type="character" w:customStyle="1" w:styleId="80">
    <w:name w:val="middle1"/>
    <w:qFormat/>
    <w:uiPriority w:val="0"/>
    <w:rPr>
      <w:rFonts w:hint="default"/>
      <w:sz w:val="21"/>
      <w:szCs w:val="21"/>
    </w:rPr>
  </w:style>
  <w:style w:type="paragraph" w:styleId="81">
    <w:name w:val="No Spacing"/>
    <w:link w:val="82"/>
    <w:qFormat/>
    <w:uiPriority w:val="0"/>
    <w:pPr>
      <w:widowControl w:val="0"/>
      <w:adjustRightInd w:val="0"/>
      <w:snapToGrid w:val="0"/>
      <w:jc w:val="center"/>
    </w:pPr>
    <w:rPr>
      <w:rFonts w:ascii="Calibri" w:hAnsi="Calibri" w:eastAsia="宋体" w:cs="Times New Roman"/>
      <w:kern w:val="2"/>
      <w:sz w:val="18"/>
      <w:szCs w:val="18"/>
      <w:lang w:val="en-US" w:eastAsia="zh-CN" w:bidi="ar-SA"/>
    </w:rPr>
  </w:style>
  <w:style w:type="character" w:customStyle="1" w:styleId="82">
    <w:name w:val="无间隔 字符"/>
    <w:link w:val="81"/>
    <w:qFormat/>
    <w:uiPriority w:val="0"/>
    <w:rPr>
      <w:rFonts w:ascii="Calibri" w:hAnsi="Calibri"/>
      <w:kern w:val="2"/>
      <w:sz w:val="18"/>
      <w:szCs w:val="18"/>
      <w:lang w:val="en-US" w:eastAsia="zh-CN" w:bidi="ar-SA"/>
    </w:rPr>
  </w:style>
  <w:style w:type="paragraph" w:customStyle="1" w:styleId="83">
    <w:name w:val="标题一"/>
    <w:basedOn w:val="29"/>
    <w:qFormat/>
    <w:uiPriority w:val="0"/>
    <w:pPr>
      <w:adjustRightInd w:val="0"/>
      <w:snapToGrid w:val="0"/>
      <w:spacing w:before="50" w:beforeLines="50" w:after="0" w:line="440" w:lineRule="exact"/>
      <w:ind w:firstLine="200" w:firstLineChars="200"/>
      <w:jc w:val="left"/>
    </w:pPr>
    <w:rPr>
      <w:rFonts w:ascii="宋体" w:hAnsi="宋体"/>
      <w:sz w:val="21"/>
    </w:rPr>
  </w:style>
  <w:style w:type="paragraph" w:customStyle="1" w:styleId="8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85">
    <w:name w:val="表格"/>
    <w:basedOn w:val="1"/>
    <w:qFormat/>
    <w:uiPriority w:val="0"/>
    <w:pPr>
      <w:adjustRightInd w:val="0"/>
      <w:snapToGrid w:val="0"/>
      <w:spacing w:line="240" w:lineRule="atLeast"/>
      <w:ind w:left="-103" w:leftChars="-51" w:hanging="4" w:hangingChars="2"/>
    </w:pPr>
    <w:rPr>
      <w:rFonts w:ascii="宋体" w:hAnsi="宋体"/>
      <w:color w:val="000000"/>
      <w:kern w:val="0"/>
      <w:sz w:val="20"/>
      <w:szCs w:val="20"/>
    </w:rPr>
  </w:style>
  <w:style w:type="paragraph" w:customStyle="1" w:styleId="86">
    <w:name w:val="Revision"/>
    <w:unhideWhenUsed/>
    <w:qFormat/>
    <w:uiPriority w:val="99"/>
    <w:rPr>
      <w:rFonts w:ascii="Times New Roman" w:hAnsi="Times New Roman" w:eastAsia="宋体" w:cs="Times New Roman"/>
      <w:kern w:val="2"/>
      <w:sz w:val="21"/>
      <w:szCs w:val="24"/>
      <w:lang w:val="en-US" w:eastAsia="zh-CN" w:bidi="ar-SA"/>
    </w:rPr>
  </w:style>
  <w:style w:type="paragraph" w:styleId="87">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2.png"/><Relationship Id="rId16" Type="http://schemas.openxmlformats.org/officeDocument/2006/relationships/theme" Target="theme/theme1.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96</Pages>
  <Words>1188</Words>
  <Characters>1278</Characters>
  <Lines>153</Lines>
  <Paragraphs>43</Paragraphs>
  <TotalTime>6</TotalTime>
  <ScaleCrop>false</ScaleCrop>
  <LinksUpToDate>false</LinksUpToDate>
  <CharactersWithSpaces>1453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2026-04-22T03:30:00Z</dcterms:created>
  <dc:creator>user</dc:creator>
  <cp:lastModifiedBy>孙凡寓</cp:lastModifiedBy>
  <cp:lastPrinted>2016-07-19T02:19:00Z</cp:lastPrinted>
  <dcterms:modified xsi:type="dcterms:W3CDTF">2026-09-04T01:58:32Z</dcterms:modified>
  <dc:title>招标备案编号：20110118</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623C157ADF084835B9D8F611174500E8_13</vt:lpwstr>
  </property>
  <property fmtid="{D5CDD505-2E9C-101B-9397-08002B2CF9AE}" pid="4" name="KSOTemplateDocerSaveRecord">
    <vt:lpwstr>eyJoZGlkIjoiNmYwNGI0Njg4NGM1MWUyNzA1NmI1YjZmMjViNzYyZjQiLCJ1c2VySWQiOiIxMDM3MjQzNTYzIn0=</vt:lpwstr>
  </property>
</Properties>
</file>