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46BA8">
      <w:pPr>
        <w:spacing w:line="360" w:lineRule="auto"/>
        <w:jc w:val="left"/>
        <w:rPr>
          <w:rFonts w:hint="eastAsia" w:eastAsia="仿宋_GB2312"/>
          <w:bCs/>
          <w:color w:val="000000"/>
          <w:sz w:val="28"/>
          <w:szCs w:val="28"/>
          <w:highlight w:val="none"/>
          <w:u w:val="single"/>
        </w:rPr>
      </w:pPr>
      <w:bookmarkStart w:id="0" w:name="_Hlk126831517"/>
      <w:r>
        <w:rPr>
          <w:rFonts w:hint="eastAsia" w:eastAsia="仿宋_GB2312"/>
          <w:bCs/>
          <w:color w:val="000000"/>
          <w:sz w:val="28"/>
          <w:szCs w:val="28"/>
          <w:highlight w:val="none"/>
        </w:rPr>
        <w:t>合同编号：</w:t>
      </w:r>
      <w:permStart w:id="0" w:edGrp="everyone"/>
      <w:r>
        <w:rPr>
          <w:rFonts w:hint="eastAsia" w:ascii="宋体" w:hAnsi="宋体" w:eastAsia="宋体"/>
          <w:highlight w:val="none"/>
          <w:u w:val="single"/>
        </w:rPr>
        <w:t>ZJLQ-FG-任泽区城市中水再利用工程-002</w:t>
      </w:r>
      <w:permEnd w:id="0"/>
    </w:p>
    <w:p w14:paraId="7028E310">
      <w:pPr>
        <w:wordWrap w:val="0"/>
        <w:spacing w:line="640" w:lineRule="exact"/>
        <w:jc w:val="both"/>
        <w:rPr>
          <w:rFonts w:ascii="仿宋_GB2312" w:hAnsi="仿宋" w:eastAsia="仿宋_GB2312" w:cs="仿宋"/>
          <w:color w:val="000000" w:themeColor="text1"/>
          <w:sz w:val="24"/>
          <w:szCs w:val="24"/>
          <w:highlight w:val="none"/>
          <w14:textFill>
            <w14:solidFill>
              <w14:schemeClr w14:val="tx1"/>
            </w14:solidFill>
          </w14:textFill>
        </w:rPr>
      </w:pPr>
      <w:r>
        <w:rPr>
          <w:rFonts w:hint="eastAsia" w:eastAsia="仿宋_GB2312"/>
          <w:bCs/>
          <w:color w:val="000000"/>
          <w:sz w:val="28"/>
          <w:szCs w:val="28"/>
          <w:highlight w:val="none"/>
        </w:rPr>
        <w:t>框架协议：</w:t>
      </w:r>
      <w:permStart w:id="1" w:edGrp="everyone"/>
      <w:r>
        <w:rPr>
          <w:rFonts w:hint="eastAsia" w:eastAsia="仿宋_GB2312"/>
          <w:bCs/>
          <w:color w:val="000000"/>
          <w:sz w:val="28"/>
          <w:szCs w:val="28"/>
          <w:highlight w:val="none"/>
          <w:u w:val="single"/>
        </w:rPr>
        <w:t xml:space="preserve">                    </w:t>
      </w:r>
      <w:permEnd w:id="1"/>
    </w:p>
    <w:p w14:paraId="741C9448">
      <w:pPr>
        <w:spacing w:line="360" w:lineRule="auto"/>
        <w:jc w:val="left"/>
        <w:rPr>
          <w:rFonts w:hint="eastAsia" w:ascii="仿宋_GB2312" w:hAnsi="仿宋_GB2312" w:eastAsia="仿宋_GB2312" w:cs="仿宋_GB2312"/>
          <w:sz w:val="28"/>
          <w:szCs w:val="28"/>
          <w:highlight w:val="none"/>
        </w:rPr>
      </w:pPr>
      <w:r>
        <w:rPr>
          <w:highlight w:val="none"/>
        </w:rPr>
        <w:pict>
          <v:shape id="_x0000_s1026" o:spid="_x0000_s1026" o:spt="136" type="#_x0000_t136" style="position:absolute;left:0pt;margin-left:100pt;margin-top:100pt;height:100pt;width:200pt;z-index:251663360;mso-width-relative:page;mso-height-relative:page;" coordsize="21600,21600">
            <v:path/>
            <v:fill opacity="32768f" focussize="0,0"/>
            <v:stroke/>
            <v:imagedata o:title=""/>
            <o:lock v:ext="edit"/>
            <v:textpath on="t" fitshape="t" fitpath="t" trim="t" xscale="f" string="" style="font-size:36pt;v-text-align:center;"/>
          </v:shape>
        </w:pict>
      </w:r>
    </w:p>
    <w:p w14:paraId="573ED83B">
      <w:pPr>
        <w:pStyle w:val="3"/>
        <w:rPr>
          <w:rFonts w:hint="eastAsia"/>
          <w:highlight w:val="none"/>
        </w:rPr>
      </w:pPr>
    </w:p>
    <w:p w14:paraId="5FE9DEF8">
      <w:pPr>
        <w:pStyle w:val="3"/>
        <w:rPr>
          <w:rFonts w:hint="eastAsia"/>
          <w:highlight w:val="none"/>
        </w:rPr>
      </w:pPr>
    </w:p>
    <w:p w14:paraId="0032B077">
      <w:pPr>
        <w:pStyle w:val="3"/>
        <w:rPr>
          <w:rFonts w:hint="eastAsia"/>
          <w:highlight w:val="none"/>
        </w:rPr>
      </w:pPr>
    </w:p>
    <w:p w14:paraId="6E4D9DC8">
      <w:pPr>
        <w:spacing w:line="360" w:lineRule="auto"/>
        <w:jc w:val="center"/>
        <w:rPr>
          <w:rFonts w:hint="eastAsia" w:ascii="华文中宋" w:hAnsi="华文中宋" w:eastAsia="华文中宋" w:cs="华文中宋"/>
          <w:b/>
          <w:sz w:val="52"/>
          <w:szCs w:val="52"/>
          <w:highlight w:val="none"/>
        </w:rPr>
      </w:pPr>
      <w:permStart w:id="2" w:edGrp="everyone"/>
      <w:r>
        <w:rPr>
          <w:rFonts w:hint="eastAsia" w:ascii="华文中宋" w:hAnsi="华文中宋" w:eastAsia="华文中宋" w:cs="华文中宋"/>
          <w:b/>
          <w:sz w:val="52"/>
          <w:szCs w:val="52"/>
          <w:highlight w:val="none"/>
        </w:rPr>
        <w:t>【</w:t>
      </w:r>
      <w:r>
        <w:rPr>
          <w:rFonts w:hint="eastAsia" w:ascii="华文中宋" w:hAnsi="华文中宋" w:eastAsia="华文中宋" w:cs="华文中宋"/>
          <w:b/>
          <w:sz w:val="52"/>
          <w:szCs w:val="52"/>
          <w:highlight w:val="none"/>
          <w:lang w:val="en-US" w:eastAsia="zh-CN"/>
        </w:rPr>
        <w:t>聚乙烯管PE10</w:t>
      </w:r>
      <w:bookmarkStart w:id="128" w:name="_GoBack"/>
      <w:bookmarkEnd w:id="128"/>
      <w:r>
        <w:rPr>
          <w:rFonts w:hint="eastAsia" w:ascii="华文中宋" w:hAnsi="华文中宋" w:eastAsia="华文中宋" w:cs="华文中宋"/>
          <w:b/>
          <w:sz w:val="52"/>
          <w:szCs w:val="52"/>
          <w:highlight w:val="none"/>
          <w:lang w:val="en-US" w:eastAsia="zh-CN"/>
        </w:rPr>
        <w:t>0</w:t>
      </w:r>
      <w:r>
        <w:rPr>
          <w:rFonts w:hint="eastAsia" w:ascii="华文中宋" w:hAnsi="华文中宋" w:eastAsia="华文中宋" w:cs="华文中宋"/>
          <w:b/>
          <w:sz w:val="52"/>
          <w:szCs w:val="52"/>
          <w:highlight w:val="none"/>
        </w:rPr>
        <w:t>】</w:t>
      </w:r>
    </w:p>
    <w:permEnd w:id="2"/>
    <w:p w14:paraId="7918AD79">
      <w:pPr>
        <w:spacing w:line="360" w:lineRule="auto"/>
        <w:jc w:val="center"/>
        <w:rPr>
          <w:rFonts w:hint="eastAsia" w:ascii="华文中宋" w:hAnsi="华文中宋" w:eastAsia="华文中宋" w:cs="华文中宋"/>
          <w:b/>
          <w:sz w:val="52"/>
          <w:szCs w:val="52"/>
          <w:highlight w:val="none"/>
        </w:rPr>
      </w:pPr>
      <w:r>
        <w:rPr>
          <w:rFonts w:hint="eastAsia" w:ascii="华文中宋" w:hAnsi="华文中宋" w:eastAsia="华文中宋" w:cs="华文中宋"/>
          <w:b/>
          <w:sz w:val="52"/>
          <w:szCs w:val="52"/>
          <w:highlight w:val="none"/>
        </w:rPr>
        <w:t>采购与供应合同</w:t>
      </w:r>
    </w:p>
    <w:p w14:paraId="03D84E81">
      <w:pPr>
        <w:spacing w:line="360" w:lineRule="auto"/>
        <w:jc w:val="center"/>
        <w:rPr>
          <w:rFonts w:hint="eastAsia" w:ascii="宋体" w:hAnsi="宋体" w:cs="宋体"/>
          <w:b/>
          <w:sz w:val="28"/>
          <w:szCs w:val="28"/>
          <w:highlight w:val="none"/>
        </w:rPr>
      </w:pPr>
      <w:r>
        <w:rPr>
          <w:highlight w:val="none"/>
        </w:rPr>
        <w:drawing>
          <wp:anchor distT="0" distB="0" distL="114300" distR="114300" simplePos="0" relativeHeight="251662336" behindDoc="1" locked="0" layoutInCell="1" allowOverlap="1">
            <wp:simplePos x="0" y="0"/>
            <wp:positionH relativeFrom="column">
              <wp:posOffset>1829435</wp:posOffset>
            </wp:positionH>
            <wp:positionV relativeFrom="paragraph">
              <wp:posOffset>245745</wp:posOffset>
            </wp:positionV>
            <wp:extent cx="1685925" cy="2352675"/>
            <wp:effectExtent l="0" t="0" r="9525" b="9525"/>
            <wp:wrapNone/>
            <wp:docPr id="13"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说明: 图片1"/>
                    <pic:cNvPicPr>
                      <a:picLocks noChangeAspect="1"/>
                    </pic:cNvPicPr>
                  </pic:nvPicPr>
                  <pic:blipFill>
                    <a:blip r:embed="rId14">
                      <a:clrChange>
                        <a:clrFrom>
                          <a:srgbClr val="FEFEFC"/>
                        </a:clrFrom>
                        <a:clrTo>
                          <a:srgbClr val="FEFEFC">
                            <a:alpha val="0"/>
                          </a:srgbClr>
                        </a:clrTo>
                      </a:clrChange>
                    </a:blip>
                    <a:stretch>
                      <a:fillRect/>
                    </a:stretch>
                  </pic:blipFill>
                  <pic:spPr>
                    <a:xfrm>
                      <a:off x="0" y="0"/>
                      <a:ext cx="1685925" cy="2352675"/>
                    </a:xfrm>
                    <a:prstGeom prst="rect">
                      <a:avLst/>
                    </a:prstGeom>
                    <a:noFill/>
                    <a:ln>
                      <a:noFill/>
                    </a:ln>
                  </pic:spPr>
                </pic:pic>
              </a:graphicData>
            </a:graphic>
          </wp:anchor>
        </w:drawing>
      </w:r>
    </w:p>
    <w:p w14:paraId="0A573421">
      <w:pPr>
        <w:spacing w:line="360" w:lineRule="auto"/>
        <w:jc w:val="center"/>
        <w:rPr>
          <w:rFonts w:hint="eastAsia" w:ascii="宋体" w:hAnsi="宋体" w:cs="宋体"/>
          <w:b/>
          <w:sz w:val="28"/>
          <w:szCs w:val="28"/>
          <w:highlight w:val="none"/>
        </w:rPr>
      </w:pPr>
    </w:p>
    <w:p w14:paraId="2F6CBB18">
      <w:pPr>
        <w:spacing w:line="360" w:lineRule="auto"/>
        <w:jc w:val="center"/>
        <w:rPr>
          <w:rFonts w:hint="eastAsia" w:ascii="宋体" w:hAnsi="宋体" w:cs="宋体"/>
          <w:b/>
          <w:sz w:val="28"/>
          <w:szCs w:val="28"/>
          <w:highlight w:val="none"/>
        </w:rPr>
      </w:pPr>
    </w:p>
    <w:p w14:paraId="5DB9B7DA">
      <w:pPr>
        <w:spacing w:line="360" w:lineRule="auto"/>
        <w:jc w:val="center"/>
        <w:rPr>
          <w:rFonts w:hint="eastAsia" w:ascii="宋体" w:hAnsi="宋体" w:cs="宋体"/>
          <w:b/>
          <w:sz w:val="28"/>
          <w:szCs w:val="28"/>
          <w:highlight w:val="none"/>
        </w:rPr>
      </w:pPr>
    </w:p>
    <w:p w14:paraId="6A9A5699">
      <w:pPr>
        <w:spacing w:line="360" w:lineRule="auto"/>
        <w:jc w:val="center"/>
        <w:rPr>
          <w:rFonts w:hint="eastAsia" w:ascii="宋体" w:hAnsi="宋体" w:cs="宋体"/>
          <w:b/>
          <w:sz w:val="28"/>
          <w:szCs w:val="28"/>
          <w:highlight w:val="none"/>
        </w:rPr>
      </w:pPr>
    </w:p>
    <w:p w14:paraId="7DDEE88A">
      <w:pPr>
        <w:spacing w:line="360" w:lineRule="auto"/>
        <w:rPr>
          <w:rFonts w:hint="eastAsia" w:ascii="宋体" w:hAnsi="宋体" w:cs="宋体"/>
          <w:b/>
          <w:sz w:val="28"/>
          <w:szCs w:val="28"/>
          <w:highlight w:val="none"/>
        </w:rPr>
      </w:pPr>
    </w:p>
    <w:p w14:paraId="2491A3A2">
      <w:pPr>
        <w:pStyle w:val="4"/>
        <w:spacing w:after="120"/>
        <w:ind w:firstLine="560"/>
        <w:rPr>
          <w:rFonts w:hint="eastAsia" w:ascii="宋体" w:hAnsi="宋体" w:cs="宋体"/>
          <w:b/>
          <w:sz w:val="28"/>
          <w:szCs w:val="28"/>
          <w:highlight w:val="none"/>
        </w:rPr>
      </w:pPr>
    </w:p>
    <w:p w14:paraId="3C3CC732">
      <w:pPr>
        <w:pStyle w:val="4"/>
        <w:spacing w:after="120"/>
        <w:ind w:firstLine="560"/>
        <w:rPr>
          <w:rFonts w:hint="eastAsia" w:ascii="宋体" w:hAnsi="宋体" w:cs="宋体"/>
          <w:b/>
          <w:sz w:val="28"/>
          <w:szCs w:val="28"/>
          <w:highlight w:val="none"/>
        </w:rPr>
      </w:pPr>
    </w:p>
    <w:p w14:paraId="46389760">
      <w:pPr>
        <w:spacing w:line="360" w:lineRule="auto"/>
        <w:rPr>
          <w:rFonts w:hint="eastAsia" w:ascii="仿宋_GB2312" w:hAnsi="仿宋_GB2312" w:eastAsia="仿宋_GB2312" w:cs="仿宋_GB2312"/>
          <w:b/>
          <w:bCs/>
          <w:sz w:val="28"/>
          <w:szCs w:val="28"/>
          <w:highlight w:val="none"/>
        </w:rPr>
      </w:pPr>
    </w:p>
    <w:bookmarkEnd w:id="0"/>
    <w:p w14:paraId="6C23A827">
      <w:pPr>
        <w:spacing w:line="360" w:lineRule="auto"/>
        <w:ind w:firstLine="562" w:firstLineChars="200"/>
        <w:rPr>
          <w:rFonts w:hint="eastAsia" w:ascii="仿宋_GB2312" w:hAnsi="仿宋_GB2312" w:eastAsia="仿宋_GB2312" w:cs="仿宋_GB2312"/>
          <w:sz w:val="28"/>
          <w:szCs w:val="28"/>
          <w:highlight w:val="none"/>
        </w:rPr>
      </w:pPr>
      <w:permStart w:id="3" w:edGrp="everyone"/>
      <w:r>
        <w:rPr>
          <w:rFonts w:hint="eastAsia" w:ascii="仿宋_GB2312" w:hAnsi="仿宋_GB2312" w:eastAsia="仿宋_GB2312" w:cs="仿宋_GB2312"/>
          <w:b/>
          <w:bCs/>
          <w:sz w:val="28"/>
          <w:szCs w:val="28"/>
          <w:highlight w:val="none"/>
        </w:rPr>
        <w:t>项目名称：</w:t>
      </w:r>
      <w:r>
        <w:rPr>
          <w:rFonts w:hint="eastAsia" w:ascii="仿宋_GB2312" w:hAnsi="仿宋_GB2312" w:eastAsia="仿宋_GB2312" w:cs="仿宋_GB2312"/>
          <w:b/>
          <w:color w:val="000000"/>
          <w:sz w:val="28"/>
          <w:szCs w:val="28"/>
          <w:highlight w:val="none"/>
        </w:rPr>
        <w:t>【                                  】</w:t>
      </w:r>
    </w:p>
    <w:p w14:paraId="2283965A">
      <w:pPr>
        <w:spacing w:line="360" w:lineRule="auto"/>
        <w:ind w:firstLine="562" w:firstLineChars="200"/>
        <w:jc w:val="both"/>
        <w:rPr>
          <w:rFonts w:hint="eastAsia" w:ascii="仿宋_GB2312" w:hAnsi="仿宋_GB2312" w:eastAsia="仿宋_GB2312" w:cs="仿宋_GB2312"/>
          <w:b/>
          <w:color w:val="000000"/>
          <w:sz w:val="28"/>
          <w:szCs w:val="28"/>
          <w:highlight w:val="none"/>
        </w:rPr>
      </w:pPr>
      <w:r>
        <w:rPr>
          <w:rFonts w:hint="eastAsia" w:ascii="仿宋_GB2312" w:hAnsi="仿宋_GB2312" w:eastAsia="仿宋_GB2312" w:cs="仿宋_GB2312"/>
          <w:b/>
          <w:bCs/>
          <w:sz w:val="28"/>
          <w:szCs w:val="28"/>
          <w:highlight w:val="none"/>
        </w:rPr>
        <w:t>甲    方：</w:t>
      </w:r>
      <w:r>
        <w:rPr>
          <w:rFonts w:hint="eastAsia" w:ascii="仿宋_GB2312" w:hAnsi="仿宋_GB2312" w:eastAsia="仿宋_GB2312" w:cs="仿宋_GB2312"/>
          <w:b/>
          <w:color w:val="000000"/>
          <w:sz w:val="28"/>
          <w:szCs w:val="28"/>
          <w:highlight w:val="none"/>
        </w:rPr>
        <w:t xml:space="preserve">【  </w:t>
      </w:r>
      <w:r>
        <w:rPr>
          <w:rFonts w:hint="eastAsia" w:ascii="仿宋_GB2312" w:hAnsi="仿宋_GB2312" w:eastAsia="仿宋_GB2312" w:cs="仿宋_GB2312"/>
          <w:b/>
          <w:color w:val="000000"/>
          <w:sz w:val="28"/>
          <w:szCs w:val="28"/>
          <w:highlight w:val="none"/>
          <w:lang w:val="en-US" w:eastAsia="zh-CN"/>
        </w:rPr>
        <w:t xml:space="preserve">     </w:t>
      </w:r>
      <w:r>
        <w:rPr>
          <w:rFonts w:hint="eastAsia" w:ascii="仿宋_GB2312" w:hAnsi="仿宋_GB2312" w:eastAsia="仿宋_GB2312" w:cs="仿宋_GB2312"/>
          <w:b/>
          <w:bCs/>
          <w:sz w:val="28"/>
          <w:szCs w:val="28"/>
          <w:highlight w:val="none"/>
        </w:rPr>
        <w:t xml:space="preserve">中建路桥集团有限公司 </w:t>
      </w:r>
      <w:r>
        <w:rPr>
          <w:rFonts w:hint="eastAsia" w:ascii="仿宋_GB2312" w:hAnsi="仿宋_GB2312" w:eastAsia="仿宋_GB2312" w:cs="仿宋_GB2312"/>
          <w:b/>
          <w:color w:val="000000"/>
          <w:sz w:val="28"/>
          <w:szCs w:val="28"/>
          <w:highlight w:val="none"/>
          <w:u w:val="none"/>
        </w:rPr>
        <w:t xml:space="preserve"> </w:t>
      </w:r>
      <w:r>
        <w:rPr>
          <w:rFonts w:hint="eastAsia" w:ascii="仿宋_GB2312" w:hAnsi="仿宋_GB2312" w:eastAsia="仿宋_GB2312" w:cs="仿宋_GB2312"/>
          <w:b/>
          <w:color w:val="000000"/>
          <w:sz w:val="28"/>
          <w:szCs w:val="28"/>
          <w:highlight w:val="none"/>
          <w:lang w:val="en-US" w:eastAsia="zh-CN"/>
        </w:rPr>
        <w:t xml:space="preserve"> </w:t>
      </w:r>
      <w:r>
        <w:rPr>
          <w:rFonts w:hint="eastAsia" w:ascii="仿宋_GB2312" w:hAnsi="仿宋_GB2312" w:eastAsia="仿宋_GB2312" w:cs="仿宋_GB2312"/>
          <w:b/>
          <w:color w:val="000000"/>
          <w:sz w:val="28"/>
          <w:szCs w:val="28"/>
          <w:highlight w:val="none"/>
        </w:rPr>
        <w:t xml:space="preserve">    】</w:t>
      </w:r>
    </w:p>
    <w:p w14:paraId="2446C57E">
      <w:pPr>
        <w:spacing w:line="360" w:lineRule="auto"/>
        <w:ind w:firstLine="562" w:firstLineChars="200"/>
        <w:rPr>
          <w:rFonts w:hint="eastAsia" w:ascii="仿宋_GB2312" w:hAnsi="仿宋_GB2312" w:eastAsia="仿宋_GB2312" w:cs="仿宋_GB2312"/>
          <w:b/>
          <w:color w:val="000000"/>
          <w:sz w:val="28"/>
          <w:szCs w:val="28"/>
          <w:highlight w:val="none"/>
        </w:rPr>
      </w:pPr>
      <w:r>
        <w:rPr>
          <w:rFonts w:hint="eastAsia" w:ascii="仿宋_GB2312" w:hAnsi="仿宋_GB2312" w:eastAsia="仿宋_GB2312" w:cs="仿宋_GB2312"/>
          <w:b/>
          <w:bCs/>
          <w:sz w:val="28"/>
          <w:szCs w:val="28"/>
          <w:highlight w:val="none"/>
        </w:rPr>
        <w:t>乙    方：</w:t>
      </w:r>
      <w:r>
        <w:rPr>
          <w:rFonts w:hint="eastAsia" w:ascii="仿宋_GB2312" w:hAnsi="仿宋_GB2312" w:eastAsia="仿宋_GB2312" w:cs="仿宋_GB2312"/>
          <w:b/>
          <w:color w:val="000000"/>
          <w:sz w:val="28"/>
          <w:szCs w:val="28"/>
          <w:highlight w:val="none"/>
        </w:rPr>
        <w:t>【                                  】</w:t>
      </w:r>
    </w:p>
    <w:p w14:paraId="79D1C505">
      <w:pPr>
        <w:spacing w:line="360" w:lineRule="auto"/>
        <w:ind w:firstLine="562"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签订时间：</w:t>
      </w:r>
      <w:r>
        <w:rPr>
          <w:rFonts w:hint="eastAsia" w:ascii="仿宋_GB2312" w:hAnsi="仿宋_GB2312" w:eastAsia="仿宋_GB2312" w:cs="仿宋_GB2312"/>
          <w:b/>
          <w:color w:val="000000"/>
          <w:sz w:val="28"/>
          <w:szCs w:val="28"/>
          <w:highlight w:val="none"/>
        </w:rPr>
        <w:t xml:space="preserve">【            </w:t>
      </w:r>
      <w:r>
        <w:rPr>
          <w:rFonts w:hint="eastAsia" w:ascii="仿宋_GB2312" w:hAnsi="仿宋_GB2312" w:eastAsia="仿宋_GB2312" w:cs="仿宋_GB2312"/>
          <w:b/>
          <w:bCs/>
          <w:sz w:val="28"/>
          <w:szCs w:val="28"/>
          <w:highlight w:val="none"/>
        </w:rPr>
        <w:t xml:space="preserve"> </w:t>
      </w:r>
      <w:r>
        <w:rPr>
          <w:rFonts w:hint="eastAsia" w:ascii="仿宋_GB2312" w:hAnsi="仿宋_GB2312" w:eastAsia="仿宋_GB2312" w:cs="仿宋_GB2312"/>
          <w:b/>
          <w:color w:val="000000"/>
          <w:sz w:val="28"/>
          <w:szCs w:val="28"/>
          <w:highlight w:val="none"/>
        </w:rPr>
        <w:t xml:space="preserve"> </w:t>
      </w:r>
      <w:r>
        <w:rPr>
          <w:rFonts w:hint="eastAsia" w:ascii="仿宋_GB2312" w:hAnsi="仿宋_GB2312" w:eastAsia="仿宋_GB2312" w:cs="仿宋_GB2312"/>
          <w:b/>
          <w:color w:val="000000"/>
          <w:sz w:val="28"/>
          <w:szCs w:val="28"/>
          <w:highlight w:val="none"/>
          <w:lang w:val="en-US" w:eastAsia="zh-CN"/>
        </w:rPr>
        <w:t xml:space="preserve">              </w:t>
      </w:r>
      <w:r>
        <w:rPr>
          <w:rFonts w:hint="eastAsia" w:ascii="仿宋_GB2312" w:hAnsi="仿宋_GB2312" w:eastAsia="仿宋_GB2312" w:cs="仿宋_GB2312"/>
          <w:b/>
          <w:color w:val="000000"/>
          <w:sz w:val="28"/>
          <w:szCs w:val="28"/>
          <w:highlight w:val="none"/>
        </w:rPr>
        <w:t xml:space="preserve">      】</w:t>
      </w:r>
    </w:p>
    <w:p w14:paraId="2DDD8647">
      <w:pPr>
        <w:spacing w:line="360" w:lineRule="auto"/>
        <w:ind w:firstLine="562" w:firstLineChars="200"/>
        <w:rPr>
          <w:rFonts w:hint="eastAsia" w:ascii="仿宋_GB2312" w:hAnsi="仿宋_GB2312" w:eastAsia="仿宋_GB2312" w:cs="仿宋_GB2312"/>
          <w:b/>
          <w:color w:val="000000"/>
          <w:sz w:val="28"/>
          <w:szCs w:val="28"/>
          <w:highlight w:val="none"/>
        </w:rPr>
      </w:pPr>
      <w:r>
        <w:rPr>
          <w:rFonts w:hint="eastAsia" w:ascii="仿宋_GB2312" w:hAnsi="仿宋_GB2312" w:eastAsia="仿宋_GB2312" w:cs="仿宋_GB2312"/>
          <w:b/>
          <w:bCs/>
          <w:sz w:val="28"/>
          <w:szCs w:val="28"/>
          <w:highlight w:val="none"/>
        </w:rPr>
        <w:t>签订地点：</w:t>
      </w:r>
      <w:r>
        <w:rPr>
          <w:rFonts w:hint="eastAsia" w:ascii="仿宋_GB2312" w:hAnsi="仿宋_GB2312" w:eastAsia="仿宋_GB2312" w:cs="仿宋_GB2312"/>
          <w:b/>
          <w:color w:val="000000"/>
          <w:sz w:val="28"/>
          <w:szCs w:val="28"/>
          <w:highlight w:val="none"/>
        </w:rPr>
        <w:t>【</w:t>
      </w:r>
      <w:r>
        <w:rPr>
          <w:rFonts w:hint="eastAsia" w:ascii="仿宋_GB2312" w:hAnsi="仿宋_GB2312" w:eastAsia="仿宋_GB2312" w:cs="仿宋_GB2312"/>
          <w:b/>
          <w:color w:val="000000"/>
          <w:sz w:val="28"/>
          <w:szCs w:val="28"/>
          <w:highlight w:val="none"/>
          <w:lang w:val="en-US" w:eastAsia="zh-CN"/>
        </w:rPr>
        <w:t xml:space="preserve">          石家庄市桥西区       </w:t>
      </w:r>
      <w:r>
        <w:rPr>
          <w:rFonts w:hint="eastAsia" w:ascii="仿宋_GB2312" w:hAnsi="仿宋_GB2312" w:eastAsia="仿宋_GB2312" w:cs="仿宋_GB2312"/>
          <w:b/>
          <w:color w:val="000000"/>
          <w:sz w:val="28"/>
          <w:szCs w:val="28"/>
          <w:highlight w:val="none"/>
        </w:rPr>
        <w:t xml:space="preserve">   】</w:t>
      </w:r>
    </w:p>
    <w:p w14:paraId="41C7C6C6">
      <w:pPr>
        <w:spacing w:line="480" w:lineRule="auto"/>
        <w:ind w:firstLine="1120" w:firstLineChars="400"/>
        <w:jc w:val="left"/>
        <w:textAlignment w:val="baseline"/>
        <w:rPr>
          <w:rFonts w:ascii="仿宋_GB2312" w:hAnsi="仿宋" w:eastAsia="仿宋_GB2312" w:cs="仿宋"/>
          <w:bCs/>
          <w:color w:val="000000" w:themeColor="text1"/>
          <w:sz w:val="32"/>
          <w:szCs w:val="24"/>
          <w:highlight w:val="none"/>
          <w:u w:val="single"/>
          <w14:textFill>
            <w14:solidFill>
              <w14:schemeClr w14:val="tx1"/>
            </w14:solidFill>
          </w14:textFill>
        </w:rPr>
        <w:sectPr>
          <w:headerReference r:id="rId4" w:type="first"/>
          <w:footerReference r:id="rId6" w:type="first"/>
          <w:headerReference r:id="rId3" w:type="default"/>
          <w:footerReference r:id="rId5" w:type="default"/>
          <w:pgSz w:w="11906" w:h="16838"/>
          <w:pgMar w:top="1440" w:right="1800" w:bottom="1440" w:left="1800" w:header="850" w:footer="975" w:gutter="0"/>
          <w:pgNumType w:start="1"/>
          <w:cols w:space="0" w:num="1"/>
          <w:titlePg/>
          <w:docGrid w:linePitch="312" w:charSpace="0"/>
        </w:sectPr>
      </w:pPr>
      <w:r>
        <w:rPr>
          <w:rFonts w:hint="eastAsia" w:ascii="仿宋_GB2312" w:hAnsi="仿宋_GB2312" w:eastAsia="仿宋_GB2312" w:cs="仿宋_GB2312"/>
          <w:color w:val="FFFFFF" w:themeColor="background1"/>
          <w:sz w:val="28"/>
          <w:szCs w:val="28"/>
          <w:highlight w:val="none"/>
          <w14:textFill>
            <w14:solidFill>
              <w14:schemeClr w14:val="bg1"/>
            </w14:solidFill>
          </w14:textFill>
        </w:rPr>
        <w:t>（条款说明：上述内容可根据实际情况进行增减）</w:t>
      </w:r>
    </w:p>
    <w:permEnd w:id="3"/>
    <w:sdt>
      <w:sdtPr>
        <w:rPr>
          <w:rFonts w:asciiTheme="minorHAnsi" w:hAnsiTheme="minorHAnsi" w:eastAsiaTheme="minorEastAsia" w:cstheme="minorBidi"/>
          <w:szCs w:val="22"/>
          <w:highlight w:val="none"/>
        </w:rPr>
        <w:id w:val="147479450"/>
        <w15:color w:val="DBDBDB"/>
        <w:docPartObj>
          <w:docPartGallery w:val="Table of Contents"/>
          <w:docPartUnique/>
        </w:docPartObj>
      </w:sdtPr>
      <w:sdtEndPr>
        <w:rPr>
          <w:rFonts w:ascii="仿宋" w:hAnsi="仿宋" w:eastAsia="仿宋" w:cs="仿宋"/>
          <w:color w:val="000000" w:themeColor="text1"/>
          <w:szCs w:val="22"/>
          <w:highlight w:val="none"/>
          <w14:textFill>
            <w14:solidFill>
              <w14:schemeClr w14:val="tx1"/>
            </w14:solidFill>
          </w14:textFill>
        </w:rPr>
      </w:sdtEndPr>
      <w:sdtContent>
        <w:p w14:paraId="03F68A4F">
          <w:pPr>
            <w:pStyle w:val="4"/>
            <w:rPr>
              <w:highlight w:val="none"/>
            </w:rPr>
          </w:pPr>
        </w:p>
        <w:p w14:paraId="48D61705">
          <w:pPr>
            <w:jc w:val="center"/>
            <w:rPr>
              <w:rFonts w:ascii="黑体" w:hAnsi="黑体" w:eastAsia="黑体" w:cs="黑体"/>
              <w:b/>
              <w:bCs/>
              <w:color w:val="000000" w:themeColor="text1"/>
              <w:sz w:val="36"/>
              <w:szCs w:val="36"/>
              <w:highlight w:val="none"/>
              <w14:textFill>
                <w14:solidFill>
                  <w14:schemeClr w14:val="tx1"/>
                </w14:solidFill>
              </w14:textFill>
            </w:rPr>
          </w:pPr>
          <w:permStart w:id="4" w:edGrp="everyone"/>
          <w:r>
            <w:rPr>
              <w:rFonts w:hint="eastAsia" w:ascii="黑体" w:hAnsi="黑体" w:eastAsia="黑体" w:cs="黑体"/>
              <w:b/>
              <w:bCs/>
              <w:color w:val="000000" w:themeColor="text1"/>
              <w:sz w:val="36"/>
              <w:szCs w:val="36"/>
              <w:highlight w:val="none"/>
              <w14:textFill>
                <w14:solidFill>
                  <w14:schemeClr w14:val="tx1"/>
                </w14:solidFill>
              </w14:textFill>
            </w:rPr>
            <w:t>目</w:t>
          </w:r>
          <w:r>
            <w:rPr>
              <w:rFonts w:ascii="黑体" w:hAnsi="黑体" w:eastAsia="黑体" w:cs="黑体"/>
              <w:b/>
              <w:bCs/>
              <w:color w:val="000000" w:themeColor="text1"/>
              <w:sz w:val="36"/>
              <w:szCs w:val="36"/>
              <w:highlight w:val="none"/>
              <w14:textFill>
                <w14:solidFill>
                  <w14:schemeClr w14:val="tx1"/>
                </w14:solidFill>
              </w14:textFill>
            </w:rPr>
            <w:t xml:space="preserve">  </w:t>
          </w:r>
          <w:r>
            <w:rPr>
              <w:rFonts w:hint="eastAsia" w:ascii="黑体" w:hAnsi="黑体" w:eastAsia="黑体" w:cs="黑体"/>
              <w:b/>
              <w:bCs/>
              <w:color w:val="000000" w:themeColor="text1"/>
              <w:sz w:val="36"/>
              <w:szCs w:val="36"/>
              <w:highlight w:val="none"/>
              <w14:textFill>
                <w14:solidFill>
                  <w14:schemeClr w14:val="tx1"/>
                </w14:solidFill>
              </w14:textFill>
            </w:rPr>
            <w:t>录</w:t>
          </w:r>
        </w:p>
        <w:p w14:paraId="7052BA17">
          <w:pPr>
            <w:pStyle w:val="4"/>
            <w:rPr>
              <w:highlight w:val="none"/>
            </w:rPr>
          </w:pPr>
        </w:p>
        <w:p w14:paraId="28E2A186">
          <w:pPr>
            <w:pStyle w:val="8"/>
            <w:tabs>
              <w:tab w:val="right" w:leader="dot" w:pos="8306"/>
            </w:tabs>
            <w:spacing w:line="312" w:lineRule="auto"/>
            <w:rPr>
              <w:highlight w:val="none"/>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TOC \o "1-1" \h \u </w:instrText>
          </w:r>
          <w:r>
            <w:rPr>
              <w:rFonts w:hint="eastAsia" w:ascii="仿宋" w:hAnsi="仿宋" w:eastAsia="仿宋" w:cs="仿宋"/>
              <w:color w:val="000000" w:themeColor="text1"/>
              <w:highlight w:val="none"/>
              <w14:textFill>
                <w14:solidFill>
                  <w14:schemeClr w14:val="tx1"/>
                </w14:solidFill>
              </w14:textFill>
            </w:rPr>
            <w:fldChar w:fldCharType="separate"/>
          </w:r>
          <w:r>
            <w:rPr>
              <w:highlight w:val="none"/>
            </w:rPr>
            <w:fldChar w:fldCharType="begin"/>
          </w:r>
          <w:r>
            <w:rPr>
              <w:highlight w:val="none"/>
            </w:rPr>
            <w:instrText xml:space="preserve"> HYPERLINK \l "_Toc5953" </w:instrText>
          </w:r>
          <w:r>
            <w:rPr>
              <w:highlight w:val="none"/>
            </w:rPr>
            <w:fldChar w:fldCharType="separate"/>
          </w:r>
          <w:r>
            <w:rPr>
              <w:rFonts w:hint="eastAsia" w:ascii="黑体" w:hAnsi="黑体" w:eastAsia="黑体" w:cs="黑体"/>
              <w:bCs/>
              <w:sz w:val="30"/>
              <w:szCs w:val="30"/>
              <w:highlight w:val="none"/>
            </w:rPr>
            <w:t>第一部分 专用条款</w:t>
          </w:r>
          <w:r>
            <w:rPr>
              <w:highlight w:val="none"/>
            </w:rPr>
            <w:tab/>
          </w:r>
          <w:r>
            <w:rPr>
              <w:highlight w:val="none"/>
            </w:rPr>
            <w:fldChar w:fldCharType="begin"/>
          </w:r>
          <w:r>
            <w:rPr>
              <w:highlight w:val="none"/>
            </w:rPr>
            <w:instrText xml:space="preserve"> PAGEREF _Toc5953 \h </w:instrText>
          </w:r>
          <w:r>
            <w:rPr>
              <w:highlight w:val="none"/>
            </w:rPr>
            <w:fldChar w:fldCharType="separate"/>
          </w:r>
          <w:r>
            <w:rPr>
              <w:highlight w:val="none"/>
            </w:rPr>
            <w:t>1</w:t>
          </w:r>
          <w:r>
            <w:rPr>
              <w:highlight w:val="none"/>
            </w:rPr>
            <w:fldChar w:fldCharType="end"/>
          </w:r>
          <w:r>
            <w:rPr>
              <w:highlight w:val="none"/>
            </w:rPr>
            <w:fldChar w:fldCharType="end"/>
          </w:r>
        </w:p>
        <w:p w14:paraId="56AFCCED">
          <w:pPr>
            <w:pStyle w:val="8"/>
            <w:tabs>
              <w:tab w:val="right" w:leader="dot" w:pos="8306"/>
            </w:tabs>
            <w:spacing w:line="312" w:lineRule="auto"/>
            <w:rPr>
              <w:highlight w:val="none"/>
            </w:rPr>
          </w:pPr>
          <w:r>
            <w:rPr>
              <w:highlight w:val="none"/>
            </w:rPr>
            <w:fldChar w:fldCharType="begin"/>
          </w:r>
          <w:r>
            <w:rPr>
              <w:highlight w:val="none"/>
            </w:rPr>
            <w:instrText xml:space="preserve"> HYPERLINK \l "_Toc640" </w:instrText>
          </w:r>
          <w:r>
            <w:rPr>
              <w:highlight w:val="none"/>
            </w:rPr>
            <w:fldChar w:fldCharType="separate"/>
          </w:r>
          <w:r>
            <w:rPr>
              <w:rFonts w:hint="eastAsia" w:ascii="仿宋_GB2312" w:hAnsi="仿宋_GB2312" w:eastAsia="仿宋_GB2312" w:cs="仿宋_GB2312"/>
              <w:kern w:val="0"/>
              <w:sz w:val="28"/>
              <w:szCs w:val="28"/>
              <w:highlight w:val="none"/>
            </w:rPr>
            <w:t>一、工程概况</w:t>
          </w:r>
          <w:r>
            <w:rPr>
              <w:highlight w:val="none"/>
            </w:rPr>
            <w:tab/>
          </w:r>
          <w:r>
            <w:rPr>
              <w:highlight w:val="none"/>
            </w:rPr>
            <w:fldChar w:fldCharType="begin"/>
          </w:r>
          <w:r>
            <w:rPr>
              <w:highlight w:val="none"/>
            </w:rPr>
            <w:instrText xml:space="preserve"> PAGEREF _Toc640 \h </w:instrText>
          </w:r>
          <w:r>
            <w:rPr>
              <w:highlight w:val="none"/>
            </w:rPr>
            <w:fldChar w:fldCharType="separate"/>
          </w:r>
          <w:r>
            <w:rPr>
              <w:highlight w:val="none"/>
            </w:rPr>
            <w:t>1</w:t>
          </w:r>
          <w:r>
            <w:rPr>
              <w:highlight w:val="none"/>
            </w:rPr>
            <w:fldChar w:fldCharType="end"/>
          </w:r>
          <w:r>
            <w:rPr>
              <w:highlight w:val="none"/>
            </w:rPr>
            <w:fldChar w:fldCharType="end"/>
          </w:r>
        </w:p>
        <w:p w14:paraId="20F260C1">
          <w:pPr>
            <w:pStyle w:val="8"/>
            <w:tabs>
              <w:tab w:val="right" w:leader="dot" w:pos="8306"/>
            </w:tabs>
            <w:spacing w:line="312" w:lineRule="auto"/>
            <w:rPr>
              <w:highlight w:val="none"/>
            </w:rPr>
          </w:pPr>
          <w:r>
            <w:rPr>
              <w:highlight w:val="none"/>
            </w:rPr>
            <w:fldChar w:fldCharType="begin"/>
          </w:r>
          <w:r>
            <w:rPr>
              <w:highlight w:val="none"/>
            </w:rPr>
            <w:instrText xml:space="preserve"> HYPERLINK \l "_Toc6010" </w:instrText>
          </w:r>
          <w:r>
            <w:rPr>
              <w:highlight w:val="none"/>
            </w:rPr>
            <w:fldChar w:fldCharType="separate"/>
          </w:r>
          <w:r>
            <w:rPr>
              <w:rFonts w:hint="eastAsia" w:ascii="仿宋_GB2312" w:hAnsi="仿宋_GB2312" w:eastAsia="仿宋_GB2312" w:cs="仿宋_GB2312"/>
              <w:kern w:val="0"/>
              <w:sz w:val="28"/>
              <w:szCs w:val="28"/>
              <w:highlight w:val="none"/>
            </w:rPr>
            <w:t>二、货物清单</w:t>
          </w:r>
          <w:r>
            <w:rPr>
              <w:highlight w:val="none"/>
            </w:rPr>
            <w:tab/>
          </w:r>
          <w:r>
            <w:rPr>
              <w:highlight w:val="none"/>
            </w:rPr>
            <w:fldChar w:fldCharType="begin"/>
          </w:r>
          <w:r>
            <w:rPr>
              <w:highlight w:val="none"/>
            </w:rPr>
            <w:instrText xml:space="preserve"> PAGEREF _Toc6010 \h </w:instrText>
          </w:r>
          <w:r>
            <w:rPr>
              <w:highlight w:val="none"/>
            </w:rPr>
            <w:fldChar w:fldCharType="separate"/>
          </w:r>
          <w:r>
            <w:rPr>
              <w:highlight w:val="none"/>
            </w:rPr>
            <w:t>1</w:t>
          </w:r>
          <w:r>
            <w:rPr>
              <w:highlight w:val="none"/>
            </w:rPr>
            <w:fldChar w:fldCharType="end"/>
          </w:r>
          <w:r>
            <w:rPr>
              <w:highlight w:val="none"/>
            </w:rPr>
            <w:fldChar w:fldCharType="end"/>
          </w:r>
        </w:p>
        <w:p w14:paraId="7FD2BD9B">
          <w:pPr>
            <w:pStyle w:val="8"/>
            <w:tabs>
              <w:tab w:val="right" w:leader="dot" w:pos="8306"/>
            </w:tabs>
            <w:spacing w:line="312" w:lineRule="auto"/>
            <w:rPr>
              <w:highlight w:val="none"/>
            </w:rPr>
          </w:pPr>
          <w:r>
            <w:rPr>
              <w:highlight w:val="none"/>
            </w:rPr>
            <w:fldChar w:fldCharType="begin"/>
          </w:r>
          <w:r>
            <w:rPr>
              <w:highlight w:val="none"/>
            </w:rPr>
            <w:instrText xml:space="preserve"> HYPERLINK \l "_Toc23444" </w:instrText>
          </w:r>
          <w:r>
            <w:rPr>
              <w:highlight w:val="none"/>
            </w:rPr>
            <w:fldChar w:fldCharType="separate"/>
          </w:r>
          <w:r>
            <w:rPr>
              <w:rFonts w:hint="eastAsia" w:ascii="仿宋_GB2312" w:hAnsi="仿宋_GB2312" w:eastAsia="仿宋_GB2312" w:cs="仿宋_GB2312"/>
              <w:kern w:val="0"/>
              <w:sz w:val="28"/>
              <w:szCs w:val="28"/>
              <w:highlight w:val="none"/>
            </w:rPr>
            <w:t>三、货物供应</w:t>
          </w:r>
          <w:r>
            <w:rPr>
              <w:highlight w:val="none"/>
            </w:rPr>
            <w:tab/>
          </w:r>
          <w:r>
            <w:rPr>
              <w:highlight w:val="none"/>
            </w:rPr>
            <w:fldChar w:fldCharType="begin"/>
          </w:r>
          <w:r>
            <w:rPr>
              <w:highlight w:val="none"/>
            </w:rPr>
            <w:instrText xml:space="preserve"> PAGEREF _Toc23444 \h </w:instrText>
          </w:r>
          <w:r>
            <w:rPr>
              <w:highlight w:val="none"/>
            </w:rPr>
            <w:fldChar w:fldCharType="separate"/>
          </w:r>
          <w:r>
            <w:rPr>
              <w:highlight w:val="none"/>
            </w:rPr>
            <w:t>2</w:t>
          </w:r>
          <w:r>
            <w:rPr>
              <w:highlight w:val="none"/>
            </w:rPr>
            <w:fldChar w:fldCharType="end"/>
          </w:r>
          <w:r>
            <w:rPr>
              <w:highlight w:val="none"/>
            </w:rPr>
            <w:fldChar w:fldCharType="end"/>
          </w:r>
        </w:p>
        <w:p w14:paraId="658A5717">
          <w:pPr>
            <w:pStyle w:val="8"/>
            <w:tabs>
              <w:tab w:val="right" w:leader="dot" w:pos="8306"/>
            </w:tabs>
            <w:spacing w:line="312" w:lineRule="auto"/>
            <w:rPr>
              <w:highlight w:val="none"/>
            </w:rPr>
          </w:pPr>
          <w:r>
            <w:rPr>
              <w:highlight w:val="none"/>
            </w:rPr>
            <w:fldChar w:fldCharType="begin"/>
          </w:r>
          <w:r>
            <w:rPr>
              <w:highlight w:val="none"/>
            </w:rPr>
            <w:instrText xml:space="preserve"> HYPERLINK \l "_Toc12447" </w:instrText>
          </w:r>
          <w:r>
            <w:rPr>
              <w:highlight w:val="none"/>
            </w:rPr>
            <w:fldChar w:fldCharType="separate"/>
          </w:r>
          <w:r>
            <w:rPr>
              <w:rFonts w:hint="eastAsia" w:ascii="仿宋_GB2312" w:hAnsi="仿宋_GB2312" w:eastAsia="仿宋_GB2312" w:cs="仿宋_GB2312"/>
              <w:kern w:val="0"/>
              <w:sz w:val="28"/>
              <w:szCs w:val="28"/>
              <w:highlight w:val="none"/>
            </w:rPr>
            <w:t>四、货物质量</w:t>
          </w:r>
          <w:r>
            <w:rPr>
              <w:highlight w:val="none"/>
            </w:rPr>
            <w:tab/>
          </w:r>
          <w:r>
            <w:rPr>
              <w:highlight w:val="none"/>
            </w:rPr>
            <w:fldChar w:fldCharType="begin"/>
          </w:r>
          <w:r>
            <w:rPr>
              <w:highlight w:val="none"/>
            </w:rPr>
            <w:instrText xml:space="preserve"> PAGEREF _Toc12447 \h </w:instrText>
          </w:r>
          <w:r>
            <w:rPr>
              <w:highlight w:val="none"/>
            </w:rPr>
            <w:fldChar w:fldCharType="separate"/>
          </w:r>
          <w:r>
            <w:rPr>
              <w:highlight w:val="none"/>
            </w:rPr>
            <w:t>4</w:t>
          </w:r>
          <w:r>
            <w:rPr>
              <w:highlight w:val="none"/>
            </w:rPr>
            <w:fldChar w:fldCharType="end"/>
          </w:r>
          <w:r>
            <w:rPr>
              <w:highlight w:val="none"/>
            </w:rPr>
            <w:fldChar w:fldCharType="end"/>
          </w:r>
        </w:p>
        <w:p w14:paraId="1563E5A1">
          <w:pPr>
            <w:pStyle w:val="8"/>
            <w:tabs>
              <w:tab w:val="right" w:leader="dot" w:pos="8306"/>
            </w:tabs>
            <w:spacing w:line="312" w:lineRule="auto"/>
            <w:rPr>
              <w:highlight w:val="none"/>
            </w:rPr>
          </w:pPr>
          <w:r>
            <w:rPr>
              <w:highlight w:val="none"/>
            </w:rPr>
            <w:fldChar w:fldCharType="begin"/>
          </w:r>
          <w:r>
            <w:rPr>
              <w:highlight w:val="none"/>
            </w:rPr>
            <w:instrText xml:space="preserve"> HYPERLINK \l "_Toc3621" </w:instrText>
          </w:r>
          <w:r>
            <w:rPr>
              <w:highlight w:val="none"/>
            </w:rPr>
            <w:fldChar w:fldCharType="separate"/>
          </w:r>
          <w:r>
            <w:rPr>
              <w:rFonts w:hint="eastAsia" w:ascii="仿宋_GB2312" w:hAnsi="仿宋_GB2312" w:eastAsia="仿宋_GB2312" w:cs="仿宋_GB2312"/>
              <w:kern w:val="0"/>
              <w:sz w:val="28"/>
              <w:szCs w:val="28"/>
              <w:highlight w:val="none"/>
            </w:rPr>
            <w:t>五、货物验收</w:t>
          </w:r>
          <w:r>
            <w:rPr>
              <w:highlight w:val="none"/>
            </w:rPr>
            <w:tab/>
          </w:r>
          <w:r>
            <w:rPr>
              <w:highlight w:val="none"/>
            </w:rPr>
            <w:fldChar w:fldCharType="begin"/>
          </w:r>
          <w:r>
            <w:rPr>
              <w:highlight w:val="none"/>
            </w:rPr>
            <w:instrText xml:space="preserve"> PAGEREF _Toc3621 \h </w:instrText>
          </w:r>
          <w:r>
            <w:rPr>
              <w:highlight w:val="none"/>
            </w:rPr>
            <w:fldChar w:fldCharType="separate"/>
          </w:r>
          <w:r>
            <w:rPr>
              <w:highlight w:val="none"/>
            </w:rPr>
            <w:t>5</w:t>
          </w:r>
          <w:r>
            <w:rPr>
              <w:highlight w:val="none"/>
            </w:rPr>
            <w:fldChar w:fldCharType="end"/>
          </w:r>
          <w:r>
            <w:rPr>
              <w:highlight w:val="none"/>
            </w:rPr>
            <w:fldChar w:fldCharType="end"/>
          </w:r>
        </w:p>
        <w:p w14:paraId="3ABE9CB6">
          <w:pPr>
            <w:pStyle w:val="8"/>
            <w:tabs>
              <w:tab w:val="right" w:leader="dot" w:pos="8306"/>
            </w:tabs>
            <w:spacing w:line="312" w:lineRule="auto"/>
            <w:rPr>
              <w:highlight w:val="none"/>
            </w:rPr>
          </w:pPr>
          <w:r>
            <w:rPr>
              <w:highlight w:val="none"/>
            </w:rPr>
            <w:fldChar w:fldCharType="begin"/>
          </w:r>
          <w:r>
            <w:rPr>
              <w:highlight w:val="none"/>
            </w:rPr>
            <w:instrText xml:space="preserve"> HYPERLINK \l "_Toc23953" </w:instrText>
          </w:r>
          <w:r>
            <w:rPr>
              <w:highlight w:val="none"/>
            </w:rPr>
            <w:fldChar w:fldCharType="separate"/>
          </w:r>
          <w:r>
            <w:rPr>
              <w:rFonts w:hint="eastAsia" w:ascii="仿宋_GB2312" w:hAnsi="仿宋_GB2312" w:eastAsia="仿宋_GB2312" w:cs="仿宋_GB2312"/>
              <w:kern w:val="0"/>
              <w:sz w:val="28"/>
              <w:szCs w:val="28"/>
              <w:highlight w:val="none"/>
            </w:rPr>
            <w:t>六、货物结算</w:t>
          </w:r>
          <w:r>
            <w:rPr>
              <w:highlight w:val="none"/>
            </w:rPr>
            <w:tab/>
          </w:r>
          <w:r>
            <w:rPr>
              <w:highlight w:val="none"/>
            </w:rPr>
            <w:fldChar w:fldCharType="begin"/>
          </w:r>
          <w:r>
            <w:rPr>
              <w:highlight w:val="none"/>
            </w:rPr>
            <w:instrText xml:space="preserve"> PAGEREF _Toc23953 \h </w:instrText>
          </w:r>
          <w:r>
            <w:rPr>
              <w:highlight w:val="none"/>
            </w:rPr>
            <w:fldChar w:fldCharType="separate"/>
          </w:r>
          <w:r>
            <w:rPr>
              <w:highlight w:val="none"/>
            </w:rPr>
            <w:t>6</w:t>
          </w:r>
          <w:r>
            <w:rPr>
              <w:highlight w:val="none"/>
            </w:rPr>
            <w:fldChar w:fldCharType="end"/>
          </w:r>
          <w:r>
            <w:rPr>
              <w:highlight w:val="none"/>
            </w:rPr>
            <w:fldChar w:fldCharType="end"/>
          </w:r>
        </w:p>
        <w:p w14:paraId="3A871502">
          <w:pPr>
            <w:pStyle w:val="8"/>
            <w:tabs>
              <w:tab w:val="right" w:leader="dot" w:pos="8306"/>
            </w:tabs>
            <w:spacing w:line="312" w:lineRule="auto"/>
            <w:rPr>
              <w:highlight w:val="none"/>
            </w:rPr>
          </w:pPr>
          <w:r>
            <w:rPr>
              <w:highlight w:val="none"/>
            </w:rPr>
            <w:fldChar w:fldCharType="begin"/>
          </w:r>
          <w:r>
            <w:rPr>
              <w:highlight w:val="none"/>
            </w:rPr>
            <w:instrText xml:space="preserve"> HYPERLINK \l "_Toc32138" </w:instrText>
          </w:r>
          <w:r>
            <w:rPr>
              <w:highlight w:val="none"/>
            </w:rPr>
            <w:fldChar w:fldCharType="separate"/>
          </w:r>
          <w:r>
            <w:rPr>
              <w:rFonts w:hint="eastAsia" w:ascii="仿宋_GB2312" w:hAnsi="仿宋_GB2312" w:eastAsia="仿宋_GB2312" w:cs="仿宋_GB2312"/>
              <w:kern w:val="0"/>
              <w:sz w:val="28"/>
              <w:szCs w:val="28"/>
              <w:highlight w:val="none"/>
            </w:rPr>
            <w:t>七、货物付款</w:t>
          </w:r>
          <w:r>
            <w:rPr>
              <w:highlight w:val="none"/>
            </w:rPr>
            <w:tab/>
          </w:r>
          <w:r>
            <w:rPr>
              <w:highlight w:val="none"/>
            </w:rPr>
            <w:fldChar w:fldCharType="begin"/>
          </w:r>
          <w:r>
            <w:rPr>
              <w:highlight w:val="none"/>
            </w:rPr>
            <w:instrText xml:space="preserve"> PAGEREF _Toc32138 \h </w:instrText>
          </w:r>
          <w:r>
            <w:rPr>
              <w:highlight w:val="none"/>
            </w:rPr>
            <w:fldChar w:fldCharType="separate"/>
          </w:r>
          <w:r>
            <w:rPr>
              <w:highlight w:val="none"/>
            </w:rPr>
            <w:t>8</w:t>
          </w:r>
          <w:r>
            <w:rPr>
              <w:highlight w:val="none"/>
            </w:rPr>
            <w:fldChar w:fldCharType="end"/>
          </w:r>
          <w:r>
            <w:rPr>
              <w:highlight w:val="none"/>
            </w:rPr>
            <w:fldChar w:fldCharType="end"/>
          </w:r>
        </w:p>
        <w:p w14:paraId="7ED59223">
          <w:pPr>
            <w:pStyle w:val="8"/>
            <w:tabs>
              <w:tab w:val="right" w:leader="dot" w:pos="8306"/>
            </w:tabs>
            <w:spacing w:line="312" w:lineRule="auto"/>
            <w:rPr>
              <w:highlight w:val="none"/>
            </w:rPr>
          </w:pPr>
          <w:r>
            <w:rPr>
              <w:highlight w:val="none"/>
            </w:rPr>
            <w:fldChar w:fldCharType="begin"/>
          </w:r>
          <w:r>
            <w:rPr>
              <w:highlight w:val="none"/>
            </w:rPr>
            <w:instrText xml:space="preserve"> HYPERLINK \l "_Toc24664" </w:instrText>
          </w:r>
          <w:r>
            <w:rPr>
              <w:highlight w:val="none"/>
            </w:rPr>
            <w:fldChar w:fldCharType="separate"/>
          </w:r>
          <w:r>
            <w:rPr>
              <w:rFonts w:hint="eastAsia" w:ascii="仿宋_GB2312" w:hAnsi="仿宋_GB2312" w:eastAsia="仿宋_GB2312" w:cs="仿宋_GB2312"/>
              <w:kern w:val="0"/>
              <w:sz w:val="28"/>
              <w:szCs w:val="28"/>
              <w:highlight w:val="none"/>
            </w:rPr>
            <w:t>八、通知与送达</w:t>
          </w:r>
          <w:r>
            <w:rPr>
              <w:highlight w:val="none"/>
            </w:rPr>
            <w:tab/>
          </w:r>
          <w:r>
            <w:rPr>
              <w:highlight w:val="none"/>
            </w:rPr>
            <w:fldChar w:fldCharType="begin"/>
          </w:r>
          <w:r>
            <w:rPr>
              <w:highlight w:val="none"/>
            </w:rPr>
            <w:instrText xml:space="preserve"> PAGEREF _Toc24664 \h </w:instrText>
          </w:r>
          <w:r>
            <w:rPr>
              <w:highlight w:val="none"/>
            </w:rPr>
            <w:fldChar w:fldCharType="separate"/>
          </w:r>
          <w:r>
            <w:rPr>
              <w:highlight w:val="none"/>
            </w:rPr>
            <w:t>10</w:t>
          </w:r>
          <w:r>
            <w:rPr>
              <w:highlight w:val="none"/>
            </w:rPr>
            <w:fldChar w:fldCharType="end"/>
          </w:r>
          <w:r>
            <w:rPr>
              <w:highlight w:val="none"/>
            </w:rPr>
            <w:fldChar w:fldCharType="end"/>
          </w:r>
        </w:p>
        <w:p w14:paraId="381B1BF0">
          <w:pPr>
            <w:pStyle w:val="8"/>
            <w:tabs>
              <w:tab w:val="right" w:leader="dot" w:pos="8306"/>
            </w:tabs>
            <w:spacing w:line="312" w:lineRule="auto"/>
            <w:rPr>
              <w:highlight w:val="none"/>
            </w:rPr>
          </w:pPr>
          <w:r>
            <w:rPr>
              <w:highlight w:val="none"/>
            </w:rPr>
            <w:fldChar w:fldCharType="begin"/>
          </w:r>
          <w:r>
            <w:rPr>
              <w:highlight w:val="none"/>
            </w:rPr>
            <w:instrText xml:space="preserve"> HYPERLINK \l "_Toc26478" </w:instrText>
          </w:r>
          <w:r>
            <w:rPr>
              <w:highlight w:val="none"/>
            </w:rPr>
            <w:fldChar w:fldCharType="separate"/>
          </w:r>
          <w:r>
            <w:rPr>
              <w:rFonts w:hint="eastAsia" w:ascii="仿宋_GB2312" w:hAnsi="仿宋_GB2312" w:eastAsia="仿宋_GB2312" w:cs="仿宋_GB2312"/>
              <w:kern w:val="0"/>
              <w:sz w:val="28"/>
              <w:szCs w:val="28"/>
              <w:highlight w:val="none"/>
            </w:rPr>
            <w:t>九、合同生效</w:t>
          </w:r>
          <w:r>
            <w:rPr>
              <w:highlight w:val="none"/>
            </w:rPr>
            <w:tab/>
          </w:r>
          <w:r>
            <w:rPr>
              <w:highlight w:val="none"/>
            </w:rPr>
            <w:fldChar w:fldCharType="begin"/>
          </w:r>
          <w:r>
            <w:rPr>
              <w:highlight w:val="none"/>
            </w:rPr>
            <w:instrText xml:space="preserve"> PAGEREF _Toc26478 \h </w:instrText>
          </w:r>
          <w:r>
            <w:rPr>
              <w:highlight w:val="none"/>
            </w:rPr>
            <w:fldChar w:fldCharType="separate"/>
          </w:r>
          <w:r>
            <w:rPr>
              <w:highlight w:val="none"/>
            </w:rPr>
            <w:t>11</w:t>
          </w:r>
          <w:r>
            <w:rPr>
              <w:highlight w:val="none"/>
            </w:rPr>
            <w:fldChar w:fldCharType="end"/>
          </w:r>
          <w:r>
            <w:rPr>
              <w:highlight w:val="none"/>
            </w:rPr>
            <w:fldChar w:fldCharType="end"/>
          </w:r>
        </w:p>
        <w:p w14:paraId="1894A767">
          <w:pPr>
            <w:pStyle w:val="8"/>
            <w:tabs>
              <w:tab w:val="right" w:leader="dot" w:pos="8306"/>
            </w:tabs>
            <w:spacing w:line="312" w:lineRule="auto"/>
            <w:rPr>
              <w:highlight w:val="none"/>
            </w:rPr>
          </w:pPr>
          <w:r>
            <w:rPr>
              <w:highlight w:val="none"/>
            </w:rPr>
            <w:fldChar w:fldCharType="begin"/>
          </w:r>
          <w:r>
            <w:rPr>
              <w:highlight w:val="none"/>
            </w:rPr>
            <w:instrText xml:space="preserve"> HYPERLINK \l "_Toc7321" </w:instrText>
          </w:r>
          <w:r>
            <w:rPr>
              <w:highlight w:val="none"/>
            </w:rPr>
            <w:fldChar w:fldCharType="separate"/>
          </w:r>
          <w:r>
            <w:rPr>
              <w:rFonts w:hint="eastAsia" w:ascii="仿宋_GB2312" w:hAnsi="仿宋_GB2312" w:eastAsia="仿宋_GB2312" w:cs="仿宋_GB2312"/>
              <w:kern w:val="0"/>
              <w:sz w:val="28"/>
              <w:szCs w:val="28"/>
              <w:highlight w:val="none"/>
            </w:rPr>
            <w:t>附件一 授权委托书</w:t>
          </w:r>
          <w:r>
            <w:rPr>
              <w:highlight w:val="none"/>
            </w:rPr>
            <w:tab/>
          </w:r>
          <w:r>
            <w:rPr>
              <w:highlight w:val="none"/>
            </w:rPr>
            <w:fldChar w:fldCharType="begin"/>
          </w:r>
          <w:r>
            <w:rPr>
              <w:highlight w:val="none"/>
            </w:rPr>
            <w:instrText xml:space="preserve"> PAGEREF _Toc7321 \h </w:instrText>
          </w:r>
          <w:r>
            <w:rPr>
              <w:highlight w:val="none"/>
            </w:rPr>
            <w:fldChar w:fldCharType="separate"/>
          </w:r>
          <w:r>
            <w:rPr>
              <w:highlight w:val="none"/>
            </w:rPr>
            <w:t>13</w:t>
          </w:r>
          <w:r>
            <w:rPr>
              <w:highlight w:val="none"/>
            </w:rPr>
            <w:fldChar w:fldCharType="end"/>
          </w:r>
          <w:r>
            <w:rPr>
              <w:highlight w:val="none"/>
            </w:rPr>
            <w:fldChar w:fldCharType="end"/>
          </w:r>
        </w:p>
        <w:p w14:paraId="40785E24">
          <w:pPr>
            <w:pStyle w:val="8"/>
            <w:tabs>
              <w:tab w:val="right" w:leader="dot" w:pos="8306"/>
            </w:tabs>
            <w:spacing w:line="312" w:lineRule="auto"/>
            <w:rPr>
              <w:highlight w:val="none"/>
            </w:rPr>
          </w:pPr>
          <w:r>
            <w:rPr>
              <w:highlight w:val="none"/>
            </w:rPr>
            <w:fldChar w:fldCharType="begin"/>
          </w:r>
          <w:r>
            <w:rPr>
              <w:highlight w:val="none"/>
            </w:rPr>
            <w:instrText xml:space="preserve"> HYPERLINK \l "_Toc21254" </w:instrText>
          </w:r>
          <w:r>
            <w:rPr>
              <w:highlight w:val="none"/>
            </w:rPr>
            <w:fldChar w:fldCharType="separate"/>
          </w:r>
          <w:r>
            <w:rPr>
              <w:rFonts w:hint="eastAsia" w:ascii="仿宋_GB2312" w:hAnsi="仿宋_GB2312" w:eastAsia="仿宋_GB2312" w:cs="仿宋_GB2312"/>
              <w:kern w:val="0"/>
              <w:sz w:val="28"/>
              <w:szCs w:val="28"/>
              <w:highlight w:val="none"/>
            </w:rPr>
            <w:t>附件二 项目部合规权限告知书</w:t>
          </w:r>
          <w:r>
            <w:rPr>
              <w:highlight w:val="none"/>
            </w:rPr>
            <w:tab/>
          </w:r>
          <w:r>
            <w:rPr>
              <w:highlight w:val="none"/>
            </w:rPr>
            <w:fldChar w:fldCharType="begin"/>
          </w:r>
          <w:r>
            <w:rPr>
              <w:highlight w:val="none"/>
            </w:rPr>
            <w:instrText xml:space="preserve"> PAGEREF _Toc21254 \h </w:instrText>
          </w:r>
          <w:r>
            <w:rPr>
              <w:highlight w:val="none"/>
            </w:rPr>
            <w:fldChar w:fldCharType="separate"/>
          </w:r>
          <w:r>
            <w:rPr>
              <w:highlight w:val="none"/>
            </w:rPr>
            <w:t>14</w:t>
          </w:r>
          <w:r>
            <w:rPr>
              <w:highlight w:val="none"/>
            </w:rPr>
            <w:fldChar w:fldCharType="end"/>
          </w:r>
          <w:r>
            <w:rPr>
              <w:highlight w:val="none"/>
            </w:rPr>
            <w:fldChar w:fldCharType="end"/>
          </w:r>
        </w:p>
        <w:p w14:paraId="534609AB">
          <w:pPr>
            <w:pStyle w:val="8"/>
            <w:tabs>
              <w:tab w:val="right" w:leader="dot" w:pos="8306"/>
            </w:tabs>
            <w:spacing w:line="312" w:lineRule="auto"/>
            <w:rPr>
              <w:highlight w:val="none"/>
            </w:rPr>
          </w:pPr>
          <w:r>
            <w:rPr>
              <w:highlight w:val="none"/>
            </w:rPr>
            <w:fldChar w:fldCharType="begin"/>
          </w:r>
          <w:r>
            <w:rPr>
              <w:highlight w:val="none"/>
            </w:rPr>
            <w:instrText xml:space="preserve"> HYPERLINK \l "_Toc20069" </w:instrText>
          </w:r>
          <w:r>
            <w:rPr>
              <w:highlight w:val="none"/>
            </w:rPr>
            <w:fldChar w:fldCharType="separate"/>
          </w:r>
          <w:r>
            <w:rPr>
              <w:rFonts w:hint="eastAsia" w:ascii="仿宋_GB2312" w:hAnsi="仿宋_GB2312" w:eastAsia="仿宋_GB2312" w:cs="仿宋_GB2312"/>
              <w:kern w:val="0"/>
              <w:sz w:val="28"/>
              <w:szCs w:val="28"/>
              <w:highlight w:val="none"/>
            </w:rPr>
            <w:t>附件三 安全管理协议书</w:t>
          </w:r>
          <w:r>
            <w:rPr>
              <w:highlight w:val="none"/>
            </w:rPr>
            <w:tab/>
          </w:r>
          <w:r>
            <w:rPr>
              <w:highlight w:val="none"/>
            </w:rPr>
            <w:fldChar w:fldCharType="begin"/>
          </w:r>
          <w:r>
            <w:rPr>
              <w:highlight w:val="none"/>
            </w:rPr>
            <w:instrText xml:space="preserve"> PAGEREF _Toc20069 \h </w:instrText>
          </w:r>
          <w:r>
            <w:rPr>
              <w:highlight w:val="none"/>
            </w:rPr>
            <w:fldChar w:fldCharType="separate"/>
          </w:r>
          <w:r>
            <w:rPr>
              <w:highlight w:val="none"/>
            </w:rPr>
            <w:t>19</w:t>
          </w:r>
          <w:r>
            <w:rPr>
              <w:highlight w:val="none"/>
            </w:rPr>
            <w:fldChar w:fldCharType="end"/>
          </w:r>
          <w:r>
            <w:rPr>
              <w:highlight w:val="none"/>
            </w:rPr>
            <w:fldChar w:fldCharType="end"/>
          </w:r>
        </w:p>
        <w:p w14:paraId="32CD1E93">
          <w:pPr>
            <w:pStyle w:val="8"/>
            <w:tabs>
              <w:tab w:val="right" w:leader="dot" w:pos="8306"/>
            </w:tabs>
            <w:spacing w:line="312" w:lineRule="auto"/>
            <w:rPr>
              <w:highlight w:val="none"/>
            </w:rPr>
          </w:pPr>
          <w:r>
            <w:rPr>
              <w:highlight w:val="none"/>
            </w:rPr>
            <w:fldChar w:fldCharType="begin"/>
          </w:r>
          <w:r>
            <w:rPr>
              <w:highlight w:val="none"/>
            </w:rPr>
            <w:instrText xml:space="preserve"> HYPERLINK \l "_Toc24322" </w:instrText>
          </w:r>
          <w:r>
            <w:rPr>
              <w:highlight w:val="none"/>
            </w:rPr>
            <w:fldChar w:fldCharType="separate"/>
          </w:r>
          <w:r>
            <w:rPr>
              <w:rFonts w:hint="eastAsia" w:ascii="仿宋_GB2312" w:hAnsi="仿宋_GB2312" w:eastAsia="仿宋_GB2312" w:cs="仿宋_GB2312"/>
              <w:kern w:val="0"/>
              <w:sz w:val="28"/>
              <w:szCs w:val="28"/>
              <w:highlight w:val="none"/>
            </w:rPr>
            <w:t xml:space="preserve">附件四 </w:t>
          </w:r>
          <w:r>
            <w:rPr>
              <w:rFonts w:hint="eastAsia" w:ascii="仿宋_GB2312" w:hAnsi="仿宋_GB2312" w:eastAsia="仿宋_GB2312" w:cs="仿宋_GB2312"/>
              <w:sz w:val="28"/>
              <w:szCs w:val="28"/>
              <w:highlight w:val="none"/>
            </w:rPr>
            <w:t>廉洁从业共建协议</w:t>
          </w:r>
          <w:r>
            <w:rPr>
              <w:highlight w:val="none"/>
            </w:rPr>
            <w:tab/>
          </w:r>
          <w:r>
            <w:rPr>
              <w:highlight w:val="none"/>
            </w:rPr>
            <w:fldChar w:fldCharType="begin"/>
          </w:r>
          <w:r>
            <w:rPr>
              <w:highlight w:val="none"/>
            </w:rPr>
            <w:instrText xml:space="preserve"> PAGEREF _Toc24322 \h </w:instrText>
          </w:r>
          <w:r>
            <w:rPr>
              <w:highlight w:val="none"/>
            </w:rPr>
            <w:fldChar w:fldCharType="separate"/>
          </w:r>
          <w:r>
            <w:rPr>
              <w:highlight w:val="none"/>
            </w:rPr>
            <w:t>23</w:t>
          </w:r>
          <w:r>
            <w:rPr>
              <w:highlight w:val="none"/>
            </w:rPr>
            <w:fldChar w:fldCharType="end"/>
          </w:r>
          <w:r>
            <w:rPr>
              <w:highlight w:val="none"/>
            </w:rPr>
            <w:fldChar w:fldCharType="end"/>
          </w:r>
        </w:p>
        <w:p w14:paraId="78BA12A7">
          <w:pPr>
            <w:pStyle w:val="8"/>
            <w:tabs>
              <w:tab w:val="right" w:leader="dot" w:pos="8306"/>
            </w:tabs>
            <w:spacing w:line="312" w:lineRule="auto"/>
            <w:rPr>
              <w:highlight w:val="none"/>
            </w:rPr>
          </w:pPr>
          <w:r>
            <w:rPr>
              <w:highlight w:val="none"/>
            </w:rPr>
            <w:fldChar w:fldCharType="begin"/>
          </w:r>
          <w:r>
            <w:rPr>
              <w:highlight w:val="none"/>
            </w:rPr>
            <w:instrText xml:space="preserve"> HYPERLINK \l "_Toc18674" </w:instrText>
          </w:r>
          <w:r>
            <w:rPr>
              <w:highlight w:val="none"/>
            </w:rPr>
            <w:fldChar w:fldCharType="separate"/>
          </w:r>
          <w:r>
            <w:rPr>
              <w:rFonts w:hint="eastAsia" w:ascii="黑体" w:hAnsi="黑体" w:eastAsia="黑体" w:cs="黑体"/>
              <w:bCs/>
              <w:sz w:val="30"/>
              <w:szCs w:val="30"/>
              <w:highlight w:val="none"/>
            </w:rPr>
            <w:t>第二部分 通用条款</w:t>
          </w:r>
          <w:r>
            <w:rPr>
              <w:highlight w:val="none"/>
            </w:rPr>
            <w:tab/>
          </w:r>
          <w:r>
            <w:rPr>
              <w:highlight w:val="none"/>
            </w:rPr>
            <w:fldChar w:fldCharType="begin"/>
          </w:r>
          <w:r>
            <w:rPr>
              <w:highlight w:val="none"/>
            </w:rPr>
            <w:instrText xml:space="preserve"> PAGEREF _Toc18674 \h </w:instrText>
          </w:r>
          <w:r>
            <w:rPr>
              <w:highlight w:val="none"/>
            </w:rPr>
            <w:fldChar w:fldCharType="separate"/>
          </w:r>
          <w:r>
            <w:rPr>
              <w:highlight w:val="none"/>
            </w:rPr>
            <w:t>26</w:t>
          </w:r>
          <w:r>
            <w:rPr>
              <w:highlight w:val="none"/>
            </w:rPr>
            <w:fldChar w:fldCharType="end"/>
          </w:r>
          <w:r>
            <w:rPr>
              <w:highlight w:val="none"/>
            </w:rPr>
            <w:fldChar w:fldCharType="end"/>
          </w:r>
        </w:p>
        <w:p w14:paraId="561753E6">
          <w:pPr>
            <w:pStyle w:val="8"/>
            <w:tabs>
              <w:tab w:val="right" w:leader="dot" w:pos="8306"/>
            </w:tabs>
            <w:spacing w:line="312" w:lineRule="auto"/>
            <w:rPr>
              <w:highlight w:val="none"/>
            </w:rPr>
          </w:pPr>
          <w:r>
            <w:rPr>
              <w:highlight w:val="none"/>
            </w:rPr>
            <w:fldChar w:fldCharType="begin"/>
          </w:r>
          <w:r>
            <w:rPr>
              <w:highlight w:val="none"/>
            </w:rPr>
            <w:instrText xml:space="preserve"> HYPERLINK \l "_Toc3066" </w:instrText>
          </w:r>
          <w:r>
            <w:rPr>
              <w:highlight w:val="none"/>
            </w:rPr>
            <w:fldChar w:fldCharType="separate"/>
          </w:r>
          <w:r>
            <w:rPr>
              <w:rFonts w:hint="eastAsia" w:ascii="仿宋_GB2312" w:hAnsi="仿宋_GB2312" w:eastAsia="仿宋_GB2312" w:cs="仿宋_GB2312"/>
              <w:kern w:val="0"/>
              <w:sz w:val="28"/>
              <w:szCs w:val="28"/>
              <w:highlight w:val="none"/>
            </w:rPr>
            <w:t>一、货物合同附随义务</w:t>
          </w:r>
          <w:r>
            <w:rPr>
              <w:highlight w:val="none"/>
            </w:rPr>
            <w:tab/>
          </w:r>
          <w:r>
            <w:rPr>
              <w:highlight w:val="none"/>
            </w:rPr>
            <w:fldChar w:fldCharType="begin"/>
          </w:r>
          <w:r>
            <w:rPr>
              <w:highlight w:val="none"/>
            </w:rPr>
            <w:instrText xml:space="preserve"> PAGEREF _Toc3066 \h </w:instrText>
          </w:r>
          <w:r>
            <w:rPr>
              <w:highlight w:val="none"/>
            </w:rPr>
            <w:fldChar w:fldCharType="separate"/>
          </w:r>
          <w:r>
            <w:rPr>
              <w:highlight w:val="none"/>
            </w:rPr>
            <w:t>26</w:t>
          </w:r>
          <w:r>
            <w:rPr>
              <w:highlight w:val="none"/>
            </w:rPr>
            <w:fldChar w:fldCharType="end"/>
          </w:r>
          <w:r>
            <w:rPr>
              <w:highlight w:val="none"/>
            </w:rPr>
            <w:fldChar w:fldCharType="end"/>
          </w:r>
        </w:p>
        <w:p w14:paraId="4AC02A40">
          <w:pPr>
            <w:pStyle w:val="8"/>
            <w:tabs>
              <w:tab w:val="right" w:leader="dot" w:pos="8306"/>
            </w:tabs>
            <w:spacing w:line="312" w:lineRule="auto"/>
            <w:rPr>
              <w:highlight w:val="none"/>
            </w:rPr>
          </w:pPr>
          <w:r>
            <w:rPr>
              <w:highlight w:val="none"/>
            </w:rPr>
            <w:fldChar w:fldCharType="begin"/>
          </w:r>
          <w:r>
            <w:rPr>
              <w:highlight w:val="none"/>
            </w:rPr>
            <w:instrText xml:space="preserve"> HYPERLINK \l "_Toc965" </w:instrText>
          </w:r>
          <w:r>
            <w:rPr>
              <w:highlight w:val="none"/>
            </w:rPr>
            <w:fldChar w:fldCharType="separate"/>
          </w:r>
          <w:r>
            <w:rPr>
              <w:rFonts w:hint="eastAsia" w:ascii="仿宋_GB2312" w:hAnsi="仿宋_GB2312" w:eastAsia="仿宋_GB2312" w:cs="仿宋_GB2312"/>
              <w:kern w:val="0"/>
              <w:sz w:val="28"/>
              <w:szCs w:val="28"/>
              <w:highlight w:val="none"/>
            </w:rPr>
            <w:t>二、货物违约责任</w:t>
          </w:r>
          <w:r>
            <w:rPr>
              <w:highlight w:val="none"/>
            </w:rPr>
            <w:tab/>
          </w:r>
          <w:r>
            <w:rPr>
              <w:highlight w:val="none"/>
            </w:rPr>
            <w:fldChar w:fldCharType="begin"/>
          </w:r>
          <w:r>
            <w:rPr>
              <w:highlight w:val="none"/>
            </w:rPr>
            <w:instrText xml:space="preserve"> PAGEREF _Toc965 \h </w:instrText>
          </w:r>
          <w:r>
            <w:rPr>
              <w:highlight w:val="none"/>
            </w:rPr>
            <w:fldChar w:fldCharType="separate"/>
          </w:r>
          <w:r>
            <w:rPr>
              <w:highlight w:val="none"/>
            </w:rPr>
            <w:t>27</w:t>
          </w:r>
          <w:r>
            <w:rPr>
              <w:highlight w:val="none"/>
            </w:rPr>
            <w:fldChar w:fldCharType="end"/>
          </w:r>
          <w:r>
            <w:rPr>
              <w:highlight w:val="none"/>
            </w:rPr>
            <w:fldChar w:fldCharType="end"/>
          </w:r>
        </w:p>
        <w:p w14:paraId="6EF212C1">
          <w:pPr>
            <w:pStyle w:val="8"/>
            <w:tabs>
              <w:tab w:val="right" w:leader="dot" w:pos="8306"/>
            </w:tabs>
            <w:spacing w:line="312" w:lineRule="auto"/>
            <w:rPr>
              <w:highlight w:val="none"/>
            </w:rPr>
          </w:pPr>
          <w:r>
            <w:rPr>
              <w:highlight w:val="none"/>
            </w:rPr>
            <w:fldChar w:fldCharType="begin"/>
          </w:r>
          <w:r>
            <w:rPr>
              <w:highlight w:val="none"/>
            </w:rPr>
            <w:instrText xml:space="preserve"> HYPERLINK \l "_Toc20335" </w:instrText>
          </w:r>
          <w:r>
            <w:rPr>
              <w:highlight w:val="none"/>
            </w:rPr>
            <w:fldChar w:fldCharType="separate"/>
          </w:r>
          <w:r>
            <w:rPr>
              <w:rFonts w:hint="eastAsia" w:ascii="仿宋_GB2312" w:hAnsi="仿宋_GB2312" w:eastAsia="仿宋_GB2312" w:cs="仿宋_GB2312"/>
              <w:kern w:val="0"/>
              <w:sz w:val="28"/>
              <w:szCs w:val="28"/>
              <w:highlight w:val="none"/>
            </w:rPr>
            <w:t>三、货物缺陷索赔</w:t>
          </w:r>
          <w:r>
            <w:rPr>
              <w:highlight w:val="none"/>
            </w:rPr>
            <w:tab/>
          </w:r>
          <w:r>
            <w:rPr>
              <w:highlight w:val="none"/>
            </w:rPr>
            <w:fldChar w:fldCharType="begin"/>
          </w:r>
          <w:r>
            <w:rPr>
              <w:highlight w:val="none"/>
            </w:rPr>
            <w:instrText xml:space="preserve"> PAGEREF _Toc20335 \h </w:instrText>
          </w:r>
          <w:r>
            <w:rPr>
              <w:highlight w:val="none"/>
            </w:rPr>
            <w:fldChar w:fldCharType="separate"/>
          </w:r>
          <w:r>
            <w:rPr>
              <w:highlight w:val="none"/>
            </w:rPr>
            <w:t>29</w:t>
          </w:r>
          <w:r>
            <w:rPr>
              <w:highlight w:val="none"/>
            </w:rPr>
            <w:fldChar w:fldCharType="end"/>
          </w:r>
          <w:r>
            <w:rPr>
              <w:highlight w:val="none"/>
            </w:rPr>
            <w:fldChar w:fldCharType="end"/>
          </w:r>
        </w:p>
        <w:p w14:paraId="1839E864">
          <w:pPr>
            <w:pStyle w:val="8"/>
            <w:tabs>
              <w:tab w:val="right" w:leader="dot" w:pos="8306"/>
            </w:tabs>
            <w:spacing w:line="312" w:lineRule="auto"/>
            <w:rPr>
              <w:highlight w:val="none"/>
            </w:rPr>
          </w:pPr>
          <w:r>
            <w:rPr>
              <w:highlight w:val="none"/>
            </w:rPr>
            <w:fldChar w:fldCharType="begin"/>
          </w:r>
          <w:r>
            <w:rPr>
              <w:highlight w:val="none"/>
            </w:rPr>
            <w:instrText xml:space="preserve"> HYPERLINK \l "_Toc12864" </w:instrText>
          </w:r>
          <w:r>
            <w:rPr>
              <w:highlight w:val="none"/>
            </w:rPr>
            <w:fldChar w:fldCharType="separate"/>
          </w:r>
          <w:r>
            <w:rPr>
              <w:rFonts w:hint="eastAsia" w:ascii="仿宋_GB2312" w:hAnsi="仿宋_GB2312" w:eastAsia="仿宋_GB2312" w:cs="仿宋_GB2312"/>
              <w:kern w:val="0"/>
              <w:sz w:val="28"/>
              <w:szCs w:val="28"/>
              <w:highlight w:val="none"/>
            </w:rPr>
            <w:t>四、合同变更</w:t>
          </w:r>
          <w:r>
            <w:rPr>
              <w:highlight w:val="none"/>
            </w:rPr>
            <w:tab/>
          </w:r>
          <w:r>
            <w:rPr>
              <w:highlight w:val="none"/>
            </w:rPr>
            <w:fldChar w:fldCharType="begin"/>
          </w:r>
          <w:r>
            <w:rPr>
              <w:highlight w:val="none"/>
            </w:rPr>
            <w:instrText xml:space="preserve"> PAGEREF _Toc12864 \h </w:instrText>
          </w:r>
          <w:r>
            <w:rPr>
              <w:highlight w:val="none"/>
            </w:rPr>
            <w:fldChar w:fldCharType="separate"/>
          </w:r>
          <w:r>
            <w:rPr>
              <w:highlight w:val="none"/>
            </w:rPr>
            <w:t>30</w:t>
          </w:r>
          <w:r>
            <w:rPr>
              <w:highlight w:val="none"/>
            </w:rPr>
            <w:fldChar w:fldCharType="end"/>
          </w:r>
          <w:r>
            <w:rPr>
              <w:highlight w:val="none"/>
            </w:rPr>
            <w:fldChar w:fldCharType="end"/>
          </w:r>
        </w:p>
        <w:p w14:paraId="0DC7F411">
          <w:pPr>
            <w:pStyle w:val="8"/>
            <w:tabs>
              <w:tab w:val="right" w:leader="dot" w:pos="8306"/>
            </w:tabs>
            <w:spacing w:line="312" w:lineRule="auto"/>
            <w:rPr>
              <w:highlight w:val="none"/>
            </w:rPr>
          </w:pPr>
          <w:r>
            <w:rPr>
              <w:highlight w:val="none"/>
            </w:rPr>
            <w:fldChar w:fldCharType="begin"/>
          </w:r>
          <w:r>
            <w:rPr>
              <w:highlight w:val="none"/>
            </w:rPr>
            <w:instrText xml:space="preserve"> HYPERLINK \l "_Toc23441" </w:instrText>
          </w:r>
          <w:r>
            <w:rPr>
              <w:highlight w:val="none"/>
            </w:rPr>
            <w:fldChar w:fldCharType="separate"/>
          </w:r>
          <w:r>
            <w:rPr>
              <w:rFonts w:hint="eastAsia" w:ascii="仿宋_GB2312" w:hAnsi="仿宋_GB2312" w:eastAsia="仿宋_GB2312" w:cs="仿宋_GB2312"/>
              <w:kern w:val="0"/>
              <w:sz w:val="28"/>
              <w:szCs w:val="28"/>
              <w:highlight w:val="none"/>
            </w:rPr>
            <w:t>五、合同解除</w:t>
          </w:r>
          <w:r>
            <w:rPr>
              <w:highlight w:val="none"/>
            </w:rPr>
            <w:tab/>
          </w:r>
          <w:r>
            <w:rPr>
              <w:highlight w:val="none"/>
            </w:rPr>
            <w:fldChar w:fldCharType="begin"/>
          </w:r>
          <w:r>
            <w:rPr>
              <w:highlight w:val="none"/>
            </w:rPr>
            <w:instrText xml:space="preserve"> PAGEREF _Toc23441 \h </w:instrText>
          </w:r>
          <w:r>
            <w:rPr>
              <w:highlight w:val="none"/>
            </w:rPr>
            <w:fldChar w:fldCharType="separate"/>
          </w:r>
          <w:r>
            <w:rPr>
              <w:highlight w:val="none"/>
            </w:rPr>
            <w:t>30</w:t>
          </w:r>
          <w:r>
            <w:rPr>
              <w:highlight w:val="none"/>
            </w:rPr>
            <w:fldChar w:fldCharType="end"/>
          </w:r>
          <w:r>
            <w:rPr>
              <w:highlight w:val="none"/>
            </w:rPr>
            <w:fldChar w:fldCharType="end"/>
          </w:r>
        </w:p>
        <w:p w14:paraId="6D24CBF2">
          <w:pPr>
            <w:pStyle w:val="8"/>
            <w:tabs>
              <w:tab w:val="right" w:leader="dot" w:pos="8306"/>
            </w:tabs>
            <w:spacing w:line="312" w:lineRule="auto"/>
            <w:rPr>
              <w:highlight w:val="none"/>
            </w:rPr>
          </w:pPr>
          <w:r>
            <w:rPr>
              <w:highlight w:val="none"/>
            </w:rPr>
            <w:fldChar w:fldCharType="begin"/>
          </w:r>
          <w:r>
            <w:rPr>
              <w:highlight w:val="none"/>
            </w:rPr>
            <w:instrText xml:space="preserve"> HYPERLINK \l "_Toc16580" </w:instrText>
          </w:r>
          <w:r>
            <w:rPr>
              <w:highlight w:val="none"/>
            </w:rPr>
            <w:fldChar w:fldCharType="separate"/>
          </w:r>
          <w:r>
            <w:rPr>
              <w:rFonts w:hint="eastAsia" w:ascii="仿宋_GB2312" w:hAnsi="仿宋_GB2312" w:eastAsia="仿宋_GB2312" w:cs="仿宋_GB2312"/>
              <w:kern w:val="0"/>
              <w:sz w:val="28"/>
              <w:szCs w:val="28"/>
              <w:highlight w:val="none"/>
            </w:rPr>
            <w:t>六、不可抗力</w:t>
          </w:r>
          <w:r>
            <w:rPr>
              <w:highlight w:val="none"/>
            </w:rPr>
            <w:tab/>
          </w:r>
          <w:r>
            <w:rPr>
              <w:highlight w:val="none"/>
            </w:rPr>
            <w:fldChar w:fldCharType="begin"/>
          </w:r>
          <w:r>
            <w:rPr>
              <w:highlight w:val="none"/>
            </w:rPr>
            <w:instrText xml:space="preserve"> PAGEREF _Toc16580 \h </w:instrText>
          </w:r>
          <w:r>
            <w:rPr>
              <w:highlight w:val="none"/>
            </w:rPr>
            <w:fldChar w:fldCharType="separate"/>
          </w:r>
          <w:r>
            <w:rPr>
              <w:highlight w:val="none"/>
            </w:rPr>
            <w:t>31</w:t>
          </w:r>
          <w:r>
            <w:rPr>
              <w:highlight w:val="none"/>
            </w:rPr>
            <w:fldChar w:fldCharType="end"/>
          </w:r>
          <w:r>
            <w:rPr>
              <w:highlight w:val="none"/>
            </w:rPr>
            <w:fldChar w:fldCharType="end"/>
          </w:r>
        </w:p>
        <w:p w14:paraId="5A2FC7B8">
          <w:pPr>
            <w:pStyle w:val="8"/>
            <w:tabs>
              <w:tab w:val="right" w:leader="dot" w:pos="8306"/>
            </w:tabs>
            <w:spacing w:line="312" w:lineRule="auto"/>
            <w:rPr>
              <w:highlight w:val="none"/>
            </w:rPr>
          </w:pPr>
          <w:r>
            <w:rPr>
              <w:highlight w:val="none"/>
            </w:rPr>
            <w:fldChar w:fldCharType="begin"/>
          </w:r>
          <w:r>
            <w:rPr>
              <w:highlight w:val="none"/>
            </w:rPr>
            <w:instrText xml:space="preserve"> HYPERLINK \l "_Toc10852" </w:instrText>
          </w:r>
          <w:r>
            <w:rPr>
              <w:highlight w:val="none"/>
            </w:rPr>
            <w:fldChar w:fldCharType="separate"/>
          </w:r>
          <w:r>
            <w:rPr>
              <w:rFonts w:hint="eastAsia" w:ascii="仿宋_GB2312" w:hAnsi="仿宋_GB2312" w:eastAsia="仿宋_GB2312" w:cs="仿宋_GB2312"/>
              <w:kern w:val="0"/>
              <w:sz w:val="28"/>
              <w:szCs w:val="28"/>
              <w:highlight w:val="none"/>
            </w:rPr>
            <w:t>七、争议解决</w:t>
          </w:r>
          <w:r>
            <w:rPr>
              <w:highlight w:val="none"/>
            </w:rPr>
            <w:tab/>
          </w:r>
          <w:r>
            <w:rPr>
              <w:highlight w:val="none"/>
            </w:rPr>
            <w:fldChar w:fldCharType="begin"/>
          </w:r>
          <w:r>
            <w:rPr>
              <w:highlight w:val="none"/>
            </w:rPr>
            <w:instrText xml:space="preserve"> PAGEREF _Toc10852 \h </w:instrText>
          </w:r>
          <w:r>
            <w:rPr>
              <w:highlight w:val="none"/>
            </w:rPr>
            <w:fldChar w:fldCharType="separate"/>
          </w:r>
          <w:r>
            <w:rPr>
              <w:highlight w:val="none"/>
            </w:rPr>
            <w:t>32</w:t>
          </w:r>
          <w:r>
            <w:rPr>
              <w:highlight w:val="none"/>
            </w:rPr>
            <w:fldChar w:fldCharType="end"/>
          </w:r>
          <w:r>
            <w:rPr>
              <w:highlight w:val="none"/>
            </w:rPr>
            <w:fldChar w:fldCharType="end"/>
          </w:r>
        </w:p>
        <w:p w14:paraId="6AD1E87B">
          <w:pPr>
            <w:pStyle w:val="8"/>
            <w:tabs>
              <w:tab w:val="right" w:leader="dot" w:pos="8306"/>
            </w:tabs>
            <w:spacing w:line="312" w:lineRule="auto"/>
            <w:rPr>
              <w:highlight w:val="none"/>
            </w:rPr>
          </w:pPr>
          <w:r>
            <w:rPr>
              <w:highlight w:val="none"/>
            </w:rPr>
            <w:fldChar w:fldCharType="begin"/>
          </w:r>
          <w:r>
            <w:rPr>
              <w:highlight w:val="none"/>
            </w:rPr>
            <w:instrText xml:space="preserve"> HYPERLINK \l "_Toc11207" </w:instrText>
          </w:r>
          <w:r>
            <w:rPr>
              <w:highlight w:val="none"/>
            </w:rPr>
            <w:fldChar w:fldCharType="separate"/>
          </w:r>
          <w:r>
            <w:rPr>
              <w:rFonts w:hint="eastAsia" w:ascii="仿宋_GB2312" w:hAnsi="仿宋_GB2312" w:eastAsia="仿宋_GB2312" w:cs="仿宋_GB2312"/>
              <w:kern w:val="0"/>
              <w:sz w:val="28"/>
              <w:szCs w:val="28"/>
              <w:highlight w:val="none"/>
            </w:rPr>
            <w:t>八、保密义务</w:t>
          </w:r>
          <w:r>
            <w:rPr>
              <w:highlight w:val="none"/>
            </w:rPr>
            <w:tab/>
          </w:r>
          <w:r>
            <w:rPr>
              <w:highlight w:val="none"/>
            </w:rPr>
            <w:fldChar w:fldCharType="begin"/>
          </w:r>
          <w:r>
            <w:rPr>
              <w:highlight w:val="none"/>
            </w:rPr>
            <w:instrText xml:space="preserve"> PAGEREF _Toc11207 \h </w:instrText>
          </w:r>
          <w:r>
            <w:rPr>
              <w:highlight w:val="none"/>
            </w:rPr>
            <w:fldChar w:fldCharType="separate"/>
          </w:r>
          <w:r>
            <w:rPr>
              <w:highlight w:val="none"/>
            </w:rPr>
            <w:t>32</w:t>
          </w:r>
          <w:r>
            <w:rPr>
              <w:highlight w:val="none"/>
            </w:rPr>
            <w:fldChar w:fldCharType="end"/>
          </w:r>
          <w:r>
            <w:rPr>
              <w:highlight w:val="none"/>
            </w:rPr>
            <w:fldChar w:fldCharType="end"/>
          </w:r>
        </w:p>
        <w:p w14:paraId="1FC31133">
          <w:pPr>
            <w:pStyle w:val="8"/>
            <w:tabs>
              <w:tab w:val="right" w:leader="dot" w:pos="8306"/>
            </w:tabs>
            <w:spacing w:line="312" w:lineRule="auto"/>
            <w:rPr>
              <w:highlight w:val="none"/>
            </w:rPr>
          </w:pPr>
          <w:r>
            <w:rPr>
              <w:highlight w:val="none"/>
            </w:rPr>
            <w:fldChar w:fldCharType="begin"/>
          </w:r>
          <w:r>
            <w:rPr>
              <w:highlight w:val="none"/>
            </w:rPr>
            <w:instrText xml:space="preserve"> HYPERLINK \l "_Toc3848" </w:instrText>
          </w:r>
          <w:r>
            <w:rPr>
              <w:highlight w:val="none"/>
            </w:rPr>
            <w:fldChar w:fldCharType="separate"/>
          </w:r>
          <w:r>
            <w:rPr>
              <w:rFonts w:hint="eastAsia" w:ascii="仿宋_GB2312" w:hAnsi="仿宋_GB2312" w:eastAsia="仿宋_GB2312" w:cs="仿宋_GB2312"/>
              <w:kern w:val="0"/>
              <w:sz w:val="28"/>
              <w:szCs w:val="28"/>
              <w:highlight w:val="none"/>
            </w:rPr>
            <w:t>九、其他条款</w:t>
          </w:r>
          <w:r>
            <w:rPr>
              <w:highlight w:val="none"/>
            </w:rPr>
            <w:tab/>
          </w:r>
          <w:r>
            <w:rPr>
              <w:highlight w:val="none"/>
            </w:rPr>
            <w:fldChar w:fldCharType="begin"/>
          </w:r>
          <w:r>
            <w:rPr>
              <w:highlight w:val="none"/>
            </w:rPr>
            <w:instrText xml:space="preserve"> PAGEREF _Toc3848 \h </w:instrText>
          </w:r>
          <w:r>
            <w:rPr>
              <w:highlight w:val="none"/>
            </w:rPr>
            <w:fldChar w:fldCharType="separate"/>
          </w:r>
          <w:r>
            <w:rPr>
              <w:highlight w:val="none"/>
            </w:rPr>
            <w:t>33</w:t>
          </w:r>
          <w:r>
            <w:rPr>
              <w:highlight w:val="none"/>
            </w:rPr>
            <w:fldChar w:fldCharType="end"/>
          </w:r>
          <w:r>
            <w:rPr>
              <w:highlight w:val="none"/>
            </w:rPr>
            <w:fldChar w:fldCharType="end"/>
          </w:r>
        </w:p>
        <w:p w14:paraId="6D6F6E3E">
          <w:pPr>
            <w:spacing w:line="312" w:lineRule="auto"/>
            <w:jc w:val="center"/>
            <w:rPr>
              <w:rFonts w:ascii="仿宋" w:hAnsi="仿宋" w:eastAsia="仿宋" w:cs="仿宋"/>
              <w:color w:val="000000" w:themeColor="text1"/>
              <w:highlight w:val="none"/>
              <w14:textFill>
                <w14:solidFill>
                  <w14:schemeClr w14:val="tx1"/>
                </w14:solidFill>
              </w14:textFill>
            </w:rPr>
            <w:sectPr>
              <w:headerReference r:id="rId7" w:type="first"/>
              <w:footerReference r:id="rId9" w:type="first"/>
              <w:footerReference r:id="rId8" w:type="default"/>
              <w:pgSz w:w="11906" w:h="16838"/>
              <w:pgMar w:top="1440" w:right="1800" w:bottom="1440" w:left="1800" w:header="850" w:footer="975" w:gutter="0"/>
              <w:pgNumType w:start="1"/>
              <w:cols w:space="0" w:num="1"/>
              <w:titlePg/>
              <w:docGrid w:linePitch="312" w:charSpace="0"/>
            </w:sectPr>
          </w:pPr>
          <w:r>
            <w:rPr>
              <w:rFonts w:hint="eastAsia" w:ascii="仿宋" w:hAnsi="仿宋" w:eastAsia="仿宋" w:cs="仿宋"/>
              <w:color w:val="000000" w:themeColor="text1"/>
              <w:highlight w:val="none"/>
              <w14:textFill>
                <w14:solidFill>
                  <w14:schemeClr w14:val="tx1"/>
                </w14:solidFill>
              </w14:textFill>
            </w:rPr>
            <w:fldChar w:fldCharType="end"/>
          </w:r>
          <w:permEnd w:id="4"/>
        </w:p>
      </w:sdtContent>
    </w:sdt>
    <w:p w14:paraId="24B58658">
      <w:pPr>
        <w:pStyle w:val="12"/>
        <w:jc w:val="center"/>
        <w:outlineLvl w:val="0"/>
        <w:rPr>
          <w:rFonts w:ascii="仿宋" w:hAnsi="仿宋" w:eastAsia="仿宋" w:cs="仿宋"/>
          <w:b/>
          <w:bCs/>
          <w:color w:val="000000" w:themeColor="text1"/>
          <w:sz w:val="32"/>
          <w:szCs w:val="32"/>
          <w:highlight w:val="none"/>
          <w14:textFill>
            <w14:solidFill>
              <w14:schemeClr w14:val="tx1"/>
            </w14:solidFill>
          </w14:textFill>
        </w:rPr>
      </w:pPr>
      <w:bookmarkStart w:id="1" w:name="_Toc22574"/>
      <w:bookmarkStart w:id="2" w:name="_Toc31405"/>
      <w:bookmarkStart w:id="3" w:name="_Toc5953"/>
      <w:r>
        <w:rPr>
          <w:rFonts w:hint="eastAsia" w:ascii="黑体" w:hAnsi="黑体" w:eastAsia="黑体" w:cs="黑体"/>
          <w:b/>
          <w:bCs/>
          <w:color w:val="000000" w:themeColor="text1"/>
          <w:sz w:val="32"/>
          <w:szCs w:val="32"/>
          <w:highlight w:val="none"/>
          <w14:textFill>
            <w14:solidFill>
              <w14:schemeClr w14:val="tx1"/>
            </w14:solidFill>
          </w14:textFill>
        </w:rPr>
        <w:t>第一部分</w:t>
      </w:r>
      <w:bookmarkEnd w:id="1"/>
      <w:r>
        <w:rPr>
          <w:rFonts w:hint="eastAsia" w:ascii="黑体" w:hAnsi="黑体" w:eastAsia="黑体" w:cs="黑体"/>
          <w:b/>
          <w:bCs/>
          <w:color w:val="000000" w:themeColor="text1"/>
          <w:sz w:val="32"/>
          <w:szCs w:val="32"/>
          <w:highlight w:val="none"/>
          <w14:textFill>
            <w14:solidFill>
              <w14:schemeClr w14:val="tx1"/>
            </w14:solidFill>
          </w14:textFill>
        </w:rPr>
        <w:t xml:space="preserve"> 专用条款</w:t>
      </w:r>
      <w:bookmarkEnd w:id="2"/>
      <w:bookmarkEnd w:id="3"/>
    </w:p>
    <w:p w14:paraId="05632326">
      <w:pPr>
        <w:pStyle w:val="12"/>
        <w:spacing w:before="240" w:beforeLines="100" w:line="400" w:lineRule="atLeast"/>
        <w:rPr>
          <w:rFonts w:hint="default"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 xml:space="preserve">甲方（买方）： </w:t>
      </w:r>
      <w:permStart w:id="5"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中建</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路桥</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集团有限公司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 xml:space="preserve">    </w:t>
      </w:r>
      <w:permEnd w:id="5"/>
    </w:p>
    <w:p w14:paraId="3BAE9A44">
      <w:pPr>
        <w:pStyle w:val="12"/>
        <w:spacing w:line="400" w:lineRule="atLeast"/>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乙方（卖方）：</w:t>
      </w:r>
      <w:permStart w:id="6" w:edGrp="everyone"/>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
    <w:permEnd w:id="6"/>
    <w:p w14:paraId="633853ED">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根据</w:t>
      </w:r>
      <w:r>
        <w:rPr>
          <w:rFonts w:hint="eastAsia" w:ascii="仿宋_GB2312" w:hAnsi="仿宋_GB2312" w:eastAsia="仿宋_GB2312" w:cs="仿宋_GB2312"/>
          <w:color w:val="000000" w:themeColor="text1"/>
          <w:highlight w:val="none"/>
          <w14:textFill>
            <w14:solidFill>
              <w14:schemeClr w14:val="tx1"/>
            </w14:solidFill>
          </w14:textFill>
        </w:rPr>
        <w:t>《中华人民共和国民法典》及有关法律规定，遵循平等、自愿、公平和诚实信用的原则，在对本合同进行充分理解的基础上，双方经友好协商一致，订立本合同并共同遵守。</w:t>
      </w:r>
    </w:p>
    <w:p w14:paraId="79F5B57B">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4" w:name="_Toc17203"/>
      <w:bookmarkStart w:id="5" w:name="_Toc29946"/>
      <w:bookmarkStart w:id="6" w:name="_Toc640"/>
      <w:r>
        <w:rPr>
          <w:rFonts w:hint="eastAsia" w:ascii="仿宋_GB2312" w:hAnsi="仿宋_GB2312" w:eastAsia="仿宋_GB2312" w:cs="仿宋_GB2312"/>
          <w:b/>
          <w:bCs/>
          <w:color w:val="000000" w:themeColor="text1"/>
          <w:highlight w:val="none"/>
          <w14:textFill>
            <w14:solidFill>
              <w14:schemeClr w14:val="tx1"/>
            </w14:solidFill>
          </w14:textFill>
        </w:rPr>
        <w:t>工程概况</w:t>
      </w:r>
      <w:bookmarkEnd w:id="4"/>
      <w:bookmarkEnd w:id="5"/>
      <w:bookmarkEnd w:id="6"/>
    </w:p>
    <w:p w14:paraId="17E0D9A2">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1、工程名称：</w:t>
      </w:r>
      <w:permStart w:id="7" w:edGrp="everyone"/>
      <w:r>
        <w:rPr>
          <w:rFonts w:hint="eastAsia" w:ascii="仿宋_GB2312" w:hAnsi="仿宋_GB2312" w:eastAsia="仿宋_GB2312" w:cs="仿宋_GB2312"/>
          <w:color w:val="000000" w:themeColor="text1"/>
          <w:highlight w:val="none"/>
          <w:u w:val="single"/>
          <w14:textFill>
            <w14:solidFill>
              <w14:schemeClr w14:val="tx1"/>
            </w14:solidFill>
          </w14:textFill>
        </w:rPr>
        <w:t>任泽区城市中水再利用工程</w:t>
      </w:r>
      <w:permEnd w:id="7"/>
      <w:r>
        <w:rPr>
          <w:rFonts w:hint="eastAsia" w:ascii="仿宋_GB2312" w:hAnsi="仿宋_GB2312" w:eastAsia="仿宋_GB2312" w:cs="仿宋_GB2312"/>
          <w:color w:val="000000" w:themeColor="text1"/>
          <w:highlight w:val="none"/>
          <w14:textFill>
            <w14:solidFill>
              <w14:schemeClr w14:val="tx1"/>
            </w14:solidFill>
          </w14:textFill>
        </w:rPr>
        <w:t>；</w:t>
      </w:r>
    </w:p>
    <w:p w14:paraId="5B976016">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2、工程地点：</w:t>
      </w:r>
      <w:permStart w:id="8" w:edGrp="everyone"/>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邢台市任泽区</w:t>
      </w:r>
      <w:permEnd w:id="8"/>
      <w:r>
        <w:rPr>
          <w:rFonts w:hint="eastAsia" w:ascii="仿宋_GB2312" w:hAnsi="仿宋_GB2312" w:eastAsia="仿宋_GB2312" w:cs="仿宋_GB2312"/>
          <w:color w:val="000000" w:themeColor="text1"/>
          <w:highlight w:val="none"/>
          <w14:textFill>
            <w14:solidFill>
              <w14:schemeClr w14:val="tx1"/>
            </w14:solidFill>
          </w14:textFill>
        </w:rPr>
        <w:t>；</w:t>
      </w:r>
    </w:p>
    <w:p w14:paraId="2F06DAA7">
      <w:pPr>
        <w:pStyle w:val="12"/>
        <w:numPr>
          <w:ilvl w:val="0"/>
          <w:numId w:val="1"/>
        </w:numPr>
        <w:spacing w:before="120" w:beforeLines="50" w:after="120" w:afterLines="50" w:line="400" w:lineRule="atLeast"/>
        <w:ind w:firstLine="482" w:firstLineChars="200"/>
        <w:outlineLvl w:val="0"/>
        <w:rPr>
          <w:rFonts w:hint="default" w:ascii="仿宋_GB2312" w:hAnsi="仿宋_GB2312" w:eastAsia="仿宋_GB2312" w:cs="仿宋_GB2312"/>
          <w:color w:val="000000" w:themeColor="text1"/>
          <w:highlight w:val="yellow"/>
          <w:u w:val="single"/>
          <w:lang w:val="en-US" w:eastAsia="zh-CN"/>
          <w14:textFill>
            <w14:solidFill>
              <w14:schemeClr w14:val="tx1"/>
            </w14:solidFill>
          </w14:textFill>
        </w:rPr>
      </w:pPr>
      <w:bookmarkStart w:id="7" w:name="_Toc6010"/>
      <w:bookmarkStart w:id="8" w:name="_Toc23103"/>
      <w:bookmarkStart w:id="9" w:name="_Toc2931"/>
      <w:r>
        <w:rPr>
          <w:rFonts w:hint="eastAsia" w:ascii="仿宋_GB2312" w:hAnsi="仿宋_GB2312" w:eastAsia="仿宋_GB2312" w:cs="仿宋_GB2312"/>
          <w:b/>
          <w:bCs/>
          <w:color w:val="000000" w:themeColor="text1"/>
          <w:highlight w:val="yellow"/>
          <w14:textFill>
            <w14:solidFill>
              <w14:schemeClr w14:val="tx1"/>
            </w14:solidFill>
          </w14:textFill>
        </w:rPr>
        <w:t>货物清单</w:t>
      </w:r>
      <w:bookmarkEnd w:id="7"/>
      <w:bookmarkEnd w:id="8"/>
      <w:bookmarkEnd w:id="9"/>
      <w:r>
        <w:rPr>
          <w:rFonts w:hint="eastAsia" w:ascii="仿宋_GB2312" w:hAnsi="仿宋_GB2312" w:eastAsia="仿宋_GB2312" w:cs="仿宋_GB2312"/>
          <w:b/>
          <w:bCs/>
          <w:color w:val="000000" w:themeColor="text1"/>
          <w:highlight w:val="yellow"/>
          <w:lang w:eastAsia="zh-CN"/>
          <w14:textFill>
            <w14:solidFill>
              <w14:schemeClr w14:val="tx1"/>
            </w14:solidFill>
          </w14:textFill>
        </w:rPr>
        <w:t>、</w:t>
      </w:r>
      <w:r>
        <w:rPr>
          <w:rFonts w:hint="eastAsia" w:ascii="仿宋_GB2312" w:hAnsi="仿宋_GB2312" w:eastAsia="仿宋_GB2312" w:cs="仿宋_GB2312"/>
          <w:b/>
          <w:bCs/>
          <w:color w:val="000000" w:themeColor="text1"/>
          <w:highlight w:val="yellow"/>
          <w:lang w:val="en-US" w:eastAsia="zh-CN"/>
          <w14:textFill>
            <w14:solidFill>
              <w14:schemeClr w14:val="tx1"/>
            </w14:solidFill>
          </w14:textFill>
        </w:rPr>
        <w:t>价款、计价方式</w:t>
      </w:r>
    </w:p>
    <w:tbl>
      <w:tblPr>
        <w:tblStyle w:val="9"/>
        <w:tblW w:w="60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23"/>
        <w:gridCol w:w="964"/>
        <w:gridCol w:w="582"/>
        <w:gridCol w:w="971"/>
        <w:gridCol w:w="993"/>
        <w:gridCol w:w="1233"/>
        <w:gridCol w:w="578"/>
        <w:gridCol w:w="1025"/>
        <w:gridCol w:w="1200"/>
        <w:gridCol w:w="591"/>
      </w:tblGrid>
      <w:tr w14:paraId="2FB6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326" w:type="pct"/>
            <w:shd w:val="clear" w:color="auto" w:fill="auto"/>
            <w:vAlign w:val="center"/>
          </w:tcPr>
          <w:p w14:paraId="22BF11B5">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permStart w:id="9" w:edGrp="everyone"/>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序号</w:t>
            </w:r>
          </w:p>
        </w:tc>
        <w:tc>
          <w:tcPr>
            <w:tcW w:w="736" w:type="pct"/>
            <w:shd w:val="clear" w:color="auto" w:fill="auto"/>
            <w:vAlign w:val="center"/>
          </w:tcPr>
          <w:p w14:paraId="792FE889">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货物</w:t>
            </w: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名称</w:t>
            </w:r>
          </w:p>
        </w:tc>
        <w:tc>
          <w:tcPr>
            <w:tcW w:w="466" w:type="pct"/>
            <w:shd w:val="clear" w:color="auto" w:fill="auto"/>
            <w:vAlign w:val="center"/>
          </w:tcPr>
          <w:p w14:paraId="58DE95F0">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货物</w:t>
            </w: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规格参数</w:t>
            </w:r>
          </w:p>
        </w:tc>
        <w:tc>
          <w:tcPr>
            <w:tcW w:w="281" w:type="pct"/>
            <w:shd w:val="clear" w:color="auto" w:fill="auto"/>
            <w:vAlign w:val="center"/>
          </w:tcPr>
          <w:p w14:paraId="58F68DA5">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计量</w:t>
            </w:r>
          </w:p>
          <w:p w14:paraId="71AEF3E2">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单位</w:t>
            </w:r>
          </w:p>
        </w:tc>
        <w:tc>
          <w:tcPr>
            <w:tcW w:w="469" w:type="pct"/>
            <w:shd w:val="clear" w:color="auto" w:fill="auto"/>
            <w:vAlign w:val="center"/>
          </w:tcPr>
          <w:p w14:paraId="4DE361A3">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暂定</w:t>
            </w:r>
          </w:p>
          <w:p w14:paraId="10AD443D">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数量</w:t>
            </w:r>
          </w:p>
        </w:tc>
        <w:tc>
          <w:tcPr>
            <w:tcW w:w="480" w:type="pct"/>
            <w:shd w:val="clear" w:color="auto" w:fill="auto"/>
            <w:vAlign w:val="center"/>
          </w:tcPr>
          <w:p w14:paraId="791BC453">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不含税</w:t>
            </w:r>
          </w:p>
          <w:p w14:paraId="39E763B3">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综合单价</w:t>
            </w:r>
          </w:p>
          <w:p w14:paraId="01058936">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（元）</w:t>
            </w:r>
          </w:p>
        </w:tc>
        <w:tc>
          <w:tcPr>
            <w:tcW w:w="596" w:type="pct"/>
            <w:shd w:val="clear" w:color="auto" w:fill="auto"/>
            <w:vAlign w:val="center"/>
          </w:tcPr>
          <w:p w14:paraId="0787AAA2">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不含税</w:t>
            </w:r>
          </w:p>
          <w:p w14:paraId="443877D7">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合价</w:t>
            </w:r>
          </w:p>
          <w:p w14:paraId="75C3F8D9">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（元）</w:t>
            </w:r>
          </w:p>
        </w:tc>
        <w:tc>
          <w:tcPr>
            <w:tcW w:w="279" w:type="pct"/>
            <w:shd w:val="clear" w:color="auto" w:fill="auto"/>
            <w:vAlign w:val="center"/>
          </w:tcPr>
          <w:p w14:paraId="07B76697">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增值</w:t>
            </w:r>
          </w:p>
          <w:p w14:paraId="01378405">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税率</w:t>
            </w:r>
          </w:p>
        </w:tc>
        <w:tc>
          <w:tcPr>
            <w:tcW w:w="495" w:type="pct"/>
            <w:shd w:val="clear" w:color="auto" w:fill="auto"/>
            <w:vAlign w:val="center"/>
          </w:tcPr>
          <w:p w14:paraId="7B42921E">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含税</w:t>
            </w:r>
          </w:p>
          <w:p w14:paraId="04F4F020">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综合单价</w:t>
            </w:r>
          </w:p>
          <w:p w14:paraId="7F21D93A">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 xml:space="preserve">（元）  </w:t>
            </w:r>
          </w:p>
        </w:tc>
        <w:tc>
          <w:tcPr>
            <w:tcW w:w="580" w:type="pct"/>
            <w:shd w:val="clear" w:color="auto" w:fill="auto"/>
            <w:vAlign w:val="center"/>
          </w:tcPr>
          <w:p w14:paraId="39261B1E">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含税</w:t>
            </w:r>
          </w:p>
          <w:p w14:paraId="11A87515">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合价</w:t>
            </w:r>
          </w:p>
          <w:p w14:paraId="38FD320E">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 xml:space="preserve">（元）  </w:t>
            </w:r>
          </w:p>
        </w:tc>
        <w:tc>
          <w:tcPr>
            <w:tcW w:w="285" w:type="pct"/>
            <w:shd w:val="clear" w:color="auto" w:fill="auto"/>
            <w:vAlign w:val="center"/>
          </w:tcPr>
          <w:p w14:paraId="2689611A">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备注</w:t>
            </w:r>
          </w:p>
        </w:tc>
      </w:tr>
      <w:tr w14:paraId="65BD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26" w:type="pct"/>
            <w:shd w:val="clear" w:color="auto" w:fill="auto"/>
            <w:vAlign w:val="center"/>
          </w:tcPr>
          <w:p w14:paraId="51D64664">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1</w:t>
            </w:r>
          </w:p>
        </w:tc>
        <w:tc>
          <w:tcPr>
            <w:tcW w:w="736" w:type="pct"/>
            <w:shd w:val="clear" w:color="auto" w:fill="auto"/>
            <w:vAlign w:val="center"/>
          </w:tcPr>
          <w:p w14:paraId="4E8168A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聚乙烯管PE100</w:t>
            </w:r>
          </w:p>
        </w:tc>
        <w:tc>
          <w:tcPr>
            <w:tcW w:w="466" w:type="pct"/>
            <w:shd w:val="clear" w:color="auto" w:fill="auto"/>
            <w:vAlign w:val="center"/>
          </w:tcPr>
          <w:p w14:paraId="37C28BEC">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dn560</w:t>
            </w:r>
          </w:p>
        </w:tc>
        <w:tc>
          <w:tcPr>
            <w:tcW w:w="281" w:type="pct"/>
            <w:shd w:val="clear" w:color="auto" w:fill="auto"/>
            <w:vAlign w:val="center"/>
          </w:tcPr>
          <w:p w14:paraId="4F7B56FE">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m</w:t>
            </w:r>
          </w:p>
        </w:tc>
        <w:tc>
          <w:tcPr>
            <w:tcW w:w="469" w:type="pct"/>
            <w:shd w:val="clear" w:color="auto" w:fill="auto"/>
            <w:vAlign w:val="center"/>
          </w:tcPr>
          <w:p w14:paraId="7007E61A">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 xml:space="preserve">338.10 </w:t>
            </w:r>
          </w:p>
        </w:tc>
        <w:tc>
          <w:tcPr>
            <w:tcW w:w="480" w:type="pct"/>
            <w:shd w:val="clear" w:color="auto" w:fill="auto"/>
            <w:noWrap/>
            <w:vAlign w:val="center"/>
          </w:tcPr>
          <w:p w14:paraId="3798B66A">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96" w:type="pct"/>
            <w:shd w:val="clear" w:color="auto" w:fill="auto"/>
            <w:noWrap/>
            <w:vAlign w:val="center"/>
          </w:tcPr>
          <w:p w14:paraId="2A1AA7CC">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79" w:type="pct"/>
            <w:shd w:val="clear" w:color="auto" w:fill="auto"/>
            <w:noWrap/>
            <w:vAlign w:val="center"/>
          </w:tcPr>
          <w:p w14:paraId="30955475">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95" w:type="pct"/>
            <w:shd w:val="clear" w:color="auto" w:fill="auto"/>
            <w:noWrap/>
            <w:vAlign w:val="center"/>
          </w:tcPr>
          <w:p w14:paraId="1DA8ED4D">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80" w:type="pct"/>
            <w:shd w:val="clear" w:color="auto" w:fill="auto"/>
            <w:noWrap/>
            <w:vAlign w:val="center"/>
          </w:tcPr>
          <w:p w14:paraId="697DBC38">
            <w:pPr>
              <w:widowControl/>
              <w:jc w:val="center"/>
              <w:textAlignment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85" w:type="pct"/>
            <w:shd w:val="clear" w:color="auto" w:fill="auto"/>
            <w:vAlign w:val="center"/>
          </w:tcPr>
          <w:p w14:paraId="74D0C355">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r>
      <w:tr w14:paraId="3498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26" w:type="pct"/>
            <w:shd w:val="clear" w:color="auto" w:fill="auto"/>
            <w:vAlign w:val="center"/>
          </w:tcPr>
          <w:p w14:paraId="59F94F1C">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2</w:t>
            </w:r>
          </w:p>
        </w:tc>
        <w:tc>
          <w:tcPr>
            <w:tcW w:w="736" w:type="pct"/>
            <w:shd w:val="clear" w:color="auto" w:fill="auto"/>
            <w:vAlign w:val="center"/>
          </w:tcPr>
          <w:p w14:paraId="5269E14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聚乙烯管PE100</w:t>
            </w:r>
          </w:p>
        </w:tc>
        <w:tc>
          <w:tcPr>
            <w:tcW w:w="466" w:type="pct"/>
            <w:shd w:val="clear" w:color="auto" w:fill="auto"/>
            <w:vAlign w:val="center"/>
          </w:tcPr>
          <w:p w14:paraId="0EF19A64">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dn400</w:t>
            </w:r>
          </w:p>
        </w:tc>
        <w:tc>
          <w:tcPr>
            <w:tcW w:w="281" w:type="pct"/>
            <w:shd w:val="clear" w:color="auto" w:fill="auto"/>
            <w:noWrap/>
            <w:vAlign w:val="center"/>
          </w:tcPr>
          <w:p w14:paraId="18D30C08">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m</w:t>
            </w:r>
          </w:p>
        </w:tc>
        <w:tc>
          <w:tcPr>
            <w:tcW w:w="469" w:type="pct"/>
            <w:shd w:val="clear" w:color="auto" w:fill="auto"/>
            <w:vAlign w:val="center"/>
          </w:tcPr>
          <w:p w14:paraId="499F820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 xml:space="preserve">300.80 </w:t>
            </w:r>
          </w:p>
        </w:tc>
        <w:tc>
          <w:tcPr>
            <w:tcW w:w="480" w:type="pct"/>
            <w:shd w:val="clear" w:color="auto" w:fill="auto"/>
            <w:noWrap/>
            <w:vAlign w:val="center"/>
          </w:tcPr>
          <w:p w14:paraId="39EBD483">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96" w:type="pct"/>
            <w:shd w:val="clear" w:color="auto" w:fill="auto"/>
            <w:noWrap/>
            <w:vAlign w:val="center"/>
          </w:tcPr>
          <w:p w14:paraId="4C8D26CE">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79" w:type="pct"/>
            <w:shd w:val="clear" w:color="auto" w:fill="auto"/>
            <w:noWrap/>
            <w:vAlign w:val="center"/>
          </w:tcPr>
          <w:p w14:paraId="11B2EAE1">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95" w:type="pct"/>
            <w:shd w:val="clear" w:color="auto" w:fill="auto"/>
            <w:noWrap/>
            <w:vAlign w:val="center"/>
          </w:tcPr>
          <w:p w14:paraId="0A537B15">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80" w:type="pct"/>
            <w:shd w:val="clear" w:color="auto" w:fill="auto"/>
            <w:noWrap/>
            <w:vAlign w:val="center"/>
          </w:tcPr>
          <w:p w14:paraId="2F953767">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85" w:type="pct"/>
            <w:shd w:val="clear" w:color="auto" w:fill="auto"/>
            <w:noWrap/>
            <w:vAlign w:val="center"/>
          </w:tcPr>
          <w:p w14:paraId="1356D0B4">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r>
      <w:tr w14:paraId="40DC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26" w:type="pct"/>
            <w:shd w:val="clear" w:color="auto" w:fill="auto"/>
            <w:vAlign w:val="center"/>
          </w:tcPr>
          <w:p w14:paraId="68791C48">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3</w:t>
            </w:r>
          </w:p>
        </w:tc>
        <w:tc>
          <w:tcPr>
            <w:tcW w:w="736" w:type="pct"/>
            <w:shd w:val="clear" w:color="auto" w:fill="auto"/>
            <w:vAlign w:val="center"/>
          </w:tcPr>
          <w:p w14:paraId="2E88776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聚乙烯管PE100</w:t>
            </w:r>
          </w:p>
        </w:tc>
        <w:tc>
          <w:tcPr>
            <w:tcW w:w="466" w:type="pct"/>
            <w:shd w:val="clear" w:color="auto" w:fill="auto"/>
            <w:vAlign w:val="center"/>
          </w:tcPr>
          <w:p w14:paraId="0385FB77">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dn315</w:t>
            </w:r>
          </w:p>
        </w:tc>
        <w:tc>
          <w:tcPr>
            <w:tcW w:w="281" w:type="pct"/>
            <w:shd w:val="clear" w:color="auto" w:fill="auto"/>
            <w:noWrap/>
            <w:vAlign w:val="center"/>
          </w:tcPr>
          <w:p w14:paraId="5AE0565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m</w:t>
            </w:r>
          </w:p>
        </w:tc>
        <w:tc>
          <w:tcPr>
            <w:tcW w:w="469" w:type="pct"/>
            <w:shd w:val="clear" w:color="auto" w:fill="auto"/>
            <w:vAlign w:val="center"/>
          </w:tcPr>
          <w:p w14:paraId="14EB7061">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 xml:space="preserve">1508.80 </w:t>
            </w:r>
          </w:p>
        </w:tc>
        <w:tc>
          <w:tcPr>
            <w:tcW w:w="480" w:type="pct"/>
            <w:shd w:val="clear" w:color="auto" w:fill="auto"/>
            <w:noWrap/>
            <w:vAlign w:val="center"/>
          </w:tcPr>
          <w:p w14:paraId="464B88A2">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96" w:type="pct"/>
            <w:shd w:val="clear" w:color="auto" w:fill="auto"/>
            <w:noWrap/>
            <w:vAlign w:val="center"/>
          </w:tcPr>
          <w:p w14:paraId="5294F49F">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79" w:type="pct"/>
            <w:shd w:val="clear" w:color="auto" w:fill="auto"/>
            <w:noWrap/>
            <w:vAlign w:val="center"/>
          </w:tcPr>
          <w:p w14:paraId="66931B93">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95" w:type="pct"/>
            <w:shd w:val="clear" w:color="auto" w:fill="auto"/>
            <w:noWrap/>
            <w:vAlign w:val="center"/>
          </w:tcPr>
          <w:p w14:paraId="1A68A944">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80" w:type="pct"/>
            <w:shd w:val="clear" w:color="auto" w:fill="auto"/>
            <w:noWrap/>
            <w:vAlign w:val="center"/>
          </w:tcPr>
          <w:p w14:paraId="0AB50BF0">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85" w:type="pct"/>
            <w:shd w:val="clear" w:color="auto" w:fill="auto"/>
            <w:noWrap/>
            <w:vAlign w:val="center"/>
          </w:tcPr>
          <w:p w14:paraId="2E10C37E">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r>
      <w:tr w14:paraId="51BA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26" w:type="pct"/>
            <w:shd w:val="clear" w:color="auto" w:fill="auto"/>
            <w:vAlign w:val="center"/>
          </w:tcPr>
          <w:p w14:paraId="405BAFB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4</w:t>
            </w:r>
          </w:p>
        </w:tc>
        <w:tc>
          <w:tcPr>
            <w:tcW w:w="736" w:type="pct"/>
            <w:shd w:val="clear" w:color="auto" w:fill="auto"/>
            <w:vAlign w:val="center"/>
          </w:tcPr>
          <w:p w14:paraId="05AD389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聚乙烯管PE100</w:t>
            </w:r>
          </w:p>
        </w:tc>
        <w:tc>
          <w:tcPr>
            <w:tcW w:w="466" w:type="pct"/>
            <w:shd w:val="clear" w:color="auto" w:fill="auto"/>
            <w:vAlign w:val="center"/>
          </w:tcPr>
          <w:p w14:paraId="6B892AE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dn200</w:t>
            </w:r>
          </w:p>
        </w:tc>
        <w:tc>
          <w:tcPr>
            <w:tcW w:w="281" w:type="pct"/>
            <w:shd w:val="clear" w:color="auto" w:fill="auto"/>
            <w:noWrap/>
            <w:vAlign w:val="center"/>
          </w:tcPr>
          <w:p w14:paraId="5F97C1D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m</w:t>
            </w:r>
          </w:p>
        </w:tc>
        <w:tc>
          <w:tcPr>
            <w:tcW w:w="469" w:type="pct"/>
            <w:shd w:val="clear" w:color="auto" w:fill="auto"/>
            <w:vAlign w:val="center"/>
          </w:tcPr>
          <w:p w14:paraId="22392CB0">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 xml:space="preserve">4946.00 </w:t>
            </w:r>
          </w:p>
        </w:tc>
        <w:tc>
          <w:tcPr>
            <w:tcW w:w="480" w:type="pct"/>
            <w:shd w:val="clear" w:color="auto" w:fill="auto"/>
            <w:noWrap/>
            <w:vAlign w:val="center"/>
          </w:tcPr>
          <w:p w14:paraId="53D0163E">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96" w:type="pct"/>
            <w:shd w:val="clear" w:color="auto" w:fill="auto"/>
            <w:noWrap/>
            <w:vAlign w:val="center"/>
          </w:tcPr>
          <w:p w14:paraId="152BE7F8">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79" w:type="pct"/>
            <w:shd w:val="clear" w:color="auto" w:fill="auto"/>
            <w:noWrap/>
            <w:vAlign w:val="center"/>
          </w:tcPr>
          <w:p w14:paraId="0C72973C">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95" w:type="pct"/>
            <w:shd w:val="clear" w:color="auto" w:fill="auto"/>
            <w:noWrap/>
            <w:vAlign w:val="center"/>
          </w:tcPr>
          <w:p w14:paraId="787DE228">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80" w:type="pct"/>
            <w:shd w:val="clear" w:color="auto" w:fill="auto"/>
            <w:noWrap/>
            <w:vAlign w:val="center"/>
          </w:tcPr>
          <w:p w14:paraId="6BAF5FE8">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85" w:type="pct"/>
            <w:shd w:val="clear" w:color="auto" w:fill="auto"/>
            <w:noWrap/>
            <w:vAlign w:val="center"/>
          </w:tcPr>
          <w:p w14:paraId="248558F1">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r>
      <w:tr w14:paraId="315C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26" w:type="pct"/>
            <w:shd w:val="clear" w:color="auto" w:fill="auto"/>
            <w:vAlign w:val="center"/>
          </w:tcPr>
          <w:p w14:paraId="3EFE340A">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5</w:t>
            </w:r>
          </w:p>
        </w:tc>
        <w:tc>
          <w:tcPr>
            <w:tcW w:w="736" w:type="pct"/>
            <w:shd w:val="clear" w:color="auto" w:fill="auto"/>
            <w:vAlign w:val="center"/>
          </w:tcPr>
          <w:p w14:paraId="546DE00A">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聚乙烯管PE100</w:t>
            </w:r>
          </w:p>
        </w:tc>
        <w:tc>
          <w:tcPr>
            <w:tcW w:w="466" w:type="pct"/>
            <w:shd w:val="clear" w:color="auto" w:fill="auto"/>
            <w:vAlign w:val="center"/>
          </w:tcPr>
          <w:p w14:paraId="4EB3E45B">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dn160</w:t>
            </w:r>
          </w:p>
        </w:tc>
        <w:tc>
          <w:tcPr>
            <w:tcW w:w="281" w:type="pct"/>
            <w:shd w:val="clear" w:color="auto" w:fill="auto"/>
            <w:noWrap/>
            <w:vAlign w:val="center"/>
          </w:tcPr>
          <w:p w14:paraId="29346989">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m</w:t>
            </w:r>
          </w:p>
        </w:tc>
        <w:tc>
          <w:tcPr>
            <w:tcW w:w="469" w:type="pct"/>
            <w:shd w:val="clear" w:color="auto" w:fill="auto"/>
            <w:vAlign w:val="center"/>
          </w:tcPr>
          <w:p w14:paraId="7895AF05">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 xml:space="preserve">2442.90 </w:t>
            </w:r>
          </w:p>
        </w:tc>
        <w:tc>
          <w:tcPr>
            <w:tcW w:w="480" w:type="pct"/>
            <w:shd w:val="clear" w:color="auto" w:fill="auto"/>
            <w:noWrap/>
            <w:vAlign w:val="center"/>
          </w:tcPr>
          <w:p w14:paraId="4BD8F639">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96" w:type="pct"/>
            <w:shd w:val="clear" w:color="auto" w:fill="auto"/>
            <w:noWrap/>
            <w:vAlign w:val="center"/>
          </w:tcPr>
          <w:p w14:paraId="453BC978">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79" w:type="pct"/>
            <w:shd w:val="clear" w:color="auto" w:fill="auto"/>
            <w:noWrap/>
            <w:vAlign w:val="center"/>
          </w:tcPr>
          <w:p w14:paraId="66A88AA4">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95" w:type="pct"/>
            <w:shd w:val="clear" w:color="auto" w:fill="auto"/>
            <w:noWrap/>
            <w:vAlign w:val="center"/>
          </w:tcPr>
          <w:p w14:paraId="6532D563">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80" w:type="pct"/>
            <w:shd w:val="clear" w:color="auto" w:fill="auto"/>
            <w:noWrap/>
            <w:vAlign w:val="center"/>
          </w:tcPr>
          <w:p w14:paraId="22E12EC7">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85" w:type="pct"/>
            <w:shd w:val="clear" w:color="auto" w:fill="auto"/>
            <w:noWrap/>
            <w:vAlign w:val="center"/>
          </w:tcPr>
          <w:p w14:paraId="70DC3283">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r>
      <w:tr w14:paraId="629A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26" w:type="pct"/>
            <w:shd w:val="clear" w:color="auto" w:fill="auto"/>
            <w:vAlign w:val="center"/>
          </w:tcPr>
          <w:p w14:paraId="5FB4D6D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6</w:t>
            </w:r>
          </w:p>
        </w:tc>
        <w:tc>
          <w:tcPr>
            <w:tcW w:w="736" w:type="pct"/>
            <w:shd w:val="clear" w:color="auto" w:fill="auto"/>
            <w:vAlign w:val="center"/>
          </w:tcPr>
          <w:p w14:paraId="22ADBD9D">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聚乙烯管PE100</w:t>
            </w:r>
          </w:p>
        </w:tc>
        <w:tc>
          <w:tcPr>
            <w:tcW w:w="466" w:type="pct"/>
            <w:shd w:val="clear" w:color="auto" w:fill="auto"/>
            <w:vAlign w:val="center"/>
          </w:tcPr>
          <w:p w14:paraId="723F6F8E">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dn110</w:t>
            </w:r>
          </w:p>
        </w:tc>
        <w:tc>
          <w:tcPr>
            <w:tcW w:w="281" w:type="pct"/>
            <w:shd w:val="clear" w:color="auto" w:fill="auto"/>
            <w:noWrap/>
            <w:vAlign w:val="center"/>
          </w:tcPr>
          <w:p w14:paraId="333028BF">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m</w:t>
            </w:r>
          </w:p>
        </w:tc>
        <w:tc>
          <w:tcPr>
            <w:tcW w:w="469" w:type="pct"/>
            <w:shd w:val="clear" w:color="auto" w:fill="auto"/>
            <w:vAlign w:val="center"/>
          </w:tcPr>
          <w:p w14:paraId="594462C6">
            <w:pPr>
              <w:widowControl/>
              <w:jc w:val="center"/>
              <w:textAlignment w:val="cente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val="en-US" w:eastAsia="zh-CN" w:bidi="ar"/>
                <w14:textFill>
                  <w14:solidFill>
                    <w14:schemeClr w14:val="tx1"/>
                  </w14:solidFill>
                </w14:textFill>
              </w:rPr>
              <w:t xml:space="preserve">13023.40 </w:t>
            </w:r>
          </w:p>
        </w:tc>
        <w:tc>
          <w:tcPr>
            <w:tcW w:w="480" w:type="pct"/>
            <w:shd w:val="clear" w:color="auto" w:fill="auto"/>
            <w:noWrap/>
            <w:vAlign w:val="center"/>
          </w:tcPr>
          <w:p w14:paraId="22BDEFDC">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96" w:type="pct"/>
            <w:shd w:val="clear" w:color="auto" w:fill="auto"/>
            <w:noWrap/>
            <w:vAlign w:val="center"/>
          </w:tcPr>
          <w:p w14:paraId="2FFC5828">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79" w:type="pct"/>
            <w:shd w:val="clear" w:color="auto" w:fill="auto"/>
            <w:noWrap/>
            <w:vAlign w:val="center"/>
          </w:tcPr>
          <w:p w14:paraId="461FFCB2">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95" w:type="pct"/>
            <w:shd w:val="clear" w:color="auto" w:fill="auto"/>
            <w:noWrap/>
            <w:vAlign w:val="center"/>
          </w:tcPr>
          <w:p w14:paraId="62216B91">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80" w:type="pct"/>
            <w:shd w:val="clear" w:color="auto" w:fill="auto"/>
            <w:noWrap/>
            <w:vAlign w:val="center"/>
          </w:tcPr>
          <w:p w14:paraId="1515DBF9">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85" w:type="pct"/>
            <w:shd w:val="clear" w:color="auto" w:fill="auto"/>
            <w:noWrap/>
            <w:vAlign w:val="center"/>
          </w:tcPr>
          <w:p w14:paraId="7812AAE5">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r>
      <w:tr w14:paraId="2D0C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exact"/>
          <w:jc w:val="center"/>
        </w:trPr>
        <w:tc>
          <w:tcPr>
            <w:tcW w:w="326" w:type="pct"/>
            <w:shd w:val="clear" w:color="auto" w:fill="auto"/>
            <w:vAlign w:val="center"/>
          </w:tcPr>
          <w:p w14:paraId="67F0D9D9">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highlight w:val="none"/>
                <w:lang w:bidi="ar"/>
                <w14:textFill>
                  <w14:solidFill>
                    <w14:schemeClr w14:val="tx1"/>
                  </w14:solidFill>
                </w14:textFill>
              </w:rPr>
              <w:t>合计</w:t>
            </w:r>
          </w:p>
        </w:tc>
        <w:tc>
          <w:tcPr>
            <w:tcW w:w="736" w:type="pct"/>
            <w:shd w:val="clear" w:color="auto" w:fill="auto"/>
            <w:vAlign w:val="center"/>
          </w:tcPr>
          <w:p w14:paraId="3625C004">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p>
        </w:tc>
        <w:tc>
          <w:tcPr>
            <w:tcW w:w="466" w:type="pct"/>
            <w:shd w:val="clear" w:color="auto" w:fill="auto"/>
            <w:vAlign w:val="center"/>
          </w:tcPr>
          <w:p w14:paraId="3B26CE7E">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p>
        </w:tc>
        <w:tc>
          <w:tcPr>
            <w:tcW w:w="281" w:type="pct"/>
            <w:shd w:val="clear" w:color="auto" w:fill="auto"/>
            <w:noWrap/>
            <w:vAlign w:val="center"/>
          </w:tcPr>
          <w:p w14:paraId="67BA0F85">
            <w:pPr>
              <w:widowControl/>
              <w:jc w:val="center"/>
              <w:textAlignment w:val="center"/>
              <w:rPr>
                <w:rFonts w:ascii="仿宋_GB2312" w:hAnsi="仿宋_GB2312" w:eastAsia="仿宋_GB2312" w:cs="仿宋_GB2312"/>
                <w:color w:val="000000" w:themeColor="text1"/>
                <w:kern w:val="0"/>
                <w:sz w:val="18"/>
                <w:szCs w:val="18"/>
                <w:highlight w:val="none"/>
                <w:lang w:bidi="ar"/>
                <w14:textFill>
                  <w14:solidFill>
                    <w14:schemeClr w14:val="tx1"/>
                  </w14:solidFill>
                </w14:textFill>
              </w:rPr>
            </w:pPr>
          </w:p>
        </w:tc>
        <w:tc>
          <w:tcPr>
            <w:tcW w:w="469" w:type="pct"/>
            <w:shd w:val="clear" w:color="auto" w:fill="auto"/>
            <w:vAlign w:val="center"/>
          </w:tcPr>
          <w:p w14:paraId="4842269E">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80" w:type="pct"/>
            <w:shd w:val="clear" w:color="auto" w:fill="auto"/>
            <w:noWrap/>
            <w:vAlign w:val="center"/>
          </w:tcPr>
          <w:p w14:paraId="52C3D1BE">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96" w:type="pct"/>
            <w:shd w:val="clear" w:color="auto" w:fill="auto"/>
            <w:noWrap/>
            <w:vAlign w:val="center"/>
          </w:tcPr>
          <w:p w14:paraId="75AF42ED">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79" w:type="pct"/>
            <w:shd w:val="clear" w:color="auto" w:fill="auto"/>
            <w:noWrap/>
            <w:vAlign w:val="center"/>
          </w:tcPr>
          <w:p w14:paraId="46711734">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495" w:type="pct"/>
            <w:shd w:val="clear" w:color="auto" w:fill="auto"/>
            <w:noWrap/>
            <w:vAlign w:val="center"/>
          </w:tcPr>
          <w:p w14:paraId="4FADCFF0">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580" w:type="pct"/>
            <w:shd w:val="clear" w:color="auto" w:fill="auto"/>
            <w:noWrap/>
            <w:vAlign w:val="center"/>
          </w:tcPr>
          <w:p w14:paraId="7F962559">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c>
          <w:tcPr>
            <w:tcW w:w="285" w:type="pct"/>
            <w:shd w:val="clear" w:color="auto" w:fill="auto"/>
            <w:noWrap/>
            <w:vAlign w:val="center"/>
          </w:tcPr>
          <w:p w14:paraId="3DCAEE05">
            <w:pPr>
              <w:widowControl/>
              <w:spacing w:line="400" w:lineRule="atLeast"/>
              <w:jc w:val="center"/>
              <w:rPr>
                <w:rFonts w:ascii="仿宋_GB2312" w:hAnsi="仿宋_GB2312" w:eastAsia="仿宋_GB2312" w:cs="仿宋_GB2312"/>
                <w:color w:val="000000" w:themeColor="text1"/>
                <w:sz w:val="18"/>
                <w:szCs w:val="18"/>
                <w:highlight w:val="none"/>
                <w14:textFill>
                  <w14:solidFill>
                    <w14:schemeClr w14:val="tx1"/>
                  </w14:solidFill>
                </w14:textFill>
              </w:rPr>
            </w:pPr>
          </w:p>
        </w:tc>
      </w:tr>
      <w:tr w14:paraId="2661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00" w:type="pct"/>
            <w:gridSpan w:val="11"/>
            <w:shd w:val="clear" w:color="auto" w:fill="auto"/>
            <w:vAlign w:val="center"/>
          </w:tcPr>
          <w:p w14:paraId="26A6B8C0">
            <w:pPr>
              <w:widowControl/>
              <w:jc w:val="left"/>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宋体" w:eastAsia="仿宋_GB2312"/>
                <w:b/>
                <w:bCs/>
                <w:color w:val="000000" w:themeColor="text1"/>
                <w:sz w:val="18"/>
                <w:szCs w:val="18"/>
                <w:highlight w:val="none"/>
                <w14:textFill>
                  <w14:solidFill>
                    <w14:schemeClr w14:val="tx1"/>
                  </w14:solidFill>
                </w14:textFill>
              </w:rPr>
              <w:t>不含增值税总价（暂定）</w:t>
            </w:r>
            <w:r>
              <w:rPr>
                <w:rFonts w:hint="eastAsia" w:ascii="仿宋_GB2312" w:hAnsi="宋体" w:eastAsia="仿宋_GB2312"/>
                <w:color w:val="000000" w:themeColor="text1"/>
                <w:sz w:val="18"/>
                <w:szCs w:val="18"/>
                <w:highlight w:val="none"/>
                <w14:textFill>
                  <w14:solidFill>
                    <w14:schemeClr w14:val="tx1"/>
                  </w14:solidFill>
                </w14:textFill>
              </w:rPr>
              <w:t>：人民币</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宋体" w:eastAsia="仿宋_GB2312"/>
                <w:color w:val="000000" w:themeColor="text1"/>
                <w:sz w:val="18"/>
                <w:szCs w:val="18"/>
                <w:highlight w:val="none"/>
                <w14:textFill>
                  <w14:solidFill>
                    <w14:schemeClr w14:val="tx1"/>
                  </w14:solidFill>
                </w14:textFill>
              </w:rPr>
              <w:t>元（大写：</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宋体" w:eastAsia="仿宋_GB2312"/>
                <w:color w:val="000000" w:themeColor="text1"/>
                <w:sz w:val="18"/>
                <w:szCs w:val="18"/>
                <w:highlight w:val="none"/>
                <w14:textFill>
                  <w14:solidFill>
                    <w14:schemeClr w14:val="tx1"/>
                  </w14:solidFill>
                </w14:textFill>
              </w:rPr>
              <w:t>元 ）；</w:t>
            </w:r>
          </w:p>
        </w:tc>
      </w:tr>
      <w:tr w14:paraId="38CA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6E37E7C7">
            <w:pPr>
              <w:widowControl/>
              <w:jc w:val="left"/>
              <w:rPr>
                <w:rFonts w:ascii="仿宋_GB2312" w:hAnsi="仿宋_GB2312" w:eastAsia="仿宋_GB2312" w:cs="仿宋_GB2312"/>
                <w:color w:val="000000" w:themeColor="text1"/>
                <w:sz w:val="18"/>
                <w:szCs w:val="18"/>
                <w:highlight w:val="none"/>
                <w14:textFill>
                  <w14:solidFill>
                    <w14:schemeClr w14:val="tx1"/>
                  </w14:solidFill>
                </w14:textFill>
              </w:rPr>
            </w:pPr>
            <w:r>
              <w:rPr>
                <w:rFonts w:hint="eastAsia" w:ascii="仿宋_GB2312" w:hAnsi="宋体" w:eastAsia="仿宋_GB2312"/>
                <w:b/>
                <w:bCs/>
                <w:color w:val="000000" w:themeColor="text1"/>
                <w:sz w:val="18"/>
                <w:szCs w:val="18"/>
                <w:highlight w:val="none"/>
                <w14:textFill>
                  <w14:solidFill>
                    <w14:schemeClr w14:val="tx1"/>
                  </w14:solidFill>
                </w14:textFill>
              </w:rPr>
              <w:t>含增值税总价（暂定）</w:t>
            </w:r>
            <w:r>
              <w:rPr>
                <w:rFonts w:hint="eastAsia" w:ascii="仿宋_GB2312" w:hAnsi="宋体" w:eastAsia="仿宋_GB2312"/>
                <w:color w:val="000000" w:themeColor="text1"/>
                <w:sz w:val="18"/>
                <w:szCs w:val="18"/>
                <w:highlight w:val="none"/>
                <w14:textFill>
                  <w14:solidFill>
                    <w14:schemeClr w14:val="tx1"/>
                  </w14:solidFill>
                </w14:textFill>
              </w:rPr>
              <w:t>：</w:t>
            </w:r>
            <w:r>
              <w:rPr>
                <w:rFonts w:hint="eastAsia" w:ascii="仿宋_GB2312" w:hAnsi="仿宋_GB2312" w:eastAsia="仿宋_GB2312" w:cs="仿宋_GB2312"/>
                <w:color w:val="000000" w:themeColor="text1"/>
                <w:sz w:val="18"/>
                <w:szCs w:val="18"/>
                <w:highlight w:val="none"/>
                <w14:textFill>
                  <w14:solidFill>
                    <w14:schemeClr w14:val="tx1"/>
                  </w14:solidFill>
                </w14:textFill>
              </w:rPr>
              <w:t>不含增值税暂定总价*（1+增值税税率）=</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14:textFill>
                  <w14:solidFill>
                    <w14:schemeClr w14:val="tx1"/>
                  </w14:solidFill>
                </w14:textFill>
              </w:rPr>
              <w:t>元（大写：</w:t>
            </w:r>
            <w:r>
              <w:rPr>
                <w:rFonts w:hint="eastAsia" w:ascii="仿宋_GB2312" w:hAnsi="仿宋_GB2312" w:eastAsia="仿宋_GB2312" w:cs="仿宋_GB2312"/>
                <w:color w:val="000000" w:themeColor="text1"/>
                <w:sz w:val="18"/>
                <w:szCs w:val="18"/>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highlight w:val="none"/>
                <w14:textFill>
                  <w14:solidFill>
                    <w14:schemeClr w14:val="tx1"/>
                  </w14:solidFill>
                </w14:textFill>
              </w:rPr>
              <w:t>元）</w:t>
            </w:r>
          </w:p>
        </w:tc>
      </w:tr>
      <w:permEnd w:id="9"/>
    </w:tbl>
    <w:p w14:paraId="748A5529">
      <w:pPr>
        <w:pStyle w:val="12"/>
        <w:spacing w:line="400" w:lineRule="atLeast"/>
        <w:ind w:left="479" w:leftChars="228"/>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说明：</w:t>
      </w:r>
    </w:p>
    <w:p w14:paraId="4C42371A">
      <w:pPr>
        <w:pStyle w:val="12"/>
        <w:numPr>
          <w:ilvl w:val="0"/>
          <w:numId w:val="2"/>
        </w:numPr>
        <w:spacing w:line="400" w:lineRule="atLeast"/>
        <w:ind w:firstLine="482" w:firstLineChars="200"/>
        <w:rPr>
          <w:rFonts w:hint="eastAsia"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合同单价：</w:t>
      </w:r>
      <w:r>
        <w:rPr>
          <w:rFonts w:hint="eastAsia" w:ascii="仿宋_GB2312" w:hAnsi="仿宋_GB2312" w:eastAsia="仿宋_GB2312" w:cs="仿宋_GB2312"/>
          <w:color w:val="000000" w:themeColor="text1"/>
          <w:highlight w:val="yellow"/>
          <w14:textFill>
            <w14:solidFill>
              <w14:schemeClr w14:val="tx1"/>
            </w14:solidFill>
          </w14:textFill>
        </w:rPr>
        <w:t>本合同综合单价适用第</w:t>
      </w:r>
      <w:permStart w:id="10" w:edGrp="everyone"/>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1.1  </w:t>
      </w:r>
      <w:permEnd w:id="10"/>
      <w:r>
        <w:rPr>
          <w:rFonts w:hint="eastAsia" w:ascii="仿宋_GB2312" w:hAnsi="仿宋_GB2312" w:eastAsia="仿宋_GB2312" w:cs="仿宋_GB2312"/>
          <w:color w:val="000000" w:themeColor="text1"/>
          <w:highlight w:val="yellow"/>
          <w14:textFill>
            <w14:solidFill>
              <w14:schemeClr w14:val="tx1"/>
            </w14:solidFill>
          </w14:textFill>
        </w:rPr>
        <w:t>条</w:t>
      </w:r>
    </w:p>
    <w:p w14:paraId="7B9BC213">
      <w:pPr>
        <w:pStyle w:val="12"/>
        <w:numPr>
          <w:ilvl w:val="255"/>
          <w:numId w:val="0"/>
        </w:numPr>
        <w:spacing w:line="400" w:lineRule="atLeast"/>
        <w:ind w:firstLine="482" w:firstLineChars="200"/>
        <w:outlineLvl w:val="2"/>
        <w:rPr>
          <w:rFonts w:hint="eastAsia" w:ascii="仿宋_GB2312" w:hAnsi="仿宋_GB2312" w:eastAsia="仿宋_GB2312" w:cs="仿宋_GB2312"/>
          <w:b/>
          <w:bCs/>
          <w:color w:val="000000" w:themeColor="text1"/>
          <w:highlight w:val="none"/>
          <w:u w:val="singl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w:t>
      </w:r>
      <w:r>
        <w:rPr>
          <w:rFonts w:hint="eastAsia" w:ascii="仿宋_GB2312" w:hAnsi="仿宋_GB2312" w:eastAsia="仿宋_GB2312" w:cs="仿宋_GB2312"/>
          <w:b/>
          <w:bCs/>
          <w:color w:val="000000" w:themeColor="text1"/>
          <w:highlight w:val="none"/>
          <w14:textFill>
            <w14:solidFill>
              <w14:schemeClr w14:val="tx1"/>
            </w14:solidFill>
          </w14:textFill>
        </w:rPr>
        <w:t>本合同为</w:t>
      </w:r>
      <w:r>
        <w:rPr>
          <w:rFonts w:hint="eastAsia" w:ascii="仿宋_GB2312" w:hAnsi="仿宋_GB2312" w:eastAsia="仿宋_GB2312" w:cs="仿宋_GB2312"/>
          <w:b/>
          <w:bCs/>
          <w:color w:val="000000" w:themeColor="text1"/>
          <w:highlight w:val="none"/>
          <w:lang w:eastAsia="zh-Hans"/>
          <w14:textFill>
            <w14:solidFill>
              <w14:schemeClr w14:val="tx1"/>
            </w14:solidFill>
          </w14:textFill>
        </w:rPr>
        <w:t>固定</w:t>
      </w:r>
      <w:r>
        <w:rPr>
          <w:rFonts w:hint="eastAsia" w:ascii="仿宋_GB2312" w:hAnsi="仿宋_GB2312" w:eastAsia="仿宋_GB2312" w:cs="仿宋_GB2312"/>
          <w:b/>
          <w:bCs/>
          <w:color w:val="000000" w:themeColor="text1"/>
          <w:highlight w:val="none"/>
          <w14:textFill>
            <w14:solidFill>
              <w14:schemeClr w14:val="tx1"/>
            </w14:solidFill>
          </w14:textFill>
        </w:rPr>
        <w:t>单价合同；</w:t>
      </w:r>
      <w:r>
        <w:rPr>
          <w:rFonts w:hint="eastAsia" w:ascii="仿宋_GB2312" w:hAnsi="仿宋_GB2312" w:eastAsia="仿宋_GB2312" w:cs="仿宋_GB2312"/>
          <w:b/>
          <w:bCs/>
          <w:color w:val="000000" w:themeColor="text1"/>
          <w:highlight w:val="none"/>
          <w:u w:val="single"/>
          <w14:textFill>
            <w14:solidFill>
              <w14:schemeClr w14:val="tx1"/>
            </w14:solidFill>
          </w14:textFill>
        </w:rPr>
        <w:t>不</w:t>
      </w:r>
      <w:bookmarkStart w:id="10" w:name="_Hlk127188815"/>
      <w:r>
        <w:rPr>
          <w:rFonts w:hint="eastAsia" w:ascii="仿宋_GB2312" w:hAnsi="仿宋_GB2312" w:eastAsia="仿宋_GB2312" w:cs="仿宋_GB2312"/>
          <w:b/>
          <w:bCs/>
          <w:color w:val="000000" w:themeColor="text1"/>
          <w:highlight w:val="none"/>
          <w:u w:val="single"/>
          <w14:textFill>
            <w14:solidFill>
              <w14:schemeClr w14:val="tx1"/>
            </w14:solidFill>
          </w14:textFill>
        </w:rPr>
        <w:t>含增值税综合单价为物资运至工地的单价包括</w:t>
      </w:r>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但不限于</w:t>
      </w:r>
      <w:r>
        <w:rPr>
          <w:rFonts w:hint="eastAsia" w:ascii="仿宋_GB2312" w:hAnsi="仿宋_GB2312" w:eastAsia="仿宋_GB2312" w:cs="仿宋_GB2312"/>
          <w:b/>
          <w:bCs/>
          <w:color w:val="000000" w:themeColor="text1"/>
          <w:highlight w:val="none"/>
          <w:u w:val="single"/>
          <w14:textFill>
            <w14:solidFill>
              <w14:schemeClr w14:val="tx1"/>
            </w14:solidFill>
          </w14:textFill>
        </w:rPr>
        <w:t>材料费（或设备费）、包装回收费、卸货前损耗费、安装指导费、调试费、测试费（如有）、卸货前保管费（如有）、税金、包装费、上车人力及机械资费（由乙方自行协调，甲方只进行指定场地和材料验收工作）、出库费、出厂检测费（包括但不限于到场后的第三方检测费用）</w:t>
      </w:r>
      <w:r>
        <w:rPr>
          <w:rFonts w:hint="eastAsia" w:ascii="仿宋_GB2312" w:hAnsi="仿宋_GB2312" w:eastAsia="仿宋_GB2312" w:cs="仿宋_GB2312"/>
          <w:b/>
          <w:bCs/>
          <w:color w:val="000000" w:themeColor="text1"/>
          <w:highlight w:val="none"/>
          <w:u w:val="single"/>
          <w:lang w:eastAsia="zh-CN"/>
          <w14:textFill>
            <w14:solidFill>
              <w14:schemeClr w14:val="tx1"/>
            </w14:solidFill>
          </w14:textFill>
        </w:rPr>
        <w:t>、码放费、保险费、</w:t>
      </w:r>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中转</w:t>
      </w:r>
      <w:r>
        <w:rPr>
          <w:rFonts w:hint="eastAsia" w:ascii="仿宋_GB2312" w:hAnsi="仿宋_GB2312" w:eastAsia="仿宋_GB2312" w:cs="仿宋_GB2312"/>
          <w:b/>
          <w:bCs/>
          <w:color w:val="000000" w:themeColor="text1"/>
          <w:highlight w:val="none"/>
          <w:u w:val="single"/>
          <w:lang w:eastAsia="zh-CN"/>
          <w14:textFill>
            <w14:solidFill>
              <w14:schemeClr w14:val="tx1"/>
            </w14:solidFill>
          </w14:textFill>
        </w:rPr>
        <w:t>仓储费、驻厂监造费、运输造成的道路污染的清理及维修费用、</w:t>
      </w:r>
      <w:r>
        <w:rPr>
          <w:rFonts w:hint="eastAsia" w:ascii="仿宋_GB2312" w:hAnsi="仿宋_GB2312" w:eastAsia="仿宋_GB2312" w:cs="仿宋_GB2312"/>
          <w:b/>
          <w:bCs/>
          <w:color w:val="000000" w:themeColor="text1"/>
          <w:highlight w:val="none"/>
          <w:u w:val="single"/>
          <w14:textFill>
            <w14:solidFill>
              <w14:schemeClr w14:val="tx1"/>
            </w14:solidFill>
          </w14:textFill>
        </w:rPr>
        <w:t>出库吊装费、运输费、过江过桥费、高速公路费等，含工地卸货挂钩卸车人工费</w:t>
      </w:r>
      <w:r>
        <w:rPr>
          <w:rFonts w:hint="eastAsia" w:ascii="仿宋_GB2312" w:hAnsi="仿宋_GB2312" w:eastAsia="仿宋_GB2312" w:cs="仿宋_GB2312"/>
          <w:b/>
          <w:bCs/>
          <w:color w:val="000000" w:themeColor="text1"/>
          <w:highlight w:val="none"/>
          <w:u w:val="single"/>
          <w:lang w:eastAsia="zh-CN"/>
          <w14:textFill>
            <w14:solidFill>
              <w14:schemeClr w14:val="tx1"/>
            </w14:solidFill>
          </w14:textFill>
        </w:rPr>
        <w:t>、</w:t>
      </w:r>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资料费、财务费、</w:t>
      </w:r>
      <w:r>
        <w:rPr>
          <w:rFonts w:hint="eastAsia" w:ascii="仿宋_GB2312" w:hAnsi="仿宋_GB2312" w:eastAsia="仿宋_GB2312" w:cs="仿宋_GB2312"/>
          <w:b/>
          <w:bCs/>
          <w:color w:val="000000" w:themeColor="text1"/>
          <w:highlight w:val="none"/>
          <w:u w:val="single"/>
          <w14:textFill>
            <w14:solidFill>
              <w14:schemeClr w14:val="tx1"/>
            </w14:solidFill>
          </w14:textFill>
        </w:rPr>
        <w:t>乙方合理的利润、管理费、市场价格波动带来的风险、向有关部门缴纳的各项费用以及政策性文件所规定的各项应有费用等乙方履行本合同规定义务的全部价款与费税</w:t>
      </w:r>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等一切费用</w:t>
      </w:r>
      <w:r>
        <w:rPr>
          <w:rFonts w:hint="eastAsia" w:ascii="仿宋_GB2312" w:hAnsi="仿宋_GB2312" w:eastAsia="仿宋_GB2312" w:cs="仿宋_GB2312"/>
          <w:b/>
          <w:bCs/>
          <w:color w:val="000000" w:themeColor="text1"/>
          <w:highlight w:val="none"/>
          <w:u w:val="single"/>
          <w14:textFill>
            <w14:solidFill>
              <w14:schemeClr w14:val="tx1"/>
            </w14:solidFill>
          </w14:textFill>
        </w:rPr>
        <w:t>乙方不得以任何理由向甲方另行索要其它费用，除本合同规定的因素外，不得因政府政策变动、市场环境改变、增值税以外其他税费税率调整等而调整。除合同条款另有约定外，乙方在合同签订前和签订时已确定采用的专利、专有技术、技术秘密的使用费已包含在签约合同价中。</w:t>
      </w:r>
      <w:r>
        <w:rPr>
          <w:rFonts w:hint="eastAsia" w:ascii="仿宋_GB2312" w:hAnsi="仿宋_GB2312" w:eastAsia="仿宋_GB2312" w:cs="仿宋_GB2312"/>
          <w:b/>
          <w:bCs/>
          <w:color w:val="000000" w:themeColor="text1"/>
          <w:highlight w:val="none"/>
          <w14:textFill>
            <w14:solidFill>
              <w14:schemeClr w14:val="tx1"/>
            </w14:solidFill>
          </w14:textFill>
        </w:rPr>
        <w:t>“</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不含税</w:t>
      </w:r>
      <w:r>
        <w:rPr>
          <w:rFonts w:hint="eastAsia" w:ascii="仿宋_GB2312" w:hAnsi="仿宋_GB2312" w:eastAsia="仿宋_GB2312" w:cs="仿宋_GB2312"/>
          <w:b/>
          <w:bCs/>
          <w:color w:val="000000" w:themeColor="text1"/>
          <w:highlight w:val="none"/>
          <w14:textFill>
            <w14:solidFill>
              <w14:schemeClr w14:val="tx1"/>
            </w14:solidFill>
          </w14:textFill>
        </w:rPr>
        <w:t>综合单价”为固定单价，即不受市场变化影响，且无论进场数量多少价格亦不发生变化</w:t>
      </w:r>
      <w:r>
        <w:rPr>
          <w:rFonts w:hint="eastAsia" w:ascii="仿宋_GB2312" w:hAnsi="仿宋_GB2312" w:eastAsia="仿宋_GB2312" w:cs="仿宋_GB2312"/>
          <w:b/>
          <w:bCs/>
          <w:color w:val="000000" w:themeColor="text1"/>
          <w:highlight w:val="none"/>
          <w:lang w:eastAsia="zh-CN"/>
          <w14:textFill>
            <w14:solidFill>
              <w14:schemeClr w14:val="tx1"/>
            </w14:solidFill>
          </w14:textFill>
        </w:rPr>
        <w:t>。</w:t>
      </w:r>
    </w:p>
    <w:p w14:paraId="7809F5FA">
      <w:pPr>
        <w:pStyle w:val="12"/>
        <w:numPr>
          <w:ilvl w:val="0"/>
          <w:numId w:val="0"/>
        </w:numPr>
        <w:spacing w:before="120" w:beforeLines="50" w:after="120" w:afterLines="50" w:line="400" w:lineRule="atLeast"/>
        <w:ind w:firstLine="482" w:firstLineChars="200"/>
        <w:outlineLvl w:val="0"/>
        <w:rPr>
          <w:rFonts w:hint="default" w:ascii="仿宋_GB2312" w:hAnsi="仿宋_GB2312" w:eastAsia="仿宋_GB2312" w:cs="仿宋_GB2312"/>
          <w:b/>
          <w:bCs/>
          <w:color w:val="000000" w:themeColor="text1"/>
          <w:highlight w:val="none"/>
          <w:u w:val="single"/>
          <w:lang w:val="en-US" w:eastAsia="zh-CN"/>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1.2</w:t>
      </w: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其他：</w:t>
      </w:r>
      <w:permStart w:id="11" w:edGrp="everyone"/>
      <w:r>
        <w:rPr>
          <w:rFonts w:hint="eastAsia" w:ascii="仿宋_GB2312" w:hAnsi="仿宋_GB2312" w:eastAsia="仿宋_GB2312" w:cs="仿宋_GB2312"/>
          <w:b/>
          <w:bCs/>
          <w:color w:val="000000" w:themeColor="text1"/>
          <w:kern w:val="0"/>
          <w:sz w:val="24"/>
          <w:szCs w:val="24"/>
          <w:highlight w:val="none"/>
          <w:u w:val="single"/>
          <w:lang w:val="en-US" w:eastAsia="zh-CN"/>
          <w14:textFill>
            <w14:solidFill>
              <w14:schemeClr w14:val="tx1"/>
            </w14:solidFill>
          </w14:textFill>
        </w:rPr>
        <w:t xml:space="preserve"> / </w:t>
      </w:r>
      <w:permEnd w:id="11"/>
    </w:p>
    <w:p w14:paraId="4F20F2F5">
      <w:pPr>
        <w:pStyle w:val="12"/>
        <w:numPr>
          <w:ilvl w:val="0"/>
          <w:numId w:val="2"/>
        </w:numPr>
        <w:spacing w:line="400" w:lineRule="atLeast"/>
        <w:ind w:firstLine="482" w:firstLineChars="200"/>
        <w:rPr>
          <w:rFonts w:hint="eastAsia"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乙方所供物资必须为</w:t>
      </w:r>
      <w:permStart w:id="12" w:edGrp="everyone"/>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 xml:space="preserve"> / </w:t>
      </w:r>
      <w:permEnd w:id="12"/>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公司生产产品。</w:t>
      </w:r>
    </w:p>
    <w:p w14:paraId="4AAF5B27">
      <w:pPr>
        <w:pStyle w:val="12"/>
        <w:numPr>
          <w:ilvl w:val="0"/>
          <w:numId w:val="2"/>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合同工程量：</w:t>
      </w:r>
    </w:p>
    <w:p w14:paraId="47DCD1C2">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3.1</w:t>
      </w:r>
      <w:r>
        <w:rPr>
          <w:rFonts w:hint="eastAsia" w:ascii="仿宋_GB2312" w:hAnsi="仿宋_GB2312" w:eastAsia="仿宋_GB2312" w:cs="仿宋_GB2312"/>
          <w:color w:val="000000" w:themeColor="text1"/>
          <w:highlight w:val="none"/>
          <w14:textFill>
            <w14:solidFill>
              <w14:schemeClr w14:val="tx1"/>
            </w14:solidFill>
          </w14:textFill>
        </w:rPr>
        <w:t>本合同中约定货物工程量为暂定数量；甲乙双方最终结算数量以甲方最终签收的实际数量，并依据合同约定扣除不合格产品、损失等费用后的书面结算数额为准，</w:t>
      </w:r>
      <w:r>
        <w:rPr>
          <w:rFonts w:hint="eastAsia" w:ascii="仿宋_GB2312" w:hAnsi="仿宋_GB2312" w:eastAsia="仿宋_GB2312" w:cs="仿宋_GB2312"/>
          <w:b/>
          <w:bCs/>
          <w:color w:val="000000" w:themeColor="text1"/>
          <w:highlight w:val="none"/>
          <w14:textFill>
            <w14:solidFill>
              <w14:schemeClr w14:val="tx1"/>
            </w14:solidFill>
          </w14:textFill>
        </w:rPr>
        <w:t>乙方不得以合同暂定数量或合同暂定总金额为依据要求甲方支付任何款项，否则按合同第二部分第二条违约条款承担违约责任。</w:t>
      </w:r>
      <w:bookmarkEnd w:id="10"/>
      <w:r>
        <w:rPr>
          <w:rFonts w:hint="eastAsia" w:ascii="仿宋_GB2312" w:hAnsi="仿宋_GB2312" w:eastAsia="仿宋_GB2312" w:cs="仿宋_GB2312"/>
          <w:b/>
          <w:bCs/>
          <w:color w:val="000000" w:themeColor="text1"/>
          <w:highlight w:val="none"/>
          <w14:textFill>
            <w14:solidFill>
              <w14:schemeClr w14:val="tx1"/>
            </w14:solidFill>
          </w14:textFill>
        </w:rPr>
        <w:t xml:space="preserve">   </w:t>
      </w:r>
    </w:p>
    <w:p w14:paraId="7655C09B">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11" w:name="_Toc13168"/>
      <w:bookmarkStart w:id="12" w:name="_Toc23444"/>
      <w:bookmarkStart w:id="13" w:name="_Toc15703"/>
      <w:r>
        <w:rPr>
          <w:rFonts w:hint="eastAsia" w:ascii="仿宋_GB2312" w:hAnsi="仿宋_GB2312" w:eastAsia="仿宋_GB2312" w:cs="仿宋_GB2312"/>
          <w:b/>
          <w:bCs/>
          <w:color w:val="000000" w:themeColor="text1"/>
          <w:highlight w:val="none"/>
          <w14:textFill>
            <w14:solidFill>
              <w14:schemeClr w14:val="tx1"/>
            </w14:solidFill>
          </w14:textFill>
        </w:rPr>
        <w:t>货物供应</w:t>
      </w:r>
      <w:bookmarkEnd w:id="11"/>
      <w:bookmarkEnd w:id="12"/>
      <w:bookmarkEnd w:id="13"/>
    </w:p>
    <w:p w14:paraId="1E8E635C">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1、交货方式：</w:t>
      </w:r>
      <w:r>
        <w:rPr>
          <w:rFonts w:hint="eastAsia" w:ascii="仿宋_GB2312" w:hAnsi="仿宋_GB2312" w:eastAsia="仿宋_GB2312" w:cs="仿宋_GB2312"/>
          <w:color w:val="000000" w:themeColor="text1"/>
          <w:highlight w:val="none"/>
          <w14:textFill>
            <w14:solidFill>
              <w14:schemeClr w14:val="tx1"/>
            </w14:solidFill>
          </w14:textFill>
        </w:rPr>
        <w:t>双方协商一致，执行第</w:t>
      </w:r>
      <w:permStart w:id="13"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1.1</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13"/>
      <w:r>
        <w:rPr>
          <w:rFonts w:hint="eastAsia" w:ascii="仿宋_GB2312" w:hAnsi="仿宋_GB2312" w:eastAsia="仿宋_GB2312" w:cs="仿宋_GB2312"/>
          <w:color w:val="000000" w:themeColor="text1"/>
          <w:highlight w:val="none"/>
          <w14:textFill>
            <w14:solidFill>
              <w14:schemeClr w14:val="tx1"/>
            </w14:solidFill>
          </w14:textFill>
        </w:rPr>
        <w:t>种交货方式；</w:t>
      </w:r>
    </w:p>
    <w:p w14:paraId="3AAFC54C">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1.1送货卸车：</w:t>
      </w:r>
      <w:r>
        <w:rPr>
          <w:rFonts w:hint="eastAsia" w:ascii="仿宋_GB2312" w:hAnsi="仿宋_GB2312" w:eastAsia="仿宋_GB2312" w:cs="仿宋_GB2312"/>
          <w:color w:val="000000" w:themeColor="text1"/>
          <w:highlight w:val="none"/>
          <w14:textFill>
            <w14:solidFill>
              <w14:schemeClr w14:val="tx1"/>
            </w14:solidFill>
          </w14:textFill>
        </w:rPr>
        <w:t>乙方送货至甲方指定地点；合同综合单价已含卸车费用，卸车工作由乙方负责，若由甲方负责卸车，发生的相应费用结算款中扣除。</w:t>
      </w:r>
    </w:p>
    <w:p w14:paraId="69087D49">
      <w:pPr>
        <w:pStyle w:val="12"/>
        <w:spacing w:line="400" w:lineRule="atLeast"/>
        <w:ind w:firstLine="482" w:firstLineChars="200"/>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1.2送货不卸车：</w:t>
      </w:r>
      <w:r>
        <w:rPr>
          <w:rFonts w:hint="eastAsia" w:ascii="仿宋_GB2312" w:hAnsi="仿宋_GB2312" w:eastAsia="仿宋_GB2312" w:cs="仿宋_GB2312"/>
          <w:color w:val="000000" w:themeColor="text1"/>
          <w:highlight w:val="none"/>
          <w14:textFill>
            <w14:solidFill>
              <w14:schemeClr w14:val="tx1"/>
            </w14:solidFill>
          </w14:textFill>
        </w:rPr>
        <w:t>合同综合单价不含卸车费用，卸车工作由甲方组织。</w:t>
      </w:r>
    </w:p>
    <w:p w14:paraId="1AA75640">
      <w:pPr>
        <w:pStyle w:val="12"/>
        <w:spacing w:line="400" w:lineRule="atLeast"/>
        <w:ind w:firstLine="482" w:firstLineChars="200"/>
        <w:rPr>
          <w:rFonts w:hint="default" w:ascii="仿宋_GB2312" w:hAnsi="仿宋_GB2312" w:eastAsia="仿宋_GB2312" w:cs="仿宋_GB2312"/>
          <w:b/>
          <w:bCs/>
          <w:color w:val="000000" w:themeColor="text1"/>
          <w:highlight w:val="none"/>
          <w:u w:val="single"/>
          <w:lang w:val="en-US" w:eastAsia="zh-CN"/>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1.3其他</w:t>
      </w:r>
      <w:permStart w:id="14" w:edGrp="everyone"/>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 xml:space="preserve"> / </w:t>
      </w:r>
    </w:p>
    <w:permEnd w:id="14"/>
    <w:p w14:paraId="165EDFFB">
      <w:pPr>
        <w:pStyle w:val="12"/>
        <w:spacing w:line="400" w:lineRule="atLeast"/>
        <w:ind w:firstLine="482" w:firstLineChars="200"/>
        <w:outlineLvl w:val="1"/>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2、交货时间：</w:t>
      </w:r>
      <w:r>
        <w:rPr>
          <w:rFonts w:hint="eastAsia" w:ascii="仿宋_GB2312" w:hAnsi="仿宋_GB2312" w:eastAsia="仿宋_GB2312" w:cs="仿宋_GB2312"/>
          <w:color w:val="000000" w:themeColor="text1"/>
          <w:highlight w:val="none"/>
          <w14:textFill>
            <w14:solidFill>
              <w14:schemeClr w14:val="tx1"/>
            </w14:solidFill>
          </w14:textFill>
        </w:rPr>
        <w:t>甲方施工现场材料负责人提前</w:t>
      </w:r>
      <w:permStart w:id="15"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1</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15"/>
      <w:r>
        <w:rPr>
          <w:rFonts w:hint="eastAsia" w:ascii="仿宋_GB2312" w:hAnsi="仿宋_GB2312" w:eastAsia="仿宋_GB2312" w:cs="仿宋_GB2312"/>
          <w:color w:val="000000" w:themeColor="text1"/>
          <w:highlight w:val="none"/>
          <w14:textFill>
            <w14:solidFill>
              <w14:schemeClr w14:val="tx1"/>
            </w14:solidFill>
          </w14:textFill>
        </w:rPr>
        <w:t>天向乙方提供每批次的需用计划（云筑网订单、计划联系函、电子邮件等），乙方根据甲方所提供的需用计划及时将货物配送至甲方指定堆场。</w:t>
      </w:r>
      <w:r>
        <w:rPr>
          <w:rFonts w:hint="eastAsia" w:ascii="仿宋_GB2312" w:hAnsi="仿宋_GB2312" w:eastAsia="仿宋_GB2312" w:cs="仿宋_GB2312"/>
          <w:b/>
          <w:bCs/>
          <w:color w:val="000000" w:themeColor="text1"/>
          <w:highlight w:val="none"/>
          <w14:textFill>
            <w14:solidFill>
              <w14:schemeClr w14:val="tx1"/>
            </w14:solidFill>
          </w14:textFill>
        </w:rPr>
        <w:t>乙方延期供货次数不超过2次，否则乙方按合同第二部分第二条违约条款承担违约责任。乙方不得因甲方更改需用计划及要求乙方延期交货而向甲方提出索赔</w:t>
      </w:r>
      <w:r>
        <w:rPr>
          <w:rFonts w:hint="eastAsia" w:ascii="仿宋_GB2312" w:hAnsi="仿宋_GB2312" w:eastAsia="仿宋_GB2312" w:cs="仿宋_GB2312"/>
          <w:color w:val="000000" w:themeColor="text1"/>
          <w:highlight w:val="none"/>
          <w14:textFill>
            <w14:solidFill>
              <w14:schemeClr w14:val="tx1"/>
            </w14:solidFill>
          </w14:textFill>
        </w:rPr>
        <w:t>。</w:t>
      </w:r>
      <w:r>
        <w:rPr>
          <w:rFonts w:hint="eastAsia" w:ascii="仿宋_GB2312" w:hAnsi="仿宋_GB2312" w:eastAsia="仿宋_GB2312" w:cs="仿宋_GB2312"/>
          <w:b/>
          <w:bCs/>
          <w:color w:val="000000" w:themeColor="text1"/>
          <w:highlight w:val="none"/>
          <w14:textFill>
            <w14:solidFill>
              <w14:schemeClr w14:val="tx1"/>
            </w14:solidFill>
          </w14:textFill>
        </w:rPr>
        <w:t>根据工程项目施工需要，甲方对所采购物资的数量和送货时间如有变更，及时书面通知乙方，乙方按变更后的数量和送货时间供货，新增或减少的物资价格不变。</w:t>
      </w:r>
    </w:p>
    <w:p w14:paraId="427A5FC5">
      <w:pPr>
        <w:pStyle w:val="12"/>
        <w:spacing w:line="400" w:lineRule="atLeast"/>
        <w:ind w:firstLine="482" w:firstLineChars="200"/>
        <w:outlineLvl w:val="1"/>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3、交货地点：</w:t>
      </w:r>
      <w:permStart w:id="16" w:edGrp="everyone"/>
      <w:r>
        <w:rPr>
          <w:rFonts w:hint="eastAsia" w:ascii="仿宋_GB2312" w:hAnsi="仿宋_GB2312" w:eastAsia="仿宋_GB2312" w:cs="仿宋_GB2312"/>
          <w:color w:val="000000" w:themeColor="text1"/>
          <w:highlight w:val="none"/>
          <w:u w:val="single"/>
          <w14:textFill>
            <w14:solidFill>
              <w14:schemeClr w14:val="tx1"/>
            </w14:solidFill>
          </w14:textFill>
        </w:rPr>
        <w:t>甲方指定地点</w:t>
      </w:r>
      <w:permEnd w:id="16"/>
      <w:r>
        <w:rPr>
          <w:rFonts w:hint="eastAsia" w:ascii="仿宋_GB2312" w:hAnsi="仿宋_GB2312" w:eastAsia="仿宋_GB2312" w:cs="仿宋_GB2312"/>
          <w:color w:val="000000" w:themeColor="text1"/>
          <w:highlight w:val="none"/>
          <w:u w:val="single"/>
          <w14:textFill>
            <w14:solidFill>
              <w14:schemeClr w14:val="tx1"/>
            </w14:solidFill>
          </w14:textFill>
        </w:rPr>
        <w:t>。</w:t>
      </w:r>
    </w:p>
    <w:p w14:paraId="769A0C3E">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4、交货内容：</w:t>
      </w:r>
      <w:permStart w:id="17" w:edGrp="everyone"/>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乙方应在甲方发出进场通知一天内将货物运达交货地点</w:t>
      </w:r>
      <w:permEnd w:id="17"/>
      <w:r>
        <w:rPr>
          <w:rFonts w:hint="eastAsia" w:ascii="仿宋_GB2312" w:hAnsi="仿宋_GB2312" w:eastAsia="仿宋_GB2312" w:cs="仿宋_GB2312"/>
          <w:color w:val="000000" w:themeColor="text1"/>
          <w:highlight w:val="none"/>
          <w14:textFill>
            <w14:solidFill>
              <w14:schemeClr w14:val="tx1"/>
            </w14:solidFill>
          </w14:textFill>
        </w:rPr>
        <w:t>。</w:t>
      </w:r>
    </w:p>
    <w:p w14:paraId="0D5784B2">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5、双方代表：</w:t>
      </w:r>
    </w:p>
    <w:p w14:paraId="622E74A9">
      <w:pPr>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甲方指定收货联系人：</w:t>
      </w:r>
      <w:permStart w:id="18" w:edGrp="everyone"/>
      <w:r>
        <w:rPr>
          <w:rFonts w:hint="eastAsia" w:ascii="仿宋_GB2312" w:hAnsi="仿宋_GB2312" w:eastAsia="仿宋_GB2312" w:cs="仿宋_GB2312"/>
          <w:color w:val="000000" w:themeColor="text1"/>
          <w:kern w:val="0"/>
          <w:sz w:val="24"/>
          <w:szCs w:val="24"/>
          <w:highlight w:val="none"/>
          <w:u w:val="single"/>
          <w:lang w:val="en-US" w:eastAsia="zh-CN"/>
          <w14:textFill>
            <w14:solidFill>
              <w14:schemeClr w14:val="tx1"/>
            </w14:solidFill>
          </w14:textFill>
        </w:rPr>
        <w:t>梁永平</w:t>
      </w:r>
      <w:permEnd w:id="18"/>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，电话：</w:t>
      </w:r>
      <w:permStart w:id="19" w:edGrp="everyone"/>
      <w:r>
        <w:rPr>
          <w:rFonts w:hint="eastAsia" w:ascii="仿宋_GB2312" w:hAnsi="仿宋_GB2312" w:eastAsia="仿宋_GB2312" w:cs="仿宋_GB2312"/>
          <w:color w:val="000000" w:themeColor="text1"/>
          <w:kern w:val="0"/>
          <w:sz w:val="24"/>
          <w:szCs w:val="24"/>
          <w:highlight w:val="none"/>
          <w:u w:val="single"/>
          <w:lang w:val="en-US" w:eastAsia="zh-CN"/>
          <w14:textFill>
            <w14:solidFill>
              <w14:schemeClr w14:val="tx1"/>
            </w14:solidFill>
          </w14:textFill>
        </w:rPr>
        <w:t>18831911813</w:t>
      </w:r>
      <w:permEnd w:id="19"/>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，电子邮箱：</w:t>
      </w:r>
      <w:permStart w:id="20" w:edGrp="everyone"/>
      <w:r>
        <w:rPr>
          <w:rFonts w:hint="eastAsia" w:ascii="仿宋_GB2312" w:hAnsi="仿宋_GB2312" w:eastAsia="仿宋_GB2312" w:cs="仿宋_GB2312"/>
          <w:color w:val="000000" w:themeColor="text1"/>
          <w:kern w:val="0"/>
          <w:sz w:val="24"/>
          <w:szCs w:val="24"/>
          <w:highlight w:val="none"/>
          <w:u w:val="single"/>
          <w:lang w:val="en-US" w:eastAsia="zh-CN"/>
          <w14:textFill>
            <w14:solidFill>
              <w14:schemeClr w14:val="tx1"/>
            </w14:solidFill>
          </w14:textFill>
        </w:rPr>
        <w:t>18831911813@163.com</w:t>
      </w:r>
      <w:permEnd w:id="20"/>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w:t>
      </w:r>
    </w:p>
    <w:p w14:paraId="2E89F966">
      <w:pPr>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乙方指定发货联系人：</w:t>
      </w:r>
      <w:permStart w:id="21" w:edGrp="everyone"/>
      <w:r>
        <w:rPr>
          <w:rFonts w:hint="eastAsia" w:ascii="仿宋_GB2312" w:hAnsi="仿宋_GB2312" w:eastAsia="仿宋_GB2312" w:cs="仿宋_GB2312"/>
          <w:color w:val="000000" w:themeColor="text1"/>
          <w:kern w:val="0"/>
          <w:sz w:val="24"/>
          <w:szCs w:val="24"/>
          <w:highlight w:val="none"/>
          <w:u w:val="single"/>
          <w14:textFill>
            <w14:solidFill>
              <w14:schemeClr w14:val="tx1"/>
            </w14:solidFill>
          </w14:textFill>
        </w:rPr>
        <w:t xml:space="preserve">     </w:t>
      </w:r>
      <w:permEnd w:id="21"/>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，电话：</w:t>
      </w:r>
      <w:permStart w:id="22" w:edGrp="everyone"/>
      <w:r>
        <w:rPr>
          <w:rFonts w:hint="eastAsia" w:ascii="仿宋_GB2312" w:hAnsi="仿宋_GB2312" w:eastAsia="仿宋_GB2312" w:cs="仿宋_GB2312"/>
          <w:color w:val="000000" w:themeColor="text1"/>
          <w:kern w:val="0"/>
          <w:sz w:val="24"/>
          <w:szCs w:val="24"/>
          <w:highlight w:val="none"/>
          <w:u w:val="single"/>
          <w14:textFill>
            <w14:solidFill>
              <w14:schemeClr w14:val="tx1"/>
            </w14:solidFill>
          </w14:textFill>
        </w:rPr>
        <w:t xml:space="preserve">    </w:t>
      </w:r>
      <w:permEnd w:id="22"/>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，电子邮箱：</w:t>
      </w:r>
      <w:permStart w:id="23" w:edGrp="everyone"/>
      <w:r>
        <w:rPr>
          <w:rFonts w:hint="eastAsia" w:ascii="仿宋_GB2312" w:hAnsi="仿宋_GB2312" w:eastAsia="仿宋_GB2312" w:cs="仿宋_GB2312"/>
          <w:color w:val="000000" w:themeColor="text1"/>
          <w:kern w:val="0"/>
          <w:sz w:val="24"/>
          <w:szCs w:val="24"/>
          <w:highlight w:val="none"/>
          <w:u w:val="single"/>
          <w14:textFill>
            <w14:solidFill>
              <w14:schemeClr w14:val="tx1"/>
            </w14:solidFill>
          </w14:textFill>
        </w:rPr>
        <w:t xml:space="preserve">    </w:t>
      </w:r>
      <w:permEnd w:id="23"/>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w:t>
      </w:r>
    </w:p>
    <w:p w14:paraId="4DB9335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bookmarkStart w:id="14" w:name="_Hlk126833838"/>
      <w:r>
        <w:rPr>
          <w:rFonts w:hint="eastAsia" w:ascii="仿宋_GB2312" w:hAnsi="仿宋_GB2312" w:eastAsia="仿宋_GB2312" w:cs="仿宋_GB2312"/>
          <w:color w:val="000000" w:themeColor="text1"/>
          <w:highlight w:val="none"/>
          <w14:textFill>
            <w14:solidFill>
              <w14:schemeClr w14:val="tx1"/>
            </w14:solidFill>
          </w14:textFill>
        </w:rPr>
        <w:t>合同双方更换代表时应及时书面通知对方，保证货物交接顺利。</w:t>
      </w:r>
      <w:r>
        <w:rPr>
          <w:rFonts w:hint="eastAsia" w:ascii="仿宋_GB2312" w:hAnsi="仿宋_GB2312" w:eastAsia="仿宋_GB2312" w:cs="仿宋_GB2312"/>
          <w:b/>
          <w:bCs/>
          <w:color w:val="000000" w:themeColor="text1"/>
          <w:highlight w:val="none"/>
          <w14:textFill>
            <w14:solidFill>
              <w14:schemeClr w14:val="tx1"/>
            </w14:solidFill>
          </w14:textFill>
        </w:rPr>
        <w:t>甲方已明确要求与指定发货联系人交接，若乙方实际发货为非指定联系人，视为乙方对实际发货人授权委托，当批次供货完成后7个工作日内乙方应为该实际发货人向甲方补充出具书面授权委托书，并承担本合同项下的义务和责任。</w:t>
      </w:r>
      <w:r>
        <w:rPr>
          <w:rFonts w:hint="eastAsia" w:ascii="仿宋_GB2312" w:hAnsi="仿宋_GB2312" w:eastAsia="仿宋_GB2312" w:cs="仿宋_GB2312"/>
          <w:color w:val="000000" w:themeColor="text1"/>
          <w:highlight w:val="none"/>
          <w14:textFill>
            <w14:solidFill>
              <w14:schemeClr w14:val="tx1"/>
            </w14:solidFill>
          </w14:textFill>
        </w:rPr>
        <w:t>为避免货物供应争议，甲方保留拒绝乙方非指定联系人供货的权利，由此产生的费用由乙方承担。甲乙双方授权内容详见附件一、附件二</w:t>
      </w:r>
      <w:bookmarkEnd w:id="14"/>
      <w:r>
        <w:rPr>
          <w:rFonts w:hint="eastAsia" w:ascii="仿宋_GB2312" w:hAnsi="仿宋_GB2312" w:eastAsia="仿宋_GB2312" w:cs="仿宋_GB2312"/>
          <w:color w:val="000000" w:themeColor="text1"/>
          <w:highlight w:val="none"/>
          <w14:textFill>
            <w14:solidFill>
              <w14:schemeClr w14:val="tx1"/>
            </w14:solidFill>
          </w14:textFill>
        </w:rPr>
        <w:t>。</w:t>
      </w:r>
    </w:p>
    <w:p w14:paraId="6C99587B">
      <w:pPr>
        <w:pStyle w:val="12"/>
        <w:spacing w:line="400" w:lineRule="atLeast"/>
        <w:ind w:firstLine="482" w:firstLineChars="200"/>
        <w:rPr>
          <w:rFonts w:hint="default" w:ascii="仿宋_GB2312" w:hAnsi="仿宋_GB2312" w:eastAsia="仿宋_GB2312" w:cs="仿宋_GB2312"/>
          <w:b/>
          <w:bCs/>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6、运输要求：</w:t>
      </w:r>
      <w:r>
        <w:rPr>
          <w:rFonts w:hint="eastAsia" w:ascii="仿宋_GB2312" w:hAnsi="仿宋_GB2312" w:eastAsia="仿宋_GB2312" w:cs="仿宋_GB2312"/>
          <w:b/>
          <w:bCs/>
          <w:color w:val="000000" w:themeColor="text1"/>
          <w:highlight w:val="none"/>
          <w:lang w:eastAsia="zh-CN"/>
          <w14:textFill>
            <w14:solidFill>
              <w14:schemeClr w14:val="tx1"/>
            </w14:solidFill>
          </w14:textFill>
        </w:rPr>
        <w:t>（</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本条款适用于乙方负责运输情形）</w:t>
      </w:r>
    </w:p>
    <w:p w14:paraId="77798E79">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6.1运输形式：</w:t>
      </w:r>
      <w:r>
        <w:rPr>
          <w:rFonts w:hint="eastAsia" w:ascii="仿宋_GB2312" w:hAnsi="仿宋_GB2312" w:eastAsia="仿宋_GB2312" w:cs="仿宋_GB2312"/>
          <w:color w:val="000000" w:themeColor="text1"/>
          <w:highlight w:val="none"/>
          <w14:textFill>
            <w14:solidFill>
              <w14:schemeClr w14:val="tx1"/>
            </w14:solidFill>
          </w14:textFill>
        </w:rPr>
        <w:t>乙方须组织专用的运输工具将货物运至甲方指定的地点（工程所在地或甲方指定的其他地点），并应当和甲方共同协商，合理安排送货路线、停车地点。</w:t>
      </w:r>
    </w:p>
    <w:p w14:paraId="09369747">
      <w:pPr>
        <w:pStyle w:val="12"/>
        <w:spacing w:line="400" w:lineRule="atLeast"/>
        <w:ind w:firstLine="482" w:firstLineChars="200"/>
        <w:rPr>
          <w:rFonts w:hint="eastAsia"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6.2注意事项：</w:t>
      </w:r>
      <w:r>
        <w:rPr>
          <w:rFonts w:hint="eastAsia" w:ascii="仿宋_GB2312" w:hAnsi="仿宋_GB2312" w:eastAsia="仿宋_GB2312" w:cs="仿宋_GB2312"/>
          <w:color w:val="000000" w:themeColor="text1"/>
          <w:highlight w:val="none"/>
          <w14:textFill>
            <w14:solidFill>
              <w14:schemeClr w14:val="tx1"/>
            </w14:solidFill>
          </w14:textFill>
        </w:rPr>
        <w:t>乙方应自行勘察现场，熟悉施工现场位置和周围环境，货物运输过程中，要遵守工程所在地政府的有关道路交通、环保卫生等方面的规定。乙方负责与政府有关管理部门协调沟通，保障车辆在工程所在区域顺利通行至施工现场，并承担因违反有关规定造成的一切责任和经济损失，乙方保证甲方免予承担由此造成的任何法律责任，若甲方因此遭受到任何责任或损失，乙方需赔偿给甲方。</w:t>
      </w:r>
      <w:bookmarkStart w:id="15" w:name="_Hlk127189046"/>
      <w:r>
        <w:rPr>
          <w:rFonts w:hint="eastAsia" w:ascii="仿宋_GB2312" w:hAnsi="仿宋_GB2312" w:eastAsia="仿宋_GB2312" w:cs="仿宋_GB2312"/>
          <w:b/>
          <w:bCs/>
          <w:color w:val="000000" w:themeColor="text1"/>
          <w:highlight w:val="none"/>
          <w14:textFill>
            <w14:solidFill>
              <w14:schemeClr w14:val="tx1"/>
            </w14:solidFill>
          </w14:textFill>
        </w:rPr>
        <w:t>乙方无法按甲方要求将产品送到指定地点卸货的，甲方有权不予验收，由此给甲方造成的损失由乙方承担</w:t>
      </w:r>
      <w:bookmarkEnd w:id="15"/>
      <w:r>
        <w:rPr>
          <w:rFonts w:hint="eastAsia" w:ascii="仿宋_GB2312" w:hAnsi="仿宋_GB2312" w:eastAsia="仿宋_GB2312" w:cs="仿宋_GB2312"/>
          <w:b/>
          <w:bCs/>
          <w:color w:val="000000" w:themeColor="text1"/>
          <w:highlight w:val="none"/>
          <w14:textFill>
            <w14:solidFill>
              <w14:schemeClr w14:val="tx1"/>
            </w14:solidFill>
          </w14:textFill>
        </w:rPr>
        <w:t>。</w:t>
      </w:r>
    </w:p>
    <w:p w14:paraId="08F39C42">
      <w:pPr>
        <w:pStyle w:val="12"/>
        <w:spacing w:line="400" w:lineRule="atLeast"/>
        <w:ind w:firstLine="480" w:firstLineChars="200"/>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6.3货物的装车、运输、车辆返回全过程出现的安全事故或其它任何意外均由乙方承担责任。装车和运输途中的物资品质发生变化或丢失由乙方负责，由此造成的损失由乙方承担。</w:t>
      </w:r>
    </w:p>
    <w:p w14:paraId="34204581">
      <w:pPr>
        <w:pStyle w:val="12"/>
        <w:spacing w:line="400" w:lineRule="atLeast"/>
        <w:ind w:firstLine="480" w:firstLineChars="200"/>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6.4乙方应对运输人员进行安全管理和安全教育，运输人员遵守交通法规。</w:t>
      </w:r>
    </w:p>
    <w:p w14:paraId="52453B0F">
      <w:pPr>
        <w:pStyle w:val="12"/>
        <w:spacing w:line="400" w:lineRule="atLeast"/>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应当给负责运送货物的车辆办理交强险及商业保险。如因运载车辆事故、卸货等</w:t>
      </w:r>
    </w:p>
    <w:p w14:paraId="1DD67A31">
      <w:pPr>
        <w:pStyle w:val="12"/>
        <w:spacing w:line="400" w:lineRule="atLeast"/>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原因导致的乙方及任何第三方的人身伤害及经济损失均由乙方负责，并补偿甲方</w:t>
      </w:r>
    </w:p>
    <w:p w14:paraId="211DB85F">
      <w:pPr>
        <w:pStyle w:val="12"/>
        <w:spacing w:line="400" w:lineRule="atLeast"/>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及其他方因此造成的损失。</w:t>
      </w:r>
    </w:p>
    <w:p w14:paraId="2E7EAD02">
      <w:pPr>
        <w:pStyle w:val="12"/>
        <w:spacing w:line="400" w:lineRule="atLeast"/>
        <w:ind w:firstLine="480" w:firstLineChars="200"/>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6.5乙方必须保证运输人员不得阻止现场验收人员进行质量检验，不得阻止到达甲方指定地点的运输车辆过磅，卸料时必须服从甲方现场管理人员的安排和指挥。不合格的物资必须在规定时间内无条件运走调换，否则按废弃物处理，损失由乙方承担。</w:t>
      </w:r>
    </w:p>
    <w:p w14:paraId="0EAD72BD">
      <w:pPr>
        <w:pStyle w:val="12"/>
        <w:spacing w:line="400" w:lineRule="atLeast"/>
        <w:ind w:firstLine="480" w:firstLineChars="200"/>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6.6乙方不得利用遥控等科技手段控制磅秤增加物资重量，不得进行任何形式的弄虚作假行为。一经发现，甲方将按发现作弊或弄虚作假数量占本批次运输物资百分比扣除发现作弊日前物资进场总数量对应的货款，并交由公安机关处理。</w:t>
      </w:r>
    </w:p>
    <w:p w14:paraId="4F8F9E84">
      <w:pPr>
        <w:pStyle w:val="12"/>
        <w:spacing w:line="400" w:lineRule="atLeast"/>
        <w:ind w:firstLine="480" w:firstLineChars="200"/>
        <w:rPr>
          <w:rFonts w:hint="eastAsia" w:ascii="仿宋_GB2312" w:hAnsi="仿宋_GB2312" w:eastAsia="仿宋_GB2312" w:cs="仿宋_GB2312"/>
          <w:b w:val="0"/>
          <w:bCs w:val="0"/>
          <w:color w:val="000000" w:themeColor="text1"/>
          <w:highlight w:val="none"/>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6.7</w:t>
      </w:r>
      <w:r>
        <w:rPr>
          <w:rFonts w:hint="eastAsia" w:ascii="仿宋_GB2312" w:hAnsi="仿宋_GB2312" w:eastAsia="仿宋_GB2312" w:cs="仿宋_GB2312"/>
          <w:b w:val="0"/>
          <w:bCs w:val="0"/>
          <w:color w:val="000000" w:themeColor="text1"/>
          <w:highlight w:val="none"/>
          <w14:textFill>
            <w14:solidFill>
              <w14:schemeClr w14:val="tx1"/>
            </w14:solidFill>
          </w14:textFill>
        </w:rPr>
        <w:t>乙方保证在运输和卸货过程中应采取相应的环保措施，符合国家环保要求。车辆在进入项目现场要保证不沾泥土和脏物，车辆出入项目现场必须在项目大门内现场洗车。乙方在卸货过程中保证噪声白天小于或等于</w:t>
      </w:r>
      <w:r>
        <w:rPr>
          <w:rFonts w:hint="eastAsia" w:ascii="仿宋_GB2312" w:hAnsi="仿宋_GB2312" w:eastAsia="仿宋_GB2312" w:cs="仿宋_GB2312"/>
          <w:color w:val="000000" w:themeColor="text1"/>
          <w:kern w:val="0"/>
          <w:sz w:val="24"/>
          <w:szCs w:val="24"/>
          <w:highlight w:val="none"/>
          <w:u w:val="none"/>
          <w:lang w:val="en-US" w:eastAsia="zh-CN"/>
          <w14:textFill>
            <w14:solidFill>
              <w14:schemeClr w14:val="tx1"/>
            </w14:solidFill>
          </w14:textFill>
        </w:rPr>
        <w:t>85</w:t>
      </w:r>
      <w:r>
        <w:rPr>
          <w:rFonts w:hint="eastAsia" w:ascii="仿宋_GB2312" w:hAnsi="仿宋_GB2312" w:eastAsia="仿宋_GB2312" w:cs="仿宋_GB2312"/>
          <w:b w:val="0"/>
          <w:bCs w:val="0"/>
          <w:color w:val="000000" w:themeColor="text1"/>
          <w:highlight w:val="none"/>
          <w14:textFill>
            <w14:solidFill>
              <w14:schemeClr w14:val="tx1"/>
            </w14:solidFill>
          </w14:textFill>
        </w:rPr>
        <w:t>dB、夜间小于或等于</w:t>
      </w:r>
      <w:r>
        <w:rPr>
          <w:rFonts w:hint="eastAsia" w:ascii="仿宋_GB2312" w:hAnsi="仿宋_GB2312" w:eastAsia="仿宋_GB2312" w:cs="仿宋_GB2312"/>
          <w:color w:val="000000" w:themeColor="text1"/>
          <w:kern w:val="0"/>
          <w:sz w:val="24"/>
          <w:szCs w:val="24"/>
          <w:highlight w:val="none"/>
          <w:u w:val="none"/>
          <w:lang w:val="en-US" w:eastAsia="zh-CN"/>
          <w14:textFill>
            <w14:solidFill>
              <w14:schemeClr w14:val="tx1"/>
            </w14:solidFill>
          </w14:textFill>
        </w:rPr>
        <w:t>55</w:t>
      </w:r>
      <w:r>
        <w:rPr>
          <w:rFonts w:hint="eastAsia" w:ascii="仿宋_GB2312" w:hAnsi="仿宋_GB2312" w:eastAsia="仿宋_GB2312" w:cs="仿宋_GB2312"/>
          <w:b w:val="0"/>
          <w:bCs w:val="0"/>
          <w:color w:val="000000" w:themeColor="text1"/>
          <w:highlight w:val="none"/>
          <w14:textFill>
            <w14:solidFill>
              <w14:schemeClr w14:val="tx1"/>
            </w14:solidFill>
          </w14:textFill>
        </w:rPr>
        <w:t>dB。乙方保证乙方人员以及车辆进入本工地现场，应遵守现场的一切卫生环保、文明施工的规定，因违反环保要求所造成的一切罚款由乙方承担。</w:t>
      </w:r>
    </w:p>
    <w:p w14:paraId="70A80171">
      <w:pPr>
        <w:pStyle w:val="12"/>
        <w:spacing w:line="400" w:lineRule="atLeast"/>
        <w:ind w:firstLine="482" w:firstLineChars="200"/>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7、货物包装：</w:t>
      </w:r>
    </w:p>
    <w:p w14:paraId="518D1973">
      <w:pPr>
        <w:spacing w:line="400" w:lineRule="atLeast"/>
        <w:ind w:firstLine="482" w:firstLineChars="200"/>
        <w:jc w:val="left"/>
        <w:rPr>
          <w:rFonts w:ascii="仿宋_GB2312" w:hAnsi="仿宋_GB2312" w:eastAsia="仿宋_GB2312" w:cs="仿宋_GB2312"/>
          <w:color w:val="auto"/>
          <w:sz w:val="24"/>
          <w:szCs w:val="24"/>
          <w:highlight w:val="none"/>
        </w:rPr>
      </w:pPr>
      <w:r>
        <w:rPr>
          <w:rFonts w:hint="eastAsia" w:ascii="仿宋_GB2312" w:hAnsi="仿宋_GB2312" w:eastAsia="仿宋_GB2312" w:cs="仿宋_GB2312"/>
          <w:b/>
          <w:bCs/>
          <w:color w:val="auto"/>
          <w:sz w:val="24"/>
          <w:szCs w:val="24"/>
          <w:highlight w:val="none"/>
        </w:rPr>
        <w:t>7.1包装标准：</w:t>
      </w:r>
      <w:r>
        <w:rPr>
          <w:rFonts w:hint="eastAsia" w:ascii="仿宋_GB2312" w:hAnsi="仿宋_GB2312" w:eastAsia="仿宋_GB2312" w:cs="仿宋_GB2312"/>
          <w:color w:val="auto"/>
          <w:sz w:val="24"/>
          <w:szCs w:val="24"/>
          <w:highlight w:val="none"/>
        </w:rPr>
        <w:t>乙方按照国家或业务主管部门的技术规定执行（标准代号、标准编号及标准名称为</w:t>
      </w:r>
      <w:permStart w:id="24" w:edGrp="everyone"/>
      <w:r>
        <w:rPr>
          <w:rFonts w:hint="eastAsia" w:ascii="仿宋_GB2312" w:hAnsi="仿宋_GB2312" w:eastAsia="仿宋_GB2312" w:cs="仿宋_GB2312"/>
          <w:color w:val="auto"/>
          <w:sz w:val="24"/>
          <w:szCs w:val="24"/>
          <w:highlight w:val="none"/>
          <w:u w:val="single"/>
        </w:rPr>
        <w:t xml:space="preserve">  /  </w:t>
      </w:r>
      <w:permEnd w:id="24"/>
      <w:r>
        <w:rPr>
          <w:rFonts w:hint="eastAsia" w:ascii="仿宋_GB2312" w:hAnsi="仿宋_GB2312" w:eastAsia="仿宋_GB2312" w:cs="仿宋_GB2312"/>
          <w:color w:val="auto"/>
          <w:sz w:val="24"/>
          <w:szCs w:val="24"/>
          <w:highlight w:val="none"/>
        </w:rPr>
        <w:t>）；没有上述标准的，或虽有上述标准，但甲方对包装有特殊要求，按如下约定执行：</w:t>
      </w:r>
      <w:permStart w:id="25" w:edGrp="everyone"/>
      <w:r>
        <w:rPr>
          <w:rFonts w:hint="eastAsia" w:ascii="仿宋_GB2312" w:hAnsi="仿宋_GB2312" w:eastAsia="仿宋_GB2312" w:cs="仿宋_GB2312"/>
          <w:color w:val="auto"/>
          <w:sz w:val="24"/>
          <w:szCs w:val="24"/>
          <w:highlight w:val="none"/>
          <w:u w:val="single"/>
        </w:rPr>
        <w:t xml:space="preserve">  / </w:t>
      </w:r>
      <w:permEnd w:id="25"/>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w:t>
      </w:r>
    </w:p>
    <w:p w14:paraId="21370332">
      <w:pPr>
        <w:pStyle w:val="12"/>
        <w:spacing w:line="400" w:lineRule="atLeast"/>
        <w:ind w:firstLine="482" w:firstLineChars="200"/>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7.2包装回收：</w:t>
      </w:r>
      <w:r>
        <w:rPr>
          <w:rFonts w:hint="eastAsia" w:ascii="仿宋_GB2312" w:hAnsi="仿宋_GB2312" w:eastAsia="仿宋_GB2312" w:cs="仿宋_GB2312"/>
          <w:color w:val="auto"/>
          <w:highlight w:val="none"/>
          <w:u w:val="single"/>
        </w:rPr>
        <w:t>乙方无特别注明视为无包装物回收，有包装物回收时乙方应在收到甲方通知7天内完成包装回收。</w:t>
      </w:r>
    </w:p>
    <w:p w14:paraId="534D54E4">
      <w:pPr>
        <w:pStyle w:val="12"/>
        <w:spacing w:line="400" w:lineRule="atLeast"/>
        <w:ind w:firstLine="482" w:firstLineChars="200"/>
        <w:outlineLvl w:val="1"/>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8、安装要求：</w:t>
      </w:r>
      <w:r>
        <w:rPr>
          <w:rFonts w:hint="eastAsia" w:ascii="仿宋_GB2312" w:hAnsi="仿宋_GB2312" w:eastAsia="仿宋_GB2312" w:cs="仿宋_GB2312"/>
          <w:color w:val="auto"/>
          <w:highlight w:val="none"/>
        </w:rPr>
        <w:t>若货物附带安装工作内容，单价已综合考虑不另计价，具体安装内容及要求如下：</w:t>
      </w:r>
      <w:permStart w:id="26" w:edGrp="everyone"/>
      <w:r>
        <w:rPr>
          <w:rFonts w:hint="eastAsia" w:ascii="仿宋_GB2312" w:hAnsi="仿宋_GB2312" w:eastAsia="仿宋_GB2312" w:cs="仿宋_GB2312"/>
          <w:color w:val="auto"/>
          <w:highlight w:val="none"/>
          <w:u w:val="single"/>
        </w:rPr>
        <w:t xml:space="preserve">   /  </w:t>
      </w:r>
      <w:permEnd w:id="26"/>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rPr>
        <w:t>。</w:t>
      </w:r>
    </w:p>
    <w:p w14:paraId="64ACC81B">
      <w:pPr>
        <w:pStyle w:val="12"/>
        <w:spacing w:line="400" w:lineRule="atLeast"/>
        <w:ind w:firstLine="482" w:firstLineChars="200"/>
        <w:outlineLvl w:val="1"/>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9、货物意外灭失风险：</w:t>
      </w:r>
      <w:r>
        <w:rPr>
          <w:rFonts w:hint="eastAsia" w:ascii="仿宋_GB2312" w:hAnsi="仿宋_GB2312" w:eastAsia="仿宋_GB2312" w:cs="仿宋_GB2312"/>
          <w:color w:val="auto"/>
          <w:highlight w:val="none"/>
        </w:rPr>
        <w:t>乙方须负责货物正式交货前的安全、保卫、防火、防盗工作，包括运输途中、装货中的人身和货物的安全，在正式交货前，包括运输途中、装货中如有人身伤害或货物受损失均由乙方负责。货物直至乙方送交甲方指定的交货地点，完成上述条款事项，经甲方验收合格入库，并办理验收手续后，该货物的毁损、灭失的风险方由乙方转移至甲方。</w:t>
      </w:r>
    </w:p>
    <w:p w14:paraId="2B453DA7">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auto"/>
          <w:highlight w:val="none"/>
        </w:rPr>
      </w:pPr>
      <w:bookmarkStart w:id="16" w:name="_Toc15437"/>
      <w:bookmarkStart w:id="17" w:name="_Toc12447"/>
      <w:bookmarkStart w:id="18" w:name="_Toc29361"/>
      <w:r>
        <w:rPr>
          <w:rFonts w:hint="eastAsia" w:ascii="仿宋_GB2312" w:hAnsi="仿宋_GB2312" w:eastAsia="仿宋_GB2312" w:cs="仿宋_GB2312"/>
          <w:b/>
          <w:bCs/>
          <w:color w:val="auto"/>
          <w:highlight w:val="none"/>
        </w:rPr>
        <w:t>货物质量</w:t>
      </w:r>
      <w:bookmarkEnd w:id="16"/>
      <w:bookmarkEnd w:id="17"/>
      <w:bookmarkEnd w:id="18"/>
    </w:p>
    <w:p w14:paraId="15B7A066">
      <w:pPr>
        <w:pStyle w:val="12"/>
        <w:spacing w:line="400" w:lineRule="atLeast"/>
        <w:ind w:firstLine="482" w:firstLineChars="200"/>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1、质量要求及技术标准：</w:t>
      </w:r>
    </w:p>
    <w:p w14:paraId="5E51EA1E">
      <w:pPr>
        <w:pStyle w:val="12"/>
        <w:spacing w:line="400" w:lineRule="atLeast"/>
        <w:ind w:firstLine="480" w:firstLineChars="200"/>
        <w:outlineLvl w:val="1"/>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1.1按照国家标准执行（标准代号、标准编号及标准名称为</w:t>
      </w:r>
      <w:permStart w:id="27" w:edGrp="everyone"/>
    </w:p>
    <w:p w14:paraId="28C4B176">
      <w:pPr>
        <w:pStyle w:val="12"/>
        <w:spacing w:line="400" w:lineRule="atLeast"/>
        <w:ind w:firstLine="480" w:firstLineChars="200"/>
        <w:outlineLvl w:val="1"/>
        <w:rPr>
          <w:rFonts w:hint="eastAsia" w:ascii="仿宋_GB2312" w:hAnsi="仿宋_GB2312" w:eastAsia="仿宋_GB2312" w:cs="仿宋_GB2312"/>
          <w:color w:val="auto"/>
          <w:highlight w:val="none"/>
          <w:u w:val="single"/>
          <w:lang w:val="en-US" w:eastAsia="zh-CN"/>
        </w:rPr>
      </w:pPr>
      <w:r>
        <w:rPr>
          <w:rFonts w:hint="eastAsia" w:ascii="仿宋_GB2312" w:hAnsi="仿宋_GB2312" w:eastAsia="仿宋_GB2312" w:cs="仿宋_GB2312"/>
          <w:color w:val="auto"/>
          <w:highlight w:val="none"/>
          <w:u w:val="single"/>
          <w:lang w:val="en-US" w:eastAsia="zh-CN"/>
        </w:rPr>
        <w:t>《</w:t>
      </w:r>
      <w:r>
        <w:rPr>
          <w:rFonts w:hint="eastAsia" w:ascii="仿宋_GB2312" w:hAnsi="仿宋_GB2312" w:eastAsia="仿宋_GB2312" w:cs="仿宋_GB2312"/>
          <w:color w:val="auto"/>
          <w:highlight w:val="none"/>
          <w:u w:val="single"/>
          <w:lang w:val="en-US" w:eastAsia="zh-CN"/>
        </w:rPr>
        <w:t>给水用聚乙烯（PE）管道系统 第2部分：管材》GB/T 13663.2-2018；</w:t>
      </w:r>
    </w:p>
    <w:p w14:paraId="406E5DEB">
      <w:pPr>
        <w:pStyle w:val="12"/>
        <w:spacing w:line="400" w:lineRule="atLeast"/>
        <w:ind w:firstLine="480" w:firstLineChars="200"/>
        <w:outlineLvl w:val="1"/>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u w:val="single"/>
          <w:lang w:val="en-US" w:eastAsia="zh-CN"/>
        </w:rPr>
        <w:t>《塑料管道系统 聚乙烯管材和管件 热稳定性试验方法》GB/T 17391</w:t>
      </w:r>
      <w:permEnd w:id="27"/>
      <w:r>
        <w:rPr>
          <w:rFonts w:hint="eastAsia" w:ascii="仿宋_GB2312" w:hAnsi="仿宋_GB2312" w:eastAsia="仿宋_GB2312" w:cs="仿宋_GB2312"/>
          <w:color w:val="auto"/>
          <w:highlight w:val="none"/>
        </w:rPr>
        <w:t>）。</w:t>
      </w:r>
    </w:p>
    <w:p w14:paraId="0AAD8622">
      <w:pPr>
        <w:pStyle w:val="12"/>
        <w:spacing w:line="400" w:lineRule="atLeast"/>
        <w:ind w:firstLine="480" w:firstLineChars="200"/>
        <w:outlineLvl w:val="1"/>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1.2无国家标准而有部颁标准的，按部颁标准执行。</w:t>
      </w:r>
    </w:p>
    <w:p w14:paraId="440C241D">
      <w:pPr>
        <w:pStyle w:val="12"/>
        <w:spacing w:line="400" w:lineRule="atLeast"/>
        <w:ind w:firstLine="480" w:firstLineChars="200"/>
        <w:outlineLvl w:val="1"/>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1.3无国家和部颁标准的，按企业标准执行。</w:t>
      </w:r>
    </w:p>
    <w:p w14:paraId="0C403327">
      <w:pPr>
        <w:pStyle w:val="12"/>
        <w:spacing w:line="400" w:lineRule="atLeast"/>
        <w:ind w:firstLine="480" w:firstLineChars="200"/>
        <w:outlineLvl w:val="1"/>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1.4没有上述标准的，或虽有上述标准，但甲方有特殊要求的，按甲乙双方在合同中商定的技术条件、样品或补充的技术要求执行（具体要求</w:t>
      </w:r>
      <w:permStart w:id="28" w:edGrp="everyone"/>
    </w:p>
    <w:p w14:paraId="034A75CC">
      <w:pPr>
        <w:pStyle w:val="12"/>
        <w:spacing w:line="400" w:lineRule="atLeast"/>
        <w:ind w:firstLine="480" w:firstLineChars="200"/>
        <w:outlineLvl w:val="1"/>
        <w:rPr>
          <w:rFonts w:hint="eastAsia" w:ascii="仿宋_GB2312" w:hAnsi="仿宋_GB2312" w:eastAsia="仿宋_GB2312" w:cs="仿宋_GB2312"/>
          <w:color w:val="auto"/>
          <w:highlight w:val="none"/>
          <w:u w:val="single"/>
          <w:lang w:val="en-US" w:eastAsia="zh-CN"/>
        </w:rPr>
      </w:pPr>
      <w:r>
        <w:rPr>
          <w:rFonts w:hint="eastAsia" w:ascii="仿宋_GB2312" w:hAnsi="仿宋_GB2312" w:eastAsia="仿宋_GB2312" w:cs="仿宋_GB2312"/>
          <w:color w:val="auto"/>
          <w:highlight w:val="none"/>
          <w:u w:val="single"/>
          <w:lang w:val="en-US" w:eastAsia="zh-CN"/>
        </w:rPr>
        <w:t>①管材必须采用全新纯PE100级高密度聚乙烯专用混配料生产，严禁使用回收料、再生料、掺混料，原材料无杂质、无结块、无霉变，批次稳定、性能统一。</w:t>
      </w:r>
    </w:p>
    <w:p w14:paraId="2C23F506">
      <w:pPr>
        <w:pStyle w:val="12"/>
        <w:spacing w:line="400" w:lineRule="atLeast"/>
        <w:ind w:firstLine="480" w:firstLineChars="200"/>
        <w:outlineLvl w:val="1"/>
        <w:rPr>
          <w:rFonts w:hint="eastAsia" w:ascii="仿宋_GB2312" w:hAnsi="仿宋_GB2312" w:eastAsia="仿宋_GB2312" w:cs="仿宋_GB2312"/>
          <w:color w:val="auto"/>
          <w:highlight w:val="none"/>
          <w:u w:val="single"/>
          <w:lang w:val="en-US" w:eastAsia="zh-CN"/>
        </w:rPr>
      </w:pPr>
      <w:r>
        <w:rPr>
          <w:rFonts w:hint="eastAsia" w:ascii="仿宋_GB2312" w:hAnsi="仿宋_GB2312" w:eastAsia="仿宋_GB2312" w:cs="仿宋_GB2312"/>
          <w:color w:val="auto"/>
          <w:highlight w:val="none"/>
          <w:u w:val="single"/>
          <w:lang w:val="en-US" w:eastAsia="zh-CN"/>
        </w:rPr>
        <w:t>②管材内外壁光滑平整、无气泡、无裂纹、无凹陷、无划痕、无杂质黑点，色泽均匀一致；管端切割平整、垂直于管材轴线，无毛刺、无裂口，端面平整光洁。</w:t>
      </w:r>
    </w:p>
    <w:p w14:paraId="194071B3">
      <w:pPr>
        <w:pStyle w:val="12"/>
        <w:spacing w:line="400" w:lineRule="atLeast"/>
        <w:ind w:firstLine="480" w:firstLineChars="200"/>
        <w:outlineLvl w:val="1"/>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u w:val="single"/>
          <w:lang w:val="en-US" w:eastAsia="zh-CN"/>
        </w:rPr>
        <w:t>③dn110~dn560全系列规格管材的公称外径、壁厚、圆度、长度偏差严格执行GB/T 13663.2-2018标准公差要求，外径、壁厚负偏差为0，严禁尺寸偏小、壁厚不达标产品。</w:t>
      </w:r>
      <w:permEnd w:id="28"/>
      <w:r>
        <w:rPr>
          <w:rFonts w:hint="eastAsia" w:ascii="仿宋_GB2312" w:hAnsi="仿宋_GB2312" w:eastAsia="仿宋_GB2312" w:cs="仿宋_GB2312"/>
          <w:color w:val="auto"/>
          <w:highlight w:val="none"/>
        </w:rPr>
        <w:t>）。</w:t>
      </w:r>
    </w:p>
    <w:p w14:paraId="3D9F0FF1">
      <w:pPr>
        <w:pStyle w:val="12"/>
        <w:spacing w:line="400" w:lineRule="atLeast"/>
        <w:ind w:firstLine="480" w:firstLineChars="200"/>
        <w:outlineLvl w:val="1"/>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1.5如乙方有通过国家相关质量体系认证的企业标准，且其标准高于上述标准的，按乙方企业标准执行。产品必须满足中华人民共和国国家、地方及行业最新颁布的相关标准及技术规范，如果规范、标准、要求适用于同一种情况，则以标准高者为准</w:t>
      </w:r>
      <w:r>
        <w:rPr>
          <w:rFonts w:hint="eastAsia" w:ascii="仿宋_GB2312" w:hAnsi="仿宋_GB2312" w:eastAsia="仿宋_GB2312" w:cs="仿宋_GB2312"/>
          <w:color w:val="auto"/>
          <w:highlight w:val="none"/>
          <w:lang w:eastAsia="zh-CN"/>
        </w:rPr>
        <w:t>。</w:t>
      </w:r>
    </w:p>
    <w:p w14:paraId="78CEA718">
      <w:pPr>
        <w:pStyle w:val="12"/>
        <w:spacing w:line="400" w:lineRule="atLeast"/>
        <w:ind w:firstLine="480" w:firstLineChars="200"/>
        <w:outlineLvl w:val="1"/>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1.6其他：</w:t>
      </w:r>
      <w:permStart w:id="29" w:edGrp="everyone"/>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u w:val="single"/>
          <w:lang w:val="en-US" w:eastAsia="zh-CN"/>
        </w:rPr>
        <w:t>/</w:t>
      </w:r>
      <w:r>
        <w:rPr>
          <w:rFonts w:hint="eastAsia" w:ascii="仿宋_GB2312" w:hAnsi="仿宋_GB2312" w:eastAsia="仿宋_GB2312" w:cs="仿宋_GB2312"/>
          <w:color w:val="auto"/>
          <w:highlight w:val="none"/>
          <w:u w:val="single"/>
        </w:rPr>
        <w:t xml:space="preserve"> </w:t>
      </w:r>
      <w:permEnd w:id="29"/>
      <w:r>
        <w:rPr>
          <w:rFonts w:hint="eastAsia" w:ascii="仿宋_GB2312" w:hAnsi="仿宋_GB2312" w:eastAsia="仿宋_GB2312" w:cs="仿宋_GB2312"/>
          <w:color w:val="auto"/>
          <w:highlight w:val="none"/>
        </w:rPr>
        <w:t>。</w:t>
      </w:r>
    </w:p>
    <w:p w14:paraId="0D5661AB">
      <w:pPr>
        <w:pStyle w:val="12"/>
        <w:spacing w:line="400" w:lineRule="atLeast"/>
        <w:ind w:firstLine="482" w:firstLineChars="200"/>
        <w:outlineLvl w:val="1"/>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2、货物附件清单：</w:t>
      </w:r>
      <w:r>
        <w:rPr>
          <w:rFonts w:hint="eastAsia" w:ascii="仿宋_GB2312" w:hAnsi="仿宋_GB2312" w:eastAsia="仿宋_GB2312" w:cs="仿宋_GB2312"/>
          <w:color w:val="auto"/>
          <w:highlight w:val="none"/>
        </w:rPr>
        <w:t>乙方应按甲方要求在交货时提供货物附件清单：</w:t>
      </w:r>
      <w:permStart w:id="30" w:edGrp="everyone"/>
      <w:r>
        <w:rPr>
          <w:rFonts w:hint="eastAsia" w:ascii="仿宋_GB2312" w:hAnsi="仿宋_GB2312" w:eastAsia="仿宋_GB2312" w:cs="仿宋_GB2312"/>
          <w:color w:val="auto"/>
          <w:highlight w:val="none"/>
          <w:u w:val="single"/>
        </w:rPr>
        <w:t>产品质量证明书、出厂合格证、产品检验报告、国家强制性产品认证书、产品质量免检证书、产品生产许可证、管理体系认证证书、装箱单、发货单等</w:t>
      </w:r>
      <w:r>
        <w:rPr>
          <w:rFonts w:hint="eastAsia" w:ascii="仿宋_GB2312" w:hAnsi="仿宋_GB2312" w:eastAsia="仿宋_GB2312" w:cs="仿宋_GB2312"/>
          <w:color w:val="auto"/>
          <w:highlight w:val="none"/>
          <w:u w:val="single"/>
          <w:lang w:val="en-US" w:eastAsia="zh-CN"/>
        </w:rPr>
        <w:t>以及</w:t>
      </w:r>
      <w:r>
        <w:rPr>
          <w:rFonts w:hint="eastAsia" w:ascii="仿宋_GB2312" w:hAnsi="仿宋_GB2312" w:eastAsia="仿宋_GB2312" w:cs="仿宋_GB2312"/>
          <w:color w:val="auto"/>
          <w:highlight w:val="none"/>
          <w:u w:val="single"/>
        </w:rPr>
        <w:t>甲方为完成计量、竣工资料等所需要的所有资料，并及时交送到甲方指定负责人处，乙方提供资料均需在有效期内</w:t>
      </w:r>
      <w:permEnd w:id="30"/>
      <w:r>
        <w:rPr>
          <w:rFonts w:hint="eastAsia" w:ascii="仿宋_GB2312" w:hAnsi="仿宋_GB2312" w:eastAsia="仿宋_GB2312" w:cs="仿宋_GB2312"/>
          <w:color w:val="auto"/>
          <w:highlight w:val="none"/>
          <w:u w:val="single"/>
        </w:rPr>
        <w:t>。</w:t>
      </w:r>
      <w:r>
        <w:rPr>
          <w:rFonts w:hint="eastAsia" w:ascii="仿宋_GB2312" w:hAnsi="仿宋_GB2312" w:eastAsia="仿宋_GB2312" w:cs="仿宋_GB2312"/>
          <w:color w:val="auto"/>
          <w:highlight w:val="none"/>
        </w:rPr>
        <w:t>附件清单明确附件内容及份数同时加印乙方签章于收货时一并交由甲方核验，否则甲方不予办理收料手续。</w:t>
      </w:r>
    </w:p>
    <w:p w14:paraId="4833F580">
      <w:pPr>
        <w:pStyle w:val="12"/>
        <w:spacing w:line="400" w:lineRule="atLeast"/>
        <w:ind w:firstLine="482" w:firstLineChars="200"/>
        <w:outlineLvl w:val="1"/>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3、货物质量保修期：</w:t>
      </w:r>
      <w:r>
        <w:rPr>
          <w:rFonts w:hint="eastAsia" w:ascii="仿宋_GB2312" w:hAnsi="仿宋_GB2312" w:eastAsia="仿宋_GB2312" w:cs="仿宋_GB2312"/>
          <w:color w:val="auto"/>
          <w:highlight w:val="none"/>
        </w:rPr>
        <w:t>按下列第</w:t>
      </w:r>
      <w:permStart w:id="31" w:edGrp="everyone"/>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u w:val="single"/>
          <w:lang w:val="en-US" w:eastAsia="zh-CN"/>
        </w:rPr>
        <w:t>3.3</w:t>
      </w:r>
      <w:r>
        <w:rPr>
          <w:rFonts w:hint="eastAsia" w:ascii="仿宋_GB2312" w:hAnsi="仿宋_GB2312" w:eastAsia="仿宋_GB2312" w:cs="仿宋_GB2312"/>
          <w:color w:val="auto"/>
          <w:highlight w:val="none"/>
          <w:u w:val="single"/>
        </w:rPr>
        <w:t xml:space="preserve"> </w:t>
      </w:r>
      <w:permEnd w:id="31"/>
      <w:r>
        <w:rPr>
          <w:rFonts w:hint="eastAsia" w:ascii="仿宋_GB2312" w:hAnsi="仿宋_GB2312" w:eastAsia="仿宋_GB2312" w:cs="仿宋_GB2312"/>
          <w:color w:val="auto"/>
          <w:highlight w:val="none"/>
        </w:rPr>
        <w:t>项执行（如货物明示或设计的质量保修期/缺陷责任期较长的，以较长者为准）：</w:t>
      </w:r>
    </w:p>
    <w:p w14:paraId="722EC853">
      <w:pPr>
        <w:pStyle w:val="12"/>
        <w:spacing w:line="400" w:lineRule="atLeast"/>
        <w:ind w:firstLine="48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3.1质量保修期无</w:t>
      </w:r>
    </w:p>
    <w:p w14:paraId="6D5A36AF">
      <w:pPr>
        <w:pStyle w:val="12"/>
        <w:spacing w:line="400" w:lineRule="atLeast"/>
        <w:ind w:firstLine="48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3.2质量保修期为</w:t>
      </w:r>
      <w:permStart w:id="32" w:edGrp="everyone"/>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u w:val="single"/>
          <w:lang w:val="en-US" w:eastAsia="zh-CN"/>
        </w:rPr>
        <w:t xml:space="preserve"> </w:t>
      </w:r>
      <w:r>
        <w:rPr>
          <w:rFonts w:hint="eastAsia" w:ascii="仿宋_GB2312" w:hAnsi="仿宋_GB2312" w:eastAsia="仿宋_GB2312" w:cs="仿宋_GB2312"/>
          <w:color w:val="auto"/>
          <w:highlight w:val="none"/>
          <w:u w:val="single"/>
        </w:rPr>
        <w:t xml:space="preserve"> </w:t>
      </w:r>
      <w:permEnd w:id="32"/>
      <w:r>
        <w:rPr>
          <w:rFonts w:hint="eastAsia" w:ascii="仿宋_GB2312" w:hAnsi="仿宋_GB2312" w:eastAsia="仿宋_GB2312" w:cs="仿宋_GB2312"/>
          <w:color w:val="auto"/>
          <w:highlight w:val="none"/>
        </w:rPr>
        <w:t>个月，自货物进场验收合格之日起算；</w:t>
      </w:r>
    </w:p>
    <w:p w14:paraId="25ACB3C3">
      <w:pPr>
        <w:pStyle w:val="12"/>
        <w:spacing w:line="400" w:lineRule="atLeast"/>
        <w:ind w:firstLine="48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3.3质量保修期为</w:t>
      </w:r>
      <w:permStart w:id="33" w:edGrp="everyone"/>
      <w:r>
        <w:rPr>
          <w:rFonts w:hint="eastAsia" w:ascii="仿宋_GB2312" w:hAnsi="仿宋_GB2312" w:eastAsia="仿宋_GB2312" w:cs="仿宋_GB2312"/>
          <w:color w:val="auto"/>
          <w:highlight w:val="none"/>
          <w:u w:val="single"/>
        </w:rPr>
        <w:t xml:space="preserve"> </w:t>
      </w:r>
      <w:r>
        <w:rPr>
          <w:rFonts w:hint="eastAsia" w:ascii="仿宋_GB2312" w:hAnsi="仿宋_GB2312" w:eastAsia="仿宋_GB2312" w:cs="仿宋_GB2312"/>
          <w:color w:val="auto"/>
          <w:highlight w:val="none"/>
          <w:u w:val="single"/>
          <w:lang w:val="en-US" w:eastAsia="zh-CN"/>
        </w:rPr>
        <w:t>6</w:t>
      </w:r>
      <w:r>
        <w:rPr>
          <w:rFonts w:hint="eastAsia" w:ascii="仿宋_GB2312" w:hAnsi="仿宋_GB2312" w:eastAsia="仿宋_GB2312" w:cs="仿宋_GB2312"/>
          <w:color w:val="auto"/>
          <w:highlight w:val="none"/>
          <w:u w:val="single"/>
        </w:rPr>
        <w:t xml:space="preserve"> </w:t>
      </w:r>
      <w:permEnd w:id="33"/>
      <w:r>
        <w:rPr>
          <w:rFonts w:hint="eastAsia" w:ascii="仿宋_GB2312" w:hAnsi="仿宋_GB2312" w:eastAsia="仿宋_GB2312" w:cs="仿宋_GB2312"/>
          <w:color w:val="auto"/>
          <w:highlight w:val="none"/>
        </w:rPr>
        <w:t>个月，从工程（送货地工程）竣工验收合格之日（以业主颁发竣工证书所载日期为准）起计算；</w:t>
      </w:r>
    </w:p>
    <w:p w14:paraId="4AFA9E3B">
      <w:pPr>
        <w:pStyle w:val="12"/>
        <w:spacing w:line="400" w:lineRule="atLeast"/>
        <w:ind w:firstLine="48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所有货物须保证满足现场使用要求，如货物在质量保修期内出现质量瑕疵或者缺陷的，由乙方按照甲方的时间要求免费维修或者更换，经甲方要求整改一次仍无法达到合同要求时，甲方可自行或委托第三方代为履行，并以实际发生费用从乙方的应付款中扣除。</w:t>
      </w:r>
    </w:p>
    <w:p w14:paraId="52CA03F6">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19" w:name="_Toc22036"/>
      <w:bookmarkStart w:id="20" w:name="_Toc3621"/>
      <w:bookmarkStart w:id="21" w:name="_Toc12481"/>
      <w:r>
        <w:rPr>
          <w:rFonts w:hint="eastAsia" w:ascii="仿宋_GB2312" w:hAnsi="仿宋_GB2312" w:eastAsia="仿宋_GB2312" w:cs="仿宋_GB2312"/>
          <w:b/>
          <w:bCs/>
          <w:color w:val="000000" w:themeColor="text1"/>
          <w:highlight w:val="none"/>
          <w14:textFill>
            <w14:solidFill>
              <w14:schemeClr w14:val="tx1"/>
            </w14:solidFill>
          </w14:textFill>
        </w:rPr>
        <w:t>货物验收</w:t>
      </w:r>
      <w:bookmarkEnd w:id="19"/>
      <w:bookmarkEnd w:id="20"/>
      <w:bookmarkEnd w:id="21"/>
    </w:p>
    <w:p w14:paraId="47107D5D">
      <w:pPr>
        <w:pStyle w:val="12"/>
        <w:numPr>
          <w:ilvl w:val="0"/>
          <w:numId w:val="3"/>
        </w:numPr>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验收人员：</w:t>
      </w:r>
      <w:r>
        <w:rPr>
          <w:rFonts w:hint="eastAsia" w:ascii="仿宋_GB2312" w:hAnsi="仿宋_GB2312" w:eastAsia="仿宋_GB2312" w:cs="仿宋_GB2312"/>
          <w:color w:val="auto"/>
          <w:highlight w:val="none"/>
        </w:rPr>
        <w:t>货物进场需由甲方物资管理人员</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不少于2人</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w:t>
      </w:r>
      <w:bookmarkStart w:id="22" w:name="_Hlk127189311"/>
      <w:r>
        <w:rPr>
          <w:rFonts w:hint="eastAsia" w:ascii="仿宋_GB2312" w:hAnsi="仿宋_GB2312" w:eastAsia="仿宋_GB2312" w:cs="仿宋_GB2312"/>
          <w:color w:val="auto"/>
          <w:highlight w:val="none"/>
        </w:rPr>
        <w:t>现场责任</w:t>
      </w:r>
      <w:bookmarkEnd w:id="22"/>
      <w:r>
        <w:rPr>
          <w:rFonts w:hint="eastAsia" w:ascii="仿宋_GB2312" w:hAnsi="仿宋_GB2312" w:eastAsia="仿宋_GB2312" w:cs="仿宋_GB2312"/>
          <w:color w:val="auto"/>
          <w:highlight w:val="none"/>
        </w:rPr>
        <w:t>工程师、分包单位和乙方发货联系人共同完成现场验收，现场验收不代表货物质量合格，质量是否合格需要进一步复核确定。</w:t>
      </w:r>
    </w:p>
    <w:p w14:paraId="6D07D633">
      <w:pPr>
        <w:pStyle w:val="12"/>
        <w:numPr>
          <w:ilvl w:val="0"/>
          <w:numId w:val="3"/>
        </w:numPr>
        <w:spacing w:line="400" w:lineRule="atLeast"/>
        <w:ind w:firstLine="482" w:firstLineChars="200"/>
        <w:jc w:val="both"/>
        <w:outlineLvl w:val="1"/>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验收方式：</w:t>
      </w:r>
      <w:r>
        <w:rPr>
          <w:rFonts w:hint="eastAsia" w:ascii="仿宋_GB2312" w:hAnsi="仿宋_GB2312" w:eastAsia="仿宋_GB2312" w:cs="仿宋_GB2312"/>
          <w:color w:val="000000" w:themeColor="text1"/>
          <w:highlight w:val="none"/>
          <w:u w:val="single"/>
          <w14:textFill>
            <w14:solidFill>
              <w14:schemeClr w14:val="tx1"/>
            </w14:solidFill>
          </w14:textFill>
        </w:rPr>
        <w:t>以智能地磅、云筑收验货系统为主要载体，结合视频监控系统，完成核对凭证、外观质量验收、数量验收和检测报告四步验收，甲方收货联系人出具</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过磅单、</w:t>
      </w:r>
      <w:r>
        <w:rPr>
          <w:rFonts w:hint="eastAsia" w:ascii="仿宋_GB2312" w:hAnsi="仿宋_GB2312" w:eastAsia="仿宋_GB2312" w:cs="仿宋_GB2312"/>
          <w:color w:val="000000" w:themeColor="text1"/>
          <w:highlight w:val="none"/>
          <w:u w:val="single"/>
          <w14:textFill>
            <w14:solidFill>
              <w14:schemeClr w14:val="tx1"/>
            </w14:solidFill>
          </w14:textFill>
        </w:rPr>
        <w:t>收料单，甲方收货联系人及乙方发货联系人双方签字后视为验收完成。</w:t>
      </w:r>
    </w:p>
    <w:p w14:paraId="43FFA877">
      <w:pPr>
        <w:pStyle w:val="12"/>
        <w:numPr>
          <w:ilvl w:val="0"/>
          <w:numId w:val="3"/>
        </w:numPr>
        <w:spacing w:line="400" w:lineRule="atLeast"/>
        <w:ind w:firstLine="482" w:firstLineChars="200"/>
        <w:outlineLvl w:val="1"/>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数量验收：</w:t>
      </w:r>
    </w:p>
    <w:p w14:paraId="35D57DD7">
      <w:pPr>
        <w:pStyle w:val="12"/>
        <w:spacing w:line="400" w:lineRule="atLeast"/>
        <w:ind w:firstLine="482" w:firstLineChars="200"/>
        <w:rPr>
          <w:rFonts w:ascii="仿宋_GB2312" w:hAnsi="仿宋_GB2312" w:eastAsia="仿宋_GB2312" w:cs="仿宋_GB2312"/>
          <w:highlight w:val="none"/>
        </w:rPr>
      </w:pPr>
      <w:r>
        <w:rPr>
          <w:rFonts w:hint="eastAsia" w:ascii="仿宋_GB2312" w:hAnsi="仿宋_GB2312" w:eastAsia="仿宋_GB2312" w:cs="仿宋_GB2312"/>
          <w:b/>
          <w:bCs/>
          <w:color w:val="000000" w:themeColor="text1"/>
          <w:highlight w:val="none"/>
          <w14:textFill>
            <w14:solidFill>
              <w14:schemeClr w14:val="tx1"/>
            </w14:solidFill>
          </w14:textFill>
        </w:rPr>
        <w:t>3.1数量验收方式：</w:t>
      </w:r>
      <w:r>
        <w:rPr>
          <w:rFonts w:hint="eastAsia" w:ascii="仿宋_GB2312" w:hAnsi="仿宋_GB2312" w:eastAsia="仿宋_GB2312" w:cs="仿宋_GB2312"/>
          <w:highlight w:val="none"/>
        </w:rPr>
        <w:t>甲乙双方在交货现场以</w:t>
      </w:r>
      <w:permStart w:id="34" w:edGrp="everyone"/>
      <w:r>
        <w:rPr>
          <w:rFonts w:hint="eastAsia" w:ascii="仿宋_GB2312" w:hAnsi="仿宋_GB2312" w:eastAsia="仿宋_GB2312" w:cs="仿宋_GB2312"/>
          <w:highlight w:val="none"/>
          <w:lang w:eastAsia="zh-CN"/>
        </w:rPr>
        <w:t>□</w:t>
      </w:r>
      <w:permEnd w:id="34"/>
      <w:r>
        <w:rPr>
          <w:rFonts w:hint="eastAsia" w:ascii="仿宋_GB2312" w:hAnsi="仿宋_GB2312" w:eastAsia="仿宋_GB2312" w:cs="仿宋_GB2312"/>
          <w:highlight w:val="none"/>
        </w:rPr>
        <w:t>过磅</w:t>
      </w:r>
      <w:r>
        <w:rPr>
          <w:rFonts w:hint="eastAsia" w:ascii="仿宋_GB2312" w:hAnsi="仿宋_GB2312" w:eastAsia="仿宋_GB2312" w:cs="仿宋_GB2312"/>
          <w:highlight w:val="none"/>
          <w:lang w:val="en-US" w:eastAsia="zh-CN"/>
        </w:rPr>
        <w:t>/</w:t>
      </w:r>
      <w:permStart w:id="35" w:edGrp="everyone"/>
      <w:r>
        <w:rPr>
          <w:rFonts w:hint="eastAsia" w:ascii="仿宋_GB2312" w:hAnsi="仿宋_GB2312" w:eastAsia="仿宋_GB2312" w:cs="仿宋_GB2312"/>
          <w:highlight w:val="none"/>
          <w:lang w:eastAsia="zh-CN"/>
        </w:rPr>
        <w:t>□</w:t>
      </w:r>
      <w:permEnd w:id="35"/>
      <w:r>
        <w:rPr>
          <w:rFonts w:hint="eastAsia" w:ascii="仿宋_GB2312" w:hAnsi="仿宋_GB2312" w:eastAsia="仿宋_GB2312" w:cs="仿宋_GB2312"/>
          <w:highlight w:val="none"/>
        </w:rPr>
        <w:t xml:space="preserve"> 计件</w:t>
      </w:r>
      <w:r>
        <w:rPr>
          <w:rFonts w:hint="eastAsia" w:ascii="仿宋_GB2312" w:hAnsi="仿宋_GB2312" w:eastAsia="仿宋_GB2312" w:cs="仿宋_GB2312"/>
          <w:highlight w:val="none"/>
          <w:lang w:val="en-US" w:eastAsia="zh-CN"/>
        </w:rPr>
        <w:t>/</w:t>
      </w:r>
      <w:permStart w:id="36" w:edGrp="everyone"/>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 xml:space="preserve"> </w:t>
      </w:r>
      <w:permEnd w:id="36"/>
      <w:r>
        <w:rPr>
          <w:rFonts w:hint="eastAsia" w:ascii="仿宋_GB2312" w:hAnsi="仿宋_GB2312" w:eastAsia="仿宋_GB2312" w:cs="仿宋_GB2312"/>
          <w:highlight w:val="none"/>
        </w:rPr>
        <w:t>检尺</w:t>
      </w:r>
      <w:r>
        <w:rPr>
          <w:rFonts w:hint="eastAsia" w:ascii="仿宋_GB2312" w:hAnsi="仿宋_GB2312" w:eastAsia="仿宋_GB2312" w:cs="仿宋_GB2312"/>
          <w:highlight w:val="none"/>
          <w:lang w:val="en-US" w:eastAsia="zh-CN"/>
        </w:rPr>
        <w:t>/</w:t>
      </w:r>
      <w:permStart w:id="37" w:edGrp="everyone"/>
      <w:r>
        <w:rPr>
          <w:rFonts w:hint="eastAsia" w:ascii="仿宋_GB2312" w:hAnsi="仿宋_GB2312" w:eastAsia="仿宋_GB2312" w:cs="仿宋_GB2312"/>
          <w:highlight w:val="none"/>
        </w:rPr>
        <w:t xml:space="preserve">□ </w:t>
      </w:r>
      <w:permEnd w:id="37"/>
      <w:r>
        <w:rPr>
          <w:rFonts w:hint="eastAsia" w:ascii="仿宋_GB2312" w:hAnsi="仿宋_GB2312" w:eastAsia="仿宋_GB2312" w:cs="仿宋_GB2312"/>
          <w:highlight w:val="none"/>
        </w:rPr>
        <w:t>其他计量方式</w:t>
      </w:r>
      <w:permStart w:id="38" w:edGrp="everyone"/>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u w:val="single"/>
          <w:lang w:val="en-US" w:eastAsia="zh-CN"/>
        </w:rPr>
        <w:t xml:space="preserve"> /</w:t>
      </w:r>
      <w:r>
        <w:rPr>
          <w:rFonts w:hint="eastAsia" w:ascii="仿宋_GB2312" w:hAnsi="仿宋_GB2312" w:eastAsia="仿宋_GB2312" w:cs="仿宋_GB2312"/>
          <w:highlight w:val="none"/>
          <w:u w:val="single"/>
        </w:rPr>
        <w:t xml:space="preserve"> </w:t>
      </w:r>
      <w:permEnd w:id="38"/>
      <w:r>
        <w:rPr>
          <w:rFonts w:hint="eastAsia" w:ascii="仿宋_GB2312" w:hAnsi="仿宋_GB2312" w:eastAsia="仿宋_GB2312" w:cs="仿宋_GB2312"/>
          <w:highlight w:val="none"/>
        </w:rPr>
        <w:t>进行数量验收，乙方应对在甲方工地现场的数量验收数据进行确认。</w:t>
      </w:r>
    </w:p>
    <w:p w14:paraId="27997F8B">
      <w:pPr>
        <w:pStyle w:val="12"/>
        <w:spacing w:line="400" w:lineRule="atLeast"/>
        <w:ind w:firstLine="482" w:firstLineChars="200"/>
        <w:rPr>
          <w:rFonts w:ascii="仿宋_GB2312" w:hAnsi="仿宋_GB2312" w:eastAsia="仿宋_GB2312" w:cs="仿宋_GB2312"/>
          <w:highlight w:val="none"/>
        </w:rPr>
      </w:pPr>
      <w:r>
        <w:rPr>
          <w:rFonts w:hint="eastAsia" w:ascii="仿宋_GB2312" w:hAnsi="仿宋_GB2312" w:eastAsia="仿宋_GB2312" w:cs="仿宋_GB2312"/>
          <w:b/>
          <w:bCs/>
          <w:highlight w:val="none"/>
        </w:rPr>
        <w:t>3.2数量验收凭据：</w:t>
      </w:r>
      <w:r>
        <w:rPr>
          <w:rFonts w:hint="eastAsia" w:ascii="仿宋_GB2312" w:hAnsi="仿宋_GB2312" w:eastAsia="仿宋_GB2312" w:cs="仿宋_GB2312"/>
          <w:highlight w:val="none"/>
          <w:u w:val="none"/>
        </w:rPr>
        <w:t>由甲方物资负责人及相应验收收料人员共同签署的收货凭据（包括但不限于过磅单据、收料单、供货小票、月度统计单或其他数量统计文件等）仅作为甲方收到乙方所供应物资的数量、型号、规格、到场时间等的证明，而不作为甲方付款及结算的唯一凭证，无论该收货凭据上是否载有单价、合价或合计等涉及价款的内容，且乙方不得以此要求甲方支付任何款项或承担任何责任。甲方项目经理部除物资负责人外的其他任何人员签署的任何形式的收货凭据不作为</w:t>
      </w:r>
      <w:r>
        <w:rPr>
          <w:rFonts w:hint="eastAsia" w:ascii="仿宋_GB2312" w:hAnsi="仿宋_GB2312" w:eastAsia="仿宋_GB2312" w:cs="仿宋_GB2312"/>
          <w:highlight w:val="none"/>
          <w:u w:val="none"/>
          <w:lang w:val="en-US" w:eastAsia="zh-CN"/>
        </w:rPr>
        <w:t>交易</w:t>
      </w:r>
      <w:r>
        <w:rPr>
          <w:rFonts w:hint="eastAsia" w:ascii="仿宋_GB2312" w:hAnsi="仿宋_GB2312" w:eastAsia="仿宋_GB2312" w:cs="仿宋_GB2312"/>
          <w:highlight w:val="none"/>
          <w:u w:val="none"/>
        </w:rPr>
        <w:t>物进场的依据，乙方对甲方签字人员权限负有审查义务</w:t>
      </w:r>
      <w:r>
        <w:rPr>
          <w:rFonts w:hint="eastAsia" w:ascii="仿宋_GB2312" w:hAnsi="仿宋_GB2312" w:eastAsia="仿宋_GB2312" w:cs="仿宋_GB2312"/>
          <w:highlight w:val="none"/>
          <w:u w:val="none"/>
          <w:lang w:val="en-US" w:eastAsia="zh-CN"/>
        </w:rPr>
        <w:t>。</w:t>
      </w:r>
    </w:p>
    <w:p w14:paraId="42AEEA02">
      <w:pPr>
        <w:pStyle w:val="12"/>
        <w:spacing w:line="400" w:lineRule="atLeast"/>
        <w:ind w:firstLine="482" w:firstLineChars="200"/>
        <w:rPr>
          <w:rFonts w:ascii="仿宋_GB2312" w:hAnsi="仿宋_GB2312" w:eastAsia="仿宋_GB2312" w:cs="仿宋_GB2312"/>
          <w:color w:val="000000" w:themeColor="text1"/>
          <w:highlight w:val="none"/>
          <w:u w:val="single"/>
          <w14:textFill>
            <w14:solidFill>
              <w14:schemeClr w14:val="tx1"/>
            </w14:solidFill>
          </w14:textFill>
        </w:rPr>
      </w:pPr>
      <w:r>
        <w:rPr>
          <w:rFonts w:hint="eastAsia" w:ascii="仿宋_GB2312" w:hAnsi="仿宋_GB2312" w:eastAsia="仿宋_GB2312" w:cs="仿宋_GB2312"/>
          <w:b/>
          <w:bCs/>
          <w:highlight w:val="none"/>
        </w:rPr>
        <w:t>3.3数量争议：</w:t>
      </w:r>
      <w:r>
        <w:rPr>
          <w:rFonts w:hint="eastAsia" w:ascii="仿宋_GB2312" w:hAnsi="仿宋_GB2312" w:eastAsia="仿宋_GB2312" w:cs="仿宋_GB2312"/>
          <w:color w:val="000000" w:themeColor="text1"/>
          <w:highlight w:val="none"/>
          <w14:textFill>
            <w14:solidFill>
              <w14:schemeClr w14:val="tx1"/>
            </w14:solidFill>
          </w14:textFill>
        </w:rPr>
        <w:t>甲方如有数量异议，应在收货后7天内提出，</w:t>
      </w:r>
      <w:r>
        <w:rPr>
          <w:rFonts w:hint="eastAsia" w:ascii="仿宋_GB2312" w:hAnsi="仿宋_GB2312" w:eastAsia="仿宋_GB2312" w:cs="仿宋_GB2312"/>
          <w:b/>
          <w:bCs/>
          <w:color w:val="000000" w:themeColor="text1"/>
          <w:highlight w:val="none"/>
          <w14:textFill>
            <w14:solidFill>
              <w14:schemeClr w14:val="tx1"/>
            </w14:solidFill>
          </w14:textFill>
        </w:rPr>
        <w:t>乙方应在3天内作出答复，未回复视为认可甲方验收数量</w:t>
      </w:r>
      <w:r>
        <w:rPr>
          <w:rFonts w:hint="eastAsia" w:ascii="仿宋_GB2312" w:hAnsi="仿宋_GB2312" w:eastAsia="仿宋_GB2312" w:cs="仿宋_GB2312"/>
          <w:color w:val="000000" w:themeColor="text1"/>
          <w:highlight w:val="none"/>
          <w14:textFill>
            <w14:solidFill>
              <w14:schemeClr w14:val="tx1"/>
            </w14:solidFill>
          </w14:textFill>
        </w:rPr>
        <w:t>。</w:t>
      </w:r>
    </w:p>
    <w:p w14:paraId="07ECBFC3">
      <w:pPr>
        <w:pStyle w:val="12"/>
        <w:numPr>
          <w:ilvl w:val="0"/>
          <w:numId w:val="3"/>
        </w:numPr>
        <w:spacing w:line="400" w:lineRule="atLeast"/>
        <w:ind w:firstLine="482" w:firstLineChars="200"/>
        <w:outlineLvl w:val="1"/>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质量验收：</w:t>
      </w:r>
    </w:p>
    <w:p w14:paraId="14A6286B">
      <w:pPr>
        <w:pStyle w:val="12"/>
        <w:spacing w:line="400" w:lineRule="atLeast"/>
        <w:ind w:firstLine="482" w:firstLineChars="200"/>
        <w:rPr>
          <w:rFonts w:ascii="仿宋_GB2312" w:hAnsi="仿宋_GB2312" w:eastAsia="仿宋_GB2312" w:cs="仿宋_GB2312"/>
          <w:color w:val="FF0000"/>
          <w:highlight w:val="none"/>
        </w:rPr>
      </w:pPr>
      <w:r>
        <w:rPr>
          <w:rFonts w:hint="eastAsia" w:ascii="仿宋_GB2312" w:hAnsi="仿宋_GB2312" w:eastAsia="仿宋_GB2312" w:cs="仿宋_GB2312"/>
          <w:b/>
          <w:bCs/>
          <w:color w:val="000000" w:themeColor="text1"/>
          <w:highlight w:val="none"/>
          <w14:textFill>
            <w14:solidFill>
              <w14:schemeClr w14:val="tx1"/>
            </w14:solidFill>
          </w14:textFill>
        </w:rPr>
        <w:t>4.1外观验收：</w:t>
      </w:r>
      <w:r>
        <w:rPr>
          <w:rFonts w:hint="eastAsia" w:ascii="仿宋_GB2312" w:hAnsi="仿宋_GB2312" w:eastAsia="仿宋_GB2312" w:cs="仿宋_GB2312"/>
          <w:color w:val="000000" w:themeColor="text1"/>
          <w:highlight w:val="none"/>
          <w14:textFill>
            <w14:solidFill>
              <w14:schemeClr w14:val="tx1"/>
            </w14:solidFill>
          </w14:textFill>
        </w:rPr>
        <w:t>甲方按照本合同约定的标准及乙方提交的货物附件清单中产品质量证明书等资料作为外观验收标准,外观质量符合合同要求方可卸车,否则不得卸车。</w:t>
      </w:r>
    </w:p>
    <w:p w14:paraId="197DAE15">
      <w:pPr>
        <w:spacing w:line="400" w:lineRule="exact"/>
        <w:ind w:firstLine="482" w:firstLineChars="200"/>
        <w:rPr>
          <w:rFonts w:ascii="仿宋_GB2312" w:hAnsi="仿宋_GB2312" w:eastAsia="仿宋_GB2312" w:cs="仿宋_GB2312"/>
          <w:sz w:val="24"/>
          <w:szCs w:val="24"/>
          <w:highlight w:val="none"/>
        </w:rPr>
      </w:pPr>
      <w:r>
        <w:rPr>
          <w:rFonts w:hint="eastAsia" w:ascii="仿宋_GB2312" w:hAnsi="仿宋_GB2312" w:eastAsia="仿宋_GB2312" w:cs="仿宋_GB2312"/>
          <w:b/>
          <w:bCs/>
          <w:sz w:val="24"/>
          <w:szCs w:val="24"/>
          <w:highlight w:val="none"/>
        </w:rPr>
        <w:t>4.2送样要求：</w:t>
      </w:r>
      <w:r>
        <w:rPr>
          <w:rFonts w:hint="eastAsia" w:ascii="仿宋_GB2312" w:hAnsi="仿宋_GB2312" w:eastAsia="仿宋_GB2312" w:cs="仿宋_GB2312"/>
          <w:sz w:val="24"/>
          <w:szCs w:val="24"/>
          <w:highlight w:val="none"/>
        </w:rPr>
        <w:t>对于甲方要求提前送样的货物,乙方应按照甲方要求送审材料样品，样品送审内容包括但不限于材料样品本身，还包括提供样品材料的</w:t>
      </w:r>
      <w:permStart w:id="39" w:edGrp="everyone"/>
      <w:r>
        <w:rPr>
          <w:rFonts w:hint="eastAsia" w:ascii="仿宋_GB2312" w:hAnsi="仿宋_GB2312" w:eastAsia="仿宋_GB2312" w:cs="仿宋_GB2312"/>
          <w:sz w:val="24"/>
          <w:szCs w:val="24"/>
          <w:highlight w:val="none"/>
          <w:u w:val="single"/>
        </w:rPr>
        <w:t>质量、外观、品牌、商标、规格、型号、花色、标识、生产厂家、产品生产许可证、产品质量证明书、出厂合格证、产品检验报告</w:t>
      </w:r>
      <w:permEnd w:id="39"/>
      <w:r>
        <w:rPr>
          <w:rFonts w:hint="eastAsia" w:ascii="仿宋_GB2312" w:hAnsi="仿宋_GB2312" w:eastAsia="仿宋_GB2312" w:cs="仿宋_GB2312"/>
          <w:sz w:val="24"/>
          <w:szCs w:val="24"/>
          <w:highlight w:val="none"/>
        </w:rPr>
        <w:t>等相关的技术质量资料。一旦甲、乙双方签约后且材料的样品得到甲方、业主及监理认可并且封存样品后，未经甲方、业主及监理同意，乙方不得作任何变更。</w:t>
      </w:r>
    </w:p>
    <w:p w14:paraId="2C84D289">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highlight w:val="none"/>
        </w:rPr>
        <w:t>正式交货时材料的相关技术质量资料应保持和样品一致，如所进材料和样品不一致，属乙方违约，</w:t>
      </w:r>
      <w:bookmarkStart w:id="23" w:name="_Hlk126833969"/>
      <w:r>
        <w:rPr>
          <w:rFonts w:hint="eastAsia" w:ascii="仿宋_GB2312" w:hAnsi="仿宋_GB2312" w:eastAsia="仿宋_GB2312" w:cs="仿宋_GB2312"/>
          <w:b/>
          <w:bCs/>
          <w:highlight w:val="none"/>
        </w:rPr>
        <w:t>乙方</w:t>
      </w:r>
      <w:r>
        <w:rPr>
          <w:rFonts w:hint="eastAsia" w:ascii="仿宋_GB2312" w:hAnsi="仿宋_GB2312" w:eastAsia="仿宋_GB2312" w:cs="仿宋_GB2312"/>
          <w:b/>
          <w:bCs/>
          <w:color w:val="auto"/>
          <w:highlight w:val="none"/>
        </w:rPr>
        <w:t>按合同第二部分第二条违约条款</w:t>
      </w:r>
      <w:r>
        <w:rPr>
          <w:rFonts w:hint="eastAsia" w:ascii="仿宋_GB2312" w:hAnsi="仿宋_GB2312" w:eastAsia="仿宋_GB2312" w:cs="仿宋_GB2312"/>
          <w:b/>
          <w:bCs/>
          <w:highlight w:val="none"/>
        </w:rPr>
        <w:t>承担违约责任，并赔偿由此给甲方带来的全部经济损失</w:t>
      </w:r>
      <w:bookmarkEnd w:id="23"/>
      <w:r>
        <w:rPr>
          <w:rFonts w:hint="eastAsia" w:ascii="仿宋_GB2312" w:hAnsi="仿宋_GB2312" w:eastAsia="仿宋_GB2312" w:cs="仿宋_GB2312"/>
          <w:color w:val="000000" w:themeColor="text1"/>
          <w:highlight w:val="none"/>
          <w14:textFill>
            <w14:solidFill>
              <w14:schemeClr w14:val="tx1"/>
            </w14:solidFill>
          </w14:textFill>
        </w:rPr>
        <w:t>。</w:t>
      </w:r>
    </w:p>
    <w:p w14:paraId="0B026F63">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4.3质量检测：</w:t>
      </w:r>
      <w:r>
        <w:rPr>
          <w:rFonts w:hint="eastAsia" w:ascii="仿宋_GB2312" w:hAnsi="仿宋_GB2312" w:eastAsia="仿宋_GB2312" w:cs="仿宋_GB2312"/>
          <w:color w:val="000000" w:themeColor="text1"/>
          <w:highlight w:val="none"/>
          <w14:textFill>
            <w14:solidFill>
              <w14:schemeClr w14:val="tx1"/>
            </w14:solidFill>
          </w14:textFill>
        </w:rPr>
        <w:t>货物应在产品使用前进行检测，待检测合格后方可使用；如检测不合格，由乙方负责在48小时内包退包换，并承担往来运输费、上下车的力资费及相应工期损失、经济损失。</w:t>
      </w:r>
    </w:p>
    <w:p w14:paraId="53F9604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业主、监理、设计单位及甲方均有权随机抽样对货物进行第三方检测或测试，乙方有责任协助甲方完成相关测试工作，若供货材料抽样检测不合格，乙方应承担相应费用和损失。</w:t>
      </w:r>
    </w:p>
    <w:p w14:paraId="4C5F670D">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4.4质量争议：</w:t>
      </w:r>
      <w:r>
        <w:rPr>
          <w:rFonts w:hint="eastAsia" w:ascii="仿宋_GB2312" w:hAnsi="仿宋_GB2312" w:eastAsia="仿宋_GB2312" w:cs="仿宋_GB2312"/>
          <w:color w:val="000000" w:themeColor="text1"/>
          <w:highlight w:val="none"/>
          <w14:textFill>
            <w14:solidFill>
              <w14:schemeClr w14:val="tx1"/>
            </w14:solidFill>
          </w14:textFill>
        </w:rPr>
        <w:t>货物如有质量异议，应在收货后7天向对方提出，乙方应在3天内作出答复，未回复视为认可货物质量瑕疵或缺陷。因质量发生争议，双方同意共同取样并送交</w:t>
      </w:r>
      <w:permStart w:id="40"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  </w:t>
      </w:r>
      <w:permEnd w:id="40"/>
      <w:r>
        <w:rPr>
          <w:rFonts w:hint="eastAsia" w:ascii="仿宋_GB2312" w:hAnsi="仿宋_GB2312" w:eastAsia="仿宋_GB2312" w:cs="仿宋_GB2312"/>
          <w:color w:val="000000" w:themeColor="text1"/>
          <w:highlight w:val="none"/>
          <w14:textFill>
            <w14:solidFill>
              <w14:schemeClr w14:val="tx1"/>
            </w14:solidFill>
          </w14:textFill>
        </w:rPr>
        <w:t>检测站进行检验，并以该机构的检验结果为准，因此而发生的费用由责任方承担。如出现不合格品，乙方应在甲方规定时间内包退包换，所发生的费用由乙方承担。</w:t>
      </w:r>
    </w:p>
    <w:p w14:paraId="49289FF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对不符合本合同约定要求的货物甲方有权拒绝签收，乙方应立即将该货物全部运离现场并承担相应费用，同时在供货期限内重新更换符合约定的货物。如不能及时运离并在供货期限内重新更换符合约定的货物送达交货地点，甲方有权单方面解除合同，并要求乙方承担甲方相应损失。</w:t>
      </w:r>
    </w:p>
    <w:p w14:paraId="5F89A94D">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4.5更换原则：</w:t>
      </w:r>
      <w:r>
        <w:rPr>
          <w:rFonts w:hint="eastAsia" w:ascii="仿宋_GB2312" w:hAnsi="仿宋_GB2312" w:eastAsia="仿宋_GB2312" w:cs="仿宋_GB2312"/>
          <w:color w:val="000000" w:themeColor="text1"/>
          <w:highlight w:val="none"/>
          <w14:textFill>
            <w14:solidFill>
              <w14:schemeClr w14:val="tx1"/>
            </w14:solidFill>
          </w14:textFill>
        </w:rPr>
        <w:t>由于任何一方原因引起产品更换或补发的时间延长,均以不影响工程进度为原则，如造成影响，则由责任方承担由此导致的后果。</w:t>
      </w:r>
    </w:p>
    <w:p w14:paraId="12674762">
      <w:pPr>
        <w:pStyle w:val="12"/>
        <w:spacing w:line="400" w:lineRule="atLeast"/>
        <w:ind w:firstLine="482" w:firstLineChars="200"/>
        <w:rPr>
          <w:rFonts w:ascii="仿宋_GB2312" w:hAnsi="仿宋_GB2312" w:eastAsia="仿宋_GB2312" w:cs="仿宋_GB2312"/>
          <w:highlight w:val="none"/>
        </w:rPr>
      </w:pPr>
      <w:r>
        <w:rPr>
          <w:rFonts w:hint="eastAsia" w:ascii="仿宋_GB2312" w:hAnsi="仿宋_GB2312" w:eastAsia="仿宋_GB2312" w:cs="仿宋_GB2312"/>
          <w:b/>
          <w:bCs/>
          <w:color w:val="000000" w:themeColor="text1"/>
          <w:highlight w:val="none"/>
          <w14:textFill>
            <w14:solidFill>
              <w14:schemeClr w14:val="tx1"/>
            </w14:solidFill>
          </w14:textFill>
        </w:rPr>
        <w:t>4.6验收责任：</w:t>
      </w:r>
      <w:r>
        <w:rPr>
          <w:rFonts w:hint="eastAsia" w:ascii="仿宋_GB2312" w:hAnsi="仿宋_GB2312" w:eastAsia="仿宋_GB2312" w:cs="仿宋_GB2312"/>
          <w:color w:val="000000" w:themeColor="text1"/>
          <w:highlight w:val="none"/>
          <w14:textFill>
            <w14:solidFill>
              <w14:schemeClr w14:val="tx1"/>
            </w14:solidFill>
          </w14:textFill>
        </w:rPr>
        <w:t>甲方参与对乙方材料的验收并不能免除乙方应承担的责任，如在材料到场验收时未发现质量问题，但在使用时或使用后发现确实因该批材料质量未达到规定要求而造成相应损失，如返工、工期延长等经济和工期损失由乙方承担。</w:t>
      </w:r>
      <w:r>
        <w:rPr>
          <w:rFonts w:hint="eastAsia" w:ascii="仿宋_GB2312" w:hAnsi="仿宋_GB2312" w:eastAsia="仿宋_GB2312" w:cs="仿宋_GB2312"/>
          <w:b/>
          <w:bCs/>
          <w:color w:val="000000" w:themeColor="text1"/>
          <w:highlight w:val="none"/>
          <w14:textFill>
            <w14:solidFill>
              <w14:schemeClr w14:val="tx1"/>
            </w14:solidFill>
          </w14:textFill>
        </w:rPr>
        <w:t>所造成的经济损失，甲方可直接从应付款中扣除，乙方对此不持异议。</w:t>
      </w:r>
      <w:r>
        <w:rPr>
          <w:rFonts w:hint="eastAsia" w:ascii="仿宋_GB2312" w:hAnsi="仿宋_GB2312" w:eastAsia="仿宋_GB2312" w:cs="仿宋_GB2312"/>
          <w:color w:val="000000" w:themeColor="text1"/>
          <w:highlight w:val="none"/>
          <w14:textFill>
            <w14:solidFill>
              <w14:schemeClr w14:val="tx1"/>
            </w14:solidFill>
          </w14:textFill>
        </w:rPr>
        <w:t>对于由该质量问题引起的工程坍塌、人员伤亡等重大事故，乙方应承担直接经济和法律责任。</w:t>
      </w:r>
      <w:r>
        <w:rPr>
          <w:rFonts w:hint="eastAsia" w:ascii="仿宋_GB2312" w:hAnsi="仿宋_GB2312" w:eastAsia="仿宋_GB2312" w:cs="仿宋_GB2312"/>
          <w:b/>
          <w:bCs/>
          <w:color w:val="000000" w:themeColor="text1"/>
          <w:highlight w:val="none"/>
          <w14:textFill>
            <w14:solidFill>
              <w14:schemeClr w14:val="tx1"/>
            </w14:solidFill>
          </w14:textFill>
        </w:rPr>
        <w:t>若由甲方先行承担的，甲方可在任何一笔</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货款</w:t>
      </w:r>
      <w:r>
        <w:rPr>
          <w:rFonts w:hint="eastAsia" w:ascii="仿宋_GB2312" w:hAnsi="仿宋_GB2312" w:eastAsia="仿宋_GB2312" w:cs="仿宋_GB2312"/>
          <w:b/>
          <w:bCs/>
          <w:color w:val="000000" w:themeColor="text1"/>
          <w:highlight w:val="none"/>
          <w14:textFill>
            <w14:solidFill>
              <w14:schemeClr w14:val="tx1"/>
            </w14:solidFill>
          </w14:textFill>
        </w:rPr>
        <w:t>支付中予以扣除，乙方对此不持</w:t>
      </w:r>
      <w:r>
        <w:rPr>
          <w:rFonts w:hint="eastAsia" w:ascii="仿宋_GB2312" w:hAnsi="仿宋_GB2312" w:eastAsia="仿宋_GB2312" w:cs="仿宋_GB2312"/>
          <w:b/>
          <w:bCs/>
          <w:highlight w:val="none"/>
        </w:rPr>
        <w:t>异议。</w:t>
      </w:r>
    </w:p>
    <w:p w14:paraId="4798FBDA">
      <w:pPr>
        <w:pStyle w:val="12"/>
        <w:spacing w:line="400" w:lineRule="atLeast"/>
        <w:ind w:firstLine="480" w:firstLineChars="200"/>
        <w:rPr>
          <w:rFonts w:hint="eastAsia" w:ascii="仿宋_GB2312" w:hAnsi="仿宋_GB2312" w:eastAsia="仿宋_GB2312" w:cs="仿宋_GB2312"/>
          <w:b w:val="0"/>
          <w:bCs w:val="0"/>
          <w:color w:val="000000" w:themeColor="text1"/>
          <w:highlight w:val="none"/>
          <w14:textFill>
            <w14:solidFill>
              <w14:schemeClr w14:val="tx1"/>
            </w14:solidFill>
          </w14:textFill>
        </w:rPr>
      </w:pPr>
      <w:bookmarkStart w:id="24" w:name="_Toc23953"/>
      <w:bookmarkStart w:id="25" w:name="_Toc24231"/>
      <w:bookmarkStart w:id="26" w:name="_Toc22166"/>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4.7</w:t>
      </w:r>
      <w:r>
        <w:rPr>
          <w:rFonts w:hint="eastAsia" w:ascii="仿宋_GB2312" w:hAnsi="仿宋_GB2312" w:eastAsia="仿宋_GB2312" w:cs="仿宋_GB2312"/>
          <w:b w:val="0"/>
          <w:bCs w:val="0"/>
          <w:color w:val="000000" w:themeColor="text1"/>
          <w:highlight w:val="none"/>
          <w14:textFill>
            <w14:solidFill>
              <w14:schemeClr w14:val="tx1"/>
            </w14:solidFill>
          </w14:textFill>
        </w:rPr>
        <w:t>对于工程中的剩余或未使用到的货物在不严重影响外观、质量和功能的情况下甲方有权退货，退货原则上以合同约定的含税单价为准，确因商品特殊的（比如定制等），价格双方协商，协商不一致的，按照</w:t>
      </w: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合同含税单价的</w:t>
      </w:r>
      <w:permStart w:id="41" w:edGrp="everyone"/>
      <w:r>
        <w:rPr>
          <w:rFonts w:hint="eastAsia" w:ascii="仿宋_GB2312" w:hAnsi="仿宋_GB2312" w:eastAsia="仿宋_GB2312" w:cs="仿宋_GB2312"/>
          <w:b/>
          <w:bCs/>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b/>
          <w:bCs/>
          <w:color w:val="000000" w:themeColor="text1"/>
          <w:highlight w:val="none"/>
          <w:u w:val="single"/>
          <w:lang w:val="en-US" w:eastAsia="zh-CN"/>
          <w14:textFill>
            <w14:solidFill>
              <w14:schemeClr w14:val="tx1"/>
            </w14:solidFill>
          </w14:textFill>
        </w:rPr>
        <w:t>50</w:t>
      </w:r>
      <w:r>
        <w:rPr>
          <w:rFonts w:hint="eastAsia" w:ascii="仿宋_GB2312" w:hAnsi="仿宋_GB2312" w:eastAsia="仿宋_GB2312" w:cs="仿宋_GB2312"/>
          <w:b/>
          <w:bCs/>
          <w:color w:val="000000" w:themeColor="text1"/>
          <w:highlight w:val="none"/>
          <w:u w:val="single"/>
          <w14:textFill>
            <w14:solidFill>
              <w14:schemeClr w14:val="tx1"/>
            </w14:solidFill>
          </w14:textFill>
        </w:rPr>
        <w:t xml:space="preserve"> </w:t>
      </w:r>
      <w:permEnd w:id="41"/>
      <w:r>
        <w:rPr>
          <w:rFonts w:hint="eastAsia" w:ascii="仿宋_GB2312" w:hAnsi="仿宋_GB2312" w:eastAsia="仿宋_GB2312" w:cs="仿宋_GB2312"/>
          <w:b w:val="0"/>
          <w:bCs w:val="0"/>
          <w:color w:val="000000" w:themeColor="text1"/>
          <w:highlight w:val="none"/>
          <w14:textFill>
            <w14:solidFill>
              <w14:schemeClr w14:val="tx1"/>
            </w14:solidFill>
          </w14:textFill>
        </w:rPr>
        <w:t>%退货，退货数量以实际数量为准。</w:t>
      </w:r>
    </w:p>
    <w:p w14:paraId="2AB0BA59">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highlight w:val="none"/>
          <w14:textFill>
            <w14:solidFill>
              <w14:schemeClr w14:val="tx1"/>
            </w14:solidFill>
          </w14:textFill>
        </w:rPr>
        <w:t>其他：</w:t>
      </w:r>
      <w:permStart w:id="42" w:edGrp="everyone"/>
      <w:r>
        <w:rPr>
          <w:rFonts w:hint="eastAsia" w:ascii="仿宋_GB2312" w:hAnsi="仿宋_GB2312" w:eastAsia="仿宋_GB2312" w:cs="仿宋_GB2312"/>
          <w:b/>
          <w:bCs/>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w:t>
      </w:r>
      <w:r>
        <w:rPr>
          <w:rFonts w:ascii="仿宋_GB2312" w:hAnsi="仿宋_GB2312" w:eastAsia="仿宋_GB2312" w:cs="仿宋_GB2312"/>
          <w:color w:val="000000" w:themeColor="text1"/>
          <w:highlight w:val="none"/>
          <w:u w:val="single"/>
          <w14:textFill>
            <w14:solidFill>
              <w14:schemeClr w14:val="tx1"/>
            </w14:solidFill>
          </w14:textFill>
        </w:rPr>
        <w:t xml:space="preserve"> </w:t>
      </w:r>
      <w:permEnd w:id="42"/>
      <w:r>
        <w:rPr>
          <w:rFonts w:hint="eastAsia" w:ascii="仿宋_GB2312" w:hAnsi="仿宋_GB2312" w:eastAsia="仿宋_GB2312" w:cs="仿宋_GB2312"/>
          <w:color w:val="000000" w:themeColor="text1"/>
          <w:highlight w:val="none"/>
          <w14:textFill>
            <w14:solidFill>
              <w14:schemeClr w14:val="tx1"/>
            </w14:solidFill>
          </w14:textFill>
        </w:rPr>
        <w:t>。</w:t>
      </w:r>
    </w:p>
    <w:p w14:paraId="216EA48E">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货物结算</w:t>
      </w:r>
      <w:bookmarkEnd w:id="24"/>
      <w:bookmarkEnd w:id="25"/>
      <w:bookmarkEnd w:id="26"/>
    </w:p>
    <w:p w14:paraId="259F3E1D">
      <w:pPr>
        <w:pStyle w:val="12"/>
        <w:numPr>
          <w:ilvl w:val="0"/>
          <w:numId w:val="4"/>
        </w:numPr>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结算周期：</w:t>
      </w:r>
    </w:p>
    <w:p w14:paraId="08645ACA">
      <w:pPr>
        <w:pStyle w:val="12"/>
        <w:spacing w:line="400" w:lineRule="atLeast"/>
        <w:ind w:firstLine="480"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乙方每月</w:t>
      </w:r>
      <w:r>
        <w:rPr>
          <w:rFonts w:hint="eastAsia" w:ascii="仿宋_GB2312" w:hAnsi="仿宋_GB2312" w:eastAsia="仿宋_GB2312" w:cs="仿宋_GB2312"/>
          <w:color w:val="000000" w:themeColor="text1"/>
          <w:highlight w:val="none"/>
          <w:u w:val="single"/>
          <w14:textFill>
            <w14:solidFill>
              <w14:schemeClr w14:val="tx1"/>
            </w14:solidFill>
          </w14:textFill>
        </w:rPr>
        <w:t>16日</w:t>
      </w:r>
      <w:r>
        <w:rPr>
          <w:rFonts w:hint="eastAsia" w:ascii="仿宋_GB2312" w:hAnsi="仿宋_GB2312" w:eastAsia="仿宋_GB2312" w:cs="仿宋_GB2312"/>
          <w:color w:val="000000" w:themeColor="text1"/>
          <w:highlight w:val="none"/>
          <w14:textFill>
            <w14:solidFill>
              <w14:schemeClr w14:val="tx1"/>
            </w14:solidFill>
          </w14:textFill>
        </w:rPr>
        <w:t>与甲方核对上月</w:t>
      </w:r>
      <w:r>
        <w:rPr>
          <w:rFonts w:hint="eastAsia" w:ascii="仿宋_GB2312" w:hAnsi="仿宋_GB2312" w:eastAsia="仿宋_GB2312" w:cs="仿宋_GB2312"/>
          <w:color w:val="000000" w:themeColor="text1"/>
          <w:highlight w:val="none"/>
          <w:u w:val="single"/>
          <w14:textFill>
            <w14:solidFill>
              <w14:schemeClr w14:val="tx1"/>
            </w14:solidFill>
          </w14:textFill>
        </w:rPr>
        <w:t>16日</w:t>
      </w:r>
      <w:r>
        <w:rPr>
          <w:rFonts w:hint="eastAsia" w:ascii="仿宋_GB2312" w:hAnsi="仿宋_GB2312" w:eastAsia="仿宋_GB2312" w:cs="仿宋_GB2312"/>
          <w:color w:val="000000" w:themeColor="text1"/>
          <w:highlight w:val="none"/>
          <w14:textFill>
            <w14:solidFill>
              <w14:schemeClr w14:val="tx1"/>
            </w14:solidFill>
          </w14:textFill>
        </w:rPr>
        <w:t>至本月</w:t>
      </w:r>
      <w:r>
        <w:rPr>
          <w:rFonts w:hint="eastAsia" w:ascii="仿宋_GB2312" w:hAnsi="仿宋_GB2312" w:eastAsia="仿宋_GB2312" w:cs="仿宋_GB2312"/>
          <w:color w:val="000000" w:themeColor="text1"/>
          <w:highlight w:val="none"/>
          <w:u w:val="single"/>
          <w14:textFill>
            <w14:solidFill>
              <w14:schemeClr w14:val="tx1"/>
            </w14:solidFill>
          </w14:textFill>
        </w:rPr>
        <w:t>15日</w:t>
      </w:r>
      <w:r>
        <w:rPr>
          <w:rFonts w:hint="eastAsia" w:ascii="仿宋_GB2312" w:hAnsi="仿宋_GB2312" w:eastAsia="仿宋_GB2312" w:cs="仿宋_GB2312"/>
          <w:color w:val="000000" w:themeColor="text1"/>
          <w:highlight w:val="none"/>
          <w14:textFill>
            <w14:solidFill>
              <w14:schemeClr w14:val="tx1"/>
            </w14:solidFill>
          </w14:textFill>
        </w:rPr>
        <w:t>所供材料数量，并办理完结算手续。</w:t>
      </w:r>
      <w:r>
        <w:rPr>
          <w:rFonts w:hint="eastAsia" w:ascii="仿宋_GB2312" w:hAnsi="仿宋_GB2312" w:eastAsia="仿宋_GB2312" w:cs="仿宋_GB2312"/>
          <w:b/>
          <w:bCs/>
          <w:color w:val="000000" w:themeColor="text1"/>
          <w:highlight w:val="none"/>
          <w14:textFill>
            <w14:solidFill>
              <w14:schemeClr w14:val="tx1"/>
            </w14:solidFill>
          </w14:textFill>
        </w:rPr>
        <w:t>因乙方不配合签认结算单等原因超出本合同规定时间未办理完结算手续，乙方在此期间无权要求甲方付款及追究甲方任何违约责任或要求赔偿资金占用费等损失，同时甲方保留单方办理结算的权利且视为乙方认可甲方审定的结算金额。</w:t>
      </w:r>
    </w:p>
    <w:p w14:paraId="7C90100D">
      <w:pPr>
        <w:pStyle w:val="12"/>
        <w:numPr>
          <w:ilvl w:val="0"/>
          <w:numId w:val="4"/>
        </w:numPr>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结算流程：</w:t>
      </w:r>
    </w:p>
    <w:p w14:paraId="029C33F1">
      <w:pPr>
        <w:pStyle w:val="12"/>
        <w:numPr>
          <w:ilvl w:val="255"/>
          <w:numId w:val="0"/>
        </w:numPr>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双方结算分为过程结算及最终结算。过程结算按下表流程进行。最终结算于供货完成、验收合格且未出现任何质量问题后一个月内办理，最终结算需附物资买卖合同结算协议书。</w:t>
      </w:r>
    </w:p>
    <w:p w14:paraId="596FF6BC">
      <w:pPr>
        <w:pStyle w:val="12"/>
        <w:numPr>
          <w:ilvl w:val="0"/>
          <w:numId w:val="4"/>
        </w:numPr>
        <w:spacing w:line="400" w:lineRule="atLeast"/>
        <w:ind w:firstLine="482"/>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mc:AlternateContent>
          <mc:Choice Requires="wpg">
            <w:drawing>
              <wp:anchor distT="0" distB="0" distL="114300" distR="114300" simplePos="0" relativeHeight="251659264" behindDoc="0" locked="0" layoutInCell="1" allowOverlap="1">
                <wp:simplePos x="0" y="0"/>
                <wp:positionH relativeFrom="column">
                  <wp:posOffset>-12065</wp:posOffset>
                </wp:positionH>
                <wp:positionV relativeFrom="paragraph">
                  <wp:posOffset>101600</wp:posOffset>
                </wp:positionV>
                <wp:extent cx="5080000" cy="1210310"/>
                <wp:effectExtent l="4445" t="5080" r="249555" b="22860"/>
                <wp:wrapTopAndBottom/>
                <wp:docPr id="10" name="组合 10"/>
                <wp:cNvGraphicFramePr/>
                <a:graphic xmlns:a="http://schemas.openxmlformats.org/drawingml/2006/main">
                  <a:graphicData uri="http://schemas.microsoft.com/office/word/2010/wordprocessingGroup">
                    <wpg:wgp>
                      <wpg:cNvGrpSpPr/>
                      <wpg:grpSpPr>
                        <a:xfrm>
                          <a:off x="0" y="0"/>
                          <a:ext cx="5080000" cy="1210310"/>
                          <a:chOff x="2064" y="142451"/>
                          <a:chExt cx="8000" cy="1906"/>
                        </a:xfrm>
                      </wpg:grpSpPr>
                      <wpg:grpSp>
                        <wpg:cNvPr id="2" name="组合 5"/>
                        <wpg:cNvGrpSpPr/>
                        <wpg:grpSpPr>
                          <a:xfrm>
                            <a:off x="2064" y="142451"/>
                            <a:ext cx="8000" cy="1907"/>
                            <a:chOff x="4638" y="144974"/>
                            <a:chExt cx="8000" cy="2118"/>
                          </a:xfrm>
                        </wpg:grpSpPr>
                        <wps:wsp>
                          <wps:cNvPr id="4" name="文本框 3"/>
                          <wps:cNvSpPr txBox="1"/>
                          <wps:spPr>
                            <a:xfrm>
                              <a:off x="4655" y="144974"/>
                              <a:ext cx="3492" cy="8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52864A6">
                                <w:pPr>
                                  <w:pStyle w:val="12"/>
                                  <w:jc w:val="center"/>
                                  <w:outlineLvl w:val="0"/>
                                  <w:rPr>
                                    <w:rFonts w:ascii="仿宋_GB2312" w:hAnsi="仿宋_GB2312" w:eastAsia="仿宋_GB2312" w:cs="仿宋_GB2312"/>
                                  </w:rPr>
                                </w:pPr>
                                <w:r>
                                  <w:rPr>
                                    <w:rFonts w:hint="eastAsia" w:ascii="仿宋_GB2312" w:hAnsi="仿宋_GB2312" w:eastAsia="仿宋_GB2312" w:cs="仿宋_GB2312"/>
                                  </w:rPr>
                                  <w:t>1.甲乙双方核对收料单</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 name="文本框 6"/>
                          <wps:cNvSpPr txBox="1"/>
                          <wps:spPr>
                            <a:xfrm>
                              <a:off x="8740" y="144974"/>
                              <a:ext cx="3898" cy="8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34C6CFC">
                                <w:pPr>
                                  <w:pStyle w:val="12"/>
                                  <w:outlineLvl w:val="0"/>
                                  <w:rPr>
                                    <w:rFonts w:ascii="仿宋_GB2312" w:hAnsi="仿宋_GB2312" w:eastAsia="仿宋_GB2312" w:cs="仿宋_GB2312"/>
                                  </w:rPr>
                                </w:pPr>
                                <w:r>
                                  <w:rPr>
                                    <w:rFonts w:hint="eastAsia" w:ascii="仿宋_GB2312" w:hAnsi="仿宋_GB2312" w:eastAsia="仿宋_GB2312" w:cs="仿宋_GB2312"/>
                                  </w:rPr>
                                  <w:t>2.甲方结算人员生成过程结算</w:t>
                                </w:r>
                                <w:r>
                                  <w:rPr>
                                    <w:rFonts w:hint="eastAsia" w:ascii="仿宋_GB2312" w:hAnsi="仿宋_GB2312" w:eastAsia="仿宋_GB2312" w:cs="仿宋_GB2312"/>
                                    <w:lang w:val="en-US" w:eastAsia="zh-CN"/>
                                  </w:rPr>
                                  <w:t>资料</w:t>
                                </w:r>
                                <w:r>
                                  <w:rPr>
                                    <w:rFonts w:hint="eastAsia" w:ascii="仿宋_GB2312" w:hAnsi="仿宋_GB2312" w:eastAsia="仿宋_GB2312" w:cs="仿宋_GB2312"/>
                                  </w:rPr>
                                  <w:t>，乙方签字盖章确认</w:t>
                                </w:r>
                              </w:p>
                              <w:p w14:paraId="5DE7932B">
                                <w:pPr>
                                  <w:pStyle w:val="12"/>
                                  <w:outlineLvl w:val="0"/>
                                  <w:rPr>
                                    <w:rFonts w:ascii="仿宋_GB2312" w:hAnsi="仿宋_GB2312" w:eastAsia="仿宋_GB2312" w:cs="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文本框 8"/>
                          <wps:cNvSpPr txBox="1"/>
                          <wps:spPr>
                            <a:xfrm>
                              <a:off x="4638" y="145859"/>
                              <a:ext cx="3507" cy="123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D1B69BD">
                                <w:pPr>
                                  <w:pStyle w:val="12"/>
                                  <w:outlineLvl w:val="0"/>
                                  <w:rPr>
                                    <w:rFonts w:ascii="仿宋_GB2312" w:hAnsi="仿宋_GB2312" w:eastAsia="仿宋_GB2312" w:cs="仿宋_GB2312"/>
                                    <w:highlight w:val="none"/>
                                  </w:rPr>
                                </w:pPr>
                                <w:r>
                                  <w:rPr>
                                    <w:rFonts w:hint="eastAsia" w:ascii="仿宋_GB2312" w:hAnsi="仿宋_GB2312" w:eastAsia="仿宋_GB2312" w:cs="仿宋_GB2312"/>
                                    <w:highlight w:val="none"/>
                                  </w:rPr>
                                  <w:t>4.甲方公司复核结算，复核完成后按比例支付结算款</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文本框 11"/>
                          <wps:cNvSpPr txBox="1"/>
                          <wps:spPr>
                            <a:xfrm>
                              <a:off x="8706" y="145858"/>
                              <a:ext cx="3927" cy="121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15458AA">
                                <w:pPr>
                                  <w:pStyle w:val="12"/>
                                  <w:outlineLvl w:val="0"/>
                                  <w:rPr>
                                    <w:rFonts w:ascii="仿宋_GB2312" w:hAnsi="仿宋_GB2312" w:eastAsia="仿宋_GB2312" w:cs="仿宋_GB2312"/>
                                  </w:rPr>
                                </w:pPr>
                                <w:r>
                                  <w:rPr>
                                    <w:rFonts w:hint="eastAsia" w:ascii="仿宋_GB2312" w:hAnsi="仿宋_GB2312" w:eastAsia="仿宋_GB2312" w:cs="仿宋_GB2312"/>
                                  </w:rPr>
                                  <w:t>3.</w:t>
                                </w:r>
                                <w:r>
                                  <w:rPr>
                                    <w:rFonts w:hint="eastAsia" w:ascii="仿宋_GB2312" w:hAnsi="仿宋_GB2312" w:eastAsia="仿宋_GB2312" w:cs="仿宋_GB2312"/>
                                    <w:highlight w:val="none"/>
                                  </w:rPr>
                                  <w:t>甲方项目部初步审核过程结算，乙方依据金额开具等额发票。</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0" name="肘形连接符 2"/>
                        <wps:cNvCnPr/>
                        <wps:spPr>
                          <a:xfrm flipH="1">
                            <a:off x="10059" y="142690"/>
                            <a:ext cx="5" cy="973"/>
                          </a:xfrm>
                          <a:prstGeom prst="bentConnector3">
                            <a:avLst>
                              <a:gd name="adj1" fmla="val -7500000"/>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21" name="直接箭头连接符 4"/>
                        <wps:cNvCnPr/>
                        <wps:spPr>
                          <a:xfrm>
                            <a:off x="5573" y="142689"/>
                            <a:ext cx="593" cy="1"/>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22" name="直接箭头连接符 7"/>
                        <wps:cNvCnPr/>
                        <wps:spPr>
                          <a:xfrm flipH="1">
                            <a:off x="5571" y="143663"/>
                            <a:ext cx="561" cy="7"/>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1026" o:spid="_x0000_s1026" o:spt="203" style="position:absolute;left:0pt;margin-left:-0.95pt;margin-top:8pt;height:95.3pt;width:400pt;mso-wrap-distance-bottom:0pt;mso-wrap-distance-top:0pt;z-index:251659264;mso-width-relative:page;mso-height-relative:page;" coordorigin="2064,142451" coordsize="8000,1906" o:gfxdata="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">
                <o:lock v:ext="edit" aspectratio="f"/>
                <v:group id="组合 5" o:spid="_x0000_s1026" o:spt="203" style="position:absolute;left:2064;top:142451;height:1907;width:8000;" coordorigin="4638,144974" coordsize="8000,2118"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文本框 3" o:spid="_x0000_s1026" o:spt="202" type="#_x0000_t202" style="position:absolute;left:4655;top:144974;height:865;width:3492;" fillcolor="#FFFFFF [3201]" filled="t" stroked="t" coordsize="21600,21600" o:gfxdata="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ZVC/C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052864A6">
                          <w:pPr>
                            <w:pStyle w:val="12"/>
                            <w:jc w:val="center"/>
                            <w:outlineLvl w:val="0"/>
                            <w:rPr>
                              <w:rFonts w:ascii="仿宋_GB2312" w:hAnsi="仿宋_GB2312" w:eastAsia="仿宋_GB2312" w:cs="仿宋_GB2312"/>
                            </w:rPr>
                          </w:pPr>
                          <w:r>
                            <w:rPr>
                              <w:rFonts w:hint="eastAsia" w:ascii="仿宋_GB2312" w:hAnsi="仿宋_GB2312" w:eastAsia="仿宋_GB2312" w:cs="仿宋_GB2312"/>
                            </w:rPr>
                            <w:t>1.甲乙双方核对收料单</w:t>
                          </w:r>
                        </w:p>
                      </w:txbxContent>
                    </v:textbox>
                  </v:shape>
                  <v:shape id="文本框 6" o:spid="_x0000_s1026" o:spt="202" type="#_x0000_t202" style="position:absolute;left:8740;top:144974;height:825;width:3898;" fillcolor="#FFFFFF [3201]" filled="t" stroked="t" coordsize="21600,21600" o:gfxdata="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hUpG6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234C6CFC">
                          <w:pPr>
                            <w:pStyle w:val="12"/>
                            <w:outlineLvl w:val="0"/>
                            <w:rPr>
                              <w:rFonts w:ascii="仿宋_GB2312" w:hAnsi="仿宋_GB2312" w:eastAsia="仿宋_GB2312" w:cs="仿宋_GB2312"/>
                            </w:rPr>
                          </w:pPr>
                          <w:r>
                            <w:rPr>
                              <w:rFonts w:hint="eastAsia" w:ascii="仿宋_GB2312" w:hAnsi="仿宋_GB2312" w:eastAsia="仿宋_GB2312" w:cs="仿宋_GB2312"/>
                            </w:rPr>
                            <w:t>2.甲方结算人员生成过程结算</w:t>
                          </w:r>
                          <w:r>
                            <w:rPr>
                              <w:rFonts w:hint="eastAsia" w:ascii="仿宋_GB2312" w:hAnsi="仿宋_GB2312" w:eastAsia="仿宋_GB2312" w:cs="仿宋_GB2312"/>
                              <w:lang w:val="en-US" w:eastAsia="zh-CN"/>
                            </w:rPr>
                            <w:t>资料</w:t>
                          </w:r>
                          <w:r>
                            <w:rPr>
                              <w:rFonts w:hint="eastAsia" w:ascii="仿宋_GB2312" w:hAnsi="仿宋_GB2312" w:eastAsia="仿宋_GB2312" w:cs="仿宋_GB2312"/>
                            </w:rPr>
                            <w:t>，乙方签字盖章确认</w:t>
                          </w:r>
                        </w:p>
                        <w:p w14:paraId="5DE7932B">
                          <w:pPr>
                            <w:pStyle w:val="12"/>
                            <w:outlineLvl w:val="0"/>
                            <w:rPr>
                              <w:rFonts w:ascii="仿宋_GB2312" w:hAnsi="仿宋_GB2312" w:eastAsia="仿宋_GB2312" w:cs="仿宋_GB2312"/>
                            </w:rPr>
                          </w:pPr>
                        </w:p>
                      </w:txbxContent>
                    </v:textbox>
                  </v:shape>
                  <v:shape id="文本框 8" o:spid="_x0000_s1026" o:spt="202" type="#_x0000_t202" style="position:absolute;left:4638;top:145859;height:1233;width:3507;" fillcolor="#FFFFFF [3201]" filled="t" stroked="t" coordsize="21600,21600" o:gfxdata="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8+EJb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1D1B69BD">
                          <w:pPr>
                            <w:pStyle w:val="12"/>
                            <w:outlineLvl w:val="0"/>
                            <w:rPr>
                              <w:rFonts w:ascii="仿宋_GB2312" w:hAnsi="仿宋_GB2312" w:eastAsia="仿宋_GB2312" w:cs="仿宋_GB2312"/>
                              <w:highlight w:val="none"/>
                            </w:rPr>
                          </w:pPr>
                          <w:r>
                            <w:rPr>
                              <w:rFonts w:hint="eastAsia" w:ascii="仿宋_GB2312" w:hAnsi="仿宋_GB2312" w:eastAsia="仿宋_GB2312" w:cs="仿宋_GB2312"/>
                              <w:highlight w:val="none"/>
                            </w:rPr>
                            <w:t>4.甲方公司复核结算，复核完成后按比例支付结算款</w:t>
                          </w:r>
                        </w:p>
                      </w:txbxContent>
                    </v:textbox>
                  </v:shape>
                  <v:shape id="文本框 11" o:spid="_x0000_s1026" o:spt="202" type="#_x0000_t202" style="position:absolute;left:8706;top:145858;height:1218;width:3927;" fillcolor="#FFFFFF [3201]" filled="t" stroked="t" coordsize="21600,21600" o:gfxdata="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7IMhvr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115458AA">
                          <w:pPr>
                            <w:pStyle w:val="12"/>
                            <w:outlineLvl w:val="0"/>
                            <w:rPr>
                              <w:rFonts w:ascii="仿宋_GB2312" w:hAnsi="仿宋_GB2312" w:eastAsia="仿宋_GB2312" w:cs="仿宋_GB2312"/>
                            </w:rPr>
                          </w:pPr>
                          <w:r>
                            <w:rPr>
                              <w:rFonts w:hint="eastAsia" w:ascii="仿宋_GB2312" w:hAnsi="仿宋_GB2312" w:eastAsia="仿宋_GB2312" w:cs="仿宋_GB2312"/>
                            </w:rPr>
                            <w:t>3.</w:t>
                          </w:r>
                          <w:r>
                            <w:rPr>
                              <w:rFonts w:hint="eastAsia" w:ascii="仿宋_GB2312" w:hAnsi="仿宋_GB2312" w:eastAsia="仿宋_GB2312" w:cs="仿宋_GB2312"/>
                              <w:highlight w:val="none"/>
                            </w:rPr>
                            <w:t>甲方项目部初步审核过程结算，乙方依据金额开具等额发票。</w:t>
                          </w:r>
                        </w:p>
                      </w:txbxContent>
                    </v:textbox>
                  </v:shape>
                </v:group>
                <v:shape id="肘形连接符 2" o:spid="_x0000_s1026" o:spt="34" type="#_x0000_t34" style="position:absolute;left:10059;top:142690;flip:x;height:973;width:5;" filled="f" stroked="t" coordsize="21600,21600" o:gfxdata="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ngGcrgAAADbAAAA&#10;DwAAAAAAAAABACAAAAAiAAAAZHJzL2Rvd25yZXYueG1sUEsBAhQAFAAAAAgAh07iQDMvBZ47AAAA&#10;OQAAABAAAAAAAAAAAQAgAAAABwEAAGRycy9zaGFwZXhtbC54bWxQSwUGAAAAAAYABgBbAQAAsQMA&#10;AAAA&#10;" adj="-1620000">
                  <v:fill on="f" focussize="0,0"/>
                  <v:stroke weight="1pt" color="#000000 [3200]" miterlimit="8" joinstyle="miter" endarrow="open"/>
                  <v:imagedata o:title=""/>
                  <o:lock v:ext="edit" aspectratio="f"/>
                </v:shape>
                <v:shape id="直接箭头连接符 4" o:spid="_x0000_s1026" o:spt="32" type="#_x0000_t32" style="position:absolute;left:5573;top:142689;height:1;width:593;" filled="f" stroked="t" coordsize="21600,21600" o:gfxdata="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8zfrsAAADb&#10;AAAADwAAAAAAAAABACAAAAAiAAAAZHJzL2Rvd25yZXYueG1sUEsBAhQAFAAAAAgAh07iQDMvBZ47&#10;AAAAOQAAABAAAAAAAAAAAQAgAAAACgEAAGRycy9zaGFwZXhtbC54bWxQSwUGAAAAAAYABgBbAQAA&#10;tAMAAAAA&#10;">
                  <v:fill on="f" focussize="0,0"/>
                  <v:stroke weight="1pt" color="#000000 [3200]" miterlimit="8" joinstyle="miter" endarrow="open"/>
                  <v:imagedata o:title=""/>
                  <o:lock v:ext="edit" aspectratio="f"/>
                </v:shape>
                <v:shape id="直接箭头连接符 7" o:spid="_x0000_s1026" o:spt="32" type="#_x0000_t32" style="position:absolute;left:5571;top:143663;flip:x;height:7;width:561;" filled="f" stroked="t" coordsize="21600,21600" o:gfxdata="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uua/&#10;AAAA2wAAAA8AAAAAAAAAAQAgAAAAIgAAAGRycy9kb3ducmV2LnhtbFBLAQIUABQAAAAIAIdO4kAz&#10;LwWeOwAAADkAAAAQAAAAAAAAAAEAIAAAAA4BAABkcnMvc2hhcGV4bWwueG1sUEsFBgAAAAAGAAYA&#10;WwEAALgDAAAAAA==&#10;">
                  <v:fill on="f" focussize="0,0"/>
                  <v:stroke weight="1pt" color="#000000 [3200]" miterlimit="8" joinstyle="miter" endarrow="open"/>
                  <v:imagedata o:title=""/>
                  <o:lock v:ext="edit" aspectratio="f"/>
                </v:shape>
                <w10:wrap type="topAndBottom"/>
              </v:group>
            </w:pict>
          </mc:Fallback>
        </mc:AlternateContent>
      </w:r>
      <w:r>
        <w:rPr>
          <w:rFonts w:hint="eastAsia" w:ascii="仿宋_GB2312" w:hAnsi="仿宋_GB2312" w:eastAsia="仿宋_GB2312" w:cs="仿宋_GB2312"/>
          <w:b/>
          <w:bCs/>
          <w:color w:val="000000" w:themeColor="text1"/>
          <w:highlight w:val="none"/>
          <w14:textFill>
            <w14:solidFill>
              <w14:schemeClr w14:val="tx1"/>
            </w14:solidFill>
          </w14:textFill>
        </w:rPr>
        <w:t>增值税专用发票：</w:t>
      </w:r>
    </w:p>
    <w:p w14:paraId="187B5A46">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3.1增值税票要求：</w:t>
      </w:r>
    </w:p>
    <w:p w14:paraId="0598ED16">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3.1.1税票信息：</w:t>
      </w:r>
      <w:r>
        <w:rPr>
          <w:rFonts w:hint="eastAsia" w:ascii="仿宋_GB2312" w:hAnsi="仿宋_GB2312" w:eastAsia="仿宋_GB2312" w:cs="仿宋_GB2312"/>
          <w:color w:val="000000" w:themeColor="text1"/>
          <w:highlight w:val="none"/>
          <w14:textFill>
            <w14:solidFill>
              <w14:schemeClr w14:val="tx1"/>
            </w14:solidFill>
          </w14:textFill>
        </w:rPr>
        <w:t>乙方应按甲方要求提供以其本单位名义开具，适用</w:t>
      </w:r>
      <w:permStart w:id="43"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13％</w:t>
      </w:r>
      <w:permEnd w:id="43"/>
      <w:r>
        <w:rPr>
          <w:rFonts w:hint="eastAsia" w:ascii="仿宋_GB2312" w:hAnsi="仿宋_GB2312" w:eastAsia="仿宋_GB2312" w:cs="仿宋_GB2312"/>
          <w:color w:val="000000" w:themeColor="text1"/>
          <w:highlight w:val="none"/>
          <w14:textFill>
            <w14:solidFill>
              <w14:schemeClr w14:val="tx1"/>
            </w14:solidFill>
          </w14:textFill>
        </w:rPr>
        <w:t>税率的增值税专用发票，开具金额需与结算金额一致，并加盖与本合同中乙方名称一致的发票专用章（如税务部门要求合同、发票等备案登记的，乙方承担相关费用并办理相关手续）。</w:t>
      </w:r>
    </w:p>
    <w:p w14:paraId="16BD8404">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3.1.2计税方式：</w:t>
      </w:r>
      <w:r>
        <w:rPr>
          <w:rFonts w:hint="eastAsia" w:ascii="仿宋_GB2312" w:hAnsi="仿宋_GB2312" w:eastAsia="仿宋_GB2312" w:cs="仿宋_GB2312"/>
          <w:color w:val="000000" w:themeColor="text1"/>
          <w:highlight w:val="none"/>
          <w14:textFill>
            <w14:solidFill>
              <w14:schemeClr w14:val="tx1"/>
            </w14:solidFill>
          </w14:textFill>
        </w:rPr>
        <w:t>本合同所涉应税行为计税方法为</w:t>
      </w:r>
      <w:permStart w:id="44"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一般计税方法 </w:t>
      </w:r>
      <w:permEnd w:id="44"/>
      <w:r>
        <w:rPr>
          <w:rFonts w:hint="eastAsia" w:ascii="仿宋_GB2312" w:hAnsi="仿宋_GB2312" w:eastAsia="仿宋_GB2312" w:cs="仿宋_GB2312"/>
          <w:color w:val="000000" w:themeColor="text1"/>
          <w:highlight w:val="none"/>
          <w14:textFill>
            <w14:solidFill>
              <w14:schemeClr w14:val="tx1"/>
            </w14:solidFill>
          </w14:textFill>
        </w:rPr>
        <w:t>。</w:t>
      </w:r>
    </w:p>
    <w:p w14:paraId="2C77A87B">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3.1.3税票金额：</w:t>
      </w:r>
      <w:r>
        <w:rPr>
          <w:rFonts w:hint="eastAsia" w:ascii="仿宋_GB2312" w:hAnsi="仿宋_GB2312" w:eastAsia="仿宋_GB2312" w:cs="仿宋_GB2312"/>
          <w:color w:val="000000" w:themeColor="text1"/>
          <w:highlight w:val="none"/>
          <w14:textFill>
            <w14:solidFill>
              <w14:schemeClr w14:val="tx1"/>
            </w14:solidFill>
          </w14:textFill>
        </w:rPr>
        <w:t>乙方应按每期结算金额开具当期增值税专用发票，并于发票开具之日起7天内提供给甲方指定签收人员。乙方应开具合法、有效、准确的增值税专用发票，若汇总开具增值税专用发票的，则乙方需同时提供防伪税控系统开具的《销售货物或者提供应税劳务清单》，清单内容需与实际供货内容、结算内容相一致，并加盖发票专用章。</w:t>
      </w:r>
      <w:bookmarkStart w:id="27" w:name="_Hlk126834051"/>
      <w:r>
        <w:rPr>
          <w:rFonts w:hint="eastAsia" w:ascii="仿宋_GB2312" w:hAnsi="仿宋_GB2312" w:eastAsia="仿宋_GB2312" w:cs="仿宋_GB2312"/>
          <w:b/>
          <w:bCs/>
          <w:color w:val="000000" w:themeColor="text1"/>
          <w:highlight w:val="none"/>
          <w14:textFill>
            <w14:solidFill>
              <w14:schemeClr w14:val="tx1"/>
            </w14:solidFill>
          </w14:textFill>
        </w:rPr>
        <w:t>如乙方未提供发票或提供发票不合规、不及时、无法认证，甲方有权拒绝付款，且不视为甲方付款逾期，乙方无权要求甲方支付利息、违约金或赔偿损失。</w:t>
      </w:r>
    </w:p>
    <w:bookmarkEnd w:id="27"/>
    <w:p w14:paraId="54ED20E0">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3.1.4税率变化：</w:t>
      </w:r>
      <w:r>
        <w:rPr>
          <w:rFonts w:hint="eastAsia" w:ascii="仿宋_GB2312" w:hAnsi="仿宋_GB2312" w:eastAsia="仿宋_GB2312" w:cs="仿宋_GB2312"/>
          <w:color w:val="000000" w:themeColor="text1"/>
          <w:highlight w:val="none"/>
          <w14:textFill>
            <w14:solidFill>
              <w14:schemeClr w14:val="tx1"/>
            </w14:solidFill>
          </w14:textFill>
        </w:rPr>
        <w:t>合同执行过程中如遇国家税务政策调整导致适用税率发生变化，以货物进场验收时间点依据适用政策调整，执行按照新的税率，合同含税价格依据新的税率相应调整，乙方承担相应的纳税义务提供新税率的增值税专用发票。</w:t>
      </w:r>
    </w:p>
    <w:p w14:paraId="4C4409E9">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3.2 税票丢失：</w:t>
      </w:r>
      <w:r>
        <w:rPr>
          <w:rFonts w:hint="eastAsia" w:ascii="仿宋_GB2312" w:hAnsi="仿宋_GB2312" w:eastAsia="仿宋_GB2312" w:cs="仿宋_GB2312"/>
          <w:color w:val="000000" w:themeColor="text1"/>
          <w:highlight w:val="none"/>
          <w14:textFill>
            <w14:solidFill>
              <w14:schemeClr w14:val="tx1"/>
            </w14:solidFill>
          </w14:textFill>
        </w:rPr>
        <w:t>若甲方丢失增值税专用发票联和抵扣联,乙方在接到甲方书面通知3个工作日内必须向甲方提供专用发票记账联复印件及其主管税务机关出具的《丢失增值税专用发票已报税证明单》，以作为甲方增值税进项税额的抵扣凭证。</w:t>
      </w:r>
    </w:p>
    <w:p w14:paraId="79C79ED2">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3.3税务信息：</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45"/>
        <w:gridCol w:w="6143"/>
      </w:tblGrid>
      <w:tr w14:paraId="0980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534" w:type="dxa"/>
            <w:vMerge w:val="restart"/>
            <w:tcBorders>
              <w:top w:val="single" w:color="auto" w:sz="12" w:space="0"/>
              <w:left w:val="single" w:color="auto" w:sz="12" w:space="0"/>
            </w:tcBorders>
            <w:vAlign w:val="center"/>
          </w:tcPr>
          <w:p w14:paraId="71086F35">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permStart w:id="45" w:edGrp="everyone"/>
            <w:r>
              <w:rPr>
                <w:rFonts w:hint="eastAsia" w:ascii="仿宋_GB2312" w:hAnsi="仿宋_GB2312" w:eastAsia="仿宋_GB2312" w:cs="仿宋_GB2312"/>
                <w:b/>
                <w:color w:val="000000" w:themeColor="text1"/>
                <w:sz w:val="24"/>
                <w:szCs w:val="24"/>
                <w:highlight w:val="none"/>
                <w14:textFill>
                  <w14:solidFill>
                    <w14:schemeClr w14:val="tx1"/>
                  </w14:solidFill>
                </w14:textFill>
              </w:rPr>
              <w:t>甲方</w:t>
            </w:r>
          </w:p>
        </w:tc>
        <w:tc>
          <w:tcPr>
            <w:tcW w:w="1845" w:type="dxa"/>
            <w:tcBorders>
              <w:top w:val="single" w:color="auto" w:sz="12" w:space="0"/>
            </w:tcBorders>
            <w:vAlign w:val="bottom"/>
          </w:tcPr>
          <w:p w14:paraId="3FF5E2FE">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名      称</w:t>
            </w:r>
          </w:p>
        </w:tc>
        <w:tc>
          <w:tcPr>
            <w:tcW w:w="6143" w:type="dxa"/>
            <w:tcBorders>
              <w:top w:val="single" w:color="auto" w:sz="12" w:space="0"/>
              <w:right w:val="single" w:color="auto" w:sz="12" w:space="0"/>
            </w:tcBorders>
          </w:tcPr>
          <w:p w14:paraId="2A00FE24">
            <w:pPr>
              <w:spacing w:line="5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中建路桥集团有限公司</w:t>
            </w:r>
          </w:p>
        </w:tc>
      </w:tr>
      <w:tr w14:paraId="2A95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3F6F0D2E">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p>
        </w:tc>
        <w:tc>
          <w:tcPr>
            <w:tcW w:w="1845" w:type="dxa"/>
            <w:vAlign w:val="bottom"/>
          </w:tcPr>
          <w:p w14:paraId="000A12D0">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纳税人身份</w:t>
            </w:r>
          </w:p>
        </w:tc>
        <w:tc>
          <w:tcPr>
            <w:tcW w:w="6143" w:type="dxa"/>
            <w:tcBorders>
              <w:right w:val="single" w:color="auto" w:sz="12" w:space="0"/>
            </w:tcBorders>
          </w:tcPr>
          <w:p w14:paraId="38F98A7A">
            <w:pPr>
              <w:spacing w:line="5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一般纳税人</w:t>
            </w:r>
          </w:p>
        </w:tc>
      </w:tr>
      <w:tr w14:paraId="6709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4D73A623">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p>
        </w:tc>
        <w:tc>
          <w:tcPr>
            <w:tcW w:w="1845" w:type="dxa"/>
            <w:vAlign w:val="bottom"/>
          </w:tcPr>
          <w:p w14:paraId="6E259BAA">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纳税人识别号</w:t>
            </w:r>
          </w:p>
        </w:tc>
        <w:tc>
          <w:tcPr>
            <w:tcW w:w="6143" w:type="dxa"/>
            <w:tcBorders>
              <w:right w:val="single" w:color="auto" w:sz="12" w:space="0"/>
            </w:tcBorders>
          </w:tcPr>
          <w:p w14:paraId="006E988D">
            <w:pPr>
              <w:spacing w:line="5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91130000401700454L</w:t>
            </w:r>
          </w:p>
        </w:tc>
      </w:tr>
      <w:tr w14:paraId="334F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070711D1">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p>
        </w:tc>
        <w:tc>
          <w:tcPr>
            <w:tcW w:w="1845" w:type="dxa"/>
            <w:vAlign w:val="bottom"/>
          </w:tcPr>
          <w:p w14:paraId="21400DFA">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地 址、电 话</w:t>
            </w:r>
          </w:p>
        </w:tc>
        <w:tc>
          <w:tcPr>
            <w:tcW w:w="6143" w:type="dxa"/>
            <w:tcBorders>
              <w:right w:val="single" w:color="auto" w:sz="12" w:space="0"/>
            </w:tcBorders>
          </w:tcPr>
          <w:p w14:paraId="31985EB4">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河北省</w:t>
            </w:r>
            <w:r>
              <w:rPr>
                <w:rFonts w:hint="eastAsia" w:ascii="仿宋_GB2312" w:hAnsi="仿宋_GB2312" w:eastAsia="仿宋_GB2312" w:cs="仿宋_GB2312"/>
                <w:color w:val="000000" w:themeColor="text1"/>
                <w:sz w:val="24"/>
                <w:szCs w:val="24"/>
                <w:highlight w:val="none"/>
                <w14:textFill>
                  <w14:solidFill>
                    <w14:schemeClr w14:val="tx1"/>
                  </w14:solidFill>
                </w14:textFill>
              </w:rPr>
              <w:t>石家庄市</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桥西区</w:t>
            </w:r>
            <w:r>
              <w:rPr>
                <w:rFonts w:hint="eastAsia" w:ascii="仿宋_GB2312" w:hAnsi="仿宋_GB2312" w:eastAsia="仿宋_GB2312" w:cs="仿宋_GB2312"/>
                <w:color w:val="000000" w:themeColor="text1"/>
                <w:sz w:val="24"/>
                <w:szCs w:val="24"/>
                <w:highlight w:val="none"/>
                <w14:textFill>
                  <w14:solidFill>
                    <w14:schemeClr w14:val="tx1"/>
                  </w14:solidFill>
                </w14:textFill>
              </w:rPr>
              <w:t>建设南大街70号、0311-86028814</w:t>
            </w:r>
          </w:p>
        </w:tc>
      </w:tr>
      <w:tr w14:paraId="3BA5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3CB2F5AE">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p>
        </w:tc>
        <w:tc>
          <w:tcPr>
            <w:tcW w:w="1845" w:type="dxa"/>
            <w:vAlign w:val="bottom"/>
          </w:tcPr>
          <w:p w14:paraId="1BE0DF1D">
            <w:pPr>
              <w:snapToGrid w:val="0"/>
              <w:spacing w:line="400" w:lineRule="atLeast"/>
              <w:contextualSpacing/>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开户行及账号</w:t>
            </w:r>
          </w:p>
        </w:tc>
        <w:tc>
          <w:tcPr>
            <w:tcW w:w="6143" w:type="dxa"/>
            <w:tcBorders>
              <w:right w:val="single" w:color="auto" w:sz="12" w:space="0"/>
            </w:tcBorders>
            <w:vAlign w:val="top"/>
          </w:tcPr>
          <w:p w14:paraId="77C01D58">
            <w:pPr>
              <w:snapToGrid w:val="0"/>
              <w:spacing w:line="400" w:lineRule="atLeast"/>
              <w:contextualSpacing/>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建行</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石家庄</w:t>
            </w:r>
            <w:r>
              <w:rPr>
                <w:rFonts w:hint="eastAsia" w:ascii="仿宋_GB2312" w:hAnsi="仿宋_GB2312" w:eastAsia="仿宋_GB2312" w:cs="仿宋_GB2312"/>
                <w:color w:val="000000" w:themeColor="text1"/>
                <w:sz w:val="24"/>
                <w:szCs w:val="24"/>
                <w:highlight w:val="none"/>
                <w14:textFill>
                  <w14:solidFill>
                    <w14:schemeClr w14:val="tx1"/>
                  </w14:solidFill>
                </w14:textFill>
              </w:rPr>
              <w:t>平安大街支行13001618601050504927</w:t>
            </w:r>
          </w:p>
        </w:tc>
      </w:tr>
      <w:tr w14:paraId="131B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534" w:type="dxa"/>
            <w:vMerge w:val="continue"/>
            <w:tcBorders>
              <w:left w:val="single" w:color="auto" w:sz="12" w:space="0"/>
              <w:bottom w:val="double" w:color="auto" w:sz="4" w:space="0"/>
            </w:tcBorders>
            <w:vAlign w:val="center"/>
          </w:tcPr>
          <w:p w14:paraId="73764FE5">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p>
        </w:tc>
        <w:tc>
          <w:tcPr>
            <w:tcW w:w="1845" w:type="dxa"/>
            <w:tcBorders>
              <w:bottom w:val="double" w:color="auto" w:sz="4" w:space="0"/>
            </w:tcBorders>
            <w:vAlign w:val="bottom"/>
          </w:tcPr>
          <w:p w14:paraId="29CE57BE">
            <w:pPr>
              <w:snapToGrid w:val="0"/>
              <w:spacing w:line="400" w:lineRule="atLeast"/>
              <w:contextualSpacing/>
              <w:rPr>
                <w:highlight w:val="none"/>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备      注</w:t>
            </w:r>
          </w:p>
        </w:tc>
        <w:tc>
          <w:tcPr>
            <w:tcW w:w="6143" w:type="dxa"/>
            <w:tcBorders>
              <w:bottom w:val="double" w:color="auto" w:sz="4" w:space="0"/>
              <w:right w:val="single" w:color="auto" w:sz="12" w:space="0"/>
            </w:tcBorders>
          </w:tcPr>
          <w:p w14:paraId="2F011191">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p>
        </w:tc>
      </w:tr>
      <w:tr w14:paraId="1E39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tcBorders>
              <w:top w:val="double" w:color="auto" w:sz="4" w:space="0"/>
              <w:left w:val="single" w:color="auto" w:sz="12" w:space="0"/>
            </w:tcBorders>
            <w:vAlign w:val="center"/>
          </w:tcPr>
          <w:p w14:paraId="7E2F39CE">
            <w:pPr>
              <w:snapToGrid w:val="0"/>
              <w:spacing w:line="400" w:lineRule="atLeast"/>
              <w:contextualSpacing/>
              <w:jc w:val="center"/>
              <w:rPr>
                <w:rFonts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14:textFill>
                  <w14:solidFill>
                    <w14:schemeClr w14:val="tx1"/>
                  </w14:solidFill>
                </w14:textFill>
              </w:rPr>
              <w:t>乙方</w:t>
            </w:r>
          </w:p>
        </w:tc>
        <w:tc>
          <w:tcPr>
            <w:tcW w:w="1845" w:type="dxa"/>
            <w:tcBorders>
              <w:top w:val="double" w:color="auto" w:sz="4" w:space="0"/>
            </w:tcBorders>
            <w:vAlign w:val="bottom"/>
          </w:tcPr>
          <w:p w14:paraId="644A34E2">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名      称</w:t>
            </w:r>
          </w:p>
        </w:tc>
        <w:tc>
          <w:tcPr>
            <w:tcW w:w="6143" w:type="dxa"/>
            <w:tcBorders>
              <w:top w:val="double" w:color="auto" w:sz="4" w:space="0"/>
              <w:right w:val="single" w:color="auto" w:sz="12" w:space="0"/>
            </w:tcBorders>
          </w:tcPr>
          <w:p w14:paraId="187B41F8">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
        </w:tc>
      </w:tr>
      <w:tr w14:paraId="1B81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1B1B57E7">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p>
        </w:tc>
        <w:tc>
          <w:tcPr>
            <w:tcW w:w="1845" w:type="dxa"/>
            <w:vAlign w:val="bottom"/>
          </w:tcPr>
          <w:p w14:paraId="23147720">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纳税人身份</w:t>
            </w:r>
          </w:p>
        </w:tc>
        <w:tc>
          <w:tcPr>
            <w:tcW w:w="6143" w:type="dxa"/>
            <w:tcBorders>
              <w:right w:val="single" w:color="auto" w:sz="12" w:space="0"/>
            </w:tcBorders>
          </w:tcPr>
          <w:p w14:paraId="21EFC6B7">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
        </w:tc>
      </w:tr>
      <w:tr w14:paraId="15D5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112B3762">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p>
        </w:tc>
        <w:tc>
          <w:tcPr>
            <w:tcW w:w="1845" w:type="dxa"/>
            <w:vAlign w:val="bottom"/>
          </w:tcPr>
          <w:p w14:paraId="2198F387">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纳税人识别号</w:t>
            </w:r>
          </w:p>
        </w:tc>
        <w:tc>
          <w:tcPr>
            <w:tcW w:w="6143" w:type="dxa"/>
            <w:tcBorders>
              <w:right w:val="single" w:color="auto" w:sz="12" w:space="0"/>
            </w:tcBorders>
          </w:tcPr>
          <w:p w14:paraId="480AD485">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
        </w:tc>
      </w:tr>
      <w:tr w14:paraId="0EC52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5088B253">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p>
        </w:tc>
        <w:tc>
          <w:tcPr>
            <w:tcW w:w="1845" w:type="dxa"/>
            <w:vAlign w:val="bottom"/>
          </w:tcPr>
          <w:p w14:paraId="713EF1C7">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地 址、电 话</w:t>
            </w:r>
          </w:p>
        </w:tc>
        <w:tc>
          <w:tcPr>
            <w:tcW w:w="6143" w:type="dxa"/>
            <w:tcBorders>
              <w:right w:val="single" w:color="auto" w:sz="12" w:space="0"/>
            </w:tcBorders>
            <w:vAlign w:val="bottom"/>
          </w:tcPr>
          <w:p w14:paraId="490AF41A">
            <w:pPr>
              <w:pStyle w:val="12"/>
              <w:jc w:val="both"/>
              <w:rPr>
                <w:rFonts w:ascii="仿宋_GB2312" w:hAnsi="仿宋_GB2312" w:eastAsia="仿宋_GB2312" w:cs="仿宋_GB2312"/>
                <w:bCs/>
                <w:color w:val="000000" w:themeColor="text1"/>
                <w:kern w:val="2"/>
                <w:highlight w:val="none"/>
                <w:u w:val="single"/>
                <w14:textFill>
                  <w14:solidFill>
                    <w14:schemeClr w14:val="tx1"/>
                  </w14:solidFill>
                </w14:textFill>
              </w:rPr>
            </w:pP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
        </w:tc>
      </w:tr>
      <w:tr w14:paraId="1AC6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bottom w:val="single" w:color="auto" w:sz="12" w:space="0"/>
            </w:tcBorders>
          </w:tcPr>
          <w:p w14:paraId="1F4030F1">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p>
        </w:tc>
        <w:tc>
          <w:tcPr>
            <w:tcW w:w="1845" w:type="dxa"/>
            <w:tcBorders>
              <w:bottom w:val="single" w:color="auto" w:sz="12" w:space="0"/>
            </w:tcBorders>
            <w:vAlign w:val="bottom"/>
          </w:tcPr>
          <w:p w14:paraId="1DD13636">
            <w:pPr>
              <w:snapToGrid w:val="0"/>
              <w:spacing w:line="400" w:lineRule="atLeast"/>
              <w:contextualSpacing/>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开户行及账号</w:t>
            </w:r>
          </w:p>
        </w:tc>
        <w:tc>
          <w:tcPr>
            <w:tcW w:w="6143" w:type="dxa"/>
            <w:tcBorders>
              <w:bottom w:val="single" w:color="auto" w:sz="12" w:space="0"/>
              <w:right w:val="single" w:color="auto" w:sz="12" w:space="0"/>
            </w:tcBorders>
          </w:tcPr>
          <w:p w14:paraId="4D4D6B2D">
            <w:pPr>
              <w:snapToGrid w:val="0"/>
              <w:spacing w:line="400" w:lineRule="atLeast"/>
              <w:contextualSpacing/>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
        </w:tc>
      </w:tr>
      <w:permEnd w:id="45"/>
    </w:tbl>
    <w:p w14:paraId="32EA42D1">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任何一方如上述信息发生变更，应提前10日以书面方式通知另一方。如一方未按本合同规定通知而使另一方遭受损失的，应予以赔偿。</w:t>
      </w:r>
    </w:p>
    <w:p w14:paraId="4EED526E">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28" w:name="_Toc21859"/>
      <w:bookmarkStart w:id="29" w:name="_Toc27325"/>
      <w:bookmarkStart w:id="30" w:name="_Toc32138"/>
      <w:r>
        <w:rPr>
          <w:rFonts w:hint="eastAsia" w:ascii="仿宋_GB2312" w:hAnsi="仿宋_GB2312" w:eastAsia="仿宋_GB2312" w:cs="仿宋_GB2312"/>
          <w:b/>
          <w:bCs/>
          <w:color w:val="000000" w:themeColor="text1"/>
          <w:highlight w:val="none"/>
          <w14:textFill>
            <w14:solidFill>
              <w14:schemeClr w14:val="tx1"/>
            </w14:solidFill>
          </w14:textFill>
        </w:rPr>
        <w:t>货物付款</w:t>
      </w:r>
      <w:bookmarkEnd w:id="28"/>
      <w:bookmarkEnd w:id="29"/>
      <w:bookmarkEnd w:id="30"/>
    </w:p>
    <w:p w14:paraId="1A1E0861">
      <w:pPr>
        <w:pStyle w:val="12"/>
        <w:spacing w:line="400" w:lineRule="atLeast"/>
        <w:ind w:firstLine="482" w:firstLineChars="200"/>
        <w:jc w:val="both"/>
        <w:outlineLvl w:val="1"/>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w:t>
      </w:r>
      <w:r>
        <w:rPr>
          <w:rFonts w:hint="eastAsia" w:ascii="仿宋_GB2312" w:hAnsi="仿宋_GB2312" w:eastAsia="仿宋_GB2312" w:cs="仿宋_GB2312"/>
          <w:b/>
          <w:bCs/>
          <w:color w:val="000000" w:themeColor="text1"/>
          <w:highlight w:val="yellow"/>
          <w14:textFill>
            <w14:solidFill>
              <w14:schemeClr w14:val="tx1"/>
            </w14:solidFill>
          </w14:textFill>
        </w:rPr>
        <w:t>支付周期及支付比例：</w:t>
      </w:r>
      <w:r>
        <w:rPr>
          <w:rFonts w:hint="eastAsia" w:ascii="仿宋_GB2312" w:hAnsi="仿宋_GB2312" w:eastAsia="仿宋_GB2312" w:cs="仿宋_GB2312"/>
          <w:color w:val="000000" w:themeColor="text1"/>
          <w:highlight w:val="yellow"/>
          <w14:textFill>
            <w14:solidFill>
              <w14:schemeClr w14:val="tx1"/>
            </w14:solidFill>
          </w14:textFill>
        </w:rPr>
        <w:t>双方办理完结算后，适用第</w:t>
      </w:r>
      <w:permStart w:id="46" w:edGrp="everyone"/>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w:t>
      </w:r>
      <w:r>
        <w:rPr>
          <w:rFonts w:hint="eastAsia" w:ascii="仿宋_GB2312" w:hAnsi="仿宋_GB2312" w:eastAsia="仿宋_GB2312" w:cs="仿宋_GB2312"/>
          <w:color w:val="000000" w:themeColor="text1"/>
          <w:highlight w:val="yellow"/>
          <w:u w:val="single"/>
          <w:lang w:val="en-US" w:eastAsia="zh-CN"/>
          <w14:textFill>
            <w14:solidFill>
              <w14:schemeClr w14:val="tx1"/>
            </w14:solidFill>
          </w14:textFill>
        </w:rPr>
        <w:t>1.1</w:t>
      </w:r>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w:t>
      </w:r>
      <w:permEnd w:id="46"/>
      <w:r>
        <w:rPr>
          <w:rFonts w:hint="eastAsia" w:ascii="仿宋_GB2312" w:hAnsi="仿宋_GB2312" w:eastAsia="仿宋_GB2312" w:cs="仿宋_GB2312"/>
          <w:color w:val="000000" w:themeColor="text1"/>
          <w:highlight w:val="yellow"/>
          <w14:textFill>
            <w14:solidFill>
              <w14:schemeClr w14:val="tx1"/>
            </w14:solidFill>
          </w14:textFill>
        </w:rPr>
        <w:t>条付款条件：</w:t>
      </w:r>
    </w:p>
    <w:p w14:paraId="5C01F295">
      <w:pPr>
        <w:pStyle w:val="12"/>
        <w:spacing w:line="400" w:lineRule="atLeast"/>
        <w:ind w:firstLine="480" w:firstLineChars="200"/>
        <w:jc w:val="both"/>
        <w:rPr>
          <w:rFonts w:ascii="仿宋_GB2312" w:hAnsi="仿宋_GB2312" w:eastAsia="仿宋_GB2312" w:cs="仿宋_GB2312"/>
          <w:color w:val="000000" w:themeColor="text1"/>
          <w:highlight w:val="none"/>
          <w:u w:val="singl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highlight w:val="none"/>
          <w14:textFill>
            <w14:solidFill>
              <w14:schemeClr w14:val="tx1"/>
            </w14:solidFill>
          </w14:textFill>
        </w:rPr>
        <w:t>本合同无预付款。</w:t>
      </w:r>
      <w:r>
        <w:rPr>
          <w:rFonts w:hint="eastAsia" w:ascii="仿宋_GB2312" w:hAnsi="仿宋_GB2312" w:eastAsia="仿宋_GB2312" w:cs="仿宋_GB2312"/>
          <w:b/>
          <w:bCs/>
          <w:color w:val="000000" w:themeColor="text1"/>
          <w:highlight w:val="none"/>
          <w14:textFill>
            <w14:solidFill>
              <w14:schemeClr w14:val="tx1"/>
            </w14:solidFill>
          </w14:textFill>
        </w:rPr>
        <w:t>甲方按资金审批计划对货款进行支付。</w:t>
      </w:r>
      <w:r>
        <w:rPr>
          <w:rFonts w:hint="eastAsia" w:ascii="仿宋_GB2312" w:hAnsi="仿宋_GB2312" w:eastAsia="仿宋_GB2312" w:cs="仿宋_GB2312"/>
          <w:color w:val="000000" w:themeColor="text1"/>
          <w:highlight w:val="none"/>
          <w14:textFill>
            <w14:solidFill>
              <w14:schemeClr w14:val="tx1"/>
            </w14:solidFill>
          </w14:textFill>
        </w:rPr>
        <w:t>付款期限自双方确认结算金额之日起计算，暂定为在甲乙双方完成月度物资结算手续且甲方收到乙方相应全额发票后，</w:t>
      </w:r>
      <w:permStart w:id="47"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1</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47"/>
      <w:r>
        <w:rPr>
          <w:rFonts w:hint="eastAsia" w:ascii="仿宋_GB2312" w:hAnsi="仿宋_GB2312" w:eastAsia="仿宋_GB2312" w:cs="仿宋_GB2312"/>
          <w:color w:val="000000" w:themeColor="text1"/>
          <w:highlight w:val="none"/>
          <w14:textFill>
            <w14:solidFill>
              <w14:schemeClr w14:val="tx1"/>
            </w14:solidFill>
          </w14:textFill>
        </w:rPr>
        <w:t>个月内支付当期</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结算</w:t>
      </w:r>
      <w:r>
        <w:rPr>
          <w:rFonts w:hint="eastAsia" w:ascii="仿宋_GB2312" w:hAnsi="仿宋_GB2312" w:eastAsia="仿宋_GB2312" w:cs="仿宋_GB2312"/>
          <w:color w:val="000000" w:themeColor="text1"/>
          <w:highlight w:val="none"/>
          <w14:textFill>
            <w14:solidFill>
              <w14:schemeClr w14:val="tx1"/>
            </w14:solidFill>
          </w14:textFill>
        </w:rPr>
        <w:t>货款的</w:t>
      </w:r>
      <w:permStart w:id="48"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70</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48"/>
      <w:r>
        <w:rPr>
          <w:rFonts w:hint="eastAsia" w:ascii="仿宋_GB2312" w:hAnsi="仿宋_GB2312" w:eastAsia="仿宋_GB2312" w:cs="仿宋_GB2312"/>
          <w:color w:val="000000" w:themeColor="text1"/>
          <w:highlight w:val="none"/>
          <w14:textFill>
            <w14:solidFill>
              <w14:schemeClr w14:val="tx1"/>
            </w14:solidFill>
          </w14:textFill>
        </w:rPr>
        <w:t>%，</w:t>
      </w:r>
      <w:permStart w:id="49"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3</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49"/>
      <w:r>
        <w:rPr>
          <w:rFonts w:hint="eastAsia" w:ascii="仿宋_GB2312" w:hAnsi="仿宋_GB2312" w:eastAsia="仿宋_GB2312" w:cs="仿宋_GB2312"/>
          <w:color w:val="000000" w:themeColor="text1"/>
          <w:highlight w:val="none"/>
          <w14:textFill>
            <w14:solidFill>
              <w14:schemeClr w14:val="tx1"/>
            </w14:solidFill>
          </w14:textFill>
        </w:rPr>
        <w:t>个月内支付至当期</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结算</w:t>
      </w:r>
      <w:r>
        <w:rPr>
          <w:rFonts w:hint="eastAsia" w:ascii="仿宋_GB2312" w:hAnsi="仿宋_GB2312" w:eastAsia="仿宋_GB2312" w:cs="仿宋_GB2312"/>
          <w:color w:val="000000" w:themeColor="text1"/>
          <w:highlight w:val="none"/>
          <w14:textFill>
            <w14:solidFill>
              <w14:schemeClr w14:val="tx1"/>
            </w14:solidFill>
          </w14:textFill>
        </w:rPr>
        <w:t>货款的</w:t>
      </w:r>
      <w:permStart w:id="50"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97</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0"/>
      <w:r>
        <w:rPr>
          <w:rFonts w:hint="eastAsia" w:ascii="仿宋_GB2312" w:hAnsi="仿宋_GB2312" w:eastAsia="仿宋_GB2312" w:cs="仿宋_GB2312"/>
          <w:color w:val="000000" w:themeColor="text1"/>
          <w:highlight w:val="none"/>
          <w14:textFill>
            <w14:solidFill>
              <w14:schemeClr w14:val="tx1"/>
            </w14:solidFill>
          </w14:textFill>
        </w:rPr>
        <w:t>%，余下</w:t>
      </w:r>
      <w:permStart w:id="51"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3</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1"/>
      <w:r>
        <w:rPr>
          <w:rFonts w:hint="eastAsia" w:ascii="仿宋_GB2312" w:hAnsi="仿宋_GB2312" w:eastAsia="仿宋_GB2312" w:cs="仿宋_GB2312"/>
          <w:color w:val="000000" w:themeColor="text1"/>
          <w:highlight w:val="none"/>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结算</w:t>
      </w:r>
      <w:r>
        <w:rPr>
          <w:rFonts w:hint="eastAsia" w:ascii="仿宋_GB2312" w:hAnsi="仿宋_GB2312" w:eastAsia="仿宋_GB2312" w:cs="仿宋_GB2312"/>
          <w:color w:val="000000" w:themeColor="text1"/>
          <w:highlight w:val="none"/>
          <w14:textFill>
            <w14:solidFill>
              <w14:schemeClr w14:val="tx1"/>
            </w14:solidFill>
          </w14:textFill>
        </w:rPr>
        <w:t>货款在乙方</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供货完毕、办理完最终结算后</w:t>
      </w:r>
      <w:permStart w:id="52" w:edGrp="everyone"/>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 xml:space="preserve"> 90 </w:t>
      </w:r>
      <w:permEnd w:id="52"/>
      <w:r>
        <w:rPr>
          <w:rFonts w:hint="eastAsia" w:ascii="仿宋_GB2312" w:hAnsi="仿宋_GB2312" w:eastAsia="仿宋_GB2312" w:cs="仿宋_GB2312"/>
          <w:color w:val="000000" w:themeColor="text1"/>
          <w:highlight w:val="none"/>
          <w:lang w:val="en-US" w:eastAsia="zh-CN"/>
          <w14:textFill>
            <w14:solidFill>
              <w14:schemeClr w14:val="tx1"/>
            </w14:solidFill>
          </w14:textFill>
        </w:rPr>
        <w:t>日内</w:t>
      </w:r>
      <w:r>
        <w:rPr>
          <w:rFonts w:hint="eastAsia" w:ascii="仿宋_GB2312" w:hAnsi="仿宋_GB2312" w:eastAsia="仿宋_GB2312" w:cs="仿宋_GB2312"/>
          <w:color w:val="000000" w:themeColor="text1"/>
          <w:highlight w:val="none"/>
          <w14:textFill>
            <w14:solidFill>
              <w14:schemeClr w14:val="tx1"/>
            </w14:solidFill>
          </w14:textFill>
        </w:rPr>
        <w:t>付清。以此类推。</w:t>
      </w:r>
    </w:p>
    <w:p w14:paraId="10C99033">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highlight w:val="none"/>
          <w14:textFill>
            <w14:solidFill>
              <w14:schemeClr w14:val="tx1"/>
            </w14:solidFill>
          </w14:textFill>
        </w:rPr>
        <w:t>其他：</w:t>
      </w:r>
      <w:permStart w:id="53"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 xml:space="preserve"> </w:t>
      </w:r>
      <w:permEnd w:id="53"/>
    </w:p>
    <w:p w14:paraId="5C948782">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2、支付形式：</w:t>
      </w:r>
      <w:r>
        <w:rPr>
          <w:rFonts w:hint="eastAsia" w:ascii="仿宋_GB2312" w:hAnsi="仿宋_GB2312" w:eastAsia="仿宋_GB2312" w:cs="仿宋_GB2312"/>
          <w:color w:val="000000" w:themeColor="text1"/>
          <w:highlight w:val="none"/>
          <w14:textFill>
            <w14:solidFill>
              <w14:schemeClr w14:val="tx1"/>
            </w14:solidFill>
          </w14:textFill>
        </w:rPr>
        <w:t>本合同付款形式适用第</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2.2  </w:t>
      </w:r>
      <w:r>
        <w:rPr>
          <w:rFonts w:hint="eastAsia" w:ascii="仿宋_GB2312" w:hAnsi="仿宋_GB2312" w:eastAsia="仿宋_GB2312" w:cs="仿宋_GB2312"/>
          <w:color w:val="000000" w:themeColor="text1"/>
          <w:highlight w:val="none"/>
          <w14:textFill>
            <w14:solidFill>
              <w14:schemeClr w14:val="tx1"/>
            </w14:solidFill>
          </w14:textFill>
        </w:rPr>
        <w:t>条；</w:t>
      </w:r>
    </w:p>
    <w:p w14:paraId="61146FC2">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2.1货币付款。</w:t>
      </w:r>
    </w:p>
    <w:p w14:paraId="7A57583E">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2.2货币及其他的形式（包括且不限于支票、电汇、银行承兑汇票、商业承兑汇票、保理、信用证、供应链融资等）向乙方付款。（其中非现金付款方式不低于合同总价的</w:t>
      </w:r>
      <w:permStart w:id="54"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30</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4"/>
      <w:r>
        <w:rPr>
          <w:rFonts w:hint="eastAsia" w:ascii="仿宋_GB2312" w:hAnsi="仿宋_GB2312" w:eastAsia="仿宋_GB2312" w:cs="仿宋_GB2312"/>
          <w:color w:val="000000" w:themeColor="text1"/>
          <w:highlight w:val="none"/>
          <w14:textFill>
            <w14:solidFill>
              <w14:schemeClr w14:val="tx1"/>
            </w14:solidFill>
          </w14:textFill>
        </w:rPr>
        <w:t>%，期限为六个月，因此产生的相关贴现成本由乙方承担。乙方须保证资金往来账户与本合同所约定账户一致，开票单位名称与合同约定名称一致。）</w:t>
      </w:r>
    </w:p>
    <w:p w14:paraId="5BA91023">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3、付款条件：乙方向甲方申请付款时，应先行满足以下条件：</w:t>
      </w:r>
    </w:p>
    <w:p w14:paraId="67B7C19D">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3.1所供产品无质量缺陷，乙方无违约记录，产品出厂合格证明以及检测报告完整无误。</w:t>
      </w:r>
    </w:p>
    <w:p w14:paraId="3CDBC06C">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3.2乙方申请付款依据的结算单已由甲方最终有效确认，付款期限已经届满。</w:t>
      </w:r>
    </w:p>
    <w:p w14:paraId="3AB09F6C">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3.3乙方已向甲方提供与结算等额增值税专用发票，且甲方已完成发票认证。</w:t>
      </w:r>
    </w:p>
    <w:p w14:paraId="28A83A7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在支付条件达成的基础上，甲方按以上方式向乙方付款，预付款不适用上述条件。</w:t>
      </w:r>
    </w:p>
    <w:p w14:paraId="4FB83803">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4、乙方收款账户：</w:t>
      </w:r>
      <w:permStart w:id="55"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5"/>
    </w:p>
    <w:p w14:paraId="0DE78CBB">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开户银行：</w:t>
      </w:r>
      <w:permStart w:id="56"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6"/>
    </w:p>
    <w:p w14:paraId="00BE2190">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银行帐号：</w:t>
      </w:r>
      <w:permStart w:id="57"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7"/>
    </w:p>
    <w:p w14:paraId="077A673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乙方指定</w:t>
      </w:r>
      <w:permStart w:id="58"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8"/>
      <w:r>
        <w:rPr>
          <w:rFonts w:hint="eastAsia" w:ascii="仿宋_GB2312" w:hAnsi="仿宋_GB2312" w:eastAsia="仿宋_GB2312" w:cs="仿宋_GB2312"/>
          <w:color w:val="000000" w:themeColor="text1"/>
          <w:highlight w:val="none"/>
          <w14:textFill>
            <w14:solidFill>
              <w14:schemeClr w14:val="tx1"/>
            </w14:solidFill>
          </w14:textFill>
        </w:rPr>
        <w:t>（身份证号：</w:t>
      </w:r>
      <w:permStart w:id="59"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59"/>
      <w:r>
        <w:rPr>
          <w:rFonts w:hint="eastAsia" w:ascii="仿宋_GB2312" w:hAnsi="仿宋_GB2312" w:eastAsia="仿宋_GB2312" w:cs="仿宋_GB2312"/>
          <w:color w:val="000000" w:themeColor="text1"/>
          <w:highlight w:val="none"/>
          <w14:textFill>
            <w14:solidFill>
              <w14:schemeClr w14:val="tx1"/>
            </w14:solidFill>
          </w14:textFill>
        </w:rPr>
        <w:t>）作为收款经办人，同甲方相关人员沟通洽商付款具体事宜。</w:t>
      </w:r>
    </w:p>
    <w:p w14:paraId="582D9433">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甲方仅向乙方本单位名下银行账户支付价款，未经甲方同意，乙方不得委托任何第三方代为收款，否则甲方有权拒绝付款。</w:t>
      </w:r>
    </w:p>
    <w:p w14:paraId="589A300C">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5、账户变动：</w:t>
      </w:r>
      <w:r>
        <w:rPr>
          <w:rFonts w:hint="eastAsia" w:ascii="仿宋_GB2312" w:hAnsi="仿宋_GB2312" w:eastAsia="仿宋_GB2312" w:cs="仿宋_GB2312"/>
          <w:color w:val="000000" w:themeColor="text1"/>
          <w:highlight w:val="none"/>
          <w14:textFill>
            <w14:solidFill>
              <w14:schemeClr w14:val="tx1"/>
            </w14:solidFill>
          </w14:textFill>
        </w:rPr>
        <w:t>当乙方收款银行账号发生变动时，应以函件的形式书面通知甲方，否则甲方有权拒绝付款。若甲方在收到乙方的书面通知之前已按原账号付款，则甲方不再另行支付，由此造成的一切损失均由乙方自行承担。</w:t>
      </w:r>
    </w:p>
    <w:p w14:paraId="14BBAEA7">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6、履约保证金缴纳及退还：</w:t>
      </w:r>
    </w:p>
    <w:p w14:paraId="06031B20">
      <w:pPr>
        <w:spacing w:line="400" w:lineRule="atLeast"/>
        <w:ind w:firstLine="482" w:firstLineChars="200"/>
        <w:rPr>
          <w:rFonts w:ascii="仿宋_GB2312" w:hAnsi="仿宋_GB2312" w:eastAsia="仿宋_GB2312" w:cs="仿宋_GB2312"/>
          <w:color w:val="000000" w:themeColor="text1"/>
          <w:sz w:val="24"/>
          <w:szCs w:val="24"/>
          <w:highlight w:val="yellow"/>
          <w:u w:val="single"/>
          <w14:textFill>
            <w14:solidFill>
              <w14:schemeClr w14:val="tx1"/>
            </w14:solidFill>
          </w14:textFill>
        </w:rPr>
      </w:pPr>
      <w:r>
        <w:rPr>
          <w:rFonts w:hint="eastAsia" w:ascii="仿宋_GB2312" w:hAnsi="仿宋_GB2312" w:eastAsia="仿宋_GB2312" w:cs="仿宋_GB2312"/>
          <w:b/>
          <w:bCs/>
          <w:color w:val="000000" w:themeColor="text1"/>
          <w:sz w:val="24"/>
          <w:szCs w:val="24"/>
          <w:highlight w:val="yellow"/>
          <w14:textFill>
            <w14:solidFill>
              <w14:schemeClr w14:val="tx1"/>
            </w14:solidFill>
          </w14:textFill>
        </w:rPr>
        <w:t>6.1履约保证金缴纳形式：</w:t>
      </w:r>
      <w:r>
        <w:rPr>
          <w:rFonts w:hint="eastAsia" w:ascii="仿宋_GB2312" w:hAnsi="仿宋_GB2312" w:eastAsia="仿宋_GB2312" w:cs="仿宋_GB2312"/>
          <w:color w:val="000000" w:themeColor="text1"/>
          <w:sz w:val="24"/>
          <w:szCs w:val="24"/>
          <w:highlight w:val="yellow"/>
          <w14:textFill>
            <w14:solidFill>
              <w14:schemeClr w14:val="tx1"/>
            </w14:solidFill>
          </w14:textFill>
        </w:rPr>
        <w:t>乙方在签订合同前应向甲方缴纳合同额的</w:t>
      </w:r>
      <w:permStart w:id="60"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p>
    <w:p w14:paraId="225555E6">
      <w:pPr>
        <w:spacing w:line="400" w:lineRule="atLeast"/>
        <w:rPr>
          <w:rFonts w:ascii="仿宋_GB2312" w:hAnsi="仿宋_GB2312" w:eastAsia="仿宋_GB2312" w:cs="仿宋_GB2312"/>
          <w:color w:val="000000" w:themeColor="text1"/>
          <w:sz w:val="24"/>
          <w:szCs w:val="24"/>
          <w:highlight w:val="yellow"/>
          <w14:textFill>
            <w14:solidFill>
              <w14:schemeClr w14:val="tx1"/>
            </w14:solidFill>
          </w14:textFill>
        </w:rPr>
      </w:pPr>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 </w:t>
      </w:r>
      <w:permEnd w:id="60"/>
      <w:r>
        <w:rPr>
          <w:rFonts w:hint="eastAsia" w:ascii="仿宋_GB2312" w:hAnsi="仿宋_GB2312" w:eastAsia="仿宋_GB2312" w:cs="仿宋_GB2312"/>
          <w:color w:val="000000" w:themeColor="text1"/>
          <w:sz w:val="24"/>
          <w:szCs w:val="24"/>
          <w:highlight w:val="yellow"/>
          <w14:textFill>
            <w14:solidFill>
              <w14:schemeClr w14:val="tx1"/>
            </w14:solidFill>
          </w14:textFill>
        </w:rPr>
        <w:t>％或</w:t>
      </w:r>
      <w:permStart w:id="61"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yellow"/>
          <w:u w:val="single"/>
          <w:lang w:val="en-US" w:eastAsia="zh-CN"/>
          <w14:textFill>
            <w14:solidFill>
              <w14:schemeClr w14:val="tx1"/>
            </w14:solidFill>
          </w14:textFill>
        </w:rPr>
        <w:t>20000</w:t>
      </w:r>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permEnd w:id="61"/>
      <w:r>
        <w:rPr>
          <w:rFonts w:hint="eastAsia" w:ascii="仿宋_GB2312" w:hAnsi="仿宋_GB2312" w:eastAsia="仿宋_GB2312" w:cs="仿宋_GB2312"/>
          <w:color w:val="000000" w:themeColor="text1"/>
          <w:sz w:val="24"/>
          <w:szCs w:val="24"/>
          <w:highlight w:val="yellow"/>
          <w14:textFill>
            <w14:solidFill>
              <w14:schemeClr w14:val="tx1"/>
            </w14:solidFill>
          </w14:textFill>
        </w:rPr>
        <w:t>元的履约保证金，具体缴纳形式采用第</w:t>
      </w:r>
      <w:permStart w:id="62"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yellow"/>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permEnd w:id="62"/>
      <w:r>
        <w:rPr>
          <w:rFonts w:hint="eastAsia" w:ascii="仿宋_GB2312" w:hAnsi="仿宋_GB2312" w:eastAsia="仿宋_GB2312" w:cs="仿宋_GB2312"/>
          <w:color w:val="000000" w:themeColor="text1"/>
          <w:sz w:val="24"/>
          <w:szCs w:val="24"/>
          <w:highlight w:val="yellow"/>
          <w14:textFill>
            <w14:solidFill>
              <w14:schemeClr w14:val="tx1"/>
            </w14:solidFill>
          </w14:textFill>
        </w:rPr>
        <w:t>种：</w:t>
      </w:r>
    </w:p>
    <w:p w14:paraId="5470C74E">
      <w:pPr>
        <w:spacing w:line="400" w:lineRule="atLeas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6.1.1无需缴纳履约保证金。</w:t>
      </w:r>
    </w:p>
    <w:p w14:paraId="4115C8E9">
      <w:pPr>
        <w:spacing w:line="400" w:lineRule="atLeas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6.1.2银行转账：乙方未参与甲方其他在建项目，采用银行转账方式缴纳履约保证金，并由项目相应会计根据财务部规定办理相应流程，开具证明件。</w:t>
      </w:r>
    </w:p>
    <w:p w14:paraId="34371AFD">
      <w:pPr>
        <w:spacing w:line="400" w:lineRule="atLeas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6.1.3应付款抵扣：乙方参与甲方其他在建项目，履约保证金从其他项目应付款中抵扣，并由项目相应会计根据财务部规定办理相应流程，开具证明件。</w:t>
      </w:r>
    </w:p>
    <w:p w14:paraId="74802C19">
      <w:pPr>
        <w:spacing w:line="400" w:lineRule="atLeas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6.1.4履约保函（只接受银行保函，不接受商业保函）。</w:t>
      </w:r>
    </w:p>
    <w:p w14:paraId="26031602">
      <w:pPr>
        <w:spacing w:line="400" w:lineRule="atLeast"/>
        <w:ind w:firstLine="480" w:firstLineChars="200"/>
        <w:rPr>
          <w:rFonts w:ascii="仿宋_GB2312" w:hAnsi="仿宋_GB2312" w:eastAsia="仿宋_GB2312" w:cs="仿宋_GB2312"/>
          <w:color w:val="000000" w:themeColor="text1"/>
          <w:sz w:val="24"/>
          <w:szCs w:val="24"/>
          <w:highlight w:val="none"/>
          <w:u w:val="singl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6.1.5其他</w:t>
      </w:r>
      <w:r>
        <w:rPr>
          <w:rFonts w:hint="eastAsia" w:ascii="仿宋_GB2312" w:hAnsi="仿宋_GB2312" w:eastAsia="仿宋_GB2312" w:cs="仿宋_GB2312"/>
          <w:b/>
          <w:bCs/>
          <w:color w:val="000000" w:themeColor="text1"/>
          <w:sz w:val="24"/>
          <w:szCs w:val="24"/>
          <w:highlight w:val="none"/>
          <w:u w:val="single"/>
          <w14:textFill>
            <w14:solidFill>
              <w14:schemeClr w14:val="tx1"/>
            </w14:solidFill>
          </w14:textFill>
        </w:rPr>
        <w:t xml:space="preserve"> </w:t>
      </w:r>
      <w:permStart w:id="63"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63"/>
      <w:r>
        <w:rPr>
          <w:rFonts w:hint="eastAsia" w:ascii="仿宋_GB2312" w:hAnsi="仿宋_GB2312" w:eastAsia="仿宋_GB2312" w:cs="仿宋_GB2312"/>
          <w:color w:val="000000" w:themeColor="text1"/>
          <w:sz w:val="24"/>
          <w:szCs w:val="24"/>
          <w:highlight w:val="none"/>
          <w14:textFill>
            <w14:solidFill>
              <w14:schemeClr w14:val="tx1"/>
            </w14:solidFill>
          </w14:textFill>
        </w:rPr>
        <w:t>。</w:t>
      </w:r>
    </w:p>
    <w:p w14:paraId="3F7FA654">
      <w:pPr>
        <w:spacing w:line="400" w:lineRule="atLeas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24"/>
          <w:szCs w:val="24"/>
          <w:highlight w:val="none"/>
          <w14:textFill>
            <w14:solidFill>
              <w14:schemeClr w14:val="tx1"/>
            </w14:solidFill>
          </w14:textFill>
        </w:rPr>
        <w:t>履约保证金缴纳账户：</w:t>
      </w:r>
    </w:p>
    <w:p w14:paraId="268492D6">
      <w:pPr>
        <w:spacing w:line="400" w:lineRule="atLeast"/>
        <w:ind w:left="120"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户名：</w:t>
      </w:r>
      <w:permStart w:id="64"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中建路桥集团第六工程有限公司</w:t>
      </w:r>
      <w:permEnd w:id="64"/>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05DE2BB6">
      <w:pPr>
        <w:spacing w:line="400" w:lineRule="atLeast"/>
        <w:ind w:left="120"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帐号：</w:t>
      </w:r>
      <w:permStart w:id="65" w:edGrp="everyone"/>
      <w:r>
        <w:rPr>
          <w:rFonts w:hint="eastAsia" w:ascii="仿宋_GB2312" w:hAnsi="仿宋_GB2312" w:eastAsia="仿宋_GB2312" w:cs="仿宋_GB2312"/>
          <w:color w:val="000000" w:themeColor="text1"/>
          <w:sz w:val="24"/>
          <w:szCs w:val="24"/>
          <w:highlight w:val="none"/>
          <w:u w:val="single"/>
          <w:lang w:val="en-US" w:eastAsia="zh-CN"/>
          <w14:textFill>
            <w14:solidFill>
              <w14:schemeClr w14:val="tx1"/>
            </w14:solidFill>
          </w14:textFill>
        </w:rPr>
        <w:t>13050165527200000297</w:t>
      </w:r>
      <w:permEnd w:id="65"/>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5F6729B4">
      <w:pPr>
        <w:spacing w:line="400" w:lineRule="atLeast"/>
        <w:ind w:left="120"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开户行：</w:t>
      </w:r>
      <w:permStart w:id="66" w:edGrp="everyone"/>
      <w:r>
        <w:rPr>
          <w:rFonts w:hint="eastAsia" w:ascii="仿宋_GB2312" w:hAnsi="仿宋_GB2312" w:eastAsia="仿宋_GB2312" w:cs="仿宋_GB2312"/>
          <w:color w:val="000000" w:themeColor="text1"/>
          <w:sz w:val="24"/>
          <w:szCs w:val="24"/>
          <w:highlight w:val="none"/>
          <w:u w:val="single"/>
          <w:lang w:val="en-US" w:eastAsia="zh-CN"/>
          <w14:textFill>
            <w14:solidFill>
              <w14:schemeClr w14:val="tx1"/>
            </w14:solidFill>
          </w14:textFill>
        </w:rPr>
        <w:t>建行邢台青青家园支行</w:t>
      </w:r>
      <w:permEnd w:id="66"/>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4EB286FE">
      <w:pPr>
        <w:pStyle w:val="12"/>
        <w:spacing w:line="400" w:lineRule="atLeast"/>
        <w:ind w:firstLine="482" w:firstLineChars="200"/>
        <w:rPr>
          <w:highlight w:val="none"/>
        </w:rPr>
      </w:pPr>
      <w:r>
        <w:rPr>
          <w:rFonts w:hint="eastAsia" w:ascii="仿宋_GB2312" w:hAnsi="仿宋_GB2312" w:eastAsia="仿宋_GB2312" w:cs="仿宋_GB2312"/>
          <w:b/>
          <w:bCs/>
          <w:color w:val="000000" w:themeColor="text1"/>
          <w:highlight w:val="none"/>
          <w14:textFill>
            <w14:solidFill>
              <w14:schemeClr w14:val="tx1"/>
            </w14:solidFill>
          </w14:textFill>
        </w:rPr>
        <w:t>6.</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3</w:t>
      </w:r>
      <w:r>
        <w:rPr>
          <w:rFonts w:hint="eastAsia" w:ascii="仿宋_GB2312" w:hAnsi="仿宋_GB2312" w:eastAsia="仿宋_GB2312" w:cs="仿宋_GB2312"/>
          <w:b/>
          <w:bCs/>
          <w:color w:val="000000" w:themeColor="text1"/>
          <w:highlight w:val="none"/>
          <w14:textFill>
            <w14:solidFill>
              <w14:schemeClr w14:val="tx1"/>
            </w14:solidFill>
          </w14:textFill>
        </w:rPr>
        <w:t>履约保证金退还：</w:t>
      </w:r>
      <w:r>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t>在合同完成后</w:t>
      </w:r>
      <w:permStart w:id="67" w:edGrp="everyone"/>
      <w:r>
        <w:rPr>
          <w:rFonts w:hint="eastAsia" w:ascii="仿宋_GB2312" w:hAnsi="仿宋_GB2312" w:eastAsia="仿宋_GB2312" w:cs="仿宋_GB2312"/>
          <w:color w:val="000000" w:themeColor="text1"/>
          <w:kern w:val="2"/>
          <w:sz w:val="24"/>
          <w:szCs w:val="24"/>
          <w:highlight w:val="none"/>
          <w:u w:val="single"/>
          <w:lang w:val="en-US" w:eastAsia="zh-CN" w:bidi="ar-SA"/>
          <w14:textFill>
            <w14:solidFill>
              <w14:schemeClr w14:val="tx1"/>
            </w14:solidFill>
          </w14:textFill>
        </w:rPr>
        <w:t xml:space="preserve"> 90 </w:t>
      </w:r>
      <w:permEnd w:id="67"/>
      <w:r>
        <w:rPr>
          <w:rFonts w:hint="eastAsia" w:ascii="仿宋_GB2312" w:hAnsi="仿宋_GB2312" w:eastAsia="仿宋_GB2312" w:cs="仿宋_GB2312"/>
          <w:color w:val="000000" w:themeColor="text1"/>
          <w:kern w:val="2"/>
          <w:sz w:val="24"/>
          <w:szCs w:val="24"/>
          <w:highlight w:val="none"/>
          <w:lang w:val="en-US" w:eastAsia="zh-CN" w:bidi="ar-SA"/>
          <w14:textFill>
            <w14:solidFill>
              <w14:schemeClr w14:val="tx1"/>
            </w14:solidFill>
          </w14:textFill>
        </w:rPr>
        <w:t>工作日内甲方无息退还乙方履约保证金（扣除违约金及应扣除款项）</w:t>
      </w:r>
      <w:r>
        <w:rPr>
          <w:rFonts w:hint="eastAsia" w:ascii="仿宋_GB2312" w:hAnsi="仿宋_GB2312" w:eastAsia="仿宋_GB2312" w:cs="仿宋_GB2312"/>
          <w:color w:val="000000" w:themeColor="text1"/>
          <w:highlight w:val="none"/>
          <w14:textFill>
            <w14:solidFill>
              <w14:schemeClr w14:val="tx1"/>
            </w14:solidFill>
          </w14:textFill>
        </w:rPr>
        <w:t>。</w:t>
      </w:r>
    </w:p>
    <w:p w14:paraId="319692C4">
      <w:pPr>
        <w:spacing w:line="400" w:lineRule="atLeast"/>
        <w:ind w:firstLine="482" w:firstLineChars="200"/>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6.4</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已缴纳履约保证金的，如发生以下任何一种情况履约保证金不予退还：</w:t>
      </w:r>
    </w:p>
    <w:p w14:paraId="5BF83DFF">
      <w:pPr>
        <w:spacing w:line="400" w:lineRule="atLeas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6.4</w:t>
      </w:r>
      <w:r>
        <w:rPr>
          <w:rFonts w:hint="eastAsia" w:ascii="仿宋_GB2312" w:hAnsi="仿宋_GB2312" w:eastAsia="仿宋_GB2312" w:cs="仿宋_GB2312"/>
          <w:color w:val="000000" w:themeColor="text1"/>
          <w:sz w:val="24"/>
          <w:szCs w:val="24"/>
          <w:highlight w:val="none"/>
          <w14:textFill>
            <w14:solidFill>
              <w14:schemeClr w14:val="tx1"/>
            </w14:solidFill>
          </w14:textFill>
        </w:rPr>
        <w:t>.1无法正常供货的情况，包括任何原因的不供货或连续5日历天未能按甲方要求的数量供货。</w:t>
      </w:r>
    </w:p>
    <w:p w14:paraId="7E53E143">
      <w:pPr>
        <w:spacing w:line="400" w:lineRule="atLeas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6.4</w:t>
      </w:r>
      <w:r>
        <w:rPr>
          <w:rFonts w:hint="eastAsia" w:ascii="仿宋_GB2312" w:hAnsi="仿宋_GB2312" w:eastAsia="仿宋_GB2312" w:cs="仿宋_GB2312"/>
          <w:color w:val="000000" w:themeColor="text1"/>
          <w:sz w:val="24"/>
          <w:szCs w:val="24"/>
          <w:highlight w:val="none"/>
          <w14:textFill>
            <w14:solidFill>
              <w14:schemeClr w14:val="tx1"/>
            </w14:solidFill>
          </w14:textFill>
        </w:rPr>
        <w:t>.2供应的物资不符合国家、甲方、业主和监理相关标准和要求，且在规定时间内不予调换、处理的情况。</w:t>
      </w:r>
    </w:p>
    <w:p w14:paraId="694F78F7">
      <w:pPr>
        <w:spacing w:line="400" w:lineRule="atLeas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6.4</w:t>
      </w:r>
      <w:r>
        <w:rPr>
          <w:rFonts w:hint="eastAsia" w:ascii="仿宋_GB2312" w:hAnsi="仿宋_GB2312" w:eastAsia="仿宋_GB2312" w:cs="仿宋_GB2312"/>
          <w:color w:val="000000" w:themeColor="text1"/>
          <w:sz w:val="24"/>
          <w:szCs w:val="24"/>
          <w:highlight w:val="none"/>
          <w14:textFill>
            <w14:solidFill>
              <w14:schemeClr w14:val="tx1"/>
            </w14:solidFill>
          </w14:textFill>
        </w:rPr>
        <w:t>.3不服从甲方管理的。</w:t>
      </w:r>
    </w:p>
    <w:p w14:paraId="6D886EC1">
      <w:pPr>
        <w:spacing w:line="400" w:lineRule="atLeas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6.4</w:t>
      </w:r>
      <w:r>
        <w:rPr>
          <w:rFonts w:hint="eastAsia" w:ascii="仿宋_GB2312" w:hAnsi="仿宋_GB2312" w:eastAsia="仿宋_GB2312" w:cs="仿宋_GB2312"/>
          <w:color w:val="000000" w:themeColor="text1"/>
          <w:sz w:val="24"/>
          <w:szCs w:val="24"/>
          <w:highlight w:val="none"/>
          <w14:textFill>
            <w14:solidFill>
              <w14:schemeClr w14:val="tx1"/>
            </w14:solidFill>
          </w14:textFill>
        </w:rPr>
        <w:t>.4因乙方原因给甲方造成损失的。</w:t>
      </w:r>
    </w:p>
    <w:p w14:paraId="1169D14E">
      <w:pPr>
        <w:spacing w:line="400" w:lineRule="atLeast"/>
        <w:ind w:firstLine="480" w:firstLineChars="200"/>
        <w:rPr>
          <w:rFonts w:hint="default"/>
          <w:highlight w:val="none"/>
          <w:lang w:val="en-US" w:eastAsia="zh-CN"/>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6.4</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sz w:val="24"/>
          <w:szCs w:val="24"/>
          <w:highlight w:val="none"/>
          <w14:textFill>
            <w14:solidFill>
              <w14:schemeClr w14:val="tx1"/>
            </w14:solidFill>
          </w14:textFill>
        </w:rPr>
        <w:t>如履约保证金不足以弥补甲方损失，甲方有权要求相应补偿。</w:t>
      </w:r>
    </w:p>
    <w:p w14:paraId="3C0A2894">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bookmarkStart w:id="31" w:name="_Toc10245"/>
      <w:r>
        <w:rPr>
          <w:rFonts w:hint="eastAsia" w:ascii="仿宋_GB2312" w:hAnsi="仿宋_GB2312" w:eastAsia="仿宋_GB2312" w:cs="仿宋_GB2312"/>
          <w:b/>
          <w:bCs/>
          <w:color w:val="000000" w:themeColor="text1"/>
          <w:highlight w:val="none"/>
          <w14:textFill>
            <w14:solidFill>
              <w14:schemeClr w14:val="tx1"/>
            </w14:solidFill>
          </w14:textFill>
        </w:rPr>
        <w:t>7、甲方禁止项目部及任何人员以甲方、甲方子企业或甲方项目部名义对外借款或者支取任何款项，如乙方或乙方有关人员以任何形式将款项出借或支付或返还给甲方项目部及任何人员，则不论该等款项是否实际用于甲方工程，均与甲方无关，该行为均属于乙方与相关人员个人之间的经济关系，乙方无权向甲方主张任何权利，亦不得要求甲方以货款抵偿。</w:t>
      </w:r>
    </w:p>
    <w:p w14:paraId="5A90A0F0">
      <w:pPr>
        <w:pStyle w:val="12"/>
        <w:spacing w:line="400" w:lineRule="atLeast"/>
        <w:ind w:firstLine="482" w:firstLineChars="200"/>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bookmarkStart w:id="32" w:name="_Toc24664"/>
      <w:bookmarkStart w:id="33" w:name="_Toc12208"/>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8、</w:t>
      </w:r>
      <w:r>
        <w:rPr>
          <w:rFonts w:hint="eastAsia" w:ascii="仿宋_GB2312" w:hAnsi="仿宋_GB2312" w:eastAsia="仿宋_GB2312" w:cs="仿宋_GB2312"/>
          <w:b/>
          <w:bCs/>
          <w:color w:val="000000" w:themeColor="text1"/>
          <w:highlight w:val="yellow"/>
          <w:lang w:val="en-US" w:eastAsia="zh-CN"/>
          <w14:textFill>
            <w14:solidFill>
              <w14:schemeClr w14:val="tx1"/>
            </w14:solidFill>
          </w14:textFill>
        </w:rPr>
        <w:t>如双方因货款支付发生争议，对于争议解决前甲方存在迟付情形的已付款项，乙方放弃索要逾期利息、违约金或资金占用费的权利。非因甲方原因延迟支付结算款的，甲方不承担逾期利息，如甲方依法应承担逾期利息时，利息按照合同订立时全国银行间同业拆借中心公布的一年期贷款市场报价利率（LPR）计算，且逾期利息累计总额最高不超过本合同含税暂定总价的 6%。</w:t>
      </w:r>
    </w:p>
    <w:p w14:paraId="3A6D3229">
      <w:pPr>
        <w:spacing w:line="480" w:lineRule="exact"/>
        <w:ind w:firstLine="482" w:firstLineChars="200"/>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9、甲方拖欠线索受理联系人：</w:t>
      </w:r>
    </w:p>
    <w:p w14:paraId="73EDCB42">
      <w:pPr>
        <w:spacing w:line="480" w:lineRule="exact"/>
        <w:ind w:firstLine="482" w:firstLineChars="200"/>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项目部联系人：</w:t>
      </w:r>
      <w:permStart w:id="68" w:edGrp="everyone"/>
      <w:r>
        <w:rPr>
          <w:rFonts w:hint="eastAsia"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t>袁冬晨</w:t>
      </w:r>
      <w:permEnd w:id="68"/>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，联系电话：</w:t>
      </w:r>
      <w:permStart w:id="69" w:edGrp="everyone"/>
      <w:r>
        <w:rPr>
          <w:rFonts w:hint="eastAsia"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t>18831981256</w:t>
      </w:r>
      <w:permEnd w:id="69"/>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 xml:space="preserve">； </w:t>
      </w:r>
    </w:p>
    <w:p w14:paraId="01D343B1">
      <w:pPr>
        <w:spacing w:line="480" w:lineRule="exact"/>
        <w:ind w:firstLine="482" w:firstLineChars="200"/>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公司联系人：</w:t>
      </w:r>
      <w:permStart w:id="70" w:edGrp="everyone"/>
      <w:r>
        <w:rPr>
          <w:rFonts w:hint="eastAsia"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t>张海萍</w:t>
      </w:r>
      <w:permEnd w:id="70"/>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，联系电话：</w:t>
      </w:r>
      <w:permStart w:id="71" w:edGrp="everyone"/>
      <w:r>
        <w:rPr>
          <w:rFonts w:hint="eastAsia"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t>0319-2620099</w:t>
      </w:r>
      <w:permEnd w:id="71"/>
    </w:p>
    <w:p w14:paraId="54335B34">
      <w:pPr>
        <w:spacing w:line="480" w:lineRule="exact"/>
        <w:ind w:firstLine="482" w:firstLineChars="200"/>
        <w:rPr>
          <w:rFonts w:hint="default"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公司信访投诉电话：</w:t>
      </w:r>
      <w:permStart w:id="72" w:edGrp="everyone"/>
      <w:r>
        <w:rPr>
          <w:rFonts w:hint="eastAsia"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t>0319-2620099</w:t>
      </w:r>
      <w:permEnd w:id="72"/>
    </w:p>
    <w:p w14:paraId="0467C2FB">
      <w:pPr>
        <w:spacing w:line="480" w:lineRule="exact"/>
        <w:ind w:firstLine="482" w:firstLineChars="200"/>
        <w:rPr>
          <w:rFonts w:hint="default"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信访投诉邮箱：</w:t>
      </w:r>
      <w:permStart w:id="73" w:edGrp="everyone"/>
      <w:r>
        <w:rPr>
          <w:rFonts w:hint="eastAsia" w:ascii="仿宋_GB2312" w:hAnsi="仿宋_GB2312" w:eastAsia="仿宋_GB2312" w:cs="仿宋_GB2312"/>
          <w:b/>
          <w:bCs/>
          <w:color w:val="000000" w:themeColor="text1"/>
          <w:sz w:val="24"/>
          <w:szCs w:val="24"/>
          <w:highlight w:val="none"/>
          <w:u w:val="single"/>
          <w:lang w:val="en-US" w:eastAsia="zh-CN"/>
          <w14:textFill>
            <w14:solidFill>
              <w14:schemeClr w14:val="tx1"/>
            </w14:solidFill>
          </w14:textFill>
        </w:rPr>
        <w:t>zjlq6bgsh@163.com</w:t>
      </w:r>
      <w:permEnd w:id="73"/>
    </w:p>
    <w:p w14:paraId="325C55DC">
      <w:pPr>
        <w:spacing w:line="480" w:lineRule="exact"/>
        <w:ind w:firstLine="482" w:firstLineChars="200"/>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云筑网中建系统账款投诉平台：https://ts.yzw.cn</w:t>
      </w:r>
    </w:p>
    <w:p w14:paraId="200A400A">
      <w:pPr>
        <w:pStyle w:val="12"/>
        <w:spacing w:line="400" w:lineRule="atLeast"/>
        <w:ind w:firstLine="482" w:firstLineChars="200"/>
        <w:rPr>
          <w:rFonts w:ascii="仿宋_GB2312" w:hAnsi="仿宋_GB2312" w:eastAsia="仿宋_GB2312" w:cs="仿宋_GB2312"/>
          <w:b/>
          <w:bCs/>
          <w:color w:val="000000" w:themeColor="text1"/>
          <w:highlight w:val="none"/>
          <w:u w:val="single"/>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10</w:t>
      </w:r>
      <w:r>
        <w:rPr>
          <w:rFonts w:hint="eastAsia" w:ascii="仿宋_GB2312" w:hAnsi="仿宋_GB2312" w:eastAsia="仿宋_GB2312" w:cs="仿宋_GB2312"/>
          <w:b/>
          <w:bCs/>
          <w:color w:val="000000" w:themeColor="text1"/>
          <w:highlight w:val="none"/>
          <w14:textFill>
            <w14:solidFill>
              <w14:schemeClr w14:val="tx1"/>
            </w14:solidFill>
          </w14:textFill>
        </w:rPr>
        <w:t>、其他：</w:t>
      </w:r>
      <w:permStart w:id="74" w:edGrp="everyone"/>
      <w:r>
        <w:rPr>
          <w:rFonts w:hint="eastAsia" w:ascii="仿宋_GB2312" w:hAnsi="仿宋_GB2312" w:eastAsia="仿宋_GB2312" w:cs="仿宋_GB2312"/>
          <w:b/>
          <w:bCs/>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74"/>
      <w:r>
        <w:rPr>
          <w:rFonts w:hint="eastAsia" w:ascii="仿宋_GB2312" w:hAnsi="仿宋_GB2312" w:eastAsia="仿宋_GB2312" w:cs="仿宋_GB2312"/>
          <w:color w:val="000000" w:themeColor="text1"/>
          <w:highlight w:val="none"/>
          <w14:textFill>
            <w14:solidFill>
              <w14:schemeClr w14:val="tx1"/>
            </w14:solidFill>
          </w14:textFill>
        </w:rPr>
        <w:t>。</w:t>
      </w:r>
    </w:p>
    <w:p w14:paraId="4AC043B0">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通知与送达</w:t>
      </w:r>
      <w:bookmarkEnd w:id="31"/>
      <w:bookmarkEnd w:id="32"/>
      <w:bookmarkEnd w:id="33"/>
    </w:p>
    <w:p w14:paraId="4B8451AC">
      <w:pPr>
        <w:pStyle w:val="12"/>
        <w:numPr>
          <w:ilvl w:val="0"/>
          <w:numId w:val="5"/>
        </w:numPr>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本合同中涉及合同、文件、律师函、诉讼文书的送达地址或邮箱及法律后果作如下约定：</w:t>
      </w:r>
    </w:p>
    <w:p w14:paraId="75BE6E7A">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1.1甲方确认其有效的送达地址为：</w:t>
      </w:r>
      <w:permStart w:id="75" w:edGrp="everyone"/>
      <w:r>
        <w:rPr>
          <w:rFonts w:hint="eastAsia" w:ascii="仿宋_GB2312" w:hAnsi="仿宋_GB2312" w:eastAsia="仿宋_GB2312" w:cs="仿宋_GB2312"/>
          <w:color w:val="000000" w:themeColor="text1"/>
          <w:highlight w:val="none"/>
          <w:u w:val="single"/>
          <w14:textFill>
            <w14:solidFill>
              <w14:schemeClr w14:val="tx1"/>
            </w14:solidFill>
          </w14:textFill>
        </w:rPr>
        <w:t>河北省邢台市</w:t>
      </w:r>
      <w:permEnd w:id="75"/>
      <w:r>
        <w:rPr>
          <w:rFonts w:hint="eastAsia" w:ascii="仿宋_GB2312" w:hAnsi="仿宋_GB2312" w:eastAsia="仿宋_GB2312" w:cs="仿宋_GB2312"/>
          <w:color w:val="000000" w:themeColor="text1"/>
          <w:highlight w:val="none"/>
          <w14:textFill>
            <w14:solidFill>
              <w14:schemeClr w14:val="tx1"/>
            </w14:solidFill>
          </w14:textFill>
        </w:rPr>
        <w:t>；</w:t>
      </w:r>
    </w:p>
    <w:p w14:paraId="6104C108">
      <w:pPr>
        <w:pStyle w:val="12"/>
        <w:spacing w:line="400" w:lineRule="atLeast"/>
        <w:ind w:firstLine="720" w:firstLineChars="3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联系人及电话：</w:t>
      </w:r>
      <w:permStart w:id="76" w:edGrp="everyone"/>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梁永平、18831911813</w:t>
      </w:r>
      <w:permEnd w:id="76"/>
      <w:r>
        <w:rPr>
          <w:rFonts w:hint="eastAsia" w:ascii="仿宋_GB2312" w:hAnsi="仿宋_GB2312" w:eastAsia="仿宋_GB2312" w:cs="仿宋_GB2312"/>
          <w:color w:val="000000" w:themeColor="text1"/>
          <w:highlight w:val="none"/>
          <w14:textFill>
            <w14:solidFill>
              <w14:schemeClr w14:val="tx1"/>
            </w14:solidFill>
          </w14:textFill>
        </w:rPr>
        <w:t>；邮箱：</w:t>
      </w:r>
      <w:permStart w:id="77" w:edGrp="everyone"/>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18831911813@163.com</w:t>
      </w:r>
      <w:permEnd w:id="77"/>
      <w:r>
        <w:rPr>
          <w:rFonts w:hint="eastAsia" w:ascii="仿宋_GB2312" w:hAnsi="仿宋_GB2312" w:eastAsia="仿宋_GB2312" w:cs="仿宋_GB2312"/>
          <w:color w:val="000000" w:themeColor="text1"/>
          <w:highlight w:val="none"/>
          <w14:textFill>
            <w14:solidFill>
              <w14:schemeClr w14:val="tx1"/>
            </w14:solidFill>
          </w14:textFill>
        </w:rPr>
        <w:t>；</w:t>
      </w:r>
    </w:p>
    <w:p w14:paraId="0738D054">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1.2乙方确认其有效的送达地址为：</w:t>
      </w:r>
      <w:permStart w:id="78"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78"/>
      <w:r>
        <w:rPr>
          <w:rFonts w:hint="eastAsia" w:ascii="仿宋_GB2312" w:hAnsi="仿宋_GB2312" w:eastAsia="仿宋_GB2312" w:cs="仿宋_GB2312"/>
          <w:color w:val="000000" w:themeColor="text1"/>
          <w:highlight w:val="none"/>
          <w14:textFill>
            <w14:solidFill>
              <w14:schemeClr w14:val="tx1"/>
            </w14:solidFill>
          </w14:textFill>
        </w:rPr>
        <w:t>；</w:t>
      </w:r>
    </w:p>
    <w:p w14:paraId="0D0B70A8">
      <w:pPr>
        <w:pStyle w:val="12"/>
        <w:spacing w:line="400" w:lineRule="atLeast"/>
        <w:ind w:firstLine="720" w:firstLineChars="3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联系人及电话：</w:t>
      </w:r>
      <w:permStart w:id="79"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79"/>
      <w:r>
        <w:rPr>
          <w:rFonts w:hint="eastAsia" w:ascii="仿宋_GB2312" w:hAnsi="仿宋_GB2312" w:eastAsia="仿宋_GB2312" w:cs="仿宋_GB2312"/>
          <w:color w:val="000000" w:themeColor="text1"/>
          <w:highlight w:val="none"/>
          <w14:textFill>
            <w14:solidFill>
              <w14:schemeClr w14:val="tx1"/>
            </w14:solidFill>
          </w14:textFill>
        </w:rPr>
        <w:t>；邮箱：</w:t>
      </w:r>
      <w:permStart w:id="80"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80"/>
      <w:r>
        <w:rPr>
          <w:rFonts w:hint="eastAsia" w:ascii="仿宋_GB2312" w:hAnsi="仿宋_GB2312" w:eastAsia="仿宋_GB2312" w:cs="仿宋_GB2312"/>
          <w:color w:val="000000" w:themeColor="text1"/>
          <w:highlight w:val="none"/>
          <w14:textFill>
            <w14:solidFill>
              <w14:schemeClr w14:val="tx1"/>
            </w14:solidFill>
          </w14:textFill>
        </w:rPr>
        <w:t>；</w:t>
      </w:r>
    </w:p>
    <w:p w14:paraId="462D0592">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2、双方该送达地址或邮箱适用范围包括双方就合同发生纠纷时的律师函和法律文书的送达，同时包括在争议进入民事诉讼程序（如有）后的一审、二审、再审和执行程序。</w:t>
      </w:r>
    </w:p>
    <w:p w14:paraId="5FC7124D">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乙方因提供的送达地址或邮箱不准确、变更后未及时书面告知甲方、其指定的接收人拒绝签收等原因，导致法律文书未能被其实际接收的，视为对乙方送达成功：邮寄送达的，以文件退回之日视为送达之日；直接送达的，送达人当场在送达回证上记明情况之日视为送达之日。</w:t>
      </w:r>
    </w:p>
    <w:p w14:paraId="0FBA1299">
      <w:pPr>
        <w:pStyle w:val="12"/>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34" w:name="_Toc21843"/>
      <w:bookmarkStart w:id="35" w:name="_Toc26478"/>
      <w:bookmarkStart w:id="36" w:name="_Toc4701"/>
      <w:r>
        <w:rPr>
          <w:rFonts w:hint="eastAsia" w:ascii="仿宋_GB2312" w:hAnsi="仿宋_GB2312" w:eastAsia="仿宋_GB2312" w:cs="仿宋_GB2312"/>
          <w:b/>
          <w:bCs/>
          <w:color w:val="000000" w:themeColor="text1"/>
          <w:highlight w:val="none"/>
          <w14:textFill>
            <w14:solidFill>
              <w14:schemeClr w14:val="tx1"/>
            </w14:solidFill>
          </w14:textFill>
        </w:rPr>
        <w:t>合同生效</w:t>
      </w:r>
      <w:bookmarkEnd w:id="34"/>
      <w:bookmarkEnd w:id="35"/>
      <w:bookmarkEnd w:id="36"/>
    </w:p>
    <w:p w14:paraId="09D5058E">
      <w:pPr>
        <w:pStyle w:val="12"/>
        <w:numPr>
          <w:ilvl w:val="255"/>
          <w:numId w:val="0"/>
        </w:numPr>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1、本合同签约形式适用第</w:t>
      </w:r>
      <w:permStart w:id="81"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1.1</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w:t>
      </w:r>
      <w:permEnd w:id="81"/>
      <w:r>
        <w:rPr>
          <w:rFonts w:hint="eastAsia" w:ascii="仿宋_GB2312" w:hAnsi="仿宋_GB2312" w:eastAsia="仿宋_GB2312" w:cs="仿宋_GB2312"/>
          <w:color w:val="000000" w:themeColor="text1"/>
          <w:highlight w:val="none"/>
          <w14:textFill>
            <w14:solidFill>
              <w14:schemeClr w14:val="tx1"/>
            </w14:solidFill>
          </w14:textFill>
        </w:rPr>
        <w:t>条；</w:t>
      </w:r>
    </w:p>
    <w:p w14:paraId="494C227F">
      <w:pPr>
        <w:pStyle w:val="12"/>
        <w:numPr>
          <w:ilvl w:val="255"/>
          <w:numId w:val="0"/>
        </w:numPr>
        <w:spacing w:line="400" w:lineRule="atLeast"/>
        <w:ind w:firstLine="480" w:firstLineChars="200"/>
        <w:jc w:val="left"/>
        <w:rPr>
          <w:rFonts w:ascii="仿宋_GB2312" w:hAnsi="仿宋_GB2312" w:eastAsia="仿宋_GB2312" w:cs="仿宋_GB2312"/>
          <w:color w:val="000000" w:themeColor="text1"/>
          <w:highlight w:val="none"/>
          <w14:textFill>
            <w14:solidFill>
              <w14:schemeClr w14:val="tx1"/>
            </w14:solidFill>
          </w14:textFill>
        </w:rPr>
      </w:pPr>
      <w:bookmarkStart w:id="37" w:name="_Toc21939"/>
      <w:bookmarkStart w:id="38" w:name="_Toc15785_WPSOffice_Level1"/>
      <w:bookmarkStart w:id="39" w:name="_Toc31827_WPSOffice_Level1"/>
      <w:bookmarkStart w:id="40" w:name="_Toc7989"/>
      <w:bookmarkStart w:id="41" w:name="_Toc6851_WPSOffice_Level1"/>
      <w:r>
        <w:rPr>
          <w:rFonts w:hint="eastAsia" w:ascii="仿宋_GB2312" w:hAnsi="仿宋_GB2312" w:eastAsia="仿宋_GB2312" w:cs="仿宋_GB2312"/>
          <w:color w:val="000000" w:themeColor="text1"/>
          <w:highlight w:val="none"/>
          <w14:textFill>
            <w14:solidFill>
              <w14:schemeClr w14:val="tx1"/>
            </w14:solidFill>
          </w14:textFill>
        </w:rPr>
        <w:t>1.1双方同意通过“E签宝”(网址：https://121.28.96.6:8813/main-index-web)以电子签章的方式签署本合同，本合同自双方加盖电子签章之日起生效。合同生效后，双方均可对本合同进行查阅、下载、打印。下载、打印后的合同可以与“E签宝</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中的电子合同进行比对，如有不同，以“E签宝”中的电子合同为准。甲乙双方使用电子签章方式签署的合同，只有通过验证生效的电子原件具有法律效力，未经电子印章服务平台公司提供书面证明材料的电子合同打印版不能作为法律依据。如因乙方使用不当给甲方造成损失，乙方愿自行承担由此造成的全部经济损失和法律责任。</w:t>
      </w:r>
    </w:p>
    <w:p w14:paraId="4E1F31F4">
      <w:pPr>
        <w:pStyle w:val="12"/>
        <w:numPr>
          <w:ilvl w:val="0"/>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1.2双方同意通过加盖物理印章的方式签署本合同，合同自双方盖章后生效，完成合同约定的全部内容且保修期满后即告终止。合同壹式</w:t>
      </w:r>
      <w:permStart w:id="82" w:edGrp="everyone"/>
      <w:r>
        <w:rPr>
          <w:rFonts w:hint="eastAsia" w:ascii="仿宋_GB2312" w:hAnsi="仿宋_GB2312" w:eastAsia="仿宋_GB2312" w:cs="仿宋_GB2312"/>
          <w:color w:val="000000" w:themeColor="text1"/>
          <w:highlight w:val="none"/>
          <w:lang w:val="en-US" w:eastAsia="zh-CN"/>
          <w14:textFill>
            <w14:solidFill>
              <w14:schemeClr w14:val="tx1"/>
            </w14:solidFill>
          </w14:textFill>
        </w:rPr>
        <w:t>/</w:t>
      </w:r>
      <w:permEnd w:id="82"/>
      <w:r>
        <w:rPr>
          <w:rFonts w:hint="eastAsia" w:ascii="仿宋_GB2312" w:hAnsi="仿宋_GB2312" w:eastAsia="仿宋_GB2312" w:cs="仿宋_GB2312"/>
          <w:color w:val="000000" w:themeColor="text1"/>
          <w:highlight w:val="none"/>
          <w14:textFill>
            <w14:solidFill>
              <w14:schemeClr w14:val="tx1"/>
            </w14:solidFill>
          </w14:textFill>
        </w:rPr>
        <w:t>份，甲方执</w:t>
      </w:r>
      <w:permStart w:id="83" w:edGrp="everyone"/>
      <w:r>
        <w:rPr>
          <w:rFonts w:hint="eastAsia" w:ascii="仿宋_GB2312" w:hAnsi="仿宋_GB2312" w:eastAsia="仿宋_GB2312" w:cs="仿宋_GB2312"/>
          <w:color w:val="000000" w:themeColor="text1"/>
          <w:highlight w:val="none"/>
          <w:lang w:val="en-US" w:eastAsia="zh-CN"/>
          <w14:textFill>
            <w14:solidFill>
              <w14:schemeClr w14:val="tx1"/>
            </w14:solidFill>
          </w14:textFill>
        </w:rPr>
        <w:t>/</w:t>
      </w:r>
      <w:permEnd w:id="83"/>
      <w:r>
        <w:rPr>
          <w:rFonts w:hint="eastAsia" w:ascii="仿宋_GB2312" w:hAnsi="仿宋_GB2312" w:eastAsia="仿宋_GB2312" w:cs="仿宋_GB2312"/>
          <w:color w:val="000000" w:themeColor="text1"/>
          <w:highlight w:val="none"/>
          <w14:textFill>
            <w14:solidFill>
              <w14:schemeClr w14:val="tx1"/>
            </w14:solidFill>
          </w14:textFill>
        </w:rPr>
        <w:t>份，乙方执</w:t>
      </w:r>
      <w:permStart w:id="84" w:edGrp="everyone"/>
      <w:r>
        <w:rPr>
          <w:rFonts w:hint="eastAsia" w:ascii="仿宋_GB2312" w:hAnsi="仿宋_GB2312" w:eastAsia="仿宋_GB2312" w:cs="仿宋_GB2312"/>
          <w:color w:val="000000" w:themeColor="text1"/>
          <w:highlight w:val="none"/>
          <w:lang w:val="en-US" w:eastAsia="zh-CN"/>
          <w14:textFill>
            <w14:solidFill>
              <w14:schemeClr w14:val="tx1"/>
            </w14:solidFill>
          </w14:textFill>
        </w:rPr>
        <w:t>/</w:t>
      </w:r>
      <w:permEnd w:id="84"/>
      <w:r>
        <w:rPr>
          <w:rFonts w:hint="eastAsia" w:ascii="仿宋_GB2312" w:hAnsi="仿宋_GB2312" w:eastAsia="仿宋_GB2312" w:cs="仿宋_GB2312"/>
          <w:color w:val="000000" w:themeColor="text1"/>
          <w:highlight w:val="none"/>
          <w14:textFill>
            <w14:solidFill>
              <w14:schemeClr w14:val="tx1"/>
            </w14:solidFill>
          </w14:textFill>
        </w:rPr>
        <w:t>份。</w:t>
      </w:r>
    </w:p>
    <w:p w14:paraId="30468C57">
      <w:pPr>
        <w:spacing w:line="400" w:lineRule="atLeast"/>
        <w:ind w:firstLine="504" w:firstLineChars="200"/>
        <w:jc w:val="left"/>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Cs/>
          <w:color w:val="000000" w:themeColor="text1"/>
          <w:spacing w:val="6"/>
          <w:sz w:val="24"/>
          <w:szCs w:val="24"/>
          <w:highlight w:val="none"/>
          <w14:textFill>
            <w14:solidFill>
              <w14:schemeClr w14:val="tx1"/>
            </w14:solidFill>
          </w14:textFill>
        </w:rPr>
        <w:t>以下无正文</w:t>
      </w:r>
      <w:bookmarkEnd w:id="37"/>
      <w:bookmarkEnd w:id="38"/>
      <w:bookmarkEnd w:id="39"/>
      <w:bookmarkEnd w:id="40"/>
      <w:bookmarkEnd w:id="41"/>
      <w:bookmarkStart w:id="42" w:name="_Toc6163_WPSOffice_Level1"/>
      <w:bookmarkStart w:id="43" w:name="_Toc8898_WPSOffice_Level1"/>
      <w:bookmarkStart w:id="44" w:name="_Toc19595_WPSOffice_Level1"/>
    </w:p>
    <w:p w14:paraId="51E53A87">
      <w:pPr>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bookmarkStart w:id="45" w:name="_Toc23779"/>
      <w:bookmarkStart w:id="46" w:name="_Toc31108"/>
      <w:bookmarkStart w:id="47" w:name="_Toc23374"/>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附件一 授权委托书</w:t>
      </w:r>
      <w:bookmarkEnd w:id="42"/>
      <w:bookmarkEnd w:id="43"/>
      <w:bookmarkEnd w:id="44"/>
      <w:bookmarkEnd w:id="45"/>
      <w:bookmarkEnd w:id="46"/>
      <w:bookmarkEnd w:id="47"/>
    </w:p>
    <w:p w14:paraId="5C3D72FB">
      <w:pPr>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bookmarkStart w:id="48" w:name="_Toc5250_WPSOffice_Level1"/>
      <w:bookmarkStart w:id="49" w:name="_Toc14040"/>
      <w:bookmarkStart w:id="50" w:name="_Toc16133_WPSOffice_Level1"/>
      <w:bookmarkStart w:id="51" w:name="_Toc3383_WPSOffice_Level1"/>
      <w:bookmarkStart w:id="52" w:name="_Toc27542"/>
      <w:bookmarkStart w:id="53" w:name="_Toc6903"/>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附件二 </w:t>
      </w:r>
      <w:bookmarkEnd w:id="48"/>
      <w:bookmarkEnd w:id="49"/>
      <w:bookmarkEnd w:id="50"/>
      <w:bookmarkEnd w:id="51"/>
      <w:bookmarkEnd w:id="52"/>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项目部合规权限告知书</w:t>
      </w:r>
      <w:bookmarkEnd w:id="53"/>
    </w:p>
    <w:p w14:paraId="610E4D93">
      <w:pPr>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bookmarkStart w:id="54" w:name="_Toc19768_WPSOffice_Level1"/>
      <w:bookmarkStart w:id="55" w:name="_Toc641_WPSOffice_Level1"/>
      <w:bookmarkStart w:id="56" w:name="_Toc22730_WPSOffice_Level1"/>
      <w:bookmarkStart w:id="57" w:name="_Toc3486"/>
      <w:bookmarkStart w:id="58" w:name="_Toc26596"/>
      <w:bookmarkStart w:id="59" w:name="_Toc660"/>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附件三 </w:t>
      </w:r>
      <w:bookmarkEnd w:id="54"/>
      <w:bookmarkEnd w:id="55"/>
      <w:bookmarkEnd w:id="56"/>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安全管理协议书</w:t>
      </w:r>
      <w:bookmarkEnd w:id="57"/>
      <w:bookmarkEnd w:id="58"/>
      <w:bookmarkEnd w:id="59"/>
    </w:p>
    <w:p w14:paraId="0732E351">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bookmarkStart w:id="60" w:name="_Toc8260_WPSOffice_Level1"/>
      <w:bookmarkStart w:id="61" w:name="_Toc19161_WPSOffice_Level1"/>
      <w:bookmarkStart w:id="62" w:name="_Toc24584_WPSOffice_Level1"/>
      <w:bookmarkStart w:id="63" w:name="_Toc6994"/>
      <w:bookmarkStart w:id="64" w:name="_Toc25961"/>
      <w:bookmarkStart w:id="65" w:name="_Toc459"/>
      <w:r>
        <w:rPr>
          <w:rFonts w:hint="eastAsia" w:ascii="仿宋_GB2312" w:hAnsi="仿宋_GB2312" w:eastAsia="仿宋_GB2312" w:cs="仿宋_GB2312"/>
          <w:color w:val="000000" w:themeColor="text1"/>
          <w:highlight w:val="none"/>
          <w14:textFill>
            <w14:solidFill>
              <w14:schemeClr w14:val="tx1"/>
            </w14:solidFill>
          </w14:textFill>
        </w:rPr>
        <w:t xml:space="preserve">附件四 </w:t>
      </w:r>
      <w:bookmarkEnd w:id="60"/>
      <w:bookmarkEnd w:id="61"/>
      <w:bookmarkEnd w:id="62"/>
      <w:r>
        <w:rPr>
          <w:rFonts w:hint="eastAsia" w:ascii="仿宋_GB2312" w:hAnsi="仿宋_GB2312" w:eastAsia="仿宋_GB2312" w:cs="仿宋_GB2312"/>
          <w:color w:val="000000" w:themeColor="text1"/>
          <w:highlight w:val="none"/>
          <w14:textFill>
            <w14:solidFill>
              <w14:schemeClr w14:val="tx1"/>
            </w14:solidFill>
          </w14:textFill>
        </w:rPr>
        <w:t>廉洁从业共建协议</w:t>
      </w:r>
      <w:bookmarkEnd w:id="63"/>
      <w:bookmarkEnd w:id="64"/>
      <w:bookmarkEnd w:id="65"/>
    </w:p>
    <w:p w14:paraId="0D4F77DC">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p>
    <w:p w14:paraId="1BC49BB8">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p>
    <w:p w14:paraId="711F15D0">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甲方（盖章）：                        乙方（公章）：             </w:t>
      </w:r>
    </w:p>
    <w:p w14:paraId="53159D93">
      <w:pPr>
        <w:autoSpaceDE w:val="0"/>
        <w:autoSpaceDN w:val="0"/>
        <w:adjustRightInd w:val="0"/>
        <w:spacing w:line="400" w:lineRule="atLeast"/>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p>
    <w:p w14:paraId="63F3CB92">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法定代表人：                           法定代表人：</w:t>
      </w:r>
    </w:p>
    <w:p w14:paraId="2F501C3F">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w:t>
      </w:r>
    </w:p>
    <w:p w14:paraId="01238BA8">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被委托</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人：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被委托</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人：</w:t>
      </w:r>
    </w:p>
    <w:p w14:paraId="6C3D7439">
      <w:pPr>
        <w:pStyle w:val="12"/>
        <w:spacing w:line="400" w:lineRule="atLeast"/>
        <w:rPr>
          <w:rFonts w:ascii="仿宋_GB2312" w:hAnsi="仿宋_GB2312" w:eastAsia="仿宋_GB2312" w:cs="仿宋_GB2312"/>
          <w:color w:val="000000" w:themeColor="text1"/>
          <w:highlight w:val="none"/>
          <w14:textFill>
            <w14:solidFill>
              <w14:schemeClr w14:val="tx1"/>
            </w14:solidFill>
          </w14:textFill>
        </w:rPr>
      </w:pPr>
    </w:p>
    <w:p w14:paraId="6FDACB7A">
      <w:pPr>
        <w:pStyle w:val="12"/>
        <w:spacing w:line="400" w:lineRule="exac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lang w:val="zh-CN"/>
          <w14:textFill>
            <w14:solidFill>
              <w14:schemeClr w14:val="tx1"/>
            </w14:solidFill>
          </w14:textFill>
        </w:rPr>
        <w:t>年</w:t>
      </w: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lang w:val="zh-CN"/>
          <w14:textFill>
            <w14:solidFill>
              <w14:schemeClr w14:val="tx1"/>
            </w14:solidFill>
          </w14:textFill>
        </w:rPr>
        <w:t>月</w:t>
      </w: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lang w:val="zh-CN"/>
          <w14:textFill>
            <w14:solidFill>
              <w14:schemeClr w14:val="tx1"/>
            </w14:solidFill>
          </w14:textFill>
        </w:rPr>
        <w:t>日</w:t>
      </w: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lang w:val="zh-CN"/>
          <w14:textFill>
            <w14:solidFill>
              <w14:schemeClr w14:val="tx1"/>
            </w14:solidFill>
          </w14:textFill>
        </w:rPr>
        <w:t>年</w:t>
      </w: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lang w:val="zh-CN"/>
          <w14:textFill>
            <w14:solidFill>
              <w14:schemeClr w14:val="tx1"/>
            </w14:solidFill>
          </w14:textFill>
        </w:rPr>
        <w:t>月</w:t>
      </w: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lang w:val="zh-CN"/>
          <w14:textFill>
            <w14:solidFill>
              <w14:schemeClr w14:val="tx1"/>
            </w14:solidFill>
          </w14:textFill>
        </w:rPr>
        <w:t>日</w:t>
      </w:r>
    </w:p>
    <w:p w14:paraId="594E8F4F">
      <w:pPr>
        <w:pStyle w:val="12"/>
        <w:spacing w:line="400" w:lineRule="exact"/>
        <w:ind w:firstLine="480" w:firstLineChars="200"/>
        <w:rPr>
          <w:rFonts w:ascii="仿宋_GB2312" w:hAnsi="仿宋_GB2312" w:eastAsia="仿宋_GB2312" w:cs="仿宋_GB2312"/>
          <w:color w:val="000000" w:themeColor="text1"/>
          <w:highlight w:val="none"/>
          <w14:textFill>
            <w14:solidFill>
              <w14:schemeClr w14:val="tx1"/>
            </w14:solidFill>
          </w14:textFill>
        </w:rPr>
        <w:sectPr>
          <w:headerReference r:id="rId10" w:type="default"/>
          <w:footerReference r:id="rId11" w:type="default"/>
          <w:pgSz w:w="11906" w:h="16838"/>
          <w:pgMar w:top="1440" w:right="1800" w:bottom="1440" w:left="1800" w:header="850" w:footer="975" w:gutter="0"/>
          <w:pgNumType w:start="1"/>
          <w:cols w:space="0" w:num="1"/>
          <w:docGrid w:linePitch="312" w:charSpace="0"/>
        </w:sectPr>
      </w:pPr>
    </w:p>
    <w:p w14:paraId="2C1BEA80">
      <w:pPr>
        <w:autoSpaceDE w:val="0"/>
        <w:autoSpaceDN w:val="0"/>
        <w:adjustRightInd w:val="0"/>
        <w:spacing w:line="400" w:lineRule="exact"/>
        <w:outlineLvl w:val="0"/>
        <w:rPr>
          <w:rFonts w:ascii="仿宋_GB2312" w:hAnsi="仿宋_GB2312" w:eastAsia="仿宋_GB2312" w:cs="仿宋_GB2312"/>
          <w:color w:val="000000" w:themeColor="text1"/>
          <w:kern w:val="0"/>
          <w:sz w:val="30"/>
          <w:szCs w:val="30"/>
          <w:highlight w:val="none"/>
          <w14:textFill>
            <w14:solidFill>
              <w14:schemeClr w14:val="tx1"/>
            </w14:solidFill>
          </w14:textFill>
        </w:rPr>
      </w:pPr>
      <w:bookmarkStart w:id="66" w:name="_Toc7321"/>
      <w:bookmarkStart w:id="67" w:name="_Toc25426"/>
      <w:bookmarkStart w:id="68" w:name="_Toc31445"/>
      <w:r>
        <w:rPr>
          <w:rFonts w:hint="eastAsia" w:ascii="仿宋_GB2312" w:hAnsi="仿宋_GB2312" w:eastAsia="仿宋_GB2312" w:cs="仿宋_GB2312"/>
          <w:color w:val="000000" w:themeColor="text1"/>
          <w:kern w:val="0"/>
          <w:sz w:val="30"/>
          <w:szCs w:val="30"/>
          <w:highlight w:val="none"/>
          <w14:textFill>
            <w14:solidFill>
              <w14:schemeClr w14:val="tx1"/>
            </w14:solidFill>
          </w14:textFill>
        </w:rPr>
        <w:t>附件一：</w:t>
      </w:r>
      <w:bookmarkEnd w:id="66"/>
      <w:bookmarkEnd w:id="67"/>
      <w:bookmarkEnd w:id="68"/>
    </w:p>
    <w:p w14:paraId="22A8DD24">
      <w:pPr>
        <w:autoSpaceDE w:val="0"/>
        <w:autoSpaceDN w:val="0"/>
        <w:adjustRightInd w:val="0"/>
        <w:spacing w:line="400" w:lineRule="exact"/>
        <w:jc w:val="center"/>
        <w:rPr>
          <w:rFonts w:ascii="仿宋_GB2312" w:hAnsi="仿宋_GB2312" w:eastAsia="仿宋_GB2312" w:cs="仿宋_GB2312"/>
          <w:b/>
          <w:color w:val="000000" w:themeColor="text1"/>
          <w:sz w:val="30"/>
          <w:szCs w:val="30"/>
          <w:highlight w:val="none"/>
          <w14:textFill>
            <w14:solidFill>
              <w14:schemeClr w14:val="tx1"/>
            </w14:solidFill>
          </w14:textFill>
        </w:rPr>
      </w:pPr>
      <w:r>
        <w:rPr>
          <w:rFonts w:hint="eastAsia" w:ascii="仿宋_GB2312" w:hAnsi="仿宋_GB2312" w:eastAsia="仿宋_GB2312" w:cs="仿宋_GB2312"/>
          <w:b/>
          <w:color w:val="000000" w:themeColor="text1"/>
          <w:sz w:val="30"/>
          <w:szCs w:val="30"/>
          <w:highlight w:val="none"/>
          <w14:textFill>
            <w14:solidFill>
              <w14:schemeClr w14:val="tx1"/>
            </w14:solidFill>
          </w14:textFill>
        </w:rPr>
        <w:t>授权委托书</w:t>
      </w:r>
    </w:p>
    <w:p w14:paraId="7EF0B586">
      <w:pPr>
        <w:autoSpaceDE w:val="0"/>
        <w:autoSpaceDN w:val="0"/>
        <w:adjustRightInd w:val="0"/>
        <w:spacing w:line="400" w:lineRule="exact"/>
        <w:rPr>
          <w:rFonts w:ascii="仿宋_GB2312" w:hAnsi="仿宋_GB2312" w:eastAsia="仿宋_GB2312" w:cs="仿宋_GB2312"/>
          <w:b/>
          <w:color w:val="000000" w:themeColor="text1"/>
          <w:sz w:val="24"/>
          <w:szCs w:val="24"/>
          <w:highlight w:val="none"/>
          <w14:textFill>
            <w14:solidFill>
              <w14:schemeClr w14:val="tx1"/>
            </w14:solidFill>
          </w14:textFill>
        </w:rPr>
      </w:pPr>
    </w:p>
    <w:p w14:paraId="4D5633C0">
      <w:pPr>
        <w:autoSpaceDE w:val="0"/>
        <w:autoSpaceDN w:val="0"/>
        <w:adjustRightInd w:val="0"/>
        <w:spacing w:line="400" w:lineRule="exact"/>
        <w:ind w:firstLine="482" w:firstLineChars="200"/>
        <w:jc w:val="lef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14:textFill>
            <w14:solidFill>
              <w14:schemeClr w14:val="tx1"/>
            </w14:solidFill>
          </w14:textFill>
        </w:rPr>
        <w:t>本授权委托书声明：</w:t>
      </w:r>
      <w:r>
        <w:rPr>
          <w:rFonts w:hint="eastAsia" w:ascii="仿宋_GB2312" w:hAnsi="仿宋_GB2312" w:eastAsia="仿宋_GB2312" w:cs="仿宋_GB2312"/>
          <w:color w:val="000000" w:themeColor="text1"/>
          <w:sz w:val="24"/>
          <w:szCs w:val="24"/>
          <w:highlight w:val="none"/>
          <w14:textFill>
            <w14:solidFill>
              <w14:schemeClr w14:val="tx1"/>
            </w14:solidFill>
          </w14:textFill>
        </w:rPr>
        <w:t>我</w:t>
      </w:r>
      <w:permStart w:id="85"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85"/>
      <w:r>
        <w:rPr>
          <w:rFonts w:hint="eastAsia" w:ascii="仿宋_GB2312" w:hAnsi="仿宋_GB2312" w:eastAsia="仿宋_GB2312" w:cs="仿宋_GB2312"/>
          <w:color w:val="000000" w:themeColor="text1"/>
          <w:sz w:val="24"/>
          <w:szCs w:val="24"/>
          <w:highlight w:val="none"/>
          <w14:textFill>
            <w14:solidFill>
              <w14:schemeClr w14:val="tx1"/>
            </w14:solidFill>
          </w14:textFill>
        </w:rPr>
        <w:t>（身份证号：</w:t>
      </w:r>
      <w:permStart w:id="86"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86"/>
      <w:r>
        <w:rPr>
          <w:rFonts w:hint="eastAsia" w:ascii="仿宋_GB2312" w:hAnsi="仿宋_GB2312" w:eastAsia="仿宋_GB2312" w:cs="仿宋_GB2312"/>
          <w:color w:val="000000" w:themeColor="text1"/>
          <w:sz w:val="24"/>
          <w:szCs w:val="24"/>
          <w:highlight w:val="none"/>
          <w14:textFill>
            <w14:solidFill>
              <w14:schemeClr w14:val="tx1"/>
            </w14:solidFill>
          </w14:textFill>
        </w:rPr>
        <w:t>）系</w:t>
      </w:r>
      <w:permStart w:id="87"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87"/>
      <w:r>
        <w:rPr>
          <w:rFonts w:hint="eastAsia" w:ascii="仿宋_GB2312" w:hAnsi="仿宋_GB2312" w:eastAsia="仿宋_GB2312" w:cs="仿宋_GB2312"/>
          <w:color w:val="000000" w:themeColor="text1"/>
          <w:sz w:val="24"/>
          <w:szCs w:val="24"/>
          <w:highlight w:val="none"/>
          <w14:textFill>
            <w14:solidFill>
              <w14:schemeClr w14:val="tx1"/>
            </w14:solidFill>
          </w14:textFill>
        </w:rPr>
        <w:t>公司（乙方）的法定代表人，现授权委托</w:t>
      </w:r>
      <w:permStart w:id="88"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88"/>
      <w:r>
        <w:rPr>
          <w:rFonts w:hint="eastAsia" w:ascii="仿宋_GB2312" w:hAnsi="仿宋_GB2312" w:eastAsia="仿宋_GB2312" w:cs="仿宋_GB2312"/>
          <w:color w:val="000000" w:themeColor="text1"/>
          <w:sz w:val="24"/>
          <w:szCs w:val="24"/>
          <w:highlight w:val="none"/>
          <w14:textFill>
            <w14:solidFill>
              <w14:schemeClr w14:val="tx1"/>
            </w14:solidFill>
          </w14:textFill>
        </w:rPr>
        <w:t>（身份证号：</w:t>
      </w:r>
      <w:permStart w:id="89"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89"/>
      <w:r>
        <w:rPr>
          <w:rFonts w:hint="eastAsia" w:ascii="仿宋_GB2312" w:hAnsi="仿宋_GB2312" w:eastAsia="仿宋_GB2312" w:cs="仿宋_GB2312"/>
          <w:color w:val="000000" w:themeColor="text1"/>
          <w:sz w:val="24"/>
          <w:szCs w:val="24"/>
          <w:highlight w:val="none"/>
          <w14:textFill>
            <w14:solidFill>
              <w14:schemeClr w14:val="tx1"/>
            </w14:solidFill>
          </w14:textFill>
        </w:rPr>
        <w:t>）为我公司合法的代理人。以本公司的名义负责</w:t>
      </w:r>
      <w:permStart w:id="90"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90"/>
      <w:r>
        <w:rPr>
          <w:rFonts w:hint="eastAsia" w:ascii="仿宋_GB2312" w:hAnsi="仿宋_GB2312" w:eastAsia="仿宋_GB2312" w:cs="仿宋_GB2312"/>
          <w:color w:val="000000" w:themeColor="text1"/>
          <w:sz w:val="24"/>
          <w:szCs w:val="24"/>
          <w:highlight w:val="none"/>
          <w14:textFill>
            <w14:solidFill>
              <w14:schemeClr w14:val="tx1"/>
            </w14:solidFill>
          </w14:textFill>
        </w:rPr>
        <w:t>项目</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响应</w:t>
      </w:r>
      <w:r>
        <w:rPr>
          <w:rFonts w:hint="eastAsia" w:ascii="仿宋_GB2312" w:hAnsi="仿宋_GB2312" w:eastAsia="仿宋_GB2312" w:cs="仿宋_GB2312"/>
          <w:color w:val="000000" w:themeColor="text1"/>
          <w:sz w:val="24"/>
          <w:szCs w:val="24"/>
          <w:highlight w:val="none"/>
          <w14:textFill>
            <w14:solidFill>
              <w14:schemeClr w14:val="tx1"/>
            </w14:solidFill>
          </w14:textFill>
        </w:rPr>
        <w:t>、合同签署及合同履行等事宜。</w:t>
      </w:r>
    </w:p>
    <w:p w14:paraId="199108A4">
      <w:pPr>
        <w:autoSpaceDE w:val="0"/>
        <w:autoSpaceDN w:val="0"/>
        <w:adjustRightInd w:val="0"/>
        <w:spacing w:line="400" w:lineRule="exact"/>
        <w:ind w:firstLine="480" w:firstLineChars="200"/>
        <w:jc w:val="left"/>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代理人在合同履行过程中所签署的一切文件和处理与之有关的一切事务，包括但不限于签署往来函件、签署会议纪要、货物供应、结算办理、</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货</w:t>
      </w:r>
      <w:r>
        <w:rPr>
          <w:rFonts w:hint="eastAsia" w:ascii="仿宋_GB2312" w:hAnsi="仿宋_GB2312" w:eastAsia="仿宋_GB2312" w:cs="仿宋_GB2312"/>
          <w:color w:val="000000" w:themeColor="text1"/>
          <w:sz w:val="24"/>
          <w:szCs w:val="24"/>
          <w:highlight w:val="none"/>
          <w14:textFill>
            <w14:solidFill>
              <w14:schemeClr w14:val="tx1"/>
            </w14:solidFill>
          </w14:textFill>
        </w:rPr>
        <w:t>款的收取、发票开具等</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处理与此有关的经济事务及函件往来</w:t>
      </w:r>
      <w:r>
        <w:rPr>
          <w:rFonts w:hint="eastAsia" w:ascii="仿宋_GB2312" w:hAnsi="仿宋_GB2312" w:eastAsia="仿宋_GB2312" w:cs="仿宋_GB2312"/>
          <w:color w:val="000000" w:themeColor="text1"/>
          <w:sz w:val="24"/>
          <w:szCs w:val="24"/>
          <w:highlight w:val="none"/>
          <w14:textFill>
            <w14:solidFill>
              <w14:schemeClr w14:val="tx1"/>
            </w14:solidFill>
          </w14:textFill>
        </w:rPr>
        <w:t>均具有法律效力，授权人均予以认可。</w:t>
      </w:r>
    </w:p>
    <w:p w14:paraId="4CB806F8">
      <w:pPr>
        <w:keepNext/>
        <w:keepLines/>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本授权委托的期限为自</w:t>
      </w:r>
      <w:permStart w:id="91"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91"/>
      <w:r>
        <w:rPr>
          <w:rFonts w:hint="eastAsia" w:ascii="仿宋_GB2312" w:hAnsi="仿宋_GB2312" w:eastAsia="仿宋_GB2312" w:cs="仿宋_GB2312"/>
          <w:color w:val="000000" w:themeColor="text1"/>
          <w:sz w:val="24"/>
          <w:szCs w:val="24"/>
          <w:highlight w:val="none"/>
          <w14:textFill>
            <w14:solidFill>
              <w14:schemeClr w14:val="tx1"/>
            </w14:solidFill>
          </w14:textFill>
        </w:rPr>
        <w:t>年</w:t>
      </w:r>
      <w:permStart w:id="92"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92"/>
      <w:r>
        <w:rPr>
          <w:rFonts w:hint="eastAsia" w:ascii="仿宋_GB2312" w:hAnsi="仿宋_GB2312" w:eastAsia="仿宋_GB2312" w:cs="仿宋_GB2312"/>
          <w:color w:val="000000" w:themeColor="text1"/>
          <w:sz w:val="24"/>
          <w:szCs w:val="24"/>
          <w:highlight w:val="none"/>
          <w14:textFill>
            <w14:solidFill>
              <w14:schemeClr w14:val="tx1"/>
            </w14:solidFill>
          </w14:textFill>
        </w:rPr>
        <w:t>月</w:t>
      </w:r>
      <w:permStart w:id="93"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93"/>
      <w:r>
        <w:rPr>
          <w:rFonts w:hint="eastAsia" w:ascii="仿宋_GB2312" w:hAnsi="仿宋_GB2312" w:eastAsia="仿宋_GB2312" w:cs="仿宋_GB2312"/>
          <w:color w:val="000000" w:themeColor="text1"/>
          <w:sz w:val="24"/>
          <w:szCs w:val="24"/>
          <w:highlight w:val="none"/>
          <w14:textFill>
            <w14:solidFill>
              <w14:schemeClr w14:val="tx1"/>
            </w14:solidFill>
          </w14:textFill>
        </w:rPr>
        <w:t>日至</w:t>
      </w:r>
      <w:permStart w:id="94"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年</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月</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日</w:t>
      </w:r>
      <w:permEnd w:id="94"/>
      <w:r>
        <w:rPr>
          <w:rFonts w:hint="eastAsia" w:ascii="仿宋_GB2312" w:hAnsi="仿宋_GB2312" w:eastAsia="仿宋_GB2312" w:cs="仿宋_GB2312"/>
          <w:color w:val="000000" w:themeColor="text1"/>
          <w:sz w:val="24"/>
          <w:szCs w:val="24"/>
          <w:highlight w:val="none"/>
          <w14:textFill>
            <w14:solidFill>
              <w14:schemeClr w14:val="tx1"/>
            </w14:solidFill>
          </w14:textFill>
        </w:rPr>
        <w:t>。</w:t>
      </w:r>
    </w:p>
    <w:p w14:paraId="70268024">
      <w:pPr>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代理人无转委托权。</w:t>
      </w:r>
    </w:p>
    <w:p w14:paraId="37CE0930">
      <w:pPr>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特此授权。</w:t>
      </w:r>
    </w:p>
    <w:p w14:paraId="63EB6D37">
      <w:pPr>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委托单位全称（公章）：          </w:t>
      </w:r>
    </w:p>
    <w:p w14:paraId="28996E1C">
      <w:pPr>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法定代表人：</w:t>
      </w:r>
    </w:p>
    <w:p w14:paraId="651633DD">
      <w:pPr>
        <w:spacing w:line="400" w:lineRule="exact"/>
        <w:ind w:firstLine="480" w:firstLineChars="200"/>
        <w:jc w:val="right"/>
        <w:rPr>
          <w:rFonts w:ascii="仿宋_GB2312" w:hAnsi="仿宋_GB2312" w:eastAsia="仿宋_GB2312" w:cs="仿宋_GB2312"/>
          <w:b/>
          <w:color w:val="000000" w:themeColor="text1"/>
          <w:sz w:val="24"/>
          <w:szCs w:val="24"/>
          <w:highlight w:val="none"/>
          <w14:textFill>
            <w14:solidFill>
              <w14:schemeClr w14:val="tx1"/>
            </w14:solidFill>
          </w14:textFill>
        </w:rPr>
      </w:pPr>
      <w:permStart w:id="95"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年</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月</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日 </w:t>
      </w:r>
      <w:permEnd w:id="95"/>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b/>
          <w:color w:val="000000" w:themeColor="text1"/>
          <w:sz w:val="24"/>
          <w:szCs w:val="24"/>
          <w:highlight w:val="none"/>
          <w14:textFill>
            <w14:solidFill>
              <w14:schemeClr w14:val="tx1"/>
            </w14:solidFill>
          </w14:textFill>
        </w:rPr>
        <w:t xml:space="preserve"> </w:t>
      </w:r>
    </w:p>
    <w:p w14:paraId="36D111C6">
      <w:pPr>
        <w:spacing w:before="120" w:beforeLines="50" w:after="120" w:afterLines="50" w:line="400" w:lineRule="exact"/>
        <w:ind w:firstLine="482"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14:textFill>
            <w14:solidFill>
              <w14:schemeClr w14:val="tx1"/>
            </w14:solidFill>
          </w14:textFill>
        </w:rPr>
        <w:t>代理人声明</w:t>
      </w:r>
      <w:r>
        <w:rPr>
          <w:rFonts w:hint="eastAsia" w:ascii="仿宋_GB2312" w:hAnsi="仿宋_GB2312" w:eastAsia="仿宋_GB2312" w:cs="仿宋_GB2312"/>
          <w:color w:val="000000" w:themeColor="text1"/>
          <w:sz w:val="24"/>
          <w:szCs w:val="24"/>
          <w:highlight w:val="none"/>
          <w14:textFill>
            <w14:solidFill>
              <w14:schemeClr w14:val="tx1"/>
            </w14:solidFill>
          </w14:textFill>
        </w:rPr>
        <w:t>：我对以上授权委托事项完全接受，自愿履行。</w:t>
      </w:r>
    </w:p>
    <w:p w14:paraId="0D03E0F3">
      <w:pPr>
        <w:spacing w:line="400" w:lineRule="exact"/>
        <w:ind w:firstLine="480" w:firstLineChars="200"/>
        <w:jc w:val="center"/>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代理人（本人签字）：</w:t>
      </w:r>
    </w:p>
    <w:p w14:paraId="0DA4503C">
      <w:pPr>
        <w:spacing w:line="400" w:lineRule="exact"/>
        <w:ind w:firstLine="480" w:firstLineChars="200"/>
        <w:jc w:val="right"/>
        <w:rPr>
          <w:rFonts w:ascii="仿宋_GB2312" w:hAnsi="仿宋_GB2312" w:eastAsia="仿宋_GB2312" w:cs="仿宋_GB2312"/>
          <w:color w:val="000000" w:themeColor="text1"/>
          <w:sz w:val="24"/>
          <w:szCs w:val="24"/>
          <w:highlight w:val="none"/>
          <w14:textFill>
            <w14:solidFill>
              <w14:schemeClr w14:val="tx1"/>
            </w14:solidFill>
          </w14:textFill>
        </w:rPr>
      </w:pPr>
      <w:permStart w:id="96"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年</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月</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日</w:t>
      </w:r>
      <w:permEnd w:id="96"/>
    </w:p>
    <w:tbl>
      <w:tblPr>
        <w:tblStyle w:val="9"/>
        <w:tblpPr w:leftFromText="180" w:rightFromText="180" w:vertAnchor="text" w:horzAnchor="page" w:tblpX="1551" w:tblpY="508"/>
        <w:tblOverlap w:val="never"/>
        <w:tblW w:w="9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0"/>
        <w:gridCol w:w="4560"/>
      </w:tblGrid>
      <w:tr w14:paraId="615A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trPr>
        <w:tc>
          <w:tcPr>
            <w:tcW w:w="4470" w:type="dxa"/>
            <w:tcBorders>
              <w:right w:val="single" w:color="000000" w:sz="4" w:space="0"/>
            </w:tcBorders>
            <w:vAlign w:val="center"/>
          </w:tcPr>
          <w:p w14:paraId="30641724">
            <w:pPr>
              <w:autoSpaceDE w:val="0"/>
              <w:autoSpaceDN w:val="0"/>
              <w:adjustRightInd w:val="0"/>
              <w:spacing w:line="400" w:lineRule="exact"/>
              <w:jc w:val="center"/>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permStart w:id="97" w:edGrp="everyone"/>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正面</w:t>
            </w:r>
          </w:p>
        </w:tc>
        <w:tc>
          <w:tcPr>
            <w:tcW w:w="4560" w:type="dxa"/>
            <w:tcBorders>
              <w:left w:val="single" w:color="000000" w:sz="4" w:space="0"/>
            </w:tcBorders>
            <w:vAlign w:val="center"/>
          </w:tcPr>
          <w:p w14:paraId="2A64513D">
            <w:pPr>
              <w:autoSpaceDE w:val="0"/>
              <w:autoSpaceDN w:val="0"/>
              <w:adjustRightInd w:val="0"/>
              <w:spacing w:line="400" w:lineRule="exact"/>
              <w:ind w:firstLine="1920" w:firstLineChars="800"/>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背面</w:t>
            </w:r>
          </w:p>
        </w:tc>
      </w:tr>
      <w:permEnd w:id="97"/>
    </w:tbl>
    <w:p w14:paraId="3A3D4E58">
      <w:pPr>
        <w:spacing w:line="400" w:lineRule="exact"/>
        <w:ind w:firstLine="482" w:firstLineChars="200"/>
        <w:rPr>
          <w:rFonts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u w:val="dash"/>
          <w14:textFill>
            <w14:solidFill>
              <w14:schemeClr w14:val="tx1"/>
            </w14:solidFill>
          </w14:textFill>
        </w:rPr>
        <w:t>代理人身份证复印件粘贴处</w:t>
      </w:r>
      <w:r>
        <w:rPr>
          <w:rFonts w:hint="eastAsia" w:ascii="仿宋_GB2312" w:hAnsi="仿宋_GB2312" w:eastAsia="仿宋_GB2312" w:cs="仿宋_GB2312"/>
          <w:b/>
          <w:color w:val="000000" w:themeColor="text1"/>
          <w:sz w:val="24"/>
          <w:szCs w:val="24"/>
          <w:highlight w:val="none"/>
          <w14:textFill>
            <w14:solidFill>
              <w14:schemeClr w14:val="tx1"/>
            </w14:solidFill>
          </w14:textFill>
        </w:rPr>
        <w:t>：</w:t>
      </w:r>
    </w:p>
    <w:tbl>
      <w:tblPr>
        <w:tblStyle w:val="9"/>
        <w:tblpPr w:leftFromText="180" w:rightFromText="180" w:vertAnchor="text" w:horzAnchor="page" w:tblpX="1551" w:tblpY="3249"/>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492F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4ABFA87A">
            <w:pPr>
              <w:autoSpaceDE w:val="0"/>
              <w:autoSpaceDN w:val="0"/>
              <w:adjustRightInd w:val="0"/>
              <w:spacing w:line="400" w:lineRule="exact"/>
              <w:jc w:val="center"/>
              <w:rPr>
                <w:rFonts w:hint="default" w:ascii="仿宋_GB2312" w:hAnsi="仿宋_GB2312" w:eastAsia="仿宋_GB2312" w:cs="仿宋_GB2312"/>
                <w:color w:val="000000" w:themeColor="text1"/>
                <w:sz w:val="24"/>
                <w:szCs w:val="24"/>
                <w:highlight w:val="none"/>
                <w:lang w:val="en-US" w:eastAsia="zh-CN"/>
                <w14:textFill>
                  <w14:solidFill>
                    <w14:schemeClr w14:val="tx1"/>
                  </w14:solidFill>
                </w14:textFill>
              </w:rPr>
            </w:pPr>
            <w:permStart w:id="98" w:edGrp="everyone"/>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正面</w:t>
            </w:r>
          </w:p>
        </w:tc>
        <w:tc>
          <w:tcPr>
            <w:tcW w:w="4530" w:type="dxa"/>
            <w:tcBorders>
              <w:left w:val="single" w:color="000000" w:sz="4" w:space="0"/>
            </w:tcBorders>
            <w:vAlign w:val="center"/>
          </w:tcPr>
          <w:p w14:paraId="6619FC2E">
            <w:pPr>
              <w:autoSpaceDE w:val="0"/>
              <w:autoSpaceDN w:val="0"/>
              <w:adjustRightInd w:val="0"/>
              <w:spacing w:line="400" w:lineRule="exact"/>
              <w:ind w:firstLine="1920" w:firstLineChars="800"/>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背面</w:t>
            </w:r>
          </w:p>
        </w:tc>
      </w:tr>
      <w:permEnd w:id="98"/>
    </w:tbl>
    <w:p w14:paraId="0325FF7E">
      <w:pPr>
        <w:spacing w:line="400" w:lineRule="exact"/>
        <w:ind w:firstLine="482" w:firstLineChars="200"/>
        <w:rPr>
          <w:rFonts w:ascii="仿宋_GB2312" w:hAnsi="仿宋_GB2312" w:eastAsia="仿宋_GB2312" w:cs="仿宋_GB2312"/>
          <w:b/>
          <w:color w:val="000000" w:themeColor="text1"/>
          <w:sz w:val="24"/>
          <w:szCs w:val="24"/>
          <w:highlight w:val="none"/>
          <w:u w:val="dash"/>
          <w14:textFill>
            <w14:solidFill>
              <w14:schemeClr w14:val="tx1"/>
            </w14:solidFill>
          </w14:textFill>
        </w:rPr>
      </w:pPr>
      <w:r>
        <w:rPr>
          <w:rFonts w:hint="eastAsia" w:ascii="仿宋_GB2312" w:hAnsi="仿宋_GB2312" w:eastAsia="仿宋_GB2312" w:cs="仿宋_GB2312"/>
          <w:b/>
          <w:color w:val="000000" w:themeColor="text1"/>
          <w:sz w:val="24"/>
          <w:szCs w:val="24"/>
          <w:highlight w:val="none"/>
          <w:u w:val="dash"/>
          <w14:textFill>
            <w14:solidFill>
              <w14:schemeClr w14:val="tx1"/>
            </w14:solidFill>
          </w14:textFill>
        </w:rPr>
        <w:t>法定代表人身份证复印件粘贴处：</w:t>
      </w:r>
    </w:p>
    <w:p w14:paraId="5D409106">
      <w:pPr>
        <w:pStyle w:val="12"/>
        <w:spacing w:line="400" w:lineRule="exact"/>
        <w:ind w:firstLine="480" w:firstLineChars="200"/>
        <w:rPr>
          <w:rFonts w:ascii="仿宋_GB2312" w:hAnsi="仿宋_GB2312" w:eastAsia="仿宋_GB2312" w:cs="仿宋_GB2312"/>
          <w:color w:val="000000" w:themeColor="text1"/>
          <w:highlight w:val="none"/>
          <w14:textFill>
            <w14:solidFill>
              <w14:schemeClr w14:val="tx1"/>
            </w14:solidFill>
          </w14:textFill>
        </w:rPr>
        <w:sectPr>
          <w:pgSz w:w="11906" w:h="16838"/>
          <w:pgMar w:top="1440" w:right="1800" w:bottom="1440" w:left="1800" w:header="850" w:footer="975" w:gutter="0"/>
          <w:cols w:space="0" w:num="1"/>
          <w:docGrid w:linePitch="312" w:charSpace="0"/>
        </w:sectPr>
      </w:pPr>
    </w:p>
    <w:p w14:paraId="5AF9C604">
      <w:pPr>
        <w:spacing w:line="400" w:lineRule="exact"/>
        <w:ind w:right="210" w:rightChars="100"/>
        <w:outlineLvl w:val="0"/>
        <w:rPr>
          <w:rFonts w:ascii="仿宋_GB2312" w:hAnsi="仿宋_GB2312" w:eastAsia="仿宋_GB2312" w:cs="仿宋_GB2312"/>
          <w:color w:val="000000" w:themeColor="text1"/>
          <w:sz w:val="30"/>
          <w:szCs w:val="30"/>
          <w:highlight w:val="none"/>
          <w14:textFill>
            <w14:solidFill>
              <w14:schemeClr w14:val="tx1"/>
            </w14:solidFill>
          </w14:textFill>
        </w:rPr>
      </w:pPr>
      <w:bookmarkStart w:id="69" w:name="_Toc16973"/>
      <w:bookmarkStart w:id="70" w:name="_Toc21254"/>
      <w:bookmarkStart w:id="71" w:name="_Toc4519"/>
      <w:r>
        <w:rPr>
          <w:rFonts w:hint="eastAsia" w:ascii="仿宋_GB2312" w:hAnsi="仿宋_GB2312" w:eastAsia="仿宋_GB2312" w:cs="仿宋_GB2312"/>
          <w:color w:val="000000" w:themeColor="text1"/>
          <w:sz w:val="30"/>
          <w:szCs w:val="30"/>
          <w:highlight w:val="none"/>
          <w14:textFill>
            <w14:solidFill>
              <w14:schemeClr w14:val="tx1"/>
            </w14:solidFill>
          </w14:textFill>
        </w:rPr>
        <w:t>附件二：</w:t>
      </w:r>
      <w:bookmarkEnd w:id="69"/>
      <w:bookmarkEnd w:id="70"/>
      <w:bookmarkEnd w:id="71"/>
    </w:p>
    <w:p w14:paraId="60A16B4E">
      <w:pPr>
        <w:spacing w:line="400" w:lineRule="exact"/>
        <w:jc w:val="center"/>
        <w:rPr>
          <w:rFonts w:ascii="仿宋_GB2312" w:hAnsi="仿宋_GB2312" w:eastAsia="仿宋_GB2312" w:cs="仿宋_GB2312"/>
          <w:b/>
          <w:bCs/>
          <w:color w:val="000000" w:themeColor="text1"/>
          <w:sz w:val="30"/>
          <w:szCs w:val="30"/>
          <w:highlight w:val="none"/>
          <w14:textFill>
            <w14:solidFill>
              <w14:schemeClr w14:val="tx1"/>
            </w14:solidFill>
          </w14:textFill>
        </w:rPr>
      </w:pPr>
      <w:r>
        <w:rPr>
          <w:rFonts w:hint="eastAsia" w:ascii="仿宋_GB2312" w:hAnsi="仿宋_GB2312" w:eastAsia="仿宋_GB2312" w:cs="仿宋_GB2312"/>
          <w:b/>
          <w:bCs/>
          <w:color w:val="000000" w:themeColor="text1"/>
          <w:sz w:val="30"/>
          <w:szCs w:val="30"/>
          <w:highlight w:val="none"/>
          <w14:textFill>
            <w14:solidFill>
              <w14:schemeClr w14:val="tx1"/>
            </w14:solidFill>
          </w14:textFill>
        </w:rPr>
        <w:t>项目部合规权限告知书</w:t>
      </w:r>
    </w:p>
    <w:p w14:paraId="649FAF19">
      <w:pPr>
        <w:autoSpaceDE w:val="0"/>
        <w:autoSpaceDN w:val="0"/>
        <w:adjustRightInd w:val="0"/>
        <w:spacing w:before="240" w:beforeLines="100"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致：</w:t>
      </w:r>
      <w:permStart w:id="99"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99"/>
      <w:r>
        <w:rPr>
          <w:rFonts w:hint="eastAsia" w:ascii="仿宋_GB2312" w:hAnsi="仿宋_GB2312" w:eastAsia="仿宋_GB2312" w:cs="仿宋_GB2312"/>
          <w:color w:val="000000" w:themeColor="text1"/>
          <w:sz w:val="24"/>
          <w:szCs w:val="24"/>
          <w:highlight w:val="none"/>
          <w14:textFill>
            <w14:solidFill>
              <w14:schemeClr w14:val="tx1"/>
            </w14:solidFill>
          </w14:textFill>
        </w:rPr>
        <w:t>（乙方全称）</w:t>
      </w:r>
    </w:p>
    <w:p w14:paraId="5D0D3F7A">
      <w:p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ermStart w:id="100" w:edGrp="everyone"/>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bookmarkStart w:id="72" w:name="_Hlk126830603"/>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中建路桥集团有限公司</w:t>
      </w:r>
      <w:bookmarkEnd w:id="72"/>
      <w:permEnd w:id="100"/>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采购方</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全称，以下简称本公司），系依法成立并有效存续的公司。现向本公司</w:t>
      </w:r>
      <w:permStart w:id="101" w:edGrp="everyone"/>
      <w:r>
        <w:rPr>
          <w:rFonts w:hint="eastAsia" w:ascii="仿宋_GB2312" w:hAnsi="仿宋_GB2312" w:eastAsia="仿宋_GB2312" w:cs="仿宋_GB2312"/>
          <w:color w:val="000000" w:themeColor="text1"/>
          <w:sz w:val="24"/>
          <w:szCs w:val="24"/>
          <w:u w:val="single"/>
          <w14:textFill>
            <w14:solidFill>
              <w14:schemeClr w14:val="tx1"/>
            </w14:solidFill>
          </w14:textFill>
        </w:rPr>
        <w:t>太行山高速公路邢邯段 K93+155~K93+370路堑边坡等3处风险点治理工程</w:t>
      </w:r>
      <w:permEnd w:id="101"/>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项目部(以下简称项目部)签发项目部合规权限告知书（以下简称本</w:t>
      </w:r>
      <w:r>
        <w:rPr>
          <w:rFonts w:hint="eastAsia" w:ascii="仿宋_GB2312" w:hAnsi="仿宋_GB2312" w:eastAsia="仿宋_GB2312" w:cs="仿宋_GB2312"/>
          <w:color w:val="000000" w:themeColor="text1"/>
          <w:sz w:val="24"/>
          <w:szCs w:val="24"/>
          <w:highlight w:val="none"/>
          <w14:textFill>
            <w14:solidFill>
              <w14:schemeClr w14:val="tx1"/>
            </w14:solidFill>
          </w14:textFill>
        </w:rPr>
        <w:t>告知</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书），项目经理</w:t>
      </w:r>
      <w:permStart w:id="102" w:edGrp="everyone"/>
      <w:r>
        <w:rPr>
          <w:rFonts w:hint="eastAsia" w:ascii="仿宋_GB2312" w:hAnsi="仿宋_GB2312" w:eastAsia="仿宋_GB2312" w:cs="仿宋_GB2312"/>
          <w:color w:val="000000" w:themeColor="text1"/>
          <w:sz w:val="24"/>
          <w:szCs w:val="24"/>
          <w:highlight w:val="none"/>
          <w:u w:val="single"/>
          <w:lang w:val="en-US" w:eastAsia="zh-CN"/>
          <w14:textFill>
            <w14:solidFill>
              <w14:schemeClr w14:val="tx1"/>
            </w14:solidFill>
          </w14:textFill>
        </w:rPr>
        <w:t>袁冬晨</w:t>
      </w:r>
      <w:permEnd w:id="102"/>
      <w:r>
        <w:rPr>
          <w:rFonts w:hint="eastAsia" w:ascii="仿宋_GB2312" w:hAnsi="仿宋_GB2312" w:eastAsia="仿宋_GB2312" w:cs="仿宋_GB2312"/>
          <w:color w:val="000000" w:themeColor="text1"/>
          <w:sz w:val="24"/>
          <w:szCs w:val="24"/>
          <w:highlight w:val="none"/>
          <w14:textFill>
            <w14:solidFill>
              <w14:schemeClr w14:val="tx1"/>
            </w14:solidFill>
          </w14:textFill>
        </w:rPr>
        <w:t>（身份证号：</w:t>
      </w:r>
      <w:permStart w:id="103" w:edGrp="everyone"/>
      <w:r>
        <w:rPr>
          <w:rFonts w:hint="eastAsia" w:ascii="仿宋_GB2312" w:hAnsi="仿宋_GB2312" w:eastAsia="仿宋_GB2312" w:cs="仿宋_GB2312"/>
          <w:color w:val="000000" w:themeColor="text1"/>
          <w:sz w:val="24"/>
          <w:szCs w:val="24"/>
          <w:highlight w:val="none"/>
          <w:u w:val="single"/>
          <w:lang w:val="en-US" w:eastAsia="zh-CN"/>
          <w14:textFill>
            <w14:solidFill>
              <w14:schemeClr w14:val="tx1"/>
            </w14:solidFill>
          </w14:textFill>
        </w:rPr>
        <w:t>130503196801140613</w:t>
      </w:r>
      <w:permEnd w:id="103"/>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 xml:space="preserve">代表本公司行使权限。 </w:t>
      </w:r>
    </w:p>
    <w:p w14:paraId="60490CA7">
      <w:p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一、</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项目部须严格按合同约定行使权利，履行义务。本授权书规定与合同约定相冲突的，以合同约定为准。</w:t>
      </w:r>
    </w:p>
    <w:p w14:paraId="6D773AA2">
      <w:p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二、项目部行使权限，须由项目经理签字并加盖项目部公章，否则本公司不予认可，亦不承担任何责任。</w:t>
      </w:r>
    </w:p>
    <w:p w14:paraId="12113C22">
      <w:p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三、项目经理</w:t>
      </w:r>
      <w:r>
        <w:rPr>
          <w:rFonts w:hint="eastAsia" w:ascii="仿宋_GB2312" w:hAnsi="仿宋_GB2312" w:eastAsia="仿宋_GB2312" w:cs="仿宋_GB2312"/>
          <w:color w:val="000000" w:themeColor="text1"/>
          <w:sz w:val="24"/>
          <w:szCs w:val="24"/>
          <w:highlight w:val="none"/>
          <w14:textFill>
            <w14:solidFill>
              <w14:schemeClr w14:val="tx1"/>
            </w14:solidFill>
          </w14:textFill>
        </w:rPr>
        <w:t>不</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可将其部分权限以书面形式转授权项目部其他人员，项目部任何内设机构及项目经理</w:t>
      </w:r>
      <w:r>
        <w:rPr>
          <w:rFonts w:hint="eastAsia" w:ascii="仿宋_GB2312" w:hAnsi="仿宋_GB2312" w:eastAsia="仿宋_GB2312" w:cs="仿宋_GB2312"/>
          <w:color w:val="000000" w:themeColor="text1"/>
          <w:sz w:val="24"/>
          <w:szCs w:val="24"/>
          <w:highlight w:val="none"/>
          <w14:textFill>
            <w14:solidFill>
              <w14:schemeClr w14:val="tx1"/>
            </w14:solidFill>
          </w14:textFill>
        </w:rPr>
        <w:t>擅自</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转授权人员以任何形式签字、盖章本公司均不予认可，亦不承担任何责任。</w:t>
      </w:r>
    </w:p>
    <w:p w14:paraId="3A3CB1C1">
      <w:pPr>
        <w:autoSpaceDE w:val="0"/>
        <w:autoSpaceDN w:val="0"/>
        <w:adjustRightInd w:val="0"/>
        <w:spacing w:line="400" w:lineRule="exact"/>
        <w:ind w:firstLine="480" w:firstLineChars="200"/>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四、项目所有合同、协议等具有权利义务性质的文件均需加盖合同专用章，否则本公司不予认可，亦不承担任何责任。</w:t>
      </w:r>
    </w:p>
    <w:p w14:paraId="457C04F1">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五、凡涉及项目经济性事项，项目部须严格在本授权书规定的权限范围内行使，否则，即使经项目部加盖公章、项目经理签字，本公司亦不予认可，不承担任何责任。</w:t>
      </w:r>
    </w:p>
    <w:p w14:paraId="41D6647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1.项目部有权审批如下事项：</w:t>
      </w:r>
    </w:p>
    <w:tbl>
      <w:tblPr>
        <w:tblStyle w:val="9"/>
        <w:tblpPr w:leftFromText="180" w:rightFromText="180" w:vertAnchor="text" w:horzAnchor="margin" w:tblpXSpec="center" w:tblpY="87"/>
        <w:tblOverlap w:val="never"/>
        <w:tblW w:w="9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209"/>
        <w:gridCol w:w="1974"/>
        <w:gridCol w:w="5117"/>
      </w:tblGrid>
      <w:tr w14:paraId="01D4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3" w:type="dxa"/>
            <w:vAlign w:val="center"/>
          </w:tcPr>
          <w:p w14:paraId="5D82AE6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序号</w:t>
            </w:r>
          </w:p>
        </w:tc>
        <w:tc>
          <w:tcPr>
            <w:tcW w:w="1209" w:type="dxa"/>
            <w:vAlign w:val="center"/>
          </w:tcPr>
          <w:p w14:paraId="33EF7F0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板块</w:t>
            </w:r>
          </w:p>
        </w:tc>
        <w:tc>
          <w:tcPr>
            <w:tcW w:w="1974" w:type="dxa"/>
            <w:vAlign w:val="center"/>
          </w:tcPr>
          <w:p w14:paraId="180DD12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授权事项</w:t>
            </w:r>
          </w:p>
        </w:tc>
        <w:tc>
          <w:tcPr>
            <w:tcW w:w="5117" w:type="dxa"/>
            <w:vAlign w:val="center"/>
          </w:tcPr>
          <w:p w14:paraId="5D9C718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授权权限</w:t>
            </w:r>
          </w:p>
        </w:tc>
      </w:tr>
      <w:tr w14:paraId="7B54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5264620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w:t>
            </w:r>
          </w:p>
        </w:tc>
        <w:tc>
          <w:tcPr>
            <w:tcW w:w="1209" w:type="dxa"/>
            <w:vMerge w:val="restart"/>
            <w:vAlign w:val="center"/>
          </w:tcPr>
          <w:p w14:paraId="7385B78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总包管理</w:t>
            </w:r>
          </w:p>
        </w:tc>
        <w:tc>
          <w:tcPr>
            <w:tcW w:w="1974" w:type="dxa"/>
            <w:vAlign w:val="center"/>
          </w:tcPr>
          <w:p w14:paraId="048A599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申请开工</w:t>
            </w:r>
          </w:p>
        </w:tc>
        <w:tc>
          <w:tcPr>
            <w:tcW w:w="5117" w:type="dxa"/>
            <w:vAlign w:val="center"/>
          </w:tcPr>
          <w:p w14:paraId="2FCF9E3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有权向建设单位申请开工。</w:t>
            </w:r>
          </w:p>
        </w:tc>
      </w:tr>
      <w:tr w14:paraId="6B93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1F25DAA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p>
        </w:tc>
        <w:tc>
          <w:tcPr>
            <w:tcW w:w="1209" w:type="dxa"/>
            <w:vMerge w:val="continue"/>
            <w:vAlign w:val="center"/>
          </w:tcPr>
          <w:p w14:paraId="1E3E5AD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DB52A4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施工方案、施工组织设计</w:t>
            </w:r>
          </w:p>
        </w:tc>
        <w:tc>
          <w:tcPr>
            <w:tcW w:w="5117" w:type="dxa"/>
            <w:vAlign w:val="center"/>
          </w:tcPr>
          <w:p w14:paraId="07292AE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施工方案、施工组织设计、技术措施的编制、交底、实施和落实。</w:t>
            </w:r>
          </w:p>
        </w:tc>
      </w:tr>
      <w:tr w14:paraId="482F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3C4210A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p>
        </w:tc>
        <w:tc>
          <w:tcPr>
            <w:tcW w:w="1209" w:type="dxa"/>
            <w:vMerge w:val="continue"/>
            <w:vAlign w:val="center"/>
          </w:tcPr>
          <w:p w14:paraId="4530336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262C9BE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报送工程进度</w:t>
            </w:r>
          </w:p>
        </w:tc>
        <w:tc>
          <w:tcPr>
            <w:tcW w:w="5117" w:type="dxa"/>
            <w:vAlign w:val="center"/>
          </w:tcPr>
          <w:p w14:paraId="0D805D0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对外报送工程进度计划及调整。</w:t>
            </w:r>
          </w:p>
        </w:tc>
      </w:tr>
      <w:tr w14:paraId="3748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59178FD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4</w:t>
            </w:r>
          </w:p>
        </w:tc>
        <w:tc>
          <w:tcPr>
            <w:tcW w:w="1209" w:type="dxa"/>
            <w:vMerge w:val="continue"/>
            <w:vAlign w:val="center"/>
          </w:tcPr>
          <w:p w14:paraId="2325CF6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30A5FE5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物资需用计划</w:t>
            </w:r>
          </w:p>
        </w:tc>
        <w:tc>
          <w:tcPr>
            <w:tcW w:w="5117" w:type="dxa"/>
            <w:vAlign w:val="center"/>
          </w:tcPr>
          <w:p w14:paraId="42BAB0F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有权向建设单位报送物资需用计划（适用于工程所需材料由建设单位提供）。</w:t>
            </w:r>
          </w:p>
        </w:tc>
      </w:tr>
      <w:tr w14:paraId="04BA8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29EACC5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5</w:t>
            </w:r>
          </w:p>
        </w:tc>
        <w:tc>
          <w:tcPr>
            <w:tcW w:w="1209" w:type="dxa"/>
            <w:vMerge w:val="continue"/>
            <w:vAlign w:val="center"/>
          </w:tcPr>
          <w:p w14:paraId="56E2729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9739B2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甲供材过程及质量问题反馈</w:t>
            </w:r>
          </w:p>
        </w:tc>
        <w:tc>
          <w:tcPr>
            <w:tcW w:w="5117" w:type="dxa"/>
            <w:vAlign w:val="center"/>
          </w:tcPr>
          <w:p w14:paraId="61BA3B7E">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有权就建设单位方供应（控制）的物质，供货过程及质量问题，向建设单位发联系函。</w:t>
            </w:r>
          </w:p>
        </w:tc>
      </w:tr>
      <w:tr w14:paraId="2C90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4E944B8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6</w:t>
            </w:r>
          </w:p>
        </w:tc>
        <w:tc>
          <w:tcPr>
            <w:tcW w:w="1209" w:type="dxa"/>
            <w:vMerge w:val="continue"/>
            <w:vAlign w:val="center"/>
          </w:tcPr>
          <w:p w14:paraId="7143584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3DD9F7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废旧物资处理</w:t>
            </w:r>
          </w:p>
        </w:tc>
        <w:tc>
          <w:tcPr>
            <w:tcW w:w="5117" w:type="dxa"/>
            <w:vAlign w:val="center"/>
          </w:tcPr>
          <w:p w14:paraId="41052BD3">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有权按</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集团</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分子公司</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确定的方案实施处理废旧物资。</w:t>
            </w:r>
          </w:p>
        </w:tc>
      </w:tr>
      <w:tr w14:paraId="7B319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4E0E76F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7</w:t>
            </w:r>
          </w:p>
        </w:tc>
        <w:tc>
          <w:tcPr>
            <w:tcW w:w="1209" w:type="dxa"/>
            <w:vMerge w:val="continue"/>
            <w:vAlign w:val="center"/>
          </w:tcPr>
          <w:p w14:paraId="6BECFF2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3A9BDD0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设计变更、签证、索赔</w:t>
            </w:r>
          </w:p>
        </w:tc>
        <w:tc>
          <w:tcPr>
            <w:tcW w:w="5117" w:type="dxa"/>
            <w:vAlign w:val="center"/>
          </w:tcPr>
          <w:p w14:paraId="0138DFE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有权向建设单位报送设计变更、签证、索赔报价单</w:t>
            </w:r>
          </w:p>
        </w:tc>
      </w:tr>
      <w:tr w14:paraId="0073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2EF4D2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8</w:t>
            </w:r>
          </w:p>
        </w:tc>
        <w:tc>
          <w:tcPr>
            <w:tcW w:w="1209" w:type="dxa"/>
            <w:vMerge w:val="continue"/>
            <w:vAlign w:val="center"/>
          </w:tcPr>
          <w:p w14:paraId="485105B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6ECA64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对外报量书</w:t>
            </w:r>
          </w:p>
        </w:tc>
        <w:tc>
          <w:tcPr>
            <w:tcW w:w="5117" w:type="dxa"/>
            <w:vAlign w:val="center"/>
          </w:tcPr>
          <w:p w14:paraId="2EE0562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有权编制对外报量书并报送甲方审核。</w:t>
            </w:r>
          </w:p>
        </w:tc>
      </w:tr>
      <w:tr w14:paraId="3FEB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3E9810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9</w:t>
            </w:r>
          </w:p>
        </w:tc>
        <w:tc>
          <w:tcPr>
            <w:tcW w:w="1209" w:type="dxa"/>
            <w:vMerge w:val="continue"/>
            <w:vAlign w:val="center"/>
          </w:tcPr>
          <w:p w14:paraId="5EBC028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39CFF9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付款申请</w:t>
            </w:r>
          </w:p>
        </w:tc>
        <w:tc>
          <w:tcPr>
            <w:tcW w:w="5117" w:type="dxa"/>
            <w:vAlign w:val="center"/>
          </w:tcPr>
          <w:p w14:paraId="0C984EF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有权向建设单位提出付款申请。</w:t>
            </w:r>
          </w:p>
        </w:tc>
      </w:tr>
      <w:tr w14:paraId="4756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5472D4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10</w:t>
            </w:r>
          </w:p>
        </w:tc>
        <w:tc>
          <w:tcPr>
            <w:tcW w:w="1209" w:type="dxa"/>
            <w:vMerge w:val="continue"/>
            <w:vAlign w:val="center"/>
          </w:tcPr>
          <w:p w14:paraId="1E5E096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30307833">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申请工程竣工验收</w:t>
            </w:r>
          </w:p>
        </w:tc>
        <w:tc>
          <w:tcPr>
            <w:tcW w:w="5117" w:type="dxa"/>
            <w:vAlign w:val="center"/>
          </w:tcPr>
          <w:p w14:paraId="62C2721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有权报监理单位、建设单位组织验收。验收合格的，有权向建设单位提出竣工验收申请。</w:t>
            </w:r>
          </w:p>
        </w:tc>
      </w:tr>
      <w:tr w14:paraId="23AA2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B3610E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11</w:t>
            </w:r>
          </w:p>
        </w:tc>
        <w:tc>
          <w:tcPr>
            <w:tcW w:w="1209" w:type="dxa"/>
            <w:vMerge w:val="continue"/>
            <w:vAlign w:val="center"/>
          </w:tcPr>
          <w:p w14:paraId="03A123D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8E4B87E">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工程交付</w:t>
            </w:r>
          </w:p>
        </w:tc>
        <w:tc>
          <w:tcPr>
            <w:tcW w:w="5117" w:type="dxa"/>
            <w:vAlign w:val="center"/>
          </w:tcPr>
          <w:p w14:paraId="2CDA418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有权组织向建设单位进行交付，办理工程移交单。</w:t>
            </w:r>
          </w:p>
        </w:tc>
      </w:tr>
      <w:tr w14:paraId="0FE7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07EFE0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12</w:t>
            </w:r>
          </w:p>
        </w:tc>
        <w:tc>
          <w:tcPr>
            <w:tcW w:w="1209" w:type="dxa"/>
            <w:vMerge w:val="continue"/>
            <w:vAlign w:val="center"/>
          </w:tcPr>
          <w:p w14:paraId="5EF191C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0B6AC99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撤销保函</w:t>
            </w:r>
          </w:p>
        </w:tc>
        <w:tc>
          <w:tcPr>
            <w:tcW w:w="5117" w:type="dxa"/>
            <w:vAlign w:val="center"/>
          </w:tcPr>
          <w:p w14:paraId="52A41AF5">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有权办理我公司对外开立的保函撤销相关工作。</w:t>
            </w:r>
          </w:p>
        </w:tc>
      </w:tr>
      <w:tr w14:paraId="22B53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40E0E5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13</w:t>
            </w:r>
          </w:p>
        </w:tc>
        <w:tc>
          <w:tcPr>
            <w:tcW w:w="1209" w:type="dxa"/>
            <w:vMerge w:val="continue"/>
            <w:vAlign w:val="center"/>
          </w:tcPr>
          <w:p w14:paraId="40332E4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4BAB849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递交结算资料</w:t>
            </w:r>
          </w:p>
        </w:tc>
        <w:tc>
          <w:tcPr>
            <w:tcW w:w="5117" w:type="dxa"/>
            <w:vAlign w:val="center"/>
          </w:tcPr>
          <w:p w14:paraId="1B7C7F1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有权向建设单位递交工程结算书及结算资料。</w:t>
            </w:r>
          </w:p>
        </w:tc>
      </w:tr>
      <w:tr w14:paraId="2CB4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4DAB5E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14</w:t>
            </w:r>
          </w:p>
        </w:tc>
        <w:tc>
          <w:tcPr>
            <w:tcW w:w="1209" w:type="dxa"/>
            <w:vMerge w:val="continue"/>
            <w:vAlign w:val="center"/>
          </w:tcPr>
          <w:p w14:paraId="52D6BFA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206107D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应收账款对账</w:t>
            </w:r>
          </w:p>
        </w:tc>
        <w:tc>
          <w:tcPr>
            <w:tcW w:w="5117" w:type="dxa"/>
            <w:vAlign w:val="center"/>
          </w:tcPr>
          <w:p w14:paraId="3A49D4E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有权与建设单位进行对账，将双方应收（付）账款金额核对一致。</w:t>
            </w:r>
          </w:p>
        </w:tc>
      </w:tr>
      <w:tr w14:paraId="7ACF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DCFE18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15</w:t>
            </w:r>
          </w:p>
        </w:tc>
        <w:tc>
          <w:tcPr>
            <w:tcW w:w="1209" w:type="dxa"/>
            <w:vMerge w:val="continue"/>
            <w:vAlign w:val="center"/>
          </w:tcPr>
          <w:p w14:paraId="334B8E9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329EA545">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催款单</w:t>
            </w:r>
          </w:p>
        </w:tc>
        <w:tc>
          <w:tcPr>
            <w:tcW w:w="5117" w:type="dxa"/>
            <w:vAlign w:val="center"/>
          </w:tcPr>
          <w:p w14:paraId="462CD30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根据《工程施工合同》有关条款，在存在拖欠工程款时，有权向建设单位发函催收。</w:t>
            </w:r>
          </w:p>
        </w:tc>
      </w:tr>
      <w:tr w14:paraId="0087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FB105D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16</w:t>
            </w:r>
          </w:p>
        </w:tc>
        <w:tc>
          <w:tcPr>
            <w:tcW w:w="1209" w:type="dxa"/>
            <w:vMerge w:val="restart"/>
            <w:vAlign w:val="center"/>
          </w:tcPr>
          <w:p w14:paraId="2E6CCEF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分包(供)管理</w:t>
            </w:r>
          </w:p>
        </w:tc>
        <w:tc>
          <w:tcPr>
            <w:tcW w:w="1974" w:type="dxa"/>
            <w:vAlign w:val="center"/>
          </w:tcPr>
          <w:p w14:paraId="1DD812D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分包（</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）合同管理</w:t>
            </w:r>
          </w:p>
        </w:tc>
        <w:tc>
          <w:tcPr>
            <w:tcW w:w="5117" w:type="dxa"/>
            <w:vAlign w:val="center"/>
          </w:tcPr>
          <w:p w14:paraId="0510F95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有权根据</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集团</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分子公司</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授权范围进行谈判，均需报</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集团</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/公司审批签约。</w:t>
            </w:r>
          </w:p>
        </w:tc>
      </w:tr>
      <w:tr w14:paraId="73A7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51BF29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17</w:t>
            </w:r>
          </w:p>
        </w:tc>
        <w:tc>
          <w:tcPr>
            <w:tcW w:w="1209" w:type="dxa"/>
            <w:vMerge w:val="continue"/>
            <w:vAlign w:val="center"/>
          </w:tcPr>
          <w:p w14:paraId="34A183C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7CFB7DF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合同交底管理</w:t>
            </w:r>
          </w:p>
        </w:tc>
        <w:tc>
          <w:tcPr>
            <w:tcW w:w="5117" w:type="dxa"/>
            <w:vAlign w:val="center"/>
          </w:tcPr>
          <w:p w14:paraId="795F437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将相关工程洽商记录、施工图纸及会审记录、设计变更通知书或设计变更图发至乙方，并做书面交底。</w:t>
            </w:r>
          </w:p>
        </w:tc>
      </w:tr>
      <w:tr w14:paraId="3D9C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6BB9B4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8</w:t>
            </w:r>
          </w:p>
        </w:tc>
        <w:tc>
          <w:tcPr>
            <w:tcW w:w="1209" w:type="dxa"/>
            <w:vMerge w:val="continue"/>
            <w:vAlign w:val="center"/>
          </w:tcPr>
          <w:p w14:paraId="349D195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CEF0A46">
            <w:pPr>
              <w:autoSpaceDE w:val="0"/>
              <w:autoSpaceDN w:val="0"/>
              <w:adjustRightInd w:val="0"/>
              <w:spacing w:line="400" w:lineRule="exact"/>
              <w:jc w:val="left"/>
              <w:rPr>
                <w:rFonts w:hint="eastAsia" w:ascii="仿宋_GB2312" w:hAnsi="仿宋_GB2312" w:eastAsia="仿宋_GB2312" w:cs="仿宋_GB2312"/>
                <w:b/>
                <w:bCs/>
                <w:color w:val="FF0000"/>
                <w:sz w:val="24"/>
                <w:szCs w:val="24"/>
                <w:highlight w:val="none"/>
                <w:lang w:val="zh-CN"/>
              </w:rPr>
            </w:pPr>
            <w:r>
              <w:rPr>
                <w:rFonts w:hint="eastAsia" w:ascii="仿宋_GB2312" w:hAnsi="仿宋_GB2312" w:eastAsia="仿宋_GB2312" w:cs="仿宋_GB2312"/>
                <w:b/>
                <w:bCs/>
                <w:sz w:val="24"/>
                <w:szCs w:val="24"/>
                <w:highlight w:val="none"/>
                <w:lang w:val="zh-CN"/>
              </w:rPr>
              <w:t>分包合同签证管理</w:t>
            </w:r>
          </w:p>
        </w:tc>
        <w:tc>
          <w:tcPr>
            <w:tcW w:w="5117" w:type="dxa"/>
            <w:vAlign w:val="center"/>
          </w:tcPr>
          <w:p w14:paraId="17C6B285">
            <w:pPr>
              <w:autoSpaceDE w:val="0"/>
              <w:autoSpaceDN w:val="0"/>
              <w:adjustRightInd w:val="0"/>
              <w:spacing w:line="400" w:lineRule="exact"/>
              <w:jc w:val="left"/>
              <w:rPr>
                <w:rFonts w:hint="eastAsia" w:ascii="仿宋_GB2312" w:hAnsi="仿宋_GB2312" w:eastAsia="仿宋_GB2312" w:cs="仿宋_GB2312"/>
                <w:b/>
                <w:bCs/>
                <w:color w:val="FF0000"/>
                <w:sz w:val="24"/>
                <w:szCs w:val="24"/>
                <w:highlight w:val="none"/>
                <w:lang w:val="zh-CN"/>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分包合同签证接收与初审(单份单项额度2万元以下的经济签证签署至项目经理，单份单项额度2万元以上的经济签证应签署至子企业总经济师。对同一个分包商累计现场签证不得超过10万元，且不得超过分包合同额的5%；结果需报公司/分公司审核，审核后方可作为结算依据）</w:t>
            </w:r>
          </w:p>
        </w:tc>
      </w:tr>
      <w:tr w14:paraId="4CA1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DFB8E7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1</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9</w:t>
            </w:r>
          </w:p>
        </w:tc>
        <w:tc>
          <w:tcPr>
            <w:tcW w:w="1209" w:type="dxa"/>
            <w:vMerge w:val="continue"/>
            <w:vAlign w:val="center"/>
          </w:tcPr>
          <w:p w14:paraId="1E1C4EB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shd w:val="clear" w:color="auto" w:fill="auto"/>
            <w:vAlign w:val="center"/>
          </w:tcPr>
          <w:p w14:paraId="064B7607">
            <w:pPr>
              <w:autoSpaceDE w:val="0"/>
              <w:autoSpaceDN w:val="0"/>
              <w:adjustRightInd w:val="0"/>
              <w:spacing w:line="400" w:lineRule="exact"/>
              <w:jc w:val="left"/>
              <w:rPr>
                <w:rFonts w:hint="eastAsia" w:ascii="仿宋_GB2312" w:hAnsi="仿宋_GB2312" w:eastAsia="仿宋_GB2312" w:cs="仿宋_GB2312"/>
                <w:b/>
                <w:bCs/>
                <w:sz w:val="24"/>
                <w:szCs w:val="24"/>
                <w:highlight w:val="none"/>
                <w:lang w:val="zh-CN"/>
              </w:rPr>
            </w:pPr>
            <w:r>
              <w:rPr>
                <w:rFonts w:hint="eastAsia" w:ascii="仿宋_GB2312" w:hAnsi="仿宋_GB2312" w:eastAsia="仿宋_GB2312" w:cs="仿宋_GB2312"/>
                <w:b/>
                <w:bCs/>
                <w:sz w:val="24"/>
                <w:szCs w:val="24"/>
                <w:highlight w:val="none"/>
                <w:lang w:val="zh-CN"/>
              </w:rPr>
              <w:t>分包单位进退场</w:t>
            </w:r>
          </w:p>
        </w:tc>
        <w:tc>
          <w:tcPr>
            <w:tcW w:w="5117" w:type="dxa"/>
            <w:shd w:val="clear" w:color="auto" w:fill="auto"/>
            <w:vAlign w:val="center"/>
          </w:tcPr>
          <w:p w14:paraId="256F1771">
            <w:pPr>
              <w:autoSpaceDE w:val="0"/>
              <w:autoSpaceDN w:val="0"/>
              <w:adjustRightInd w:val="0"/>
              <w:spacing w:line="400" w:lineRule="exact"/>
              <w:jc w:val="left"/>
              <w:rPr>
                <w:rFonts w:hint="eastAsia" w:ascii="仿宋_GB2312" w:hAnsi="仿宋_GB2312" w:eastAsia="仿宋_GB2312" w:cs="仿宋_GB2312"/>
                <w:b/>
                <w:bCs/>
                <w:sz w:val="24"/>
                <w:szCs w:val="24"/>
                <w:highlight w:val="none"/>
                <w:lang w:val="zh-CN"/>
              </w:rPr>
            </w:pPr>
            <w:r>
              <w:rPr>
                <w:rFonts w:hint="eastAsia" w:ascii="仿宋_GB2312" w:hAnsi="仿宋_GB2312" w:eastAsia="仿宋_GB2312" w:cs="仿宋_GB2312"/>
                <w:b/>
                <w:bCs/>
                <w:sz w:val="24"/>
                <w:szCs w:val="24"/>
                <w:highlight w:val="none"/>
                <w:lang w:val="zh-CN"/>
              </w:rPr>
              <w:t>有权确认分包人员、机械、材料等施工资源进退场。</w:t>
            </w:r>
          </w:p>
        </w:tc>
      </w:tr>
      <w:tr w14:paraId="34A2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84D199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20</w:t>
            </w:r>
          </w:p>
        </w:tc>
        <w:tc>
          <w:tcPr>
            <w:tcW w:w="1209" w:type="dxa"/>
            <w:vMerge w:val="continue"/>
            <w:vAlign w:val="center"/>
          </w:tcPr>
          <w:p w14:paraId="4A8184B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73B0D5FB">
            <w:pPr>
              <w:autoSpaceDE w:val="0"/>
              <w:autoSpaceDN w:val="0"/>
              <w:adjustRightInd w:val="0"/>
              <w:spacing w:line="400" w:lineRule="exact"/>
              <w:jc w:val="left"/>
              <w:rPr>
                <w:rFonts w:hint="eastAsia" w:ascii="仿宋_GB2312" w:hAnsi="仿宋_GB2312" w:eastAsia="仿宋_GB2312" w:cs="仿宋_GB2312"/>
                <w:b/>
                <w:bCs/>
                <w:sz w:val="24"/>
                <w:szCs w:val="24"/>
                <w:highlight w:val="none"/>
                <w:lang w:val="zh-CN"/>
              </w:rPr>
            </w:pPr>
            <w:r>
              <w:rPr>
                <w:rFonts w:hint="eastAsia" w:ascii="仿宋_GB2312" w:hAnsi="仿宋_GB2312" w:eastAsia="仿宋_GB2312" w:cs="仿宋_GB2312"/>
                <w:b/>
                <w:bCs/>
                <w:sz w:val="24"/>
                <w:szCs w:val="24"/>
                <w:highlight w:val="none"/>
                <w:lang w:val="zh-CN"/>
              </w:rPr>
              <w:t>劳动力分配计划</w:t>
            </w:r>
          </w:p>
        </w:tc>
        <w:tc>
          <w:tcPr>
            <w:tcW w:w="5117" w:type="dxa"/>
            <w:vAlign w:val="center"/>
          </w:tcPr>
          <w:p w14:paraId="0383620B">
            <w:pPr>
              <w:autoSpaceDE w:val="0"/>
              <w:autoSpaceDN w:val="0"/>
              <w:adjustRightInd w:val="0"/>
              <w:spacing w:line="400" w:lineRule="exact"/>
              <w:jc w:val="left"/>
              <w:rPr>
                <w:rFonts w:hint="eastAsia" w:ascii="仿宋_GB2312" w:hAnsi="仿宋_GB2312" w:eastAsia="仿宋_GB2312" w:cs="仿宋_GB2312"/>
                <w:b/>
                <w:bCs/>
                <w:sz w:val="24"/>
                <w:szCs w:val="24"/>
                <w:highlight w:val="none"/>
                <w:lang w:val="zh-CN"/>
              </w:rPr>
            </w:pPr>
            <w:r>
              <w:rPr>
                <w:rFonts w:hint="eastAsia" w:ascii="仿宋_GB2312" w:hAnsi="仿宋_GB2312" w:eastAsia="仿宋_GB2312" w:cs="仿宋_GB2312"/>
                <w:b/>
                <w:bCs/>
                <w:sz w:val="24"/>
                <w:szCs w:val="24"/>
                <w:highlight w:val="none"/>
                <w:lang w:val="zh-CN"/>
              </w:rPr>
              <w:t>有权要求分包方按要求配置劳动力。</w:t>
            </w:r>
          </w:p>
        </w:tc>
      </w:tr>
      <w:tr w14:paraId="5CDA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A018B8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w:t>
            </w:r>
          </w:p>
        </w:tc>
        <w:tc>
          <w:tcPr>
            <w:tcW w:w="1209" w:type="dxa"/>
            <w:vMerge w:val="continue"/>
            <w:vAlign w:val="center"/>
          </w:tcPr>
          <w:p w14:paraId="3AC0723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B5531AB">
            <w:pPr>
              <w:autoSpaceDE w:val="0"/>
              <w:autoSpaceDN w:val="0"/>
              <w:adjustRightInd w:val="0"/>
              <w:spacing w:line="400" w:lineRule="exact"/>
              <w:jc w:val="left"/>
              <w:rPr>
                <w:rFonts w:hint="eastAsia" w:ascii="仿宋_GB2312" w:hAnsi="仿宋_GB2312" w:eastAsia="仿宋_GB2312" w:cs="仿宋_GB2312"/>
                <w:b/>
                <w:bCs/>
                <w:sz w:val="24"/>
                <w:szCs w:val="24"/>
                <w:highlight w:val="none"/>
                <w:lang w:val="zh-CN"/>
              </w:rPr>
            </w:pPr>
            <w:r>
              <w:rPr>
                <w:rFonts w:hint="eastAsia" w:ascii="仿宋_GB2312" w:hAnsi="仿宋_GB2312" w:eastAsia="仿宋_GB2312" w:cs="仿宋_GB2312"/>
                <w:b/>
                <w:bCs/>
                <w:sz w:val="24"/>
                <w:szCs w:val="24"/>
                <w:highlight w:val="none"/>
                <w:lang w:val="zh-CN"/>
              </w:rPr>
              <w:t>现场零星工程指令</w:t>
            </w:r>
          </w:p>
        </w:tc>
        <w:tc>
          <w:tcPr>
            <w:tcW w:w="5117" w:type="dxa"/>
            <w:vAlign w:val="center"/>
          </w:tcPr>
          <w:p w14:paraId="120A8595">
            <w:pPr>
              <w:autoSpaceDE w:val="0"/>
              <w:autoSpaceDN w:val="0"/>
              <w:adjustRightInd w:val="0"/>
              <w:spacing w:line="400" w:lineRule="exact"/>
              <w:jc w:val="left"/>
              <w:rPr>
                <w:rFonts w:hint="eastAsia" w:ascii="仿宋_GB2312" w:hAnsi="仿宋_GB2312" w:eastAsia="仿宋_GB2312" w:cs="仿宋_GB2312"/>
                <w:b/>
                <w:bCs/>
                <w:sz w:val="24"/>
                <w:szCs w:val="24"/>
                <w:highlight w:val="none"/>
                <w:lang w:val="zh-CN"/>
              </w:rPr>
            </w:pPr>
            <w:r>
              <w:rPr>
                <w:rFonts w:hint="eastAsia" w:ascii="仿宋_GB2312" w:hAnsi="仿宋_GB2312" w:eastAsia="仿宋_GB2312" w:cs="仿宋_GB2312"/>
                <w:b/>
                <w:bCs/>
                <w:sz w:val="24"/>
                <w:szCs w:val="24"/>
                <w:highlight w:val="none"/>
                <w:lang w:val="zh-CN"/>
              </w:rPr>
              <w:t>有权根据需要向分</w:t>
            </w:r>
            <w:r>
              <w:rPr>
                <w:rFonts w:hint="eastAsia" w:ascii="仿宋_GB2312" w:hAnsi="仿宋_GB2312" w:eastAsia="仿宋_GB2312" w:cs="仿宋_GB2312"/>
                <w:b/>
                <w:bCs/>
                <w:sz w:val="24"/>
                <w:szCs w:val="24"/>
                <w:highlight w:val="none"/>
              </w:rPr>
              <w:t>包</w:t>
            </w:r>
            <w:r>
              <w:rPr>
                <w:rFonts w:hint="eastAsia" w:ascii="仿宋_GB2312" w:hAnsi="仿宋_GB2312" w:eastAsia="仿宋_GB2312" w:cs="仿宋_GB2312"/>
                <w:b/>
                <w:bCs/>
                <w:sz w:val="24"/>
                <w:szCs w:val="24"/>
                <w:highlight w:val="none"/>
                <w:lang w:val="zh-CN"/>
              </w:rPr>
              <w:t>方签发现场零星工程指令（金额在2万元以内）。</w:t>
            </w:r>
          </w:p>
        </w:tc>
      </w:tr>
      <w:tr w14:paraId="6444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Merge w:val="restart"/>
            <w:vAlign w:val="center"/>
          </w:tcPr>
          <w:p w14:paraId="77CD7A1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2</w:t>
            </w:r>
          </w:p>
        </w:tc>
        <w:tc>
          <w:tcPr>
            <w:tcW w:w="1209" w:type="dxa"/>
            <w:vMerge w:val="continue"/>
            <w:vAlign w:val="center"/>
          </w:tcPr>
          <w:p w14:paraId="0DCA443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Merge w:val="restart"/>
            <w:vAlign w:val="center"/>
          </w:tcPr>
          <w:p w14:paraId="4725ED6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紧急采购、零星物资采购</w:t>
            </w:r>
          </w:p>
        </w:tc>
        <w:tc>
          <w:tcPr>
            <w:tcW w:w="5117" w:type="dxa"/>
            <w:vAlign w:val="center"/>
          </w:tcPr>
          <w:p w14:paraId="1CB205A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零星采购：</w:t>
            </w:r>
            <w:r>
              <w:rPr>
                <w:rFonts w:hint="eastAsia" w:ascii="仿宋_GB2312" w:hAnsi="仿宋_GB2312" w:eastAsia="仿宋_GB2312" w:cs="仿宋_GB2312"/>
                <w:b/>
                <w:bCs/>
                <w:sz w:val="24"/>
                <w:szCs w:val="24"/>
                <w:highlight w:val="none"/>
              </w:rPr>
              <w:t>按制度权限、额度审批后采购。</w:t>
            </w:r>
          </w:p>
        </w:tc>
      </w:tr>
      <w:tr w14:paraId="745F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Merge w:val="continue"/>
            <w:vAlign w:val="center"/>
          </w:tcPr>
          <w:p w14:paraId="1F1E1AD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209" w:type="dxa"/>
            <w:vMerge w:val="continue"/>
            <w:vAlign w:val="center"/>
          </w:tcPr>
          <w:p w14:paraId="267887F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Merge w:val="continue"/>
            <w:vAlign w:val="center"/>
          </w:tcPr>
          <w:p w14:paraId="69EED4C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5117" w:type="dxa"/>
            <w:vAlign w:val="center"/>
          </w:tcPr>
          <w:p w14:paraId="1EED54C5">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紧急采购：报公司审核后，项目实施采购。</w:t>
            </w:r>
          </w:p>
        </w:tc>
      </w:tr>
      <w:tr w14:paraId="5EE36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0B445A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3</w:t>
            </w:r>
          </w:p>
        </w:tc>
        <w:tc>
          <w:tcPr>
            <w:tcW w:w="1209" w:type="dxa"/>
            <w:vMerge w:val="continue"/>
            <w:vAlign w:val="center"/>
          </w:tcPr>
          <w:p w14:paraId="13BF528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0BEC421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材料、料具、设备进退场</w:t>
            </w:r>
          </w:p>
        </w:tc>
        <w:tc>
          <w:tcPr>
            <w:tcW w:w="5117" w:type="dxa"/>
            <w:vAlign w:val="center"/>
          </w:tcPr>
          <w:p w14:paraId="3BE3135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方</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发送物资进退场通知单；有权确认材料、料具、设备及退货材料的进退场单据。</w:t>
            </w:r>
          </w:p>
        </w:tc>
      </w:tr>
      <w:tr w14:paraId="05EF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9461E6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24</w:t>
            </w:r>
          </w:p>
        </w:tc>
        <w:tc>
          <w:tcPr>
            <w:tcW w:w="1209" w:type="dxa"/>
            <w:vMerge w:val="continue"/>
            <w:vAlign w:val="center"/>
          </w:tcPr>
          <w:p w14:paraId="46F0C59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32E1E35">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材料、料具、设备</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检验</w:t>
            </w:r>
          </w:p>
        </w:tc>
        <w:tc>
          <w:tcPr>
            <w:tcW w:w="5117" w:type="dxa"/>
            <w:vAlign w:val="center"/>
          </w:tcPr>
          <w:p w14:paraId="3061448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对乙方</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物资</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设备进行检验、试验、检测与计量，联系乙方退货或更换，出具进场设备不合格记录。</w:t>
            </w:r>
          </w:p>
        </w:tc>
      </w:tr>
      <w:tr w14:paraId="3A22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9613FA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5</w:t>
            </w:r>
          </w:p>
        </w:tc>
        <w:tc>
          <w:tcPr>
            <w:tcW w:w="1209" w:type="dxa"/>
            <w:vMerge w:val="continue"/>
            <w:vAlign w:val="center"/>
          </w:tcPr>
          <w:p w14:paraId="2D5D293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745FEC7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物资发放</w:t>
            </w:r>
          </w:p>
        </w:tc>
        <w:tc>
          <w:tcPr>
            <w:tcW w:w="5117" w:type="dxa"/>
            <w:vAlign w:val="center"/>
          </w:tcPr>
          <w:p w14:paraId="403F3E8E">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有权确认有关物资发放的领料单、退货单、混凝土浇灌申请表（不含调拨单）。</w:t>
            </w:r>
          </w:p>
        </w:tc>
      </w:tr>
      <w:tr w14:paraId="695F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F66AB6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6</w:t>
            </w:r>
          </w:p>
        </w:tc>
        <w:tc>
          <w:tcPr>
            <w:tcW w:w="1209" w:type="dxa"/>
            <w:vMerge w:val="continue"/>
            <w:vAlign w:val="center"/>
          </w:tcPr>
          <w:p w14:paraId="434FDA5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3FE9B7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履约整改通知</w:t>
            </w:r>
          </w:p>
        </w:tc>
        <w:tc>
          <w:tcPr>
            <w:tcW w:w="5117" w:type="dxa"/>
            <w:vAlign w:val="center"/>
          </w:tcPr>
          <w:p w14:paraId="2A209F3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方工程项目的履约情况进行监控和核查，发现问题后，有权通知要求</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方进行整改。</w:t>
            </w:r>
          </w:p>
        </w:tc>
      </w:tr>
      <w:tr w14:paraId="716A0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C23BCB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7</w:t>
            </w:r>
          </w:p>
        </w:tc>
        <w:tc>
          <w:tcPr>
            <w:tcW w:w="1209" w:type="dxa"/>
            <w:vMerge w:val="continue"/>
            <w:vAlign w:val="center"/>
          </w:tcPr>
          <w:p w14:paraId="0A8456F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990F6F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方处罚</w:t>
            </w:r>
          </w:p>
        </w:tc>
        <w:tc>
          <w:tcPr>
            <w:tcW w:w="5117" w:type="dxa"/>
            <w:vAlign w:val="center"/>
          </w:tcPr>
          <w:p w14:paraId="44227FD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有权根据合同约定对不服从管理或违约的</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方作出处罚的决定。</w:t>
            </w:r>
          </w:p>
        </w:tc>
      </w:tr>
      <w:tr w14:paraId="7CD2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E3E250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28</w:t>
            </w:r>
          </w:p>
        </w:tc>
        <w:tc>
          <w:tcPr>
            <w:tcW w:w="1209" w:type="dxa"/>
            <w:vMerge w:val="continue"/>
            <w:vAlign w:val="center"/>
          </w:tcPr>
          <w:p w14:paraId="1A1DDCE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50CA95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结算初步办理</w:t>
            </w:r>
          </w:p>
        </w:tc>
        <w:tc>
          <w:tcPr>
            <w:tcW w:w="5117" w:type="dxa"/>
            <w:vAlign w:val="center"/>
          </w:tcPr>
          <w:p w14:paraId="6585936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初步编制结算单提交甲方</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分子公司/集团</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确认。</w:t>
            </w:r>
          </w:p>
        </w:tc>
      </w:tr>
      <w:tr w14:paraId="44A2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C6AC0D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9</w:t>
            </w:r>
          </w:p>
        </w:tc>
        <w:tc>
          <w:tcPr>
            <w:tcW w:w="1209" w:type="dxa"/>
            <w:vMerge w:val="continue"/>
            <w:vAlign w:val="center"/>
          </w:tcPr>
          <w:p w14:paraId="703E88B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03D2157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方结算扣款</w:t>
            </w:r>
          </w:p>
        </w:tc>
        <w:tc>
          <w:tcPr>
            <w:tcW w:w="5117" w:type="dxa"/>
            <w:vAlign w:val="center"/>
          </w:tcPr>
          <w:p w14:paraId="06A7342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有权在中间结算和最终结算时扣除</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方应扣款项（包括但不限于</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质保金、</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委托采购材料扣款、料具、机械租赁费扣款、项目现场管理费用扣款、临建费、维修费扣款、规费分摊扣款、水电费、罚款及税金扣款等）。</w:t>
            </w:r>
          </w:p>
        </w:tc>
      </w:tr>
      <w:tr w14:paraId="2444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CB54F7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30</w:t>
            </w:r>
          </w:p>
        </w:tc>
        <w:tc>
          <w:tcPr>
            <w:tcW w:w="1209" w:type="dxa"/>
            <w:vMerge w:val="restart"/>
            <w:vAlign w:val="center"/>
          </w:tcPr>
          <w:p w14:paraId="68F023B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安全管理</w:t>
            </w:r>
          </w:p>
        </w:tc>
        <w:tc>
          <w:tcPr>
            <w:tcW w:w="1974" w:type="dxa"/>
            <w:vAlign w:val="center"/>
          </w:tcPr>
          <w:p w14:paraId="7C934EA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事故现场秩序维护</w:t>
            </w:r>
          </w:p>
        </w:tc>
        <w:tc>
          <w:tcPr>
            <w:tcW w:w="5117" w:type="dxa"/>
            <w:vAlign w:val="center"/>
          </w:tcPr>
          <w:p w14:paraId="2FE42FC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有权维护安全事故现场秩序。涉及赔偿的，赔偿数额确定需经</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分子公司</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审批（不含安全事故责任认定及赔偿）。</w:t>
            </w:r>
          </w:p>
        </w:tc>
      </w:tr>
      <w:tr w14:paraId="1902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80BD57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31</w:t>
            </w:r>
          </w:p>
        </w:tc>
        <w:tc>
          <w:tcPr>
            <w:tcW w:w="1209" w:type="dxa"/>
            <w:vMerge w:val="continue"/>
            <w:vAlign w:val="center"/>
          </w:tcPr>
          <w:p w14:paraId="693E78A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2BE6B32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安全事故处理方案</w:t>
            </w:r>
          </w:p>
        </w:tc>
        <w:tc>
          <w:tcPr>
            <w:tcW w:w="5117" w:type="dxa"/>
            <w:vAlign w:val="center"/>
          </w:tcPr>
          <w:p w14:paraId="4ED5C633">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发生安全事故后，有权启动应急预案。</w:t>
            </w:r>
          </w:p>
        </w:tc>
      </w:tr>
      <w:tr w14:paraId="36E1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5E1F1B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32</w:t>
            </w:r>
          </w:p>
        </w:tc>
        <w:tc>
          <w:tcPr>
            <w:tcW w:w="1209" w:type="dxa"/>
            <w:vMerge w:val="continue"/>
            <w:vAlign w:val="center"/>
          </w:tcPr>
          <w:p w14:paraId="5C8F1C3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2D688F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安全</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整改</w:t>
            </w:r>
          </w:p>
        </w:tc>
        <w:tc>
          <w:tcPr>
            <w:tcW w:w="5117" w:type="dxa"/>
            <w:vAlign w:val="center"/>
          </w:tcPr>
          <w:p w14:paraId="0A44212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对存在的安全生产隐患，下达《安全隐患整改通知书》</w:t>
            </w:r>
          </w:p>
          <w:p w14:paraId="48EA123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对存在重大安全生产隐患，下达《安全隐患局部停工整改令》</w:t>
            </w:r>
          </w:p>
        </w:tc>
      </w:tr>
      <w:tr w14:paraId="74EC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D07CC5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33</w:t>
            </w:r>
          </w:p>
        </w:tc>
        <w:tc>
          <w:tcPr>
            <w:tcW w:w="1209" w:type="dxa"/>
            <w:vMerge w:val="restart"/>
            <w:vAlign w:val="center"/>
          </w:tcPr>
          <w:p w14:paraId="261ACE5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质量管理</w:t>
            </w:r>
          </w:p>
        </w:tc>
        <w:tc>
          <w:tcPr>
            <w:tcW w:w="1974" w:type="dxa"/>
            <w:vAlign w:val="center"/>
          </w:tcPr>
          <w:p w14:paraId="335A17B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质量验收</w:t>
            </w:r>
          </w:p>
        </w:tc>
        <w:tc>
          <w:tcPr>
            <w:tcW w:w="5117" w:type="dxa"/>
            <w:vAlign w:val="center"/>
          </w:tcPr>
          <w:p w14:paraId="007F864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有权组织实施质量验收工作。</w:t>
            </w:r>
          </w:p>
        </w:tc>
      </w:tr>
      <w:tr w14:paraId="080A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27FA92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4</w:t>
            </w:r>
          </w:p>
        </w:tc>
        <w:tc>
          <w:tcPr>
            <w:tcW w:w="1209" w:type="dxa"/>
            <w:vMerge w:val="continue"/>
            <w:vAlign w:val="center"/>
          </w:tcPr>
          <w:p w14:paraId="021FCA4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05CA68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质量事故应急措施</w:t>
            </w:r>
          </w:p>
        </w:tc>
        <w:tc>
          <w:tcPr>
            <w:tcW w:w="5117" w:type="dxa"/>
            <w:vAlign w:val="center"/>
          </w:tcPr>
          <w:p w14:paraId="559EDC4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质量事故发生后，有权立即采取措施防止事故扩大（1小时内上报</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分子公司</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w:t>
            </w:r>
          </w:p>
        </w:tc>
      </w:tr>
      <w:tr w14:paraId="1B7FF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6E8C22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5</w:t>
            </w:r>
          </w:p>
        </w:tc>
        <w:tc>
          <w:tcPr>
            <w:tcW w:w="1209" w:type="dxa"/>
            <w:vMerge w:val="continue"/>
            <w:vAlign w:val="center"/>
          </w:tcPr>
          <w:p w14:paraId="4DF29CC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591BE585">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质量事故处理方案</w:t>
            </w:r>
          </w:p>
        </w:tc>
        <w:tc>
          <w:tcPr>
            <w:tcW w:w="5117" w:type="dxa"/>
            <w:vAlign w:val="center"/>
          </w:tcPr>
          <w:p w14:paraId="47E24C0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有权按照</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集团</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分子公司</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制定质量事故处理方案处理事故相关事宜。</w:t>
            </w:r>
          </w:p>
        </w:tc>
      </w:tr>
      <w:tr w14:paraId="5452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B5045B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6</w:t>
            </w:r>
          </w:p>
        </w:tc>
        <w:tc>
          <w:tcPr>
            <w:tcW w:w="1209" w:type="dxa"/>
            <w:vAlign w:val="center"/>
          </w:tcPr>
          <w:p w14:paraId="31A6C6E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环境管理</w:t>
            </w:r>
          </w:p>
        </w:tc>
        <w:tc>
          <w:tcPr>
            <w:tcW w:w="1974" w:type="dxa"/>
            <w:vAlign w:val="center"/>
          </w:tcPr>
          <w:p w14:paraId="6A14B6B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环境污染事故应急措施</w:t>
            </w:r>
          </w:p>
        </w:tc>
        <w:tc>
          <w:tcPr>
            <w:tcW w:w="5117" w:type="dxa"/>
            <w:vAlign w:val="center"/>
          </w:tcPr>
          <w:p w14:paraId="6783864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环境污染事故发生后，有权立即采取措施防止事故扩大（1小时内上报分</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子</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公司）。</w:t>
            </w:r>
          </w:p>
        </w:tc>
      </w:tr>
      <w:tr w14:paraId="03FB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B516B4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7</w:t>
            </w:r>
          </w:p>
        </w:tc>
        <w:tc>
          <w:tcPr>
            <w:tcW w:w="1209" w:type="dxa"/>
            <w:vMerge w:val="restart"/>
            <w:vAlign w:val="center"/>
          </w:tcPr>
          <w:p w14:paraId="14E8B22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维保管理</w:t>
            </w:r>
          </w:p>
        </w:tc>
        <w:tc>
          <w:tcPr>
            <w:tcW w:w="1974" w:type="dxa"/>
            <w:vAlign w:val="center"/>
          </w:tcPr>
          <w:p w14:paraId="597BBDD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维修整改通知</w:t>
            </w:r>
          </w:p>
        </w:tc>
        <w:tc>
          <w:tcPr>
            <w:tcW w:w="5117" w:type="dxa"/>
            <w:vAlign w:val="center"/>
          </w:tcPr>
          <w:p w14:paraId="3843C32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方发送维修整改通知。</w:t>
            </w:r>
          </w:p>
        </w:tc>
      </w:tr>
      <w:tr w14:paraId="360D9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CBB595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8</w:t>
            </w:r>
          </w:p>
        </w:tc>
        <w:tc>
          <w:tcPr>
            <w:tcW w:w="1209" w:type="dxa"/>
            <w:vMerge w:val="continue"/>
            <w:vAlign w:val="center"/>
          </w:tcPr>
          <w:p w14:paraId="647781C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48BBFD3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协商维修方案</w:t>
            </w:r>
          </w:p>
        </w:tc>
        <w:tc>
          <w:tcPr>
            <w:tcW w:w="5117" w:type="dxa"/>
            <w:vAlign w:val="center"/>
          </w:tcPr>
          <w:p w14:paraId="773B795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对存在的质量问题有权与建设单位协商维修方案。</w:t>
            </w:r>
          </w:p>
        </w:tc>
      </w:tr>
      <w:tr w14:paraId="04AC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341030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9</w:t>
            </w:r>
          </w:p>
        </w:tc>
        <w:tc>
          <w:tcPr>
            <w:tcW w:w="1209" w:type="dxa"/>
            <w:vMerge w:val="continue"/>
            <w:vAlign w:val="center"/>
          </w:tcPr>
          <w:p w14:paraId="57E9A5C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35E6B23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组织维修</w:t>
            </w:r>
          </w:p>
        </w:tc>
        <w:tc>
          <w:tcPr>
            <w:tcW w:w="5117" w:type="dxa"/>
            <w:vAlign w:val="center"/>
          </w:tcPr>
          <w:p w14:paraId="11A6E7F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有权向建设单位报送维修登记单、维修任务书。</w:t>
            </w:r>
          </w:p>
        </w:tc>
      </w:tr>
      <w:tr w14:paraId="7919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6EFA59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40</w:t>
            </w:r>
          </w:p>
        </w:tc>
        <w:tc>
          <w:tcPr>
            <w:tcW w:w="1209" w:type="dxa"/>
            <w:vMerge w:val="continue"/>
            <w:vAlign w:val="center"/>
          </w:tcPr>
          <w:p w14:paraId="3EF2447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2F167DE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维修验收</w:t>
            </w:r>
          </w:p>
        </w:tc>
        <w:tc>
          <w:tcPr>
            <w:tcW w:w="5117" w:type="dxa"/>
            <w:vAlign w:val="center"/>
          </w:tcPr>
          <w:p w14:paraId="5945BBD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有权组织建设单位对保修工作进行验收、有权组织对</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乙方</w:t>
            </w: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的维修验收。</w:t>
            </w:r>
          </w:p>
        </w:tc>
      </w:tr>
      <w:tr w14:paraId="7627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FA3B0E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41</w:t>
            </w:r>
          </w:p>
        </w:tc>
        <w:tc>
          <w:tcPr>
            <w:tcW w:w="1209" w:type="dxa"/>
            <w:vMerge w:val="restart"/>
            <w:vAlign w:val="center"/>
          </w:tcPr>
          <w:p w14:paraId="265459A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催收清欠</w:t>
            </w:r>
          </w:p>
        </w:tc>
        <w:tc>
          <w:tcPr>
            <w:tcW w:w="1974" w:type="dxa"/>
            <w:vAlign w:val="center"/>
          </w:tcPr>
          <w:p w14:paraId="09CBBB2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质保金到期催付</w:t>
            </w:r>
          </w:p>
        </w:tc>
        <w:tc>
          <w:tcPr>
            <w:tcW w:w="5117" w:type="dxa"/>
            <w:vAlign w:val="center"/>
          </w:tcPr>
          <w:p w14:paraId="4738E88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有权向建设单位发《保修期满通知书》。</w:t>
            </w:r>
          </w:p>
        </w:tc>
      </w:tr>
      <w:tr w14:paraId="080A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B21A91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42</w:t>
            </w:r>
          </w:p>
        </w:tc>
        <w:tc>
          <w:tcPr>
            <w:tcW w:w="1209" w:type="dxa"/>
            <w:vMerge w:val="continue"/>
            <w:vAlign w:val="center"/>
          </w:tcPr>
          <w:p w14:paraId="0B8E86D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p>
        </w:tc>
        <w:tc>
          <w:tcPr>
            <w:tcW w:w="1974" w:type="dxa"/>
            <w:vAlign w:val="center"/>
          </w:tcPr>
          <w:p w14:paraId="1F884A4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其他到期应付款催付</w:t>
            </w:r>
          </w:p>
        </w:tc>
        <w:tc>
          <w:tcPr>
            <w:tcW w:w="5117" w:type="dxa"/>
            <w:vAlign w:val="center"/>
          </w:tcPr>
          <w:p w14:paraId="42EC1BC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有权向建设单位发催款函。</w:t>
            </w:r>
          </w:p>
        </w:tc>
      </w:tr>
      <w:tr w14:paraId="6C1B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A865DB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43</w:t>
            </w:r>
          </w:p>
        </w:tc>
        <w:tc>
          <w:tcPr>
            <w:tcW w:w="1209" w:type="dxa"/>
            <w:vAlign w:val="center"/>
          </w:tcPr>
          <w:p w14:paraId="51E6CCE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往来函件</w:t>
            </w:r>
          </w:p>
        </w:tc>
        <w:tc>
          <w:tcPr>
            <w:tcW w:w="1974" w:type="dxa"/>
            <w:vAlign w:val="center"/>
          </w:tcPr>
          <w:p w14:paraId="312175C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工程往来函件</w:t>
            </w:r>
          </w:p>
        </w:tc>
        <w:tc>
          <w:tcPr>
            <w:tcW w:w="5117" w:type="dxa"/>
            <w:vAlign w:val="center"/>
          </w:tcPr>
          <w:p w14:paraId="7FE7B93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有权报送或接收项目工程联系函（如图纸会审、技术核定、设计变更通知等）。</w:t>
            </w:r>
          </w:p>
        </w:tc>
      </w:tr>
    </w:tbl>
    <w:p w14:paraId="069C9C9C">
      <w:pPr>
        <w:numPr>
          <w:ilvl w:val="0"/>
          <w:numId w:val="6"/>
        </w:numPr>
        <w:autoSpaceDE w:val="0"/>
        <w:autoSpaceDN w:val="0"/>
        <w:adjustRightInd w:val="0"/>
        <w:spacing w:line="400" w:lineRule="exact"/>
        <w:rPr>
          <w:rFonts w:hint="eastAsia" w:ascii="仿宋_GB2312" w:hAnsi="仿宋_GB2312" w:eastAsia="仿宋_GB2312" w:cs="仿宋_GB2312"/>
          <w:b/>
          <w:bCs/>
          <w:color w:val="000000" w:themeColor="text1"/>
          <w:sz w:val="24"/>
          <w:szCs w:val="24"/>
          <w:highlight w:val="none"/>
          <w14:textFill>
            <w14:solidFill>
              <w14:schemeClr w14:val="tx1"/>
            </w14:solidFill>
          </w14:textFill>
        </w:rPr>
      </w:pPr>
      <w:bookmarkStart w:id="73" w:name="_Hlk126826460"/>
      <w:r>
        <w:rPr>
          <w:rFonts w:hint="eastAsia" w:ascii="仿宋_GB2312" w:hAnsi="仿宋_GB2312" w:eastAsia="仿宋_GB2312" w:cs="仿宋_GB2312"/>
          <w:b/>
          <w:bCs/>
          <w:color w:val="000000" w:themeColor="text1"/>
          <w:sz w:val="24"/>
          <w:szCs w:val="24"/>
          <w:highlight w:val="none"/>
          <w14:textFill>
            <w14:solidFill>
              <w14:schemeClr w14:val="tx1"/>
            </w14:solidFill>
          </w14:textFill>
        </w:rPr>
        <w:t>项目部无权审批以下事项：</w:t>
      </w:r>
    </w:p>
    <w:bookmarkEnd w:id="73"/>
    <w:tbl>
      <w:tblPr>
        <w:tblStyle w:val="9"/>
        <w:tblW w:w="9184" w:type="dxa"/>
        <w:jc w:val="center"/>
        <w:tblBorders>
          <w:top w:val="none" w:color="auto" w:sz="4" w:space="0"/>
          <w:left w:val="none" w:color="auto" w:sz="4" w:space="0"/>
          <w:bottom w:val="non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733"/>
        <w:gridCol w:w="8451"/>
      </w:tblGrid>
      <w:tr w14:paraId="43E598AD">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510" w:hRule="exact"/>
          <w:jc w:val="center"/>
        </w:trPr>
        <w:tc>
          <w:tcPr>
            <w:tcW w:w="733" w:type="dxa"/>
            <w:tcBorders>
              <w:top w:val="single" w:color="auto" w:sz="4" w:space="0"/>
              <w:left w:val="single" w:color="auto" w:sz="4" w:space="0"/>
              <w:bottom w:val="single" w:color="auto" w:sz="4" w:space="0"/>
              <w:right w:val="single" w:color="auto" w:sz="4" w:space="0"/>
            </w:tcBorders>
            <w:vAlign w:val="center"/>
          </w:tcPr>
          <w:p w14:paraId="608672A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bookmarkStart w:id="74" w:name="_Hlk127195047"/>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序号</w:t>
            </w:r>
          </w:p>
        </w:tc>
        <w:tc>
          <w:tcPr>
            <w:tcW w:w="8451" w:type="dxa"/>
            <w:tcBorders>
              <w:top w:val="single" w:color="auto" w:sz="4" w:space="0"/>
              <w:left w:val="single" w:color="auto" w:sz="4" w:space="0"/>
              <w:bottom w:val="single" w:color="auto" w:sz="4" w:space="0"/>
              <w:right w:val="single" w:color="auto" w:sz="4" w:space="0"/>
            </w:tcBorders>
            <w:vAlign w:val="center"/>
          </w:tcPr>
          <w:p w14:paraId="4076C19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t>禁止性事项</w:t>
            </w:r>
          </w:p>
        </w:tc>
      </w:tr>
      <w:tr w14:paraId="4139B6A6">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8EEC76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w:t>
            </w:r>
          </w:p>
        </w:tc>
        <w:tc>
          <w:tcPr>
            <w:tcW w:w="8451" w:type="dxa"/>
            <w:tcBorders>
              <w:top w:val="single" w:color="auto" w:sz="4" w:space="0"/>
              <w:left w:val="single" w:color="auto" w:sz="4" w:space="0"/>
              <w:bottom w:val="single" w:color="auto" w:sz="4" w:space="0"/>
              <w:right w:val="single" w:color="auto" w:sz="4" w:space="0"/>
            </w:tcBorders>
            <w:vAlign w:val="center"/>
          </w:tcPr>
          <w:p w14:paraId="7D4F6194">
            <w:pPr>
              <w:widowControl/>
              <w:jc w:val="left"/>
              <w:rPr>
                <w:rFonts w:hint="eastAsia" w:ascii="仿宋_GB2312" w:hAnsi="仿宋_GB2312" w:eastAsia="仿宋_GB2312" w:cs="仿宋_GB2312"/>
                <w:b/>
                <w:bCs/>
                <w:color w:val="000000" w:themeColor="text1"/>
                <w:kern w:val="0"/>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签署（或变更）各类经济类合同（包含但不限于总承包合同及其补充协议、专业分包合同、劳务分包合同、物资设备料具采购、租赁合同、设备安装拆除合同、技术咨询合同等各类合同）。</w:t>
            </w:r>
          </w:p>
        </w:tc>
      </w:tr>
      <w:tr w14:paraId="03627F43">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DD06AF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2</w:t>
            </w:r>
          </w:p>
        </w:tc>
        <w:tc>
          <w:tcPr>
            <w:tcW w:w="8451" w:type="dxa"/>
            <w:tcBorders>
              <w:top w:val="single" w:color="auto" w:sz="4" w:space="0"/>
              <w:left w:val="single" w:color="auto" w:sz="4" w:space="0"/>
              <w:bottom w:val="single" w:color="auto" w:sz="4" w:space="0"/>
              <w:right w:val="single" w:color="auto" w:sz="4" w:space="0"/>
            </w:tcBorders>
            <w:vAlign w:val="center"/>
          </w:tcPr>
          <w:p w14:paraId="52730A9D">
            <w:pPr>
              <w:widowControl/>
              <w:jc w:val="left"/>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未经分子公司/集团书面批准擅自购买材料、设备。</w:t>
            </w:r>
          </w:p>
        </w:tc>
      </w:tr>
      <w:tr w14:paraId="36542098">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088BFB5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3</w:t>
            </w:r>
          </w:p>
        </w:tc>
        <w:tc>
          <w:tcPr>
            <w:tcW w:w="8451" w:type="dxa"/>
            <w:tcBorders>
              <w:top w:val="single" w:color="auto" w:sz="4" w:space="0"/>
              <w:left w:val="single" w:color="auto" w:sz="4" w:space="0"/>
              <w:bottom w:val="single" w:color="auto" w:sz="4" w:space="0"/>
              <w:right w:val="single" w:color="auto" w:sz="4" w:space="0"/>
            </w:tcBorders>
            <w:vAlign w:val="center"/>
          </w:tcPr>
          <w:p w14:paraId="6638712A">
            <w:pPr>
              <w:widowControl/>
              <w:jc w:val="left"/>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放弃或限制行使工程项目优先受偿权、签署</w:t>
            </w:r>
            <w:r>
              <w:rPr>
                <w:rFonts w:hint="eastAsia" w:ascii="仿宋_GB2312" w:hAnsi="仿宋_GB2312" w:eastAsia="仿宋_GB2312" w:cs="仿宋_GB2312"/>
                <w:b/>
                <w:bCs/>
                <w:color w:val="000000" w:themeColor="text1"/>
                <w:kern w:val="0"/>
                <w:sz w:val="24"/>
                <w:szCs w:val="24"/>
                <w:highlight w:val="none"/>
                <w:lang w:val="zh-CN"/>
                <w14:textFill>
                  <w14:solidFill>
                    <w14:schemeClr w14:val="tx1"/>
                  </w14:solidFill>
                </w14:textFill>
              </w:rPr>
              <w:t>代他人清偿债务的文件，签署任何放弃债权的文件</w:t>
            </w: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w:t>
            </w:r>
          </w:p>
        </w:tc>
      </w:tr>
      <w:tr w14:paraId="4C2A7866">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8D4A6D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4</w:t>
            </w:r>
          </w:p>
        </w:tc>
        <w:tc>
          <w:tcPr>
            <w:tcW w:w="8451" w:type="dxa"/>
            <w:tcBorders>
              <w:top w:val="single" w:color="auto" w:sz="4" w:space="0"/>
              <w:left w:val="single" w:color="auto" w:sz="4" w:space="0"/>
              <w:bottom w:val="single" w:color="auto" w:sz="4" w:space="0"/>
              <w:right w:val="single" w:color="auto" w:sz="4" w:space="0"/>
            </w:tcBorders>
            <w:vAlign w:val="center"/>
          </w:tcPr>
          <w:p w14:paraId="6E894788">
            <w:pPr>
              <w:widowControl/>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进行银行贷款等融资活动</w:t>
            </w:r>
          </w:p>
        </w:tc>
      </w:tr>
      <w:tr w14:paraId="786A9302">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0CE4634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5</w:t>
            </w:r>
          </w:p>
        </w:tc>
        <w:tc>
          <w:tcPr>
            <w:tcW w:w="8451" w:type="dxa"/>
            <w:tcBorders>
              <w:top w:val="single" w:color="auto" w:sz="4" w:space="0"/>
              <w:left w:val="single" w:color="auto" w:sz="4" w:space="0"/>
              <w:bottom w:val="single" w:color="auto" w:sz="4" w:space="0"/>
              <w:right w:val="single" w:color="auto" w:sz="4" w:space="0"/>
            </w:tcBorders>
            <w:vAlign w:val="center"/>
          </w:tcPr>
          <w:p w14:paraId="1E9BEC2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对外提供担保、出具欠条、签订还款协议、签订调价协议、各类保证书、承诺书。</w:t>
            </w:r>
          </w:p>
        </w:tc>
      </w:tr>
      <w:tr w14:paraId="7705FDD7">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B1A937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6</w:t>
            </w:r>
          </w:p>
        </w:tc>
        <w:tc>
          <w:tcPr>
            <w:tcW w:w="8451" w:type="dxa"/>
            <w:tcBorders>
              <w:top w:val="single" w:color="auto" w:sz="4" w:space="0"/>
              <w:left w:val="single" w:color="auto" w:sz="4" w:space="0"/>
              <w:bottom w:val="single" w:color="auto" w:sz="4" w:space="0"/>
              <w:right w:val="single" w:color="auto" w:sz="4" w:space="0"/>
            </w:tcBorders>
            <w:vAlign w:val="center"/>
          </w:tcPr>
          <w:p w14:paraId="4FA83714">
            <w:pPr>
              <w:widowControl/>
              <w:jc w:val="left"/>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对外开立各类保函</w:t>
            </w:r>
          </w:p>
        </w:tc>
      </w:tr>
      <w:tr w14:paraId="767C7E0A">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F09ECF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7</w:t>
            </w:r>
          </w:p>
        </w:tc>
        <w:tc>
          <w:tcPr>
            <w:tcW w:w="8451" w:type="dxa"/>
            <w:tcBorders>
              <w:top w:val="single" w:color="auto" w:sz="4" w:space="0"/>
              <w:left w:val="single" w:color="auto" w:sz="4" w:space="0"/>
              <w:bottom w:val="single" w:color="auto" w:sz="4" w:space="0"/>
              <w:right w:val="single" w:color="auto" w:sz="4" w:space="0"/>
            </w:tcBorders>
            <w:vAlign w:val="center"/>
          </w:tcPr>
          <w:p w14:paraId="2E21DD10">
            <w:pPr>
              <w:widowControl/>
              <w:jc w:val="left"/>
              <w:rPr>
                <w:rFonts w:hint="eastAsia" w:ascii="仿宋_GB2312" w:hAnsi="仿宋_GB2312" w:eastAsia="仿宋_GB2312" w:cs="仿宋_GB2312"/>
                <w:b/>
                <w:bCs/>
                <w:color w:val="000000" w:themeColor="text1"/>
                <w:kern w:val="0"/>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对外拆借资金，以甲方、甲方子企业或甲方项目部名义对外借款。</w:t>
            </w:r>
          </w:p>
        </w:tc>
      </w:tr>
      <w:tr w14:paraId="1E238BA9">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69CBA31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8</w:t>
            </w:r>
          </w:p>
        </w:tc>
        <w:tc>
          <w:tcPr>
            <w:tcW w:w="8451" w:type="dxa"/>
            <w:tcBorders>
              <w:top w:val="single" w:color="auto" w:sz="4" w:space="0"/>
              <w:left w:val="single" w:color="auto" w:sz="4" w:space="0"/>
              <w:bottom w:val="single" w:color="auto" w:sz="4" w:space="0"/>
              <w:right w:val="single" w:color="auto" w:sz="4" w:space="0"/>
            </w:tcBorders>
            <w:vAlign w:val="center"/>
          </w:tcPr>
          <w:p w14:paraId="3D26A84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私设小金库，坐支现金。</w:t>
            </w:r>
          </w:p>
        </w:tc>
      </w:tr>
      <w:tr w14:paraId="63CDCA6C">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21226AA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9</w:t>
            </w:r>
          </w:p>
        </w:tc>
        <w:tc>
          <w:tcPr>
            <w:tcW w:w="8451" w:type="dxa"/>
            <w:tcBorders>
              <w:top w:val="single" w:color="auto" w:sz="4" w:space="0"/>
              <w:left w:val="single" w:color="auto" w:sz="4" w:space="0"/>
              <w:bottom w:val="single" w:color="auto" w:sz="4" w:space="0"/>
              <w:right w:val="single" w:color="auto" w:sz="4" w:space="0"/>
            </w:tcBorders>
            <w:vAlign w:val="center"/>
          </w:tcPr>
          <w:p w14:paraId="04BD107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超出本综合授权书权限的分包（</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）合同签证办理。</w:t>
            </w:r>
          </w:p>
        </w:tc>
      </w:tr>
      <w:tr w14:paraId="348BA250">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2BD403C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10</w:t>
            </w:r>
          </w:p>
        </w:tc>
        <w:tc>
          <w:tcPr>
            <w:tcW w:w="8451" w:type="dxa"/>
            <w:tcBorders>
              <w:top w:val="single" w:color="auto" w:sz="4" w:space="0"/>
              <w:left w:val="single" w:color="auto" w:sz="4" w:space="0"/>
              <w:bottom w:val="single" w:color="auto" w:sz="4" w:space="0"/>
              <w:right w:val="single" w:color="auto" w:sz="4" w:space="0"/>
            </w:tcBorders>
            <w:vAlign w:val="center"/>
          </w:tcPr>
          <w:p w14:paraId="7D34FFC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确认总包结算、确认分包合同结算（含甲指分包）。</w:t>
            </w:r>
          </w:p>
        </w:tc>
      </w:tr>
      <w:tr w14:paraId="5EE55C47">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11DE34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11</w:t>
            </w:r>
          </w:p>
        </w:tc>
        <w:tc>
          <w:tcPr>
            <w:tcW w:w="8451" w:type="dxa"/>
            <w:tcBorders>
              <w:top w:val="single" w:color="auto" w:sz="4" w:space="0"/>
              <w:left w:val="single" w:color="auto" w:sz="4" w:space="0"/>
              <w:bottom w:val="single" w:color="auto" w:sz="4" w:space="0"/>
              <w:right w:val="single" w:color="auto" w:sz="4" w:space="0"/>
            </w:tcBorders>
            <w:vAlign w:val="center"/>
          </w:tcPr>
          <w:p w14:paraId="6EF04AC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确认材料、设备、料具结算及赔偿（含零星材料、甲供材）。</w:t>
            </w:r>
          </w:p>
        </w:tc>
      </w:tr>
      <w:tr w14:paraId="06C5AFEA">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1D596F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12</w:t>
            </w:r>
          </w:p>
        </w:tc>
        <w:tc>
          <w:tcPr>
            <w:tcW w:w="8451" w:type="dxa"/>
            <w:tcBorders>
              <w:top w:val="single" w:color="auto" w:sz="4" w:space="0"/>
              <w:left w:val="single" w:color="auto" w:sz="4" w:space="0"/>
              <w:bottom w:val="single" w:color="auto" w:sz="4" w:space="0"/>
              <w:right w:val="single" w:color="auto" w:sz="4" w:space="0"/>
            </w:tcBorders>
            <w:vAlign w:val="center"/>
          </w:tcPr>
          <w:p w14:paraId="218F37CB">
            <w:pPr>
              <w:widowControl/>
              <w:jc w:val="left"/>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kern w:val="0"/>
                <w:sz w:val="24"/>
                <w:szCs w:val="24"/>
                <w:highlight w:val="none"/>
                <w14:textFill>
                  <w14:solidFill>
                    <w14:schemeClr w14:val="tx1"/>
                  </w14:solidFill>
                </w14:textFill>
              </w:rPr>
              <w:t>设立或变更劳动关系（包括签订劳动合同、确认劳动关系等）</w:t>
            </w:r>
          </w:p>
        </w:tc>
      </w:tr>
      <w:tr w14:paraId="4D84DB49">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279B5A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13</w:t>
            </w:r>
          </w:p>
        </w:tc>
        <w:tc>
          <w:tcPr>
            <w:tcW w:w="8451" w:type="dxa"/>
            <w:tcBorders>
              <w:top w:val="single" w:color="auto" w:sz="4" w:space="0"/>
              <w:left w:val="single" w:color="auto" w:sz="4" w:space="0"/>
              <w:bottom w:val="single" w:color="auto" w:sz="4" w:space="0"/>
              <w:right w:val="single" w:color="auto" w:sz="4" w:space="0"/>
            </w:tcBorders>
            <w:vAlign w:val="center"/>
          </w:tcPr>
          <w:p w14:paraId="31D553D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向工伤认定机构提交工伤认定申请或确认工伤事故。</w:t>
            </w:r>
          </w:p>
        </w:tc>
      </w:tr>
      <w:tr w14:paraId="6E0533D9">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0767AE6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14</w:t>
            </w:r>
          </w:p>
        </w:tc>
        <w:tc>
          <w:tcPr>
            <w:tcW w:w="8451" w:type="dxa"/>
            <w:tcBorders>
              <w:top w:val="single" w:color="auto" w:sz="4" w:space="0"/>
              <w:left w:val="single" w:color="auto" w:sz="4" w:space="0"/>
              <w:bottom w:val="single" w:color="auto" w:sz="4" w:space="0"/>
              <w:right w:val="single" w:color="auto" w:sz="4" w:space="0"/>
            </w:tcBorders>
            <w:vAlign w:val="center"/>
          </w:tcPr>
          <w:p w14:paraId="76E41C6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确认第三方维修费用。</w:t>
            </w:r>
          </w:p>
        </w:tc>
      </w:tr>
      <w:tr w14:paraId="545553DF">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DCFF58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15</w:t>
            </w:r>
          </w:p>
        </w:tc>
        <w:tc>
          <w:tcPr>
            <w:tcW w:w="8451" w:type="dxa"/>
            <w:tcBorders>
              <w:top w:val="single" w:color="auto" w:sz="4" w:space="0"/>
              <w:left w:val="single" w:color="auto" w:sz="4" w:space="0"/>
              <w:bottom w:val="single" w:color="auto" w:sz="4" w:space="0"/>
              <w:right w:val="single" w:color="auto" w:sz="4" w:space="0"/>
            </w:tcBorders>
            <w:vAlign w:val="center"/>
          </w:tcPr>
          <w:p w14:paraId="2A73602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决定废旧物资处理方案。</w:t>
            </w:r>
          </w:p>
        </w:tc>
      </w:tr>
      <w:tr w14:paraId="15B8670B">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6A8B1B2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16</w:t>
            </w:r>
          </w:p>
        </w:tc>
        <w:tc>
          <w:tcPr>
            <w:tcW w:w="8451" w:type="dxa"/>
            <w:tcBorders>
              <w:top w:val="single" w:color="auto" w:sz="4" w:space="0"/>
              <w:left w:val="single" w:color="auto" w:sz="4" w:space="0"/>
              <w:bottom w:val="single" w:color="auto" w:sz="4" w:space="0"/>
              <w:right w:val="single" w:color="auto" w:sz="4" w:space="0"/>
            </w:tcBorders>
            <w:vAlign w:val="center"/>
          </w:tcPr>
          <w:p w14:paraId="32523B1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分包</w:t>
            </w:r>
            <w:r>
              <w:rPr>
                <w:rFonts w:hint="eastAsia" w:ascii="仿宋_GB2312" w:hAnsi="仿宋_GB2312" w:eastAsia="仿宋_GB2312" w:cs="仿宋_GB2312"/>
                <w:b/>
                <w:bCs/>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合同涨价、奖励、补偿、增加合同外的工作范围、变更分包</w:t>
            </w:r>
            <w:r>
              <w:rPr>
                <w:rFonts w:hint="eastAsia" w:ascii="仿宋_GB2312" w:hAnsi="仿宋_GB2312" w:eastAsia="仿宋_GB2312" w:cs="仿宋_GB2312"/>
                <w:b/>
                <w:bCs/>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合同模式。</w:t>
            </w:r>
          </w:p>
        </w:tc>
      </w:tr>
      <w:tr w14:paraId="5524E6F4">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F5E854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17</w:t>
            </w:r>
          </w:p>
        </w:tc>
        <w:tc>
          <w:tcPr>
            <w:tcW w:w="8451" w:type="dxa"/>
            <w:tcBorders>
              <w:top w:val="single" w:color="auto" w:sz="4" w:space="0"/>
              <w:left w:val="single" w:color="auto" w:sz="4" w:space="0"/>
              <w:bottom w:val="single" w:color="auto" w:sz="4" w:space="0"/>
              <w:right w:val="single" w:color="auto" w:sz="4" w:space="0"/>
            </w:tcBorders>
            <w:vAlign w:val="center"/>
          </w:tcPr>
          <w:p w14:paraId="5E1121E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危险性较大的分部分项工程安全施工方案。</w:t>
            </w:r>
          </w:p>
        </w:tc>
      </w:tr>
      <w:tr w14:paraId="0E776C3A">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9722D8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18</w:t>
            </w:r>
          </w:p>
        </w:tc>
        <w:tc>
          <w:tcPr>
            <w:tcW w:w="8451" w:type="dxa"/>
            <w:tcBorders>
              <w:top w:val="single" w:color="auto" w:sz="4" w:space="0"/>
              <w:left w:val="single" w:color="auto" w:sz="4" w:space="0"/>
              <w:bottom w:val="single" w:color="auto" w:sz="4" w:space="0"/>
              <w:right w:val="single" w:color="auto" w:sz="4" w:space="0"/>
            </w:tcBorders>
            <w:vAlign w:val="center"/>
          </w:tcPr>
          <w:p w14:paraId="27D84D0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接收诉讼法律文书、处理人民法院协助执行通知或参加仲裁、诉讼。</w:t>
            </w:r>
          </w:p>
        </w:tc>
      </w:tr>
      <w:bookmarkEnd w:id="74"/>
    </w:tbl>
    <w:p w14:paraId="0EA0B9D4">
      <w:pPr>
        <w:numPr>
          <w:ilvl w:val="0"/>
          <w:numId w:val="7"/>
        </w:numPr>
        <w:autoSpaceDE w:val="0"/>
        <w:autoSpaceDN w:val="0"/>
        <w:adjustRightInd w:val="0"/>
        <w:spacing w:line="400" w:lineRule="exact"/>
        <w:rPr>
          <w:rFonts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若项目经理发生变更，则由新委任的项目经理承继。</w:t>
      </w:r>
    </w:p>
    <w:p w14:paraId="0B317154">
      <w:pPr>
        <w:numPr>
          <w:ilvl w:val="0"/>
          <w:numId w:val="7"/>
        </w:num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本授权书未明确的事项执行本公司有关规章制度。</w:t>
      </w:r>
    </w:p>
    <w:p w14:paraId="758FC656">
      <w:pPr>
        <w:numPr>
          <w:ilvl w:val="0"/>
          <w:numId w:val="7"/>
        </w:num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本授权书经本公司加盖合同专用章后生效。本公司有权随时变更或撤销本授权书，并书面告知贵司。</w:t>
      </w:r>
    </w:p>
    <w:p w14:paraId="4705AAA5">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highlight w:val="none"/>
          <w14:textFill>
            <w14:solidFill>
              <w14:schemeClr w14:val="tx1"/>
            </w14:solidFill>
          </w14:textFill>
        </w:rPr>
      </w:pPr>
    </w:p>
    <w:p w14:paraId="3F70515C">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highlight w:val="none"/>
          <w14:textFill>
            <w14:solidFill>
              <w14:schemeClr w14:val="tx1"/>
            </w14:solidFill>
          </w14:textFill>
        </w:rPr>
      </w:pPr>
    </w:p>
    <w:p w14:paraId="52EE12F5">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125A275C">
      <w:pPr>
        <w:autoSpaceDE w:val="0"/>
        <w:autoSpaceDN w:val="0"/>
        <w:adjustRightInd w:val="0"/>
        <w:spacing w:line="400" w:lineRule="exact"/>
        <w:ind w:firstLine="5040" w:firstLineChars="21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授权单位（盖章）：</w:t>
      </w:r>
    </w:p>
    <w:p w14:paraId="27A4AC8C">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bCs/>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法定代表人：</w:t>
      </w:r>
    </w:p>
    <w:p w14:paraId="737C2C35">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w:t>
      </w:r>
    </w:p>
    <w:p w14:paraId="7DB8D3AD">
      <w:pPr>
        <w:autoSpaceDE w:val="0"/>
        <w:autoSpaceDN w:val="0"/>
        <w:adjustRightInd w:val="0"/>
        <w:spacing w:line="400" w:lineRule="atLeast"/>
        <w:ind w:firstLine="6000" w:firstLineChars="2500"/>
        <w:rPr>
          <w:rFonts w:hint="eastAsia" w:ascii="仿宋_GB2312" w:hAnsi="仿宋_GB2312" w:eastAsia="仿宋_GB2312" w:cs="仿宋_GB2312"/>
          <w:bCs/>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被委托人：</w:t>
      </w:r>
      <w:r>
        <w:rPr>
          <w:rFonts w:hint="eastAsia" w:ascii="仿宋_GB2312" w:hAnsi="仿宋_GB2312" w:eastAsia="仿宋_GB2312" w:cs="仿宋_GB2312"/>
          <w:bCs/>
          <w:color w:val="000000" w:themeColor="text1"/>
          <w:sz w:val="24"/>
          <w:szCs w:val="24"/>
          <w:highlight w:val="none"/>
          <w14:textFill>
            <w14:solidFill>
              <w14:schemeClr w14:val="tx1"/>
            </w14:solidFill>
          </w14:textFill>
        </w:rPr>
        <w:t xml:space="preserve">           </w:t>
      </w:r>
    </w:p>
    <w:p w14:paraId="369D9FBD">
      <w:p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签署日期：</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年</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月</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日</w:t>
      </w:r>
    </w:p>
    <w:p w14:paraId="5805F44B">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乙方</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确认：我司已完全理解并清楚贵司对</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项目部及项目经理的授权范围，并严格遵照执行。超出贵司授权范围的行为属于无权代理行为，对贵司无效，贵司不承担任何法律责任。我司将谨慎审查相关文件的签署主体资格和权限，对于无权代理人签署的相关文件，应及时与贵司核实。      </w:t>
      </w:r>
    </w:p>
    <w:p w14:paraId="7779CAE4">
      <w:pPr>
        <w:spacing w:line="400" w:lineRule="exact"/>
        <w:ind w:right="210" w:rightChars="1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乙方（公章）：           </w:t>
      </w:r>
    </w:p>
    <w:p w14:paraId="16699161">
      <w:pPr>
        <w:autoSpaceDE w:val="0"/>
        <w:autoSpaceDN w:val="0"/>
        <w:adjustRightInd w:val="0"/>
        <w:spacing w:line="400" w:lineRule="atLeast"/>
        <w:ind w:firstLine="1680" w:firstLineChars="700"/>
        <w:rPr>
          <w:rFonts w:hint="eastAsia"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法定代表人：</w:t>
      </w:r>
    </w:p>
    <w:p w14:paraId="6AFAF626">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w:t>
      </w:r>
    </w:p>
    <w:p w14:paraId="38C20DAF">
      <w:pPr>
        <w:autoSpaceDE w:val="0"/>
        <w:autoSpaceDN w:val="0"/>
        <w:adjustRightInd w:val="0"/>
        <w:spacing w:line="400" w:lineRule="atLeast"/>
        <w:ind w:firstLine="1920" w:firstLineChars="800"/>
        <w:rPr>
          <w:rFonts w:hint="eastAsia"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被委托人：</w:t>
      </w:r>
    </w:p>
    <w:p w14:paraId="0793D269">
      <w:pPr>
        <w:autoSpaceDE w:val="0"/>
        <w:autoSpaceDN w:val="0"/>
        <w:adjustRightInd w:val="0"/>
        <w:spacing w:line="400" w:lineRule="exact"/>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签署日期：</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年</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月</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zh-CN"/>
          <w14:textFill>
            <w14:solidFill>
              <w14:schemeClr w14:val="tx1"/>
            </w14:solidFill>
          </w14:textFill>
        </w:rPr>
        <w:t>日</w:t>
      </w:r>
    </w:p>
    <w:p w14:paraId="3453E8BB">
      <w:pPr>
        <w:autoSpaceDE w:val="0"/>
        <w:autoSpaceDN w:val="0"/>
        <w:adjustRightInd w:val="0"/>
        <w:spacing w:line="400" w:lineRule="exact"/>
        <w:rPr>
          <w:rFonts w:ascii="仿宋_GB2312" w:hAnsi="仿宋_GB2312" w:eastAsia="仿宋_GB2312" w:cs="仿宋_GB2312"/>
          <w:color w:val="000000" w:themeColor="text1"/>
          <w:sz w:val="24"/>
          <w:szCs w:val="24"/>
          <w:highlight w:val="none"/>
          <w:lang w:val="zh-CN"/>
          <w14:textFill>
            <w14:solidFill>
              <w14:schemeClr w14:val="tx1"/>
            </w14:solidFill>
          </w14:textFill>
        </w:rPr>
      </w:pPr>
    </w:p>
    <w:p w14:paraId="32F14ADD">
      <w:pPr>
        <w:autoSpaceDE w:val="0"/>
        <w:autoSpaceDN w:val="0"/>
        <w:adjustRightInd w:val="0"/>
        <w:spacing w:line="400" w:lineRule="exact"/>
        <w:rPr>
          <w:rFonts w:ascii="仿宋_GB2312" w:hAnsi="仿宋_GB2312" w:eastAsia="仿宋_GB2312" w:cs="仿宋_GB2312"/>
          <w:color w:val="000000" w:themeColor="text1"/>
          <w:sz w:val="24"/>
          <w:szCs w:val="24"/>
          <w:highlight w:val="none"/>
          <w:lang w:val="zh-CN"/>
          <w14:textFill>
            <w14:solidFill>
              <w14:schemeClr w14:val="tx1"/>
            </w14:solidFill>
          </w14:textFill>
        </w:rPr>
      </w:pPr>
    </w:p>
    <w:p w14:paraId="2A464CAF">
      <w:pPr>
        <w:spacing w:line="400" w:lineRule="exact"/>
        <w:ind w:right="210" w:rightChars="100"/>
        <w:outlineLvl w:val="0"/>
        <w:rPr>
          <w:rFonts w:hint="eastAsia" w:ascii="仿宋_GB2312" w:hAnsi="仿宋_GB2312" w:eastAsia="仿宋_GB2312" w:cs="仿宋_GB2312"/>
          <w:color w:val="000000" w:themeColor="text1"/>
          <w:sz w:val="30"/>
          <w:szCs w:val="30"/>
          <w:highlight w:val="none"/>
          <w14:textFill>
            <w14:solidFill>
              <w14:schemeClr w14:val="tx1"/>
            </w14:solidFill>
          </w14:textFill>
        </w:rPr>
        <w:sectPr>
          <w:footerReference r:id="rId12" w:type="default"/>
          <w:pgSz w:w="11906" w:h="16838"/>
          <w:pgMar w:top="1440" w:right="1800" w:bottom="1440" w:left="1800" w:header="850" w:footer="975" w:gutter="0"/>
          <w:cols w:space="0" w:num="1"/>
          <w:docGrid w:linePitch="312" w:charSpace="0"/>
        </w:sectPr>
      </w:pPr>
      <w:bookmarkStart w:id="75" w:name="_Toc15118"/>
      <w:bookmarkStart w:id="76" w:name="_Toc20069"/>
      <w:bookmarkStart w:id="77" w:name="_Toc11293"/>
    </w:p>
    <w:p w14:paraId="0FD1CB49">
      <w:pPr>
        <w:spacing w:line="400" w:lineRule="exact"/>
        <w:ind w:right="210" w:rightChars="100"/>
        <w:outlineLvl w:val="0"/>
        <w:rPr>
          <w:rFonts w:ascii="仿宋_GB2312" w:hAnsi="仿宋_GB2312" w:eastAsia="仿宋_GB2312" w:cs="仿宋_GB2312"/>
          <w:color w:val="000000" w:themeColor="text1"/>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0"/>
          <w:szCs w:val="30"/>
          <w:highlight w:val="none"/>
          <w14:textFill>
            <w14:solidFill>
              <w14:schemeClr w14:val="tx1"/>
            </w14:solidFill>
          </w14:textFill>
        </w:rPr>
        <w:t>附件三：</w:t>
      </w:r>
      <w:bookmarkEnd w:id="75"/>
      <w:bookmarkEnd w:id="76"/>
      <w:bookmarkEnd w:id="77"/>
    </w:p>
    <w:p w14:paraId="1C0C1D2C">
      <w:pPr>
        <w:spacing w:line="400" w:lineRule="exact"/>
        <w:jc w:val="center"/>
        <w:rPr>
          <w:rFonts w:ascii="仿宋_GB2312" w:hAnsi="仿宋_GB2312" w:eastAsia="仿宋_GB2312" w:cs="仿宋_GB2312"/>
          <w:b/>
          <w:color w:val="000000" w:themeColor="text1"/>
          <w:sz w:val="30"/>
          <w:szCs w:val="30"/>
          <w:highlight w:val="none"/>
          <w14:textFill>
            <w14:solidFill>
              <w14:schemeClr w14:val="tx1"/>
            </w14:solidFill>
          </w14:textFill>
        </w:rPr>
      </w:pPr>
      <w:r>
        <w:rPr>
          <w:rFonts w:hint="eastAsia" w:ascii="仿宋_GB2312" w:hAnsi="仿宋_GB2312" w:eastAsia="仿宋_GB2312" w:cs="仿宋_GB2312"/>
          <w:b/>
          <w:color w:val="000000" w:themeColor="text1"/>
          <w:sz w:val="30"/>
          <w:szCs w:val="30"/>
          <w:highlight w:val="none"/>
          <w14:textFill>
            <w14:solidFill>
              <w14:schemeClr w14:val="tx1"/>
            </w14:solidFill>
          </w14:textFill>
        </w:rPr>
        <w:t>安全管理协议书</w:t>
      </w:r>
    </w:p>
    <w:p w14:paraId="342A1882">
      <w:pPr>
        <w:wordWrap w:val="0"/>
        <w:spacing w:line="400" w:lineRule="exact"/>
        <w:jc w:val="righ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24C16FFB">
      <w:pPr>
        <w:spacing w:line="400" w:lineRule="exact"/>
        <w:rPr>
          <w:rFonts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甲方：</w:t>
      </w:r>
      <w:permStart w:id="104" w:edGrp="everyone"/>
      <w:bookmarkStart w:id="78" w:name="_Hlk126826529"/>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中建</w:t>
      </w:r>
      <w:r>
        <w:rPr>
          <w:rFonts w:hint="eastAsia" w:ascii="仿宋_GB2312" w:hAnsi="仿宋_GB2312" w:eastAsia="仿宋_GB2312" w:cs="仿宋_GB2312"/>
          <w:color w:val="000000" w:themeColor="text1"/>
          <w:sz w:val="24"/>
          <w:szCs w:val="24"/>
          <w:highlight w:val="none"/>
          <w:u w:val="single"/>
          <w:lang w:val="en-US" w:eastAsia="zh-CN"/>
          <w14:textFill>
            <w14:solidFill>
              <w14:schemeClr w14:val="tx1"/>
            </w14:solidFill>
          </w14:textFill>
        </w:rPr>
        <w:t>路桥</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集团有限公司</w:t>
      </w:r>
      <w:bookmarkEnd w:id="78"/>
      <w:r>
        <w:rPr>
          <w:rFonts w:hint="eastAsia" w:ascii="仿宋_GB2312" w:hAnsi="仿宋_GB2312" w:eastAsia="仿宋_GB2312" w:cs="仿宋_GB2312"/>
          <w:color w:val="000000" w:themeColor="text1"/>
          <w:sz w:val="24"/>
          <w:szCs w:val="24"/>
          <w:highlight w:val="none"/>
          <w:u w:val="single"/>
          <w:lang w:val="en-US" w:eastAsia="zh-CN"/>
          <w14:textFill>
            <w14:solidFill>
              <w14:schemeClr w14:val="tx1"/>
            </w14:solidFill>
          </w14:textFill>
        </w:rPr>
        <w:t xml:space="preserve">    </w:t>
      </w:r>
      <w:permEnd w:id="104"/>
      <w:r>
        <w:rPr>
          <w:rFonts w:hint="eastAsia" w:ascii="仿宋_GB2312" w:hAnsi="仿宋_GB2312" w:eastAsia="仿宋_GB2312" w:cs="仿宋_GB2312"/>
          <w:b/>
          <w:color w:val="000000" w:themeColor="text1"/>
          <w:sz w:val="24"/>
          <w:szCs w:val="24"/>
          <w:highlight w:val="none"/>
          <w14:textFill>
            <w14:solidFill>
              <w14:schemeClr w14:val="tx1"/>
            </w14:solidFill>
          </w14:textFill>
        </w:rPr>
        <w:t xml:space="preserve"> </w:t>
      </w:r>
    </w:p>
    <w:p w14:paraId="1401B419">
      <w:pPr>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乙方：</w:t>
      </w:r>
      <w:permStart w:id="105" w:edGrp="everyone"/>
      <w:r>
        <w:rPr>
          <w:rFonts w:hint="eastAsia" w:ascii="仿宋_GB2312" w:hAnsi="仿宋_GB2312" w:eastAsia="仿宋_GB2312" w:cs="仿宋_GB2312"/>
          <w:b/>
          <w:color w:val="000000" w:themeColor="text1"/>
          <w:sz w:val="24"/>
          <w:szCs w:val="24"/>
          <w:highlight w:val="none"/>
          <w:u w:val="single"/>
          <w14:textFill>
            <w14:solidFill>
              <w14:schemeClr w14:val="tx1"/>
            </w14:solidFill>
          </w14:textFill>
        </w:rPr>
        <w:t xml:space="preserve">                        </w:t>
      </w:r>
      <w:permEnd w:id="105"/>
    </w:p>
    <w:p w14:paraId="30E75F9D">
      <w:pPr>
        <w:pStyle w:val="5"/>
        <w:tabs>
          <w:tab w:val="left" w:pos="2100"/>
        </w:tabs>
        <w:spacing w:line="400" w:lineRule="exact"/>
        <w:ind w:right="210" w:rightChars="100" w:firstLine="432"/>
        <w:rPr>
          <w:rFonts w:hAnsi="仿宋_GB2312" w:cs="仿宋_GB2312"/>
          <w:color w:val="000000" w:themeColor="text1"/>
          <w:sz w:val="24"/>
          <w:highlight w:val="none"/>
          <w14:textFill>
            <w14:solidFill>
              <w14:schemeClr w14:val="tx1"/>
            </w14:solidFill>
          </w14:textFill>
        </w:rPr>
      </w:pPr>
      <w:r>
        <w:rPr>
          <w:rFonts w:hint="eastAsia" w:hAnsi="仿宋_GB2312" w:cs="仿宋_GB2312"/>
          <w:color w:val="000000" w:themeColor="text1"/>
          <w:sz w:val="24"/>
          <w:highlight w:val="none"/>
          <w14:textFill>
            <w14:solidFill>
              <w14:schemeClr w14:val="tx1"/>
            </w14:solidFill>
          </w14:textFill>
        </w:rPr>
        <w:t xml:space="preserve">根据《中华人民共和国民法典》、《安全生产法》及有关法律规定，遵循平等、自愿、公平和诚实信用的原则，双方就合同范围内且在项目部施工现场范围内安全事项协商一致，订立本合同并共同遵守。 </w:t>
      </w:r>
    </w:p>
    <w:p w14:paraId="16E69F79">
      <w:pPr>
        <w:snapToGrid w:val="0"/>
        <w:spacing w:line="400" w:lineRule="exact"/>
        <w:ind w:firstLine="555"/>
        <w:rPr>
          <w:rFonts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 xml:space="preserve">第一条 共同约定  </w:t>
      </w:r>
    </w:p>
    <w:p w14:paraId="1650C0E5">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双方应共同遵守《安全生产法》、《中华人民共和国建筑法》、《建设工程安全生产管理条例》、《房屋建筑和市政基础设施工程分包管理办法》《安全生产许可证条例》等一系列有关安全生产的法律法规，严格执行建设部标准</w:t>
      </w:r>
      <w:permStart w:id="106" w:edGrp="everyone"/>
      <w:r>
        <w:rPr>
          <w:rFonts w:hint="eastAsia" w:ascii="仿宋_GB2312" w:hAnsi="仿宋_GB2312" w:eastAsia="仿宋_GB2312" w:cs="仿宋_GB2312"/>
          <w:color w:val="000000" w:themeColor="text1"/>
          <w:sz w:val="24"/>
          <w:szCs w:val="24"/>
          <w:highlight w:val="none"/>
          <w14:textFill>
            <w14:solidFill>
              <w14:schemeClr w14:val="tx1"/>
            </w14:solidFill>
          </w14:textFill>
        </w:rPr>
        <w:t>JGJ59—2011《建筑安全施工检查标准》</w:t>
      </w:r>
      <w:permEnd w:id="106"/>
      <w:r>
        <w:rPr>
          <w:rFonts w:hint="eastAsia" w:ascii="仿宋_GB2312" w:hAnsi="仿宋_GB2312" w:eastAsia="仿宋_GB2312" w:cs="仿宋_GB2312"/>
          <w:color w:val="000000" w:themeColor="text1"/>
          <w:sz w:val="24"/>
          <w:szCs w:val="24"/>
          <w:highlight w:val="none"/>
          <w14:textFill>
            <w14:solidFill>
              <w14:schemeClr w14:val="tx1"/>
            </w14:solidFill>
          </w14:textFill>
        </w:rPr>
        <w:t>等一系列标准规程及</w:t>
      </w:r>
      <w:permStart w:id="107" w:edGrp="everyone"/>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u w:val="single"/>
          <w:lang w:val="en-US" w:eastAsia="zh-CN"/>
          <w14:textFill>
            <w14:solidFill>
              <w14:schemeClr w14:val="tx1"/>
            </w14:solidFill>
          </w14:textFill>
        </w:rPr>
        <w:t>邢台</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permEnd w:id="107"/>
      <w:r>
        <w:rPr>
          <w:rFonts w:hint="eastAsia" w:ascii="仿宋_GB2312" w:hAnsi="仿宋_GB2312" w:eastAsia="仿宋_GB2312" w:cs="仿宋_GB2312"/>
          <w:color w:val="000000" w:themeColor="text1"/>
          <w:sz w:val="24"/>
          <w:szCs w:val="24"/>
          <w:highlight w:val="none"/>
          <w14:textFill>
            <w14:solidFill>
              <w14:schemeClr w14:val="tx1"/>
            </w14:solidFill>
          </w14:textFill>
        </w:rPr>
        <w:t>市有关安全生产的规章制度。</w:t>
      </w:r>
    </w:p>
    <w:p w14:paraId="2C0778B6">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2、双方应共同遵守</w:t>
      </w:r>
      <w:r>
        <w:rPr>
          <w:rFonts w:hint="eastAsia" w:ascii="仿宋_GB2312" w:hAnsi="仿宋_GB2312" w:eastAsia="仿宋_GB2312" w:cs="仿宋_GB2312"/>
          <w:color w:val="000000" w:themeColor="text1"/>
          <w:sz w:val="24"/>
          <w:szCs w:val="24"/>
          <w:highlight w:val="none"/>
          <w:u w:val="single"/>
          <w:lang w:eastAsia="zh-CN"/>
          <w14:textFill>
            <w14:solidFill>
              <w14:schemeClr w14:val="tx1"/>
            </w14:solidFill>
          </w14:textFill>
        </w:rPr>
        <w:t>中建集团</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、中建交通</w:t>
      </w:r>
      <w:r>
        <w:rPr>
          <w:rFonts w:hint="eastAsia" w:ascii="仿宋_GB2312" w:hAnsi="仿宋_GB2312" w:eastAsia="仿宋_GB2312" w:cs="仿宋_GB2312"/>
          <w:color w:val="000000" w:themeColor="text1"/>
          <w:sz w:val="24"/>
          <w:szCs w:val="24"/>
          <w:highlight w:val="none"/>
          <w:u w:val="singl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u w:val="single"/>
          <w:lang w:val="en-US" w:eastAsia="zh-CN"/>
          <w14:textFill>
            <w14:solidFill>
              <w14:schemeClr w14:val="tx1"/>
            </w14:solidFill>
          </w14:textFill>
        </w:rPr>
        <w:t>中建路桥</w:t>
      </w:r>
      <w:r>
        <w:rPr>
          <w:rFonts w:hint="eastAsia" w:ascii="仿宋_GB2312" w:hAnsi="仿宋_GB2312" w:eastAsia="仿宋_GB2312" w:cs="仿宋_GB2312"/>
          <w:color w:val="000000" w:themeColor="text1"/>
          <w:sz w:val="24"/>
          <w:szCs w:val="24"/>
          <w:highlight w:val="none"/>
          <w14:textFill>
            <w14:solidFill>
              <w14:schemeClr w14:val="tx1"/>
            </w14:solidFill>
          </w14:textFill>
        </w:rPr>
        <w:t>等系列安全生产规章制度。贯彻执行项目职业健康安全和环境管理体系的各项要求。</w:t>
      </w:r>
    </w:p>
    <w:p w14:paraId="74B8FAC9">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3、安全文明施工管理目标、指标：以项目部总包单位制定的为准。</w:t>
      </w:r>
    </w:p>
    <w:p w14:paraId="72B3478A">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4、在甲方施工区域以外场所安全工作及发生的不良后果由乙方自行承担。</w:t>
      </w:r>
    </w:p>
    <w:p w14:paraId="547D1BAC">
      <w:pPr>
        <w:pStyle w:val="12"/>
        <w:spacing w:line="400" w:lineRule="exact"/>
        <w:ind w:firstLine="482" w:firstLineChars="200"/>
        <w:rPr>
          <w:rFonts w:ascii="仿宋_GB2312" w:hAnsi="仿宋_GB2312" w:eastAsia="仿宋_GB2312" w:cs="仿宋_GB2312"/>
          <w:b/>
          <w:bCs/>
          <w:color w:val="000000" w:themeColor="text1"/>
          <w:kern w:val="2"/>
          <w:highlight w:val="none"/>
          <w14:textFill>
            <w14:solidFill>
              <w14:schemeClr w14:val="tx1"/>
            </w14:solidFill>
          </w14:textFill>
        </w:rPr>
      </w:pPr>
      <w:r>
        <w:rPr>
          <w:rFonts w:hint="eastAsia" w:ascii="仿宋_GB2312" w:hAnsi="仿宋_GB2312" w:eastAsia="仿宋_GB2312" w:cs="仿宋_GB2312"/>
          <w:b/>
          <w:bCs/>
          <w:color w:val="000000" w:themeColor="text1"/>
          <w:kern w:val="2"/>
          <w:highlight w:val="none"/>
          <w14:textFill>
            <w14:solidFill>
              <w14:schemeClr w14:val="tx1"/>
            </w14:solidFill>
          </w14:textFill>
        </w:rPr>
        <w:t>第二条 环境与职业健康安全</w:t>
      </w:r>
    </w:p>
    <w:p w14:paraId="40A5BFF2">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1、乙方车辆及材料在运输途中及到达甲方现场后应遵守国家和地方现行的有关环境保护、职业健康安全的法律、法规和其他要求。</w:t>
      </w:r>
    </w:p>
    <w:p w14:paraId="7BA53031">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2、乙方需遵守《道路交通安全法》，应当给负责运送货物的车辆办理交强险及商业保险，否则发生的人员伤亡事故或货物毁损由责任方承担，与甲方无关。</w:t>
      </w:r>
    </w:p>
    <w:p w14:paraId="40C91CC9">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3、乙方货物到达指定堆场或仓库等甲方指定地点，装卸、运输过程中的人员、机械、车辆安全，应按国家及地方规定办理相关手续。如因运载车辆事故、卸货等原因导致的乙方及任何第三方的人身伤害及经济损失均由乙方负责，并补偿甲方及其他方因此造成的损失。</w:t>
      </w:r>
    </w:p>
    <w:p w14:paraId="14217AD8">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4、乙方到施工现场的人员必须佩戴安全帽，穿戴整洁，严禁吸烟和大声喧哗，遵守需方项目的规章制度，否则将按需方有关制度处罚。</w:t>
      </w:r>
    </w:p>
    <w:p w14:paraId="1BBBFEEB">
      <w:pPr>
        <w:snapToGrid w:val="0"/>
        <w:spacing w:line="400" w:lineRule="exact"/>
        <w:ind w:firstLine="556"/>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5、由于非甲方的任何第三方原因导致乙方人员伤亡及财产损害均由乙方承担相应损失。</w:t>
      </w:r>
    </w:p>
    <w:p w14:paraId="6E0B0FEA">
      <w:pPr>
        <w:spacing w:line="400" w:lineRule="exact"/>
        <w:jc w:val="left"/>
        <w:rPr>
          <w:rFonts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 xml:space="preserve">    第三条 甲方的安全责任、权利和义务  </w:t>
      </w:r>
    </w:p>
    <w:p w14:paraId="226141DA">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1、甲方在现场履行管理、监督职责，认真履行第一条共同约定的内容，对乙方在进入总包施工现场的施工安全进行监督、指导、检查。 </w:t>
      </w:r>
    </w:p>
    <w:p w14:paraId="7FECDCF9">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2、对乙方安排生产、运输任务的同时，对按照规定程序审批的施工组织设计进行书面安全技术交底，并办理交底双方签字手续（如有）。 </w:t>
      </w:r>
    </w:p>
    <w:p w14:paraId="28045711">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3、在合同中约定由甲方向使用单位提供的安全防护设施，应完整齐全，并且符合安全要求，并整改乙方提出的不安全问题。</w:t>
      </w:r>
    </w:p>
    <w:p w14:paraId="09DCC275">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4、有权制止乙方的违章作业，对重大违章行为有权责令其停工整顿；对于乙方的违章行为，甲方有进行安全违约处罚的权利；因乙方责任造成防护设施、防护用品等损坏、改变或遗失，或者环境破坏，可要求乙方赔偿或恢复。 </w:t>
      </w:r>
    </w:p>
    <w:p w14:paraId="58AC6198">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5、对安全素质差、不服从安全生产管理的人员责令其限期退场，造成的工期损失、经济损失由乙方承担。对不执行规章制度的人员，可视情节轻重，按照项目奖罚制度进行安全违约处罚。</w:t>
      </w:r>
    </w:p>
    <w:p w14:paraId="2AFB16EE">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6、对达不到规定的安全生产条件、存在重大安全隐患或发生安全事故，可要求乙方限期退场，或者中止合同，造成项目工期损失、经济损失由乙方承担。</w:t>
      </w:r>
    </w:p>
    <w:p w14:paraId="2A50B8C0">
      <w:pPr>
        <w:snapToGrid w:val="0"/>
        <w:spacing w:line="400" w:lineRule="exact"/>
        <w:ind w:firstLine="555"/>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7、按照规定要求对乙方自有的材料和自带（含租赁）施工机具、起重 吊装设备、运输车辆等进行安全生产监督检查，有权拒绝乙方不合格产品进场（已进场的限期退场）。</w:t>
      </w:r>
    </w:p>
    <w:p w14:paraId="62E8096E">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sz w:val="24"/>
          <w:szCs w:val="24"/>
          <w:highlight w:val="none"/>
          <w14:textFill>
            <w14:solidFill>
              <w14:schemeClr w14:val="tx1"/>
            </w14:solidFill>
          </w14:textFill>
        </w:rPr>
        <w:t>与安全生产关系直接的大型设备、特种设备、安全设施设备、防护用品进场时，项目安全生产监督管理部门应参与验收，验收合格签字后方可进场。</w:t>
      </w:r>
    </w:p>
    <w:p w14:paraId="68F64B2F">
      <w:pPr>
        <w:spacing w:line="400" w:lineRule="exact"/>
        <w:jc w:val="left"/>
        <w:rPr>
          <w:rFonts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 xml:space="preserve">    第四条 乙方的安全责任、权利和义务  </w:t>
      </w:r>
    </w:p>
    <w:p w14:paraId="1228DAF3">
      <w:pPr>
        <w:snapToGrid w:val="0"/>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1、乙方应认真履行第一条共同约定的内容，接受甲方的监督、检查工作。</w:t>
      </w:r>
    </w:p>
    <w:p w14:paraId="0A8F26E1">
      <w:pPr>
        <w:snapToGrid w:val="0"/>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2、乙方应具备所供货物的运输资质或证照，不得跨资质承运相应货物。若乙方委托第三方单位承运相应货物，不解除乙方应承担本合同项下的义务和责任。</w:t>
      </w:r>
    </w:p>
    <w:p w14:paraId="189D0483">
      <w:pPr>
        <w:snapToGrid w:val="0"/>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3、乙方运输前对货物性质、形状充分认识并制定相应运输措施，必要情况下准备运输防护用品及货物运输应急用品。如有特定需求运输超大、超重、异形等道路通行规定以外的货物，应按照设计文件提示等采用特定的运输方式并制定安全防范措施。</w:t>
      </w:r>
    </w:p>
    <w:p w14:paraId="7296DCDA">
      <w:pPr>
        <w:snapToGrid w:val="0"/>
        <w:spacing w:line="400" w:lineRule="exact"/>
        <w:ind w:firstLine="480" w:firstLineChars="2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4、负责本单位特种作业人员、运输车辆司机、起重吊装作业司机指挥等人的培训、考核和取证，必须做到进入施工现场的人员持证上岗。进入施工现场作业要有专人在现场履行管理职责，并对未认真履行职责的后果负责。</w:t>
      </w:r>
    </w:p>
    <w:p w14:paraId="3484F4D6">
      <w:pPr>
        <w:snapToGrid w:val="0"/>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5、对本单位员工进行安全三级教育，进行安全技术交底，交底报甲方备案。保证进场人员符合相关要求，身体情况能适应本行业工作，熟悉现场一般安全规定及本工种安全操作规程，并进行进场岗前教育，未经过培训教育的工人不得安排进行现场工作；</w:t>
      </w:r>
    </w:p>
    <w:p w14:paraId="31B38162">
      <w:pPr>
        <w:snapToGrid w:val="0"/>
        <w:spacing w:line="400" w:lineRule="exact"/>
        <w:ind w:firstLine="453"/>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6、不得违章指挥，或强令工人冒险作业，也不能强迫工人连续长时间作业，更不能进入指定禁区及非本工作作业区域。不得私自翻越防护，攀爬架体、私自接电等违章作业行为，不得在高处危险作业和各种提升机械的垂直下方穿行或停留（如：吊篮、电梯笼）。 </w:t>
      </w:r>
    </w:p>
    <w:p w14:paraId="76338E74">
      <w:pPr>
        <w:snapToGrid w:val="0"/>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7、对甲方所提供的安全设施不能保证安全施工时，应及时提出，也可拒绝施工；在施工中不得未经甲方现场负责人同意私自拆除安全防护设施。 </w:t>
      </w:r>
    </w:p>
    <w:p w14:paraId="5FD733E0">
      <w:pPr>
        <w:spacing w:line="400" w:lineRule="exact"/>
        <w:ind w:firstLine="480" w:firstLineChars="200"/>
        <w:jc w:val="lef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8、乙方自备的设备及工具必须保证环保、性能良好、各安全装置齐全灵敏有效。进工地前必须报项目监督试机，验收并填写验收表，达不到环保和</w:t>
      </w:r>
      <w:permStart w:id="108" w:edGrp="everyone"/>
      <w:r>
        <w:rPr>
          <w:rFonts w:hint="eastAsia" w:ascii="仿宋_GB2312" w:hAnsi="仿宋_GB2312" w:eastAsia="仿宋_GB2312" w:cs="仿宋_GB2312"/>
          <w:color w:val="000000" w:themeColor="text1"/>
          <w:sz w:val="24"/>
          <w:szCs w:val="24"/>
          <w:highlight w:val="none"/>
          <w14:textFill>
            <w14:solidFill>
              <w14:schemeClr w14:val="tx1"/>
            </w14:solidFill>
          </w14:textFill>
        </w:rPr>
        <w:t>《JGJ59—2011》标准</w:t>
      </w:r>
      <w:permEnd w:id="108"/>
      <w:r>
        <w:rPr>
          <w:rFonts w:hint="eastAsia" w:ascii="仿宋_GB2312" w:hAnsi="仿宋_GB2312" w:eastAsia="仿宋_GB2312" w:cs="仿宋_GB2312"/>
          <w:color w:val="000000" w:themeColor="text1"/>
          <w:sz w:val="24"/>
          <w:szCs w:val="24"/>
          <w:highlight w:val="none"/>
          <w14:textFill>
            <w14:solidFill>
              <w14:schemeClr w14:val="tx1"/>
            </w14:solidFill>
          </w14:textFill>
        </w:rPr>
        <w:t>的设备及工具严禁在工地使用。</w:t>
      </w:r>
    </w:p>
    <w:p w14:paraId="71E79B3A">
      <w:pPr>
        <w:spacing w:line="400" w:lineRule="exact"/>
        <w:ind w:firstLine="480" w:firstLineChars="200"/>
        <w:jc w:val="lef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9、乙方自带设备或工具必须相匹配的质量合格的电缆线，并自备符合当地主管部门要求的末级标准配电箱。</w:t>
      </w:r>
    </w:p>
    <w:p w14:paraId="44822394">
      <w:pPr>
        <w:snapToGrid w:val="0"/>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10、必须按规定提取和使用安全技术措施经费，为作业人员提供符合国家标准或行业标准的劳动防护用品，并督促、教育作业人员按照使用规则佩戴、使用。 </w:t>
      </w:r>
    </w:p>
    <w:p w14:paraId="16A1245F">
      <w:pPr>
        <w:snapToGrid w:val="0"/>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11、对甲方人员违章指挥或者可能危及人身安全、财产损失的指挥，乙方有权拒绝。 </w:t>
      </w:r>
    </w:p>
    <w:p w14:paraId="30EBCDBF">
      <w:pPr>
        <w:snapToGrid w:val="0"/>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12、不得进行违反安全法律和其他、安全生产规章制度的行为。</w:t>
      </w:r>
    </w:p>
    <w:p w14:paraId="5D7557E0">
      <w:pPr>
        <w:snapToGrid w:val="0"/>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13、乙方对供应的材料在甲方施工场地外运输过程发生的安全事故承担全部责任，不得向甲方提出索赔要求。</w:t>
      </w:r>
    </w:p>
    <w:p w14:paraId="2C206D47">
      <w:pPr>
        <w:spacing w:line="400" w:lineRule="exact"/>
        <w:jc w:val="left"/>
        <w:rPr>
          <w:rFonts w:ascii="仿宋_GB2312" w:hAnsi="仿宋_GB2312" w:eastAsia="仿宋_GB2312" w:cs="仿宋_GB2312"/>
          <w:color w:val="000000" w:themeColor="text1"/>
          <w:sz w:val="24"/>
          <w:szCs w:val="24"/>
          <w:highlight w:val="none"/>
          <w:shd w:val="clear" w:color="auto" w:fill="FF0000"/>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14、乙方对因自身原因发生的安全事故承担全部责任。由于乙方原因而引发的被当地有关部门处罚的各类事件，乙方承担相应罚款、工期损失及经济损失；</w:t>
      </w:r>
    </w:p>
    <w:p w14:paraId="2D849072">
      <w:pPr>
        <w:spacing w:line="400" w:lineRule="exact"/>
        <w:jc w:val="lef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15、在施工现场发生事故时，应积极抢救伤员，保护事故现场，防止事故扩大，按甲方要求提供事故有关资料，并配合调查。</w:t>
      </w:r>
    </w:p>
    <w:p w14:paraId="6B90B02B">
      <w:pPr>
        <w:spacing w:line="400" w:lineRule="exact"/>
        <w:jc w:val="left"/>
        <w:rPr>
          <w:rFonts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 xml:space="preserve">    第五条 事故处理 </w:t>
      </w:r>
    </w:p>
    <w:p w14:paraId="38B4BECE">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1、若发生事故应立即启动事故应急预案，采取有效措施组织抢救，防止事故扩大，减少人员伤亡和财产损失，同时应按</w:t>
      </w:r>
      <w:permStart w:id="109" w:edGrp="everyone"/>
      <w:r>
        <w:rPr>
          <w:rFonts w:hint="eastAsia" w:ascii="仿宋_GB2312" w:hAnsi="仿宋_GB2312" w:eastAsia="仿宋_GB2312" w:cs="仿宋_GB2312"/>
          <w:color w:val="000000" w:themeColor="text1"/>
          <w:sz w:val="24"/>
          <w:szCs w:val="24"/>
          <w:highlight w:val="none"/>
          <w14:textFill>
            <w14:solidFill>
              <w14:schemeClr w14:val="tx1"/>
            </w14:solidFill>
          </w14:textFill>
        </w:rPr>
        <w:t>《生产安全事故报告和调查处理条例》(493号令)</w:t>
      </w:r>
      <w:permEnd w:id="109"/>
      <w:r>
        <w:rPr>
          <w:rFonts w:hint="eastAsia" w:ascii="仿宋_GB2312" w:hAnsi="仿宋_GB2312" w:eastAsia="仿宋_GB2312" w:cs="仿宋_GB2312"/>
          <w:color w:val="000000" w:themeColor="text1"/>
          <w:sz w:val="24"/>
          <w:szCs w:val="24"/>
          <w:highlight w:val="none"/>
          <w14:textFill>
            <w14:solidFill>
              <w14:schemeClr w14:val="tx1"/>
            </w14:solidFill>
          </w14:textFill>
        </w:rPr>
        <w:t>的规定进行事故处理及上报。乙方应及时将事故情况向甲方上报，不得迟报、漏报、谎报或瞒报。</w:t>
      </w:r>
    </w:p>
    <w:p w14:paraId="02740776">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2、在施工现场内发生重伤或死亡事故，由甲方主管部门牵头，乙方为主，甲乙双方共同参加，按照规定报告有关部门进行调查，查清事故原因，分清事故责任，提出对事故责任者的处理意见。 </w:t>
      </w:r>
    </w:p>
    <w:p w14:paraId="74652E02">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3、由于没有认真履行安全责任，造成重大伤亡事故，情节严重的主要直接责任者，已触及国家刑律，应提请有关部门进行调查处理。 </w:t>
      </w:r>
    </w:p>
    <w:p w14:paraId="0055BEEA">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4、对不认真履行本合同，违章指挥、违章作业、冒险进入施工禁区及损坏安全防护设施、不按规定进行安全技术交底及组织施工，造成伤亡事故的，应由事故责任方承担罚款及一切经济损失和责任。 </w:t>
      </w:r>
    </w:p>
    <w:p w14:paraId="175069CD">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5、由于甲方主要责任造成的伤亡事故，乙方有权要求甲方进行经济赔偿。由于乙方主要责任造成的伤亡事故，甲方有权要求乙方承担违约责任。</w:t>
      </w:r>
    </w:p>
    <w:p w14:paraId="6B6972C8">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6、由于第三方责任导致乙方人员伤亡，及由于乙方责任导致第三方人员伤亡，由乙方负责并处理。</w:t>
      </w:r>
    </w:p>
    <w:p w14:paraId="35D2DE9A">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7、对乙方因自身原因发生的安全事故，如因工人自身误操作、违章作业、冒险进入施工禁区、损坏安全设施、乙方不按规定对工人进行安全交底、班前活动等等，所造成的或主要责任在乙方的伤害事故，所发生的一切责任及费用由乙方承担。</w:t>
      </w:r>
    </w:p>
    <w:p w14:paraId="0C923EFA">
      <w:pPr>
        <w:snapToGrid w:val="0"/>
        <w:spacing w:line="400" w:lineRule="exact"/>
        <w:ind w:firstLine="555"/>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8、乙方积极配合甲方做好事故的善后处理工作，若伤亡人员为乙方雇佣、招录人员，乙方应及时负责伤亡人员及家属的接待善后工作，因此发生的医疗费、护理费、赔偿费等费用由乙方先垫付，最后由事故责任方一次性承担，因未积极配合甲方对事故进行善后处理而产生的一切法律责任及经济处罚由乙方自负。</w:t>
      </w:r>
    </w:p>
    <w:p w14:paraId="4B1A286C">
      <w:pPr>
        <w:spacing w:line="400" w:lineRule="exact"/>
        <w:ind w:firstLine="516" w:firstLineChars="214"/>
        <w:jc w:val="lef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第六条</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本合同生效条件与主合同相同。</w:t>
      </w:r>
    </w:p>
    <w:p w14:paraId="1E0C37E8">
      <w:pPr>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p>
    <w:p w14:paraId="18DCAF51">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bookmarkStart w:id="79" w:name="_Hlk127203185"/>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甲方（盖章）：                        乙方（公章）：             </w:t>
      </w:r>
    </w:p>
    <w:p w14:paraId="028659DF">
      <w:pPr>
        <w:autoSpaceDE w:val="0"/>
        <w:autoSpaceDN w:val="0"/>
        <w:adjustRightInd w:val="0"/>
        <w:spacing w:line="400" w:lineRule="atLeast"/>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p>
    <w:p w14:paraId="2FF1507B">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法定代表人：                           法定代表人：</w:t>
      </w:r>
    </w:p>
    <w:p w14:paraId="015837B5">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w:t>
      </w:r>
    </w:p>
    <w:p w14:paraId="5C835E27">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被委托</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人：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被委托</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人：</w:t>
      </w:r>
    </w:p>
    <w:p w14:paraId="47D1ADEA">
      <w:pPr>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年  月  日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年  月  日 </w:t>
      </w:r>
    </w:p>
    <w:p w14:paraId="08659568">
      <w:pPr>
        <w:spacing w:line="400" w:lineRule="exact"/>
        <w:ind w:firstLine="5040" w:firstLineChars="21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bookmarkEnd w:id="79"/>
    </w:p>
    <w:p w14:paraId="207D32A9">
      <w:pPr>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br w:type="page"/>
      </w:r>
    </w:p>
    <w:p w14:paraId="2E40EAA0">
      <w:pPr>
        <w:spacing w:line="400" w:lineRule="exact"/>
        <w:ind w:right="210" w:rightChars="100"/>
        <w:outlineLvl w:val="0"/>
        <w:rPr>
          <w:rFonts w:ascii="仿宋_GB2312" w:hAnsi="仿宋_GB2312" w:eastAsia="仿宋_GB2312" w:cs="仿宋_GB2312"/>
          <w:color w:val="000000" w:themeColor="text1"/>
          <w:sz w:val="30"/>
          <w:szCs w:val="30"/>
          <w:highlight w:val="none"/>
          <w14:textFill>
            <w14:solidFill>
              <w14:schemeClr w14:val="tx1"/>
            </w14:solidFill>
          </w14:textFill>
        </w:rPr>
      </w:pPr>
      <w:bookmarkStart w:id="80" w:name="_Toc776"/>
      <w:bookmarkStart w:id="81" w:name="_Toc9726"/>
      <w:bookmarkStart w:id="82" w:name="_Toc24322"/>
      <w:r>
        <w:rPr>
          <w:rFonts w:hint="eastAsia" w:ascii="仿宋_GB2312" w:hAnsi="仿宋_GB2312" w:eastAsia="仿宋_GB2312" w:cs="仿宋_GB2312"/>
          <w:color w:val="000000" w:themeColor="text1"/>
          <w:sz w:val="30"/>
          <w:szCs w:val="30"/>
          <w:highlight w:val="none"/>
          <w14:textFill>
            <w14:solidFill>
              <w14:schemeClr w14:val="tx1"/>
            </w14:solidFill>
          </w14:textFill>
        </w:rPr>
        <w:t>附件四：</w:t>
      </w:r>
      <w:bookmarkEnd w:id="80"/>
      <w:bookmarkEnd w:id="81"/>
      <w:bookmarkEnd w:id="82"/>
    </w:p>
    <w:p w14:paraId="79298B74">
      <w:pPr>
        <w:spacing w:line="400" w:lineRule="exact"/>
        <w:jc w:val="center"/>
        <w:rPr>
          <w:rFonts w:ascii="仿宋_GB2312" w:hAnsi="仿宋_GB2312" w:eastAsia="仿宋_GB2312" w:cs="仿宋_GB2312"/>
          <w:color w:val="000000" w:themeColor="text1"/>
          <w:sz w:val="30"/>
          <w:szCs w:val="30"/>
          <w:highlight w:val="none"/>
          <w14:textFill>
            <w14:solidFill>
              <w14:schemeClr w14:val="tx1"/>
            </w14:solidFill>
          </w14:textFill>
        </w:rPr>
      </w:pPr>
      <w:bookmarkStart w:id="83" w:name="_Toc16461"/>
      <w:r>
        <w:rPr>
          <w:rFonts w:hint="eastAsia" w:ascii="仿宋_GB2312" w:hAnsi="仿宋_GB2312" w:eastAsia="仿宋_GB2312" w:cs="仿宋_GB2312"/>
          <w:b/>
          <w:color w:val="000000" w:themeColor="text1"/>
          <w:sz w:val="30"/>
          <w:szCs w:val="30"/>
          <w:highlight w:val="none"/>
          <w14:textFill>
            <w14:solidFill>
              <w14:schemeClr w14:val="tx1"/>
            </w14:solidFill>
          </w14:textFill>
        </w:rPr>
        <w:t>廉洁从业共建协议</w:t>
      </w:r>
      <w:bookmarkEnd w:id="83"/>
    </w:p>
    <w:p w14:paraId="32566F91">
      <w:pPr>
        <w:spacing w:line="460" w:lineRule="exact"/>
        <w:ind w:firstLine="480" w:firstLineChars="200"/>
        <w:rPr>
          <w:rFonts w:ascii="仿宋_GB2312" w:hAnsi="宋体" w:eastAsia="仿宋_GB2312"/>
          <w:color w:val="000000" w:themeColor="text1"/>
          <w:sz w:val="24"/>
          <w:szCs w:val="24"/>
          <w:highlight w:val="none"/>
          <w14:textFill>
            <w14:solidFill>
              <w14:schemeClr w14:val="tx1"/>
            </w14:solidFill>
          </w14:textFill>
        </w:rPr>
      </w:pPr>
      <w:r>
        <w:rPr>
          <w:rFonts w:hint="eastAsia" w:ascii="仿宋_GB2312" w:hAnsi="宋体" w:eastAsia="仿宋_GB2312"/>
          <w:color w:val="000000" w:themeColor="text1"/>
          <w:sz w:val="24"/>
          <w:szCs w:val="24"/>
          <w:highlight w:val="none"/>
          <w14:textFill>
            <w14:solidFill>
              <w14:schemeClr w14:val="tx1"/>
            </w14:solidFill>
          </w14:textFill>
        </w:rPr>
        <w:t>甲方：</w:t>
      </w:r>
      <w:bookmarkStart w:id="84" w:name="_Hlk127190139"/>
      <w:permStart w:id="110" w:edGrp="everyone"/>
      <w:r>
        <w:rPr>
          <w:rFonts w:hint="eastAsia" w:ascii="仿宋_GB2312" w:hAnsi="宋体" w:eastAsia="仿宋_GB2312"/>
          <w:color w:val="000000" w:themeColor="text1"/>
          <w:sz w:val="24"/>
          <w:szCs w:val="24"/>
          <w:highlight w:val="none"/>
          <w:u w:val="single"/>
          <w14:textFill>
            <w14:solidFill>
              <w14:schemeClr w14:val="tx1"/>
            </w14:solidFill>
          </w14:textFill>
        </w:rPr>
        <w:t>中建</w:t>
      </w:r>
      <w:r>
        <w:rPr>
          <w:rFonts w:hint="eastAsia" w:ascii="仿宋_GB2312" w:hAnsi="宋体" w:eastAsia="仿宋_GB2312"/>
          <w:color w:val="000000" w:themeColor="text1"/>
          <w:sz w:val="24"/>
          <w:szCs w:val="24"/>
          <w:highlight w:val="none"/>
          <w:u w:val="single"/>
          <w:lang w:val="en-US" w:eastAsia="zh-CN"/>
          <w14:textFill>
            <w14:solidFill>
              <w14:schemeClr w14:val="tx1"/>
            </w14:solidFill>
          </w14:textFill>
        </w:rPr>
        <w:t>路桥</w:t>
      </w:r>
      <w:r>
        <w:rPr>
          <w:rFonts w:hint="eastAsia" w:ascii="仿宋_GB2312" w:hAnsi="宋体" w:eastAsia="仿宋_GB2312"/>
          <w:color w:val="000000" w:themeColor="text1"/>
          <w:sz w:val="24"/>
          <w:szCs w:val="24"/>
          <w:highlight w:val="none"/>
          <w:u w:val="single"/>
          <w14:textFill>
            <w14:solidFill>
              <w14:schemeClr w14:val="tx1"/>
            </w14:solidFill>
          </w14:textFill>
        </w:rPr>
        <w:t>集团有限公司</w:t>
      </w:r>
      <w:bookmarkEnd w:id="84"/>
      <w:r>
        <w:rPr>
          <w:rFonts w:hint="eastAsia" w:ascii="仿宋_GB2312" w:hAnsi="宋体" w:eastAsia="仿宋_GB2312"/>
          <w:color w:val="000000" w:themeColor="text1"/>
          <w:sz w:val="24"/>
          <w:szCs w:val="24"/>
          <w:highlight w:val="none"/>
          <w:u w:val="single"/>
          <w:lang w:val="en-US" w:eastAsia="zh-CN"/>
          <w14:textFill>
            <w14:solidFill>
              <w14:schemeClr w14:val="tx1"/>
            </w14:solidFill>
          </w14:textFill>
        </w:rPr>
        <w:t xml:space="preserve">    </w:t>
      </w:r>
      <w:permEnd w:id="110"/>
      <w:r>
        <w:rPr>
          <w:rFonts w:hint="eastAsia" w:ascii="仿宋_GB2312" w:hAnsi="宋体" w:eastAsia="仿宋_GB2312"/>
          <w:color w:val="000000" w:themeColor="text1"/>
          <w:sz w:val="24"/>
          <w:szCs w:val="24"/>
          <w:highlight w:val="none"/>
          <w:u w:val="single"/>
          <w14:textFill>
            <w14:solidFill>
              <w14:schemeClr w14:val="tx1"/>
            </w14:solidFill>
          </w14:textFill>
        </w:rPr>
        <w:t xml:space="preserve"> </w:t>
      </w:r>
    </w:p>
    <w:p w14:paraId="46693D82">
      <w:pPr>
        <w:spacing w:line="460" w:lineRule="exact"/>
        <w:ind w:firstLine="480" w:firstLineChars="200"/>
        <w:rPr>
          <w:rFonts w:ascii="仿宋_GB2312" w:hAnsi="宋体" w:eastAsia="仿宋_GB2312"/>
          <w:color w:val="000000" w:themeColor="text1"/>
          <w:sz w:val="24"/>
          <w:szCs w:val="24"/>
          <w:highlight w:val="none"/>
          <w14:textFill>
            <w14:solidFill>
              <w14:schemeClr w14:val="tx1"/>
            </w14:solidFill>
          </w14:textFill>
        </w:rPr>
      </w:pPr>
      <w:r>
        <w:rPr>
          <w:rFonts w:hint="eastAsia" w:ascii="仿宋_GB2312" w:hAnsi="宋体" w:eastAsia="仿宋_GB2312"/>
          <w:color w:val="000000" w:themeColor="text1"/>
          <w:sz w:val="24"/>
          <w:szCs w:val="24"/>
          <w:highlight w:val="none"/>
          <w14:textFill>
            <w14:solidFill>
              <w14:schemeClr w14:val="tx1"/>
            </w14:solidFill>
          </w14:textFill>
        </w:rPr>
        <w:t>乙方：</w:t>
      </w:r>
      <w:permStart w:id="111" w:edGrp="everyone"/>
      <w:r>
        <w:rPr>
          <w:rFonts w:hint="eastAsia" w:ascii="仿宋_GB2312" w:hAnsi="宋体" w:eastAsia="仿宋_GB2312"/>
          <w:color w:val="000000" w:themeColor="text1"/>
          <w:sz w:val="24"/>
          <w:szCs w:val="24"/>
          <w:highlight w:val="none"/>
          <w:u w:val="single"/>
          <w14:textFill>
            <w14:solidFill>
              <w14:schemeClr w14:val="tx1"/>
            </w14:solidFill>
          </w14:textFill>
        </w:rPr>
        <w:t xml:space="preserve">            </w:t>
      </w:r>
      <w:r>
        <w:rPr>
          <w:rFonts w:ascii="仿宋_GB2312" w:hAnsi="宋体" w:eastAsia="仿宋_GB2312"/>
          <w:color w:val="000000" w:themeColor="text1"/>
          <w:sz w:val="24"/>
          <w:szCs w:val="24"/>
          <w:highlight w:val="none"/>
          <w:u w:val="single"/>
          <w14:textFill>
            <w14:solidFill>
              <w14:schemeClr w14:val="tx1"/>
            </w14:solidFill>
          </w14:textFill>
        </w:rPr>
        <w:t xml:space="preserve">   </w:t>
      </w:r>
      <w:r>
        <w:rPr>
          <w:rFonts w:hint="eastAsia" w:ascii="仿宋_GB2312" w:hAnsi="宋体" w:eastAsia="仿宋_GB2312"/>
          <w:color w:val="000000" w:themeColor="text1"/>
          <w:sz w:val="24"/>
          <w:szCs w:val="24"/>
          <w:highlight w:val="none"/>
          <w:u w:val="single"/>
          <w14:textFill>
            <w14:solidFill>
              <w14:schemeClr w14:val="tx1"/>
            </w14:solidFill>
          </w14:textFill>
        </w:rPr>
        <w:t xml:space="preserve">         </w:t>
      </w:r>
      <w:permEnd w:id="111"/>
      <w:r>
        <w:rPr>
          <w:rFonts w:hint="eastAsia" w:ascii="仿宋_GB2312" w:hAnsi="宋体" w:eastAsia="仿宋_GB2312"/>
          <w:color w:val="000000" w:themeColor="text1"/>
          <w:sz w:val="24"/>
          <w:szCs w:val="24"/>
          <w:highlight w:val="none"/>
          <w:u w:val="single"/>
          <w14:textFill>
            <w14:solidFill>
              <w14:schemeClr w14:val="tx1"/>
            </w14:solidFill>
          </w14:textFill>
        </w:rPr>
        <w:t xml:space="preserve"> </w:t>
      </w:r>
    </w:p>
    <w:p w14:paraId="0C05924F">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为加强建设工程廉政建设，规范建设工程各项活动中甲方、乙方双方的行为，防止谋取不正当利益的违法违纪现象的发生，保护国家、集体和当事人的合法权益，根据国家有关工程建设的法律法规和廉政建设的有关规定，订立本廉政责任书。</w:t>
      </w:r>
    </w:p>
    <w:p w14:paraId="7DF99753">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bookmarkStart w:id="85" w:name="_Toc300671949"/>
      <w:r>
        <w:rPr>
          <w:rFonts w:hint="eastAsia" w:ascii="仿宋_GB2312" w:hAnsi="宋体" w:eastAsia="仿宋_GB2312" w:cs="宋体"/>
          <w:color w:val="000000" w:themeColor="text1"/>
          <w:kern w:val="0"/>
          <w:sz w:val="24"/>
          <w:szCs w:val="24"/>
          <w:highlight w:val="none"/>
          <w14:textFill>
            <w14:solidFill>
              <w14:schemeClr w14:val="tx1"/>
            </w14:solidFill>
          </w14:textFill>
        </w:rPr>
        <w:t>一、双方的责任</w:t>
      </w:r>
      <w:bookmarkEnd w:id="85"/>
    </w:p>
    <w:p w14:paraId="55CBB7DD">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1.1应严格遵守国家关于建设工程的有关法律、法规，相关政策，以及廉政建设的各项规定。</w:t>
      </w:r>
    </w:p>
    <w:p w14:paraId="66F9F1CC">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1.2严格执行建设工程合同文件，自觉按合同办事。</w:t>
      </w:r>
    </w:p>
    <w:p w14:paraId="31F59E70">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1.3各项活动必须坚持公开、公平、公正、诚信、透明的原则(除法律法规另有规定者外)，不得为获取不正当的利益，损害国家、集体和对方利益，不得违反建设工程管理的规章制度。</w:t>
      </w:r>
    </w:p>
    <w:p w14:paraId="1155A178">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bookmarkStart w:id="86" w:name="_Hlk127535665"/>
      <w:r>
        <w:rPr>
          <w:rFonts w:hint="eastAsia" w:ascii="仿宋_GB2312" w:hAnsi="宋体" w:eastAsia="仿宋_GB2312" w:cs="宋体"/>
          <w:color w:val="000000" w:themeColor="text1"/>
          <w:kern w:val="0"/>
          <w:sz w:val="24"/>
          <w:szCs w:val="24"/>
          <w:highlight w:val="none"/>
          <w14:textFill>
            <w14:solidFill>
              <w14:schemeClr w14:val="tx1"/>
            </w14:solidFill>
          </w14:textFill>
        </w:rPr>
        <w:t>1.4发现双方在业务活动中有违规、违纪、违法行为的，应及时提醒对方，情节严重的，如实进行举报，一经查实，严肃处理。</w:t>
      </w:r>
    </w:p>
    <w:bookmarkEnd w:id="86"/>
    <w:p w14:paraId="0A1BD26C">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bookmarkStart w:id="87" w:name="_Toc300671950"/>
      <w:r>
        <w:rPr>
          <w:rFonts w:hint="eastAsia" w:ascii="仿宋_GB2312" w:hAnsi="宋体" w:eastAsia="仿宋_GB2312" w:cs="宋体"/>
          <w:color w:val="000000" w:themeColor="text1"/>
          <w:kern w:val="0"/>
          <w:sz w:val="24"/>
          <w:szCs w:val="24"/>
          <w:highlight w:val="none"/>
          <w14:textFill>
            <w14:solidFill>
              <w14:schemeClr w14:val="tx1"/>
            </w14:solidFill>
          </w14:textFill>
        </w:rPr>
        <w:t>二、甲方责任</w:t>
      </w:r>
      <w:bookmarkEnd w:id="87"/>
    </w:p>
    <w:p w14:paraId="319CB69B">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甲方相关人员和从事该建设工程项目的工作人员，在工程建设的事前、事中、事后应遵守以下规定：</w:t>
      </w:r>
    </w:p>
    <w:p w14:paraId="3964D916">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2.1按照甲方的</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采购</w:t>
      </w:r>
      <w:r>
        <w:rPr>
          <w:rFonts w:hint="eastAsia" w:ascii="仿宋_GB2312" w:hAnsi="宋体" w:eastAsia="仿宋_GB2312" w:cs="宋体"/>
          <w:color w:val="000000" w:themeColor="text1"/>
          <w:kern w:val="0"/>
          <w:sz w:val="24"/>
          <w:szCs w:val="24"/>
          <w:highlight w:val="none"/>
          <w14:textFill>
            <w14:solidFill>
              <w14:schemeClr w14:val="tx1"/>
            </w14:solidFill>
          </w14:textFill>
        </w:rPr>
        <w:t>程序确定供应商，确保公正、公平对待所有合作方；不得在</w:t>
      </w: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采购</w:t>
      </w:r>
      <w:r>
        <w:rPr>
          <w:rFonts w:hint="eastAsia" w:ascii="仿宋_GB2312" w:hAnsi="宋体" w:eastAsia="仿宋_GB2312" w:cs="宋体"/>
          <w:color w:val="000000" w:themeColor="text1"/>
          <w:kern w:val="0"/>
          <w:sz w:val="24"/>
          <w:szCs w:val="24"/>
          <w:highlight w:val="none"/>
          <w14:textFill>
            <w14:solidFill>
              <w14:schemeClr w14:val="tx1"/>
            </w14:solidFill>
          </w14:textFill>
        </w:rPr>
        <w:t>文件中有针对性地故意设定条件，以不公正的方法确定供应商；</w:t>
      </w:r>
    </w:p>
    <w:p w14:paraId="7479B45D">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2.2</w:t>
      </w:r>
      <w:r>
        <w:rPr>
          <w:rFonts w:hint="eastAsia" w:ascii="仿宋_GB2312" w:hAnsi="宋体" w:eastAsia="仿宋_GB2312"/>
          <w:color w:val="000000" w:themeColor="text1"/>
          <w:sz w:val="24"/>
          <w:szCs w:val="24"/>
          <w:highlight w:val="none"/>
          <w14:textFill>
            <w14:solidFill>
              <w14:schemeClr w14:val="tx1"/>
            </w14:solidFill>
          </w14:textFill>
        </w:rPr>
        <w:t>按照甲方的项目管理流程办理乙方的各项业务（现场签证、验收、结算、付款等），对乙方员工的吃拿卡要行为坚决制止，如甲方员工出现上述情况以索贿论；</w:t>
      </w:r>
    </w:p>
    <w:p w14:paraId="755D0238">
      <w:pPr>
        <w:widowControl/>
        <w:spacing w:line="400" w:lineRule="exact"/>
        <w:ind w:firstLine="480" w:firstLineChars="200"/>
        <w:rPr>
          <w:rFonts w:ascii="仿宋_GB2312" w:hAnsi="宋体" w:eastAsia="仿宋_GB2312"/>
          <w:color w:val="000000" w:themeColor="text1"/>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2.3</w:t>
      </w:r>
      <w:r>
        <w:rPr>
          <w:rFonts w:hint="eastAsia" w:ascii="仿宋_GB2312" w:hAnsi="宋体" w:eastAsia="仿宋_GB2312"/>
          <w:color w:val="000000" w:themeColor="text1"/>
          <w:sz w:val="24"/>
          <w:szCs w:val="24"/>
          <w:highlight w:val="none"/>
          <w14:textFill>
            <w14:solidFill>
              <w14:schemeClr w14:val="tx1"/>
            </w14:solidFill>
          </w14:textFill>
        </w:rPr>
        <w:t>不安排己方员工的亲友在乙方工作；</w:t>
      </w:r>
    </w:p>
    <w:p w14:paraId="1E9E53B4">
      <w:pPr>
        <w:widowControl/>
        <w:spacing w:line="400" w:lineRule="exact"/>
        <w:ind w:firstLine="480" w:firstLineChars="200"/>
        <w:rPr>
          <w:color w:val="000000" w:themeColor="text1"/>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2.4</w:t>
      </w:r>
      <w:r>
        <w:rPr>
          <w:rFonts w:hint="eastAsia" w:ascii="仿宋_GB2312" w:hAnsi="宋体" w:eastAsia="仿宋_GB2312"/>
          <w:color w:val="000000" w:themeColor="text1"/>
          <w:sz w:val="24"/>
          <w:szCs w:val="24"/>
          <w:highlight w:val="none"/>
          <w14:textFill>
            <w14:solidFill>
              <w14:schemeClr w14:val="tx1"/>
            </w14:solidFill>
          </w14:textFill>
        </w:rPr>
        <w:t>不得以任何理由向乙方推荐分包单位，不得要求乙方购买合同规定外的材料和设备；</w:t>
      </w:r>
    </w:p>
    <w:p w14:paraId="11333E31">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2.5不得向乙方和相关单位索要或接受回扣、礼金、有价证券、贵重物品和好处费、感谢费等。</w:t>
      </w:r>
    </w:p>
    <w:p w14:paraId="3E76F09A">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2.6不得在乙方和相关单位报销任何应由业主方或个人支付的费用。</w:t>
      </w:r>
    </w:p>
    <w:p w14:paraId="53763CF3">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2.7不得要求、暗示或接受乙方和相关单位为个人装修住房、婚丧嫁娶、配偶子女的工作安排以及出国(境)、旅游等提供方便。</w:t>
      </w:r>
    </w:p>
    <w:p w14:paraId="76905EB7">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2.8不得参加有可能影响公正执行公务的乙方和相关单位的宴请、健身、娱乐等活动。</w:t>
      </w:r>
    </w:p>
    <w:p w14:paraId="3B5990FC">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bookmarkStart w:id="88" w:name="_Toc300671951"/>
      <w:r>
        <w:rPr>
          <w:rFonts w:hint="eastAsia" w:ascii="仿宋_GB2312" w:hAnsi="宋体" w:eastAsia="仿宋_GB2312" w:cs="宋体"/>
          <w:color w:val="000000" w:themeColor="text1"/>
          <w:kern w:val="0"/>
          <w:sz w:val="24"/>
          <w:szCs w:val="24"/>
          <w:highlight w:val="none"/>
          <w14:textFill>
            <w14:solidFill>
              <w14:schemeClr w14:val="tx1"/>
            </w14:solidFill>
          </w14:textFill>
        </w:rPr>
        <w:t>三、乙方责任</w:t>
      </w:r>
      <w:bookmarkEnd w:id="88"/>
    </w:p>
    <w:p w14:paraId="39AB8F2C">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应与甲方保持正常的业务交往，按照有关法律法规和程序开展业务工作，严格执行工程建设的有关方针、政策，执行工程建设强制性标准，并遵守以下规定：</w:t>
      </w:r>
    </w:p>
    <w:p w14:paraId="41417CE8">
      <w:pPr>
        <w:spacing w:line="400" w:lineRule="exact"/>
        <w:ind w:firstLine="480" w:firstLineChars="200"/>
        <w:rPr>
          <w:rFonts w:ascii="仿宋_GB2312" w:hAnsi="宋体" w:eastAsia="仿宋_GB2312"/>
          <w:color w:val="000000" w:themeColor="text1"/>
          <w:sz w:val="24"/>
          <w:szCs w:val="24"/>
          <w:highlight w:val="none"/>
          <w14:textFill>
            <w14:solidFill>
              <w14:schemeClr w14:val="tx1"/>
            </w14:solidFill>
          </w14:textFill>
        </w:rPr>
      </w:pPr>
      <w:r>
        <w:rPr>
          <w:rFonts w:hint="eastAsia" w:ascii="仿宋_GB2312" w:eastAsia="仿宋_GB2312" w:cs="宋体"/>
          <w:color w:val="000000" w:themeColor="text1"/>
          <w:kern w:val="0"/>
          <w:sz w:val="24"/>
          <w:szCs w:val="24"/>
          <w:highlight w:val="none"/>
          <w14:textFill>
            <w14:solidFill>
              <w14:schemeClr w14:val="tx1"/>
            </w14:solidFill>
          </w14:textFill>
        </w:rPr>
        <w:t>3.1</w:t>
      </w:r>
      <w:r>
        <w:rPr>
          <w:rFonts w:hint="eastAsia" w:ascii="仿宋_GB2312" w:hAnsi="宋体" w:eastAsia="仿宋_GB2312"/>
          <w:color w:val="000000" w:themeColor="text1"/>
          <w:sz w:val="24"/>
          <w:szCs w:val="24"/>
          <w:highlight w:val="none"/>
          <w14:textFill>
            <w14:solidFill>
              <w14:schemeClr w14:val="tx1"/>
            </w14:solidFill>
          </w14:textFill>
        </w:rPr>
        <w:t>根据自己的实力参与甲方的</w:t>
      </w:r>
      <w:r>
        <w:rPr>
          <w:rFonts w:hint="eastAsia" w:ascii="仿宋_GB2312" w:hAnsi="宋体" w:eastAsia="仿宋_GB2312"/>
          <w:color w:val="000000" w:themeColor="text1"/>
          <w:sz w:val="24"/>
          <w:szCs w:val="24"/>
          <w:highlight w:val="none"/>
          <w:lang w:val="en-US" w:eastAsia="zh-CN"/>
          <w14:textFill>
            <w14:solidFill>
              <w14:schemeClr w14:val="tx1"/>
            </w14:solidFill>
          </w14:textFill>
        </w:rPr>
        <w:t>采购事项</w:t>
      </w:r>
      <w:r>
        <w:rPr>
          <w:rFonts w:hint="eastAsia" w:ascii="仿宋_GB2312" w:hAnsi="宋体" w:eastAsia="仿宋_GB2312"/>
          <w:color w:val="000000" w:themeColor="text1"/>
          <w:sz w:val="24"/>
          <w:szCs w:val="24"/>
          <w:highlight w:val="none"/>
          <w14:textFill>
            <w14:solidFill>
              <w14:schemeClr w14:val="tx1"/>
            </w14:solidFill>
          </w14:textFill>
        </w:rPr>
        <w:t>，遵守甲方的管理制度；不得在</w:t>
      </w:r>
      <w:r>
        <w:rPr>
          <w:rFonts w:hint="eastAsia" w:ascii="仿宋_GB2312" w:hAnsi="宋体" w:eastAsia="仿宋_GB2312"/>
          <w:color w:val="000000" w:themeColor="text1"/>
          <w:sz w:val="24"/>
          <w:szCs w:val="24"/>
          <w:highlight w:val="none"/>
          <w:lang w:val="en-US" w:eastAsia="zh-CN"/>
          <w14:textFill>
            <w14:solidFill>
              <w14:schemeClr w14:val="tx1"/>
            </w14:solidFill>
          </w14:textFill>
        </w:rPr>
        <w:t>采购</w:t>
      </w:r>
      <w:r>
        <w:rPr>
          <w:rFonts w:hint="eastAsia" w:ascii="仿宋_GB2312" w:hAnsi="宋体" w:eastAsia="仿宋_GB2312"/>
          <w:color w:val="000000" w:themeColor="text1"/>
          <w:sz w:val="24"/>
          <w:szCs w:val="24"/>
          <w:highlight w:val="none"/>
          <w14:textFill>
            <w14:solidFill>
              <w14:schemeClr w14:val="tx1"/>
            </w14:solidFill>
          </w14:textFill>
        </w:rPr>
        <w:t>之前或过程中，以不正当手段谋求</w:t>
      </w:r>
      <w:r>
        <w:rPr>
          <w:rFonts w:hint="eastAsia" w:ascii="仿宋_GB2312" w:hAnsi="宋体" w:eastAsia="仿宋_GB2312"/>
          <w:color w:val="000000" w:themeColor="text1"/>
          <w:sz w:val="24"/>
          <w:szCs w:val="24"/>
          <w:highlight w:val="none"/>
          <w:lang w:val="en-US" w:eastAsia="zh-CN"/>
          <w14:textFill>
            <w14:solidFill>
              <w14:schemeClr w14:val="tx1"/>
            </w14:solidFill>
          </w14:textFill>
        </w:rPr>
        <w:t>成交</w:t>
      </w:r>
      <w:r>
        <w:rPr>
          <w:rFonts w:hint="eastAsia" w:ascii="仿宋_GB2312" w:hAnsi="宋体" w:eastAsia="仿宋_GB2312"/>
          <w:color w:val="000000" w:themeColor="text1"/>
          <w:sz w:val="24"/>
          <w:szCs w:val="24"/>
          <w:highlight w:val="none"/>
          <w14:textFill>
            <w14:solidFill>
              <w14:schemeClr w14:val="tx1"/>
            </w14:solidFill>
          </w14:textFill>
        </w:rPr>
        <w:t>。</w:t>
      </w:r>
    </w:p>
    <w:p w14:paraId="3CD71C55">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hint="eastAsia" w:ascii="仿宋_GB2312" w:eastAsia="仿宋_GB2312" w:cs="宋体"/>
          <w:color w:val="000000" w:themeColor="text1"/>
          <w:kern w:val="0"/>
          <w:sz w:val="24"/>
          <w:szCs w:val="24"/>
          <w:highlight w:val="none"/>
          <w14:textFill>
            <w14:solidFill>
              <w14:schemeClr w14:val="tx1"/>
            </w14:solidFill>
          </w14:textFill>
        </w:rPr>
        <w:t>3.2不得向甲方员工及其亲属输送任何个人利益以寻求合作机会，不得为甲方人员配偶、子女及特定关系人安排工作、谋取不正当利益或提供各类方便。</w:t>
      </w:r>
    </w:p>
    <w:p w14:paraId="3518DAE3">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hint="eastAsia" w:ascii="仿宋_GB2312" w:eastAsia="仿宋_GB2312" w:cs="宋体"/>
          <w:color w:val="000000" w:themeColor="text1"/>
          <w:kern w:val="0"/>
          <w:sz w:val="24"/>
          <w:szCs w:val="24"/>
          <w:highlight w:val="none"/>
          <w14:textFill>
            <w14:solidFill>
              <w14:schemeClr w14:val="tx1"/>
            </w14:solidFill>
          </w14:textFill>
        </w:rPr>
        <w:t>3.3不得以任何理由为甲方和相关单位报销应由对方或个人支付的费用，包括出差期间的交通费和住宿费等。</w:t>
      </w:r>
    </w:p>
    <w:p w14:paraId="7DADFAEC">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hint="eastAsia" w:ascii="仿宋_GB2312" w:eastAsia="仿宋_GB2312" w:cs="宋体"/>
          <w:color w:val="000000" w:themeColor="text1"/>
          <w:kern w:val="0"/>
          <w:sz w:val="24"/>
          <w:szCs w:val="24"/>
          <w:highlight w:val="none"/>
          <w14:textFill>
            <w14:solidFill>
              <w14:schemeClr w14:val="tx1"/>
            </w14:solidFill>
          </w14:textFill>
        </w:rPr>
        <w:t>3.4不得以甲方员工及其亲属的家庭装修、婚丧嫁娶、出国留学等事宜为由进行提供资金及物资资助等行贿行为。</w:t>
      </w:r>
    </w:p>
    <w:p w14:paraId="3684617C">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ascii="仿宋_GB2312" w:eastAsia="仿宋_GB2312" w:cs="宋体"/>
          <w:color w:val="000000" w:themeColor="text1"/>
          <w:kern w:val="0"/>
          <w:sz w:val="24"/>
          <w:szCs w:val="24"/>
          <w:highlight w:val="none"/>
          <w14:textFill>
            <w14:solidFill>
              <w14:schemeClr w14:val="tx1"/>
            </w14:solidFill>
          </w14:textFill>
        </w:rPr>
        <w:t>3.5</w:t>
      </w:r>
      <w:r>
        <w:rPr>
          <w:rFonts w:hint="eastAsia" w:ascii="仿宋_GB2312" w:eastAsia="仿宋_GB2312" w:cs="宋体"/>
          <w:color w:val="000000" w:themeColor="text1"/>
          <w:kern w:val="0"/>
          <w:sz w:val="24"/>
          <w:szCs w:val="24"/>
          <w:highlight w:val="none"/>
          <w14:textFill>
            <w14:solidFill>
              <w14:schemeClr w14:val="tx1"/>
            </w14:solidFill>
          </w14:textFill>
        </w:rPr>
        <w:t>不得向甲方员工提供礼品、礼金、贵重物品或消费卡、会员卡、礼品券等虚拟电子礼品，严禁快递送礼。</w:t>
      </w:r>
    </w:p>
    <w:p w14:paraId="1997802C">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hint="eastAsia" w:ascii="仿宋_GB2312" w:eastAsia="仿宋_GB2312" w:cs="宋体"/>
          <w:color w:val="000000" w:themeColor="text1"/>
          <w:kern w:val="0"/>
          <w:sz w:val="24"/>
          <w:szCs w:val="24"/>
          <w:highlight w:val="none"/>
          <w14:textFill>
            <w14:solidFill>
              <w14:schemeClr w14:val="tx1"/>
            </w14:solidFill>
          </w14:textFill>
        </w:rPr>
        <w:t>3.</w:t>
      </w:r>
      <w:r>
        <w:rPr>
          <w:rFonts w:ascii="仿宋_GB2312" w:eastAsia="仿宋_GB2312" w:cs="宋体"/>
          <w:color w:val="000000" w:themeColor="text1"/>
          <w:kern w:val="0"/>
          <w:sz w:val="24"/>
          <w:szCs w:val="24"/>
          <w:highlight w:val="none"/>
          <w14:textFill>
            <w14:solidFill>
              <w14:schemeClr w14:val="tx1"/>
            </w14:solidFill>
          </w14:textFill>
        </w:rPr>
        <w:t>6</w:t>
      </w:r>
      <w:r>
        <w:rPr>
          <w:rFonts w:hint="eastAsia" w:ascii="仿宋_GB2312" w:eastAsia="仿宋_GB2312" w:cs="宋体"/>
          <w:color w:val="000000" w:themeColor="text1"/>
          <w:kern w:val="0"/>
          <w:sz w:val="24"/>
          <w:szCs w:val="24"/>
          <w:highlight w:val="none"/>
          <w14:textFill>
            <w14:solidFill>
              <w14:schemeClr w14:val="tx1"/>
            </w14:solidFill>
          </w14:textFill>
        </w:rPr>
        <w:t>不得以任何理由为甲方、相关单位或个人组织有可能影响公正执行公务的宴请、健身、娱乐等活动。</w:t>
      </w:r>
    </w:p>
    <w:p w14:paraId="7FEBD967">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ascii="仿宋_GB2312" w:eastAsia="仿宋_GB2312" w:cs="宋体"/>
          <w:color w:val="000000" w:themeColor="text1"/>
          <w:kern w:val="0"/>
          <w:sz w:val="24"/>
          <w:szCs w:val="24"/>
          <w:highlight w:val="none"/>
          <w14:textFill>
            <w14:solidFill>
              <w14:schemeClr w14:val="tx1"/>
            </w14:solidFill>
          </w14:textFill>
        </w:rPr>
        <w:t>3.7</w:t>
      </w:r>
      <w:r>
        <w:rPr>
          <w:rFonts w:hint="eastAsia" w:ascii="仿宋_GB2312" w:eastAsia="仿宋_GB2312" w:cs="宋体"/>
          <w:color w:val="000000" w:themeColor="text1"/>
          <w:kern w:val="0"/>
          <w:sz w:val="24"/>
          <w:szCs w:val="24"/>
          <w:highlight w:val="none"/>
          <w14:textFill>
            <w14:solidFill>
              <w14:schemeClr w14:val="tx1"/>
            </w14:solidFill>
          </w14:textFill>
        </w:rPr>
        <w:t>不得与甲方员工就合同条款中的利益条款进行私下协商或达成默契。</w:t>
      </w:r>
    </w:p>
    <w:p w14:paraId="0BD66E1F">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hint="eastAsia" w:ascii="仿宋_GB2312" w:eastAsia="仿宋_GB2312" w:cs="宋体"/>
          <w:color w:val="000000" w:themeColor="text1"/>
          <w:kern w:val="0"/>
          <w:sz w:val="24"/>
          <w:szCs w:val="24"/>
          <w:highlight w:val="none"/>
          <w14:textFill>
            <w14:solidFill>
              <w14:schemeClr w14:val="tx1"/>
            </w14:solidFill>
          </w14:textFill>
        </w:rPr>
        <w:t>3</w:t>
      </w:r>
      <w:r>
        <w:rPr>
          <w:rFonts w:ascii="仿宋_GB2312" w:eastAsia="仿宋_GB2312" w:cs="宋体"/>
          <w:color w:val="000000" w:themeColor="text1"/>
          <w:kern w:val="0"/>
          <w:sz w:val="24"/>
          <w:szCs w:val="24"/>
          <w:highlight w:val="none"/>
          <w14:textFill>
            <w14:solidFill>
              <w14:schemeClr w14:val="tx1"/>
            </w14:solidFill>
          </w14:textFill>
        </w:rPr>
        <w:t>.8</w:t>
      </w:r>
      <w:r>
        <w:rPr>
          <w:rFonts w:hint="eastAsia" w:ascii="仿宋_GB2312" w:eastAsia="仿宋_GB2312" w:cs="宋体"/>
          <w:color w:val="000000" w:themeColor="text1"/>
          <w:kern w:val="0"/>
          <w:sz w:val="24"/>
          <w:szCs w:val="24"/>
          <w:highlight w:val="none"/>
          <w14:textFill>
            <w14:solidFill>
              <w14:schemeClr w14:val="tx1"/>
            </w14:solidFill>
          </w14:textFill>
        </w:rPr>
        <w:t>不得安排甲方员工及其亲属从事合资或合股经营行为，不向甲方打探商业秘密或提供兼职报酬。</w:t>
      </w:r>
    </w:p>
    <w:p w14:paraId="63E6838E">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ascii="仿宋_GB2312" w:eastAsia="仿宋_GB2312" w:cs="宋体"/>
          <w:color w:val="000000" w:themeColor="text1"/>
          <w:kern w:val="0"/>
          <w:sz w:val="24"/>
          <w:szCs w:val="24"/>
          <w:highlight w:val="none"/>
          <w14:textFill>
            <w14:solidFill>
              <w14:schemeClr w14:val="tx1"/>
            </w14:solidFill>
          </w14:textFill>
        </w:rPr>
        <w:t>3.9</w:t>
      </w:r>
      <w:r>
        <w:rPr>
          <w:rFonts w:hint="eastAsia" w:ascii="仿宋_GB2312" w:eastAsia="仿宋_GB2312" w:cs="宋体"/>
          <w:color w:val="000000" w:themeColor="text1"/>
          <w:kern w:val="0"/>
          <w:sz w:val="24"/>
          <w:szCs w:val="24"/>
          <w:highlight w:val="none"/>
          <w14:textFill>
            <w14:solidFill>
              <w14:schemeClr w14:val="tx1"/>
            </w14:solidFill>
          </w14:textFill>
        </w:rPr>
        <w:t>不在甲方人员进行市场调研、商务洽谈等期间违规提供公务接待。</w:t>
      </w:r>
    </w:p>
    <w:p w14:paraId="467ED2D6">
      <w:pPr>
        <w:spacing w:line="400" w:lineRule="exact"/>
        <w:ind w:firstLine="480" w:firstLineChars="200"/>
        <w:rPr>
          <w:rFonts w:ascii="仿宋_GB2312" w:eastAsia="仿宋_GB2312" w:cs="宋体"/>
          <w:color w:val="000000" w:themeColor="text1"/>
          <w:kern w:val="0"/>
          <w:sz w:val="24"/>
          <w:szCs w:val="24"/>
          <w:highlight w:val="none"/>
          <w14:textFill>
            <w14:solidFill>
              <w14:schemeClr w14:val="tx1"/>
            </w14:solidFill>
          </w14:textFill>
        </w:rPr>
      </w:pPr>
      <w:r>
        <w:rPr>
          <w:rFonts w:ascii="仿宋_GB2312" w:eastAsia="仿宋_GB2312" w:cs="宋体"/>
          <w:color w:val="000000" w:themeColor="text1"/>
          <w:kern w:val="0"/>
          <w:sz w:val="24"/>
          <w:szCs w:val="24"/>
          <w:highlight w:val="none"/>
          <w14:textFill>
            <w14:solidFill>
              <w14:schemeClr w14:val="tx1"/>
            </w14:solidFill>
          </w14:textFill>
        </w:rPr>
        <w:t>3.10</w:t>
      </w:r>
      <w:r>
        <w:rPr>
          <w:rFonts w:hint="eastAsia" w:ascii="仿宋_GB2312" w:eastAsia="仿宋_GB2312" w:cs="宋体"/>
          <w:color w:val="000000" w:themeColor="text1"/>
          <w:kern w:val="0"/>
          <w:sz w:val="24"/>
          <w:szCs w:val="24"/>
          <w:highlight w:val="none"/>
          <w14:textFill>
            <w14:solidFill>
              <w14:schemeClr w14:val="tx1"/>
            </w14:solidFill>
          </w14:textFill>
        </w:rPr>
        <w:t>对甲方员工违反本协议的行为及时向甲方的上级监督部门报告。</w:t>
      </w:r>
    </w:p>
    <w:p w14:paraId="0E7ECAE4">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bookmarkStart w:id="89" w:name="_Toc300671952"/>
      <w:r>
        <w:rPr>
          <w:rFonts w:hint="eastAsia" w:ascii="仿宋_GB2312" w:hAnsi="宋体" w:eastAsia="仿宋_GB2312" w:cs="宋体"/>
          <w:color w:val="000000" w:themeColor="text1"/>
          <w:kern w:val="0"/>
          <w:sz w:val="24"/>
          <w:szCs w:val="24"/>
          <w:highlight w:val="none"/>
          <w14:textFill>
            <w14:solidFill>
              <w14:schemeClr w14:val="tx1"/>
            </w14:solidFill>
          </w14:textFill>
        </w:rPr>
        <w:t>四、违约责任</w:t>
      </w:r>
      <w:bookmarkEnd w:id="89"/>
    </w:p>
    <w:p w14:paraId="55FFC9B1">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4.1甲方工作人员有违反本责任书第一、二条责任行为的，依据有关法律及甲方《员工守则》，提交甲方纪检部门进行处理。</w:t>
      </w:r>
    </w:p>
    <w:p w14:paraId="302DAB8E">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4.2乙方工作人员有违反本责任书第一、三条责任行为的，依据有关法律法规处理；向甲方行贿或给甲方单位造成经济损失的，按照受贿金额或损失金额的5-10倍进行处罚</w:t>
      </w:r>
      <w:r>
        <w:rPr>
          <w:rFonts w:hint="eastAsia" w:ascii="仿宋_GB2312" w:hAnsi="宋体" w:eastAsia="仿宋_GB2312"/>
          <w:color w:val="000000" w:themeColor="text1"/>
          <w:sz w:val="24"/>
          <w:szCs w:val="24"/>
          <w:highlight w:val="none"/>
          <w14:textFill>
            <w14:solidFill>
              <w14:schemeClr w14:val="tx1"/>
            </w14:solidFill>
          </w14:textFill>
        </w:rPr>
        <w:t>，立即清除出场，终止合同执行，给甲方造成经济损失的应予以赔偿，同时纳入供应商黑名单；如乙方和甲方的员工勾结虚增结算款，则按照虚增款项的5倍扣减乙方应结算的款项；如发现乙方接受甲方人员要求安排甲方人员亲友在乙方工作，违者除令被安插人员在两天内退出外，并对责任人按每人每次1000元给予</w:t>
      </w:r>
      <w:r>
        <w:rPr>
          <w:rFonts w:hint="eastAsia" w:ascii="仿宋_GB2312" w:hAnsi="宋体" w:eastAsia="仿宋_GB2312" w:cs="Times New Roman"/>
          <w:color w:val="000000" w:themeColor="text1"/>
          <w:sz w:val="24"/>
          <w:szCs w:val="24"/>
          <w:highlight w:val="none"/>
          <w14:textFill>
            <w14:solidFill>
              <w14:schemeClr w14:val="tx1"/>
            </w14:solidFill>
          </w14:textFill>
        </w:rPr>
        <w:t>罚款。</w:t>
      </w:r>
    </w:p>
    <w:p w14:paraId="2D9EBB7C">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4.3甲方工作人员不得接受可能影响公正执行公务的礼金（包括各种有价证券）、礼品馈赠。因各种原因未能拒收的，一律上交所属部门并登记。</w:t>
      </w:r>
    </w:p>
    <w:p w14:paraId="501773FD">
      <w:pPr>
        <w:spacing w:line="400" w:lineRule="exact"/>
        <w:ind w:firstLine="480" w:firstLineChars="200"/>
        <w:rPr>
          <w:rFonts w:ascii="仿宋_GB2312" w:hAnsi="宋体" w:eastAsia="仿宋_GB2312"/>
          <w:color w:val="000000" w:themeColor="text1"/>
          <w:sz w:val="24"/>
          <w:szCs w:val="24"/>
          <w:highlight w:val="none"/>
          <w14:textFill>
            <w14:solidFill>
              <w14:schemeClr w14:val="tx1"/>
            </w14:solidFill>
          </w14:textFill>
        </w:rPr>
      </w:pPr>
      <w:r>
        <w:rPr>
          <w:rFonts w:hint="eastAsia" w:ascii="仿宋_GB2312" w:hAnsi="宋体" w:eastAsia="仿宋_GB2312"/>
          <w:color w:val="000000" w:themeColor="text1"/>
          <w:sz w:val="24"/>
          <w:szCs w:val="24"/>
          <w:highlight w:val="none"/>
          <w14:textFill>
            <w14:solidFill>
              <w14:schemeClr w14:val="tx1"/>
            </w14:solidFill>
          </w14:textFill>
        </w:rPr>
        <w:t>4.4</w:t>
      </w:r>
      <w:r>
        <w:rPr>
          <w:rFonts w:hint="eastAsia" w:ascii="仿宋_GB2312" w:hAnsi="宋体" w:eastAsia="仿宋_GB2312" w:cs="宋体"/>
          <w:color w:val="000000" w:themeColor="text1"/>
          <w:kern w:val="0"/>
          <w:sz w:val="24"/>
          <w:szCs w:val="24"/>
          <w:highlight w:val="none"/>
          <w14:textFill>
            <w14:solidFill>
              <w14:schemeClr w14:val="tx1"/>
            </w14:solidFill>
          </w14:textFill>
        </w:rPr>
        <w:t>甲乙双方必须认真履行本协议，遵纪守法，相互监督，密切配合，共同搞好廉政建设。双方</w:t>
      </w:r>
      <w:r>
        <w:rPr>
          <w:rFonts w:hint="eastAsia" w:ascii="仿宋_GB2312" w:hAnsi="宋体" w:eastAsia="仿宋_GB2312"/>
          <w:color w:val="000000" w:themeColor="text1"/>
          <w:sz w:val="24"/>
          <w:szCs w:val="24"/>
          <w:highlight w:val="none"/>
          <w14:textFill>
            <w14:solidFill>
              <w14:schemeClr w14:val="tx1"/>
            </w14:solidFill>
          </w14:textFill>
        </w:rPr>
        <w:t>认可甲方建立不诚信合作方黑名单制度，如乙方发生向甲方员工的行贿行为、乙方和甲方的员工勾结虚增结算款项的行为，则该乙方进入甲方不诚信合作方黑名单，</w:t>
      </w:r>
      <w:r>
        <w:rPr>
          <w:rFonts w:hint="eastAsia" w:ascii="仿宋_GB2312" w:hAnsi="宋体" w:eastAsia="仿宋_GB2312" w:cs="宋体"/>
          <w:color w:val="000000" w:themeColor="text1"/>
          <w:kern w:val="0"/>
          <w:sz w:val="24"/>
          <w:szCs w:val="24"/>
          <w:highlight w:val="none"/>
          <w14:textFill>
            <w14:solidFill>
              <w14:schemeClr w14:val="tx1"/>
            </w14:solidFill>
          </w14:textFill>
        </w:rPr>
        <w:t>触犯刑律的，移交司法机关处理。</w:t>
      </w:r>
    </w:p>
    <w:p w14:paraId="367916A4">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4.5本责任书作为主合同的组成部分，与本合同具有同等法律效力。生效条件与主合同相同。</w:t>
      </w:r>
    </w:p>
    <w:p w14:paraId="7DB55BF6">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五、监督举报渠道</w:t>
      </w:r>
    </w:p>
    <w:p w14:paraId="68229878">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5.1信访办公室</w:t>
      </w:r>
    </w:p>
    <w:p w14:paraId="6DEB5C96">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来信地址：石家庄市建设南大街38号中建路桥集团有限公司信访办公室（收）</w:t>
      </w:r>
    </w:p>
    <w:p w14:paraId="651C8BAE">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邮编：050011</w:t>
      </w:r>
    </w:p>
    <w:p w14:paraId="156F4C67">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电话：0311-66538159</w:t>
      </w:r>
    </w:p>
    <w:p w14:paraId="79F90D21">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电子邮箱：sinorbbg@cscec.com</w:t>
      </w:r>
    </w:p>
    <w:p w14:paraId="3372FB7D">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5.2纪检监督工作部</w:t>
      </w:r>
    </w:p>
    <w:p w14:paraId="48712F79">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来信地址：石家庄市建设南大街38号中建路桥集团有限公司纪检监督工作部（收）</w:t>
      </w:r>
    </w:p>
    <w:p w14:paraId="21774485">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邮编：050011</w:t>
      </w:r>
    </w:p>
    <w:p w14:paraId="006CAAF7">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电话：0311-66538173</w:t>
      </w:r>
    </w:p>
    <w:p w14:paraId="417A90BF">
      <w:pPr>
        <w:widowControl/>
        <w:spacing w:line="400" w:lineRule="exact"/>
        <w:ind w:firstLine="480" w:firstLineChars="200"/>
        <w:rPr>
          <w:rFonts w:hint="eastAsia"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电子邮箱：sinorbjc@cscec.com</w:t>
      </w:r>
    </w:p>
    <w:p w14:paraId="7072F1C9">
      <w:pPr>
        <w:widowControl/>
        <w:spacing w:line="400" w:lineRule="exact"/>
        <w:ind w:firstLine="480" w:firstLineChars="200"/>
        <w:rPr>
          <w:rFonts w:ascii="仿宋_GB2312" w:hAnsi="宋体" w:eastAsia="仿宋_GB2312" w:cs="宋体"/>
          <w:color w:val="000000" w:themeColor="text1"/>
          <w:kern w:val="0"/>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lang w:val="en-US" w:eastAsia="zh-CN"/>
          <w14:textFill>
            <w14:solidFill>
              <w14:schemeClr w14:val="tx1"/>
            </w14:solidFill>
          </w14:textFill>
        </w:rPr>
        <w:t>六</w:t>
      </w:r>
      <w:r>
        <w:rPr>
          <w:rFonts w:hint="eastAsia" w:ascii="仿宋_GB2312" w:hAnsi="宋体" w:eastAsia="仿宋_GB2312" w:cs="宋体"/>
          <w:color w:val="000000" w:themeColor="text1"/>
          <w:kern w:val="0"/>
          <w:sz w:val="24"/>
          <w:szCs w:val="24"/>
          <w:highlight w:val="none"/>
          <w14:textFill>
            <w14:solidFill>
              <w14:schemeClr w14:val="tx1"/>
            </w14:solidFill>
          </w14:textFill>
        </w:rPr>
        <w:t>、责任书有效期</w:t>
      </w:r>
    </w:p>
    <w:p w14:paraId="79CD07B7">
      <w:pPr>
        <w:widowControl/>
        <w:spacing w:line="400" w:lineRule="exact"/>
        <w:ind w:firstLine="480" w:firstLineChars="200"/>
        <w:rPr>
          <w:rFonts w:ascii="仿宋_GB2312" w:hAnsi="仿宋_GB2312" w:eastAsia="仿宋_GB2312" w:cs="仿宋_GB2312"/>
          <w:bCs/>
          <w:color w:val="000000" w:themeColor="text1"/>
          <w:sz w:val="24"/>
          <w:szCs w:val="24"/>
          <w:highlight w:val="none"/>
          <w14:textFill>
            <w14:solidFill>
              <w14:schemeClr w14:val="tx1"/>
            </w14:solidFill>
          </w14:textFill>
        </w:rPr>
      </w:pPr>
      <w:r>
        <w:rPr>
          <w:rFonts w:hint="eastAsia" w:ascii="仿宋_GB2312" w:hAnsi="宋体" w:eastAsia="仿宋_GB2312" w:cs="宋体"/>
          <w:color w:val="000000" w:themeColor="text1"/>
          <w:kern w:val="0"/>
          <w:sz w:val="24"/>
          <w:szCs w:val="24"/>
          <w:highlight w:val="none"/>
          <w14:textFill>
            <w14:solidFill>
              <w14:schemeClr w14:val="tx1"/>
            </w14:solidFill>
          </w14:textFill>
        </w:rPr>
        <w:t>本责任书的有效期为双方签署之日起至该工程项目竣工验收合格时止。</w:t>
      </w:r>
    </w:p>
    <w:p w14:paraId="02E12388">
      <w:pPr>
        <w:pStyle w:val="12"/>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p>
    <w:p w14:paraId="238D7658">
      <w:pPr>
        <w:pStyle w:val="12"/>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p>
    <w:p w14:paraId="5BB5FA55">
      <w:pPr>
        <w:pStyle w:val="12"/>
        <w:spacing w:line="400" w:lineRule="exact"/>
        <w:ind w:firstLine="480" w:firstLineChars="200"/>
        <w:rPr>
          <w:rFonts w:ascii="仿宋_GB2312" w:hAnsi="仿宋_GB2312" w:eastAsia="仿宋_GB2312" w:cs="仿宋_GB2312"/>
          <w:bCs/>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甲方（盖章）：                        乙方（公章）：</w:t>
      </w:r>
    </w:p>
    <w:p w14:paraId="52D60A99">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法定代表人：                           法定代表人：</w:t>
      </w:r>
    </w:p>
    <w:p w14:paraId="29F6BED7">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w:t>
      </w:r>
    </w:p>
    <w:p w14:paraId="60CC9CAA">
      <w:pPr>
        <w:autoSpaceDE w:val="0"/>
        <w:autoSpaceDN w:val="0"/>
        <w:adjustRightInd w:val="0"/>
        <w:spacing w:line="400" w:lineRule="atLeast"/>
        <w:ind w:firstLine="960" w:firstLineChars="4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被委托</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人：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委托人：</w:t>
      </w:r>
    </w:p>
    <w:p w14:paraId="4A35B870">
      <w:pPr>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年  月  日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年  月  日 </w:t>
      </w:r>
    </w:p>
    <w:p w14:paraId="1EABFBF1">
      <w:pPr>
        <w:spacing w:line="400" w:lineRule="exact"/>
        <w:ind w:firstLine="5040" w:firstLineChars="21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56DB7284">
      <w:pPr>
        <w:rPr>
          <w:rFonts w:ascii="仿宋_GB2312" w:hAnsi="宋体" w:eastAsia="仿宋_GB2312"/>
          <w:color w:val="000000" w:themeColor="text1"/>
          <w:sz w:val="24"/>
          <w:highlight w:val="none"/>
          <w14:textFill>
            <w14:solidFill>
              <w14:schemeClr w14:val="tx1"/>
            </w14:solidFill>
          </w14:textFill>
        </w:rPr>
      </w:pPr>
      <w:r>
        <w:rPr>
          <w:rFonts w:ascii="仿宋_GB2312" w:hAnsi="宋体" w:eastAsia="仿宋_GB2312"/>
          <w:color w:val="000000" w:themeColor="text1"/>
          <w:sz w:val="24"/>
          <w:highlight w:val="none"/>
          <w14:textFill>
            <w14:solidFill>
              <w14:schemeClr w14:val="tx1"/>
            </w14:solidFill>
          </w14:textFill>
        </w:rPr>
        <w:br w:type="page"/>
      </w:r>
    </w:p>
    <w:p w14:paraId="6725C40D">
      <w:pPr>
        <w:pStyle w:val="12"/>
        <w:jc w:val="center"/>
        <w:outlineLvl w:val="0"/>
        <w:rPr>
          <w:rFonts w:ascii="仿宋" w:hAnsi="仿宋" w:eastAsia="仿宋" w:cs="仿宋"/>
          <w:b/>
          <w:bCs/>
          <w:color w:val="000000" w:themeColor="text1"/>
          <w:sz w:val="32"/>
          <w:szCs w:val="32"/>
          <w:highlight w:val="none"/>
          <w14:textFill>
            <w14:solidFill>
              <w14:schemeClr w14:val="tx1"/>
            </w14:solidFill>
          </w14:textFill>
        </w:rPr>
      </w:pPr>
      <w:bookmarkStart w:id="90" w:name="_Hlk127794870"/>
      <w:bookmarkStart w:id="91" w:name="_Toc1869"/>
      <w:bookmarkStart w:id="92" w:name="_Toc18674"/>
      <w:bookmarkStart w:id="93" w:name="_Toc1495"/>
      <w:r>
        <w:rPr>
          <w:rFonts w:hint="eastAsia" w:ascii="黑体" w:hAnsi="黑体" w:eastAsia="黑体" w:cs="黑体"/>
          <w:b/>
          <w:bCs/>
          <w:color w:val="000000" w:themeColor="text1"/>
          <w:sz w:val="32"/>
          <w:szCs w:val="32"/>
          <w:highlight w:val="none"/>
          <w14:textFill>
            <w14:solidFill>
              <w14:schemeClr w14:val="tx1"/>
            </w14:solidFill>
          </w14:textFill>
        </w:rPr>
        <w:t>第二部分 通用条款</w:t>
      </w:r>
      <w:bookmarkEnd w:id="90"/>
      <w:bookmarkEnd w:id="91"/>
      <w:bookmarkEnd w:id="92"/>
    </w:p>
    <w:p w14:paraId="7919CF64">
      <w:pPr>
        <w:pStyle w:val="12"/>
        <w:numPr>
          <w:ilvl w:val="0"/>
          <w:numId w:val="8"/>
        </w:numPr>
        <w:spacing w:before="120" w:beforeLines="50" w:after="120" w:afterLines="50" w:line="400" w:lineRule="atLeast"/>
        <w:ind w:firstLine="482"/>
        <w:outlineLvl w:val="0"/>
        <w:rPr>
          <w:rFonts w:ascii="仿宋_GB2312" w:hAnsi="仿宋_GB2312" w:eastAsia="仿宋_GB2312" w:cs="仿宋_GB2312"/>
          <w:b/>
          <w:bCs/>
          <w:color w:val="000000" w:themeColor="text1"/>
          <w:highlight w:val="none"/>
          <w14:textFill>
            <w14:solidFill>
              <w14:schemeClr w14:val="tx1"/>
            </w14:solidFill>
          </w14:textFill>
        </w:rPr>
      </w:pPr>
      <w:bookmarkStart w:id="94" w:name="_Toc3066"/>
      <w:bookmarkStart w:id="95" w:name="_Toc11168"/>
      <w:r>
        <w:rPr>
          <w:rFonts w:hint="eastAsia" w:ascii="仿宋_GB2312" w:hAnsi="仿宋_GB2312" w:eastAsia="仿宋_GB2312" w:cs="仿宋_GB2312"/>
          <w:b/>
          <w:bCs/>
          <w:color w:val="000000" w:themeColor="text1"/>
          <w:highlight w:val="none"/>
          <w14:textFill>
            <w14:solidFill>
              <w14:schemeClr w14:val="tx1"/>
            </w14:solidFill>
          </w14:textFill>
        </w:rPr>
        <w:t>货物合同附随义务</w:t>
      </w:r>
      <w:bookmarkEnd w:id="93"/>
      <w:bookmarkEnd w:id="94"/>
      <w:bookmarkEnd w:id="95"/>
    </w:p>
    <w:p w14:paraId="22BE5DF0">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1.乙方义务</w:t>
      </w:r>
    </w:p>
    <w:p w14:paraId="2DC07B3B">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1.1乙方合规义务</w:t>
      </w:r>
    </w:p>
    <w:p w14:paraId="76EDB5C5">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1.1.1合规开展行业竞争：</w:t>
      </w:r>
      <w:r>
        <w:rPr>
          <w:rFonts w:hint="eastAsia" w:ascii="仿宋_GB2312" w:hAnsi="仿宋_GB2312" w:eastAsia="仿宋_GB2312" w:cs="仿宋_GB2312"/>
          <w:color w:val="000000" w:themeColor="text1"/>
          <w:highlight w:val="none"/>
          <w14:textFill>
            <w14:solidFill>
              <w14:schemeClr w14:val="tx1"/>
            </w14:solidFill>
          </w14:textFill>
        </w:rPr>
        <w:t>积极防范和制止垄断行为，不实施任何市场排除、限制竞争行为；不组织经营者集中等违法垄断行为，不实施不正当竞争行为和不正当价格行为，不从事商誉诋毁等违法违规竞争行为。</w:t>
      </w:r>
    </w:p>
    <w:p w14:paraId="615E8F33">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1.1.2合规保障服务生产：</w:t>
      </w:r>
      <w:r>
        <w:rPr>
          <w:rFonts w:hint="eastAsia" w:ascii="仿宋_GB2312" w:hAnsi="仿宋_GB2312" w:eastAsia="仿宋_GB2312" w:cs="仿宋_GB2312"/>
          <w:color w:val="000000" w:themeColor="text1"/>
          <w:highlight w:val="none"/>
          <w14:textFill>
            <w14:solidFill>
              <w14:schemeClr w14:val="tx1"/>
            </w14:solidFill>
          </w14:textFill>
        </w:rPr>
        <w:t>恪守契约精神，严格按照合同约定时间和地点完成货物交付，全力保障项目物资设备供应需求。</w:t>
      </w:r>
    </w:p>
    <w:p w14:paraId="6656A45C">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1.1.3合规履行安全管控职责：</w:t>
      </w:r>
      <w:r>
        <w:rPr>
          <w:rFonts w:hint="eastAsia" w:ascii="仿宋_GB2312" w:hAnsi="仿宋_GB2312" w:eastAsia="仿宋_GB2312" w:cs="仿宋_GB2312"/>
          <w:color w:val="000000" w:themeColor="text1"/>
          <w:highlight w:val="none"/>
          <w14:textFill>
            <w14:solidFill>
              <w14:schemeClr w14:val="tx1"/>
            </w14:solidFill>
          </w14:textFill>
        </w:rPr>
        <w:t>自觉遵守甲方施工现场有关安全文明施工、环境和职业健康安全方面的要求，绝不出现违反安全法律和其他安全生产规章制度的行为，具体要求详见合同附件三。</w:t>
      </w:r>
    </w:p>
    <w:p w14:paraId="1107FDC5">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1.1.4合规履行质量管控职责：</w:t>
      </w:r>
      <w:r>
        <w:rPr>
          <w:rFonts w:hint="eastAsia" w:ascii="仿宋_GB2312" w:hAnsi="仿宋_GB2312" w:eastAsia="仿宋_GB2312" w:cs="仿宋_GB2312"/>
          <w:color w:val="000000" w:themeColor="text1"/>
          <w:highlight w:val="none"/>
          <w14:textFill>
            <w14:solidFill>
              <w14:schemeClr w14:val="tx1"/>
            </w14:solidFill>
          </w14:textFill>
        </w:rPr>
        <w:t>绝不供应质量不合格货物，加强自身各环节质量管理，绝不出现任何质量或数量瑕疵，严控假冒伪劣货物流通，严格按本合同约定质量标准和数量要求履约生产。</w:t>
      </w:r>
    </w:p>
    <w:p w14:paraId="09CB2BEE">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1.1.5合规依法纳税职责：</w:t>
      </w:r>
      <w:r>
        <w:rPr>
          <w:rFonts w:hint="eastAsia" w:ascii="仿宋_GB2312" w:hAnsi="仿宋_GB2312" w:eastAsia="仿宋_GB2312" w:cs="仿宋_GB2312"/>
          <w:color w:val="000000" w:themeColor="text1"/>
          <w:highlight w:val="none"/>
          <w14:textFill>
            <w14:solidFill>
              <w14:schemeClr w14:val="tx1"/>
            </w14:solidFill>
          </w14:textFill>
        </w:rPr>
        <w:t>严格按照国家税法规定，履行合法合规纳税义务，绝不虚开或伪造增值税专用发票。</w:t>
      </w:r>
    </w:p>
    <w:p w14:paraId="3A33BFCD">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1.1.6合规拥有货物所有权：</w:t>
      </w:r>
      <w:r>
        <w:rPr>
          <w:rFonts w:hint="eastAsia" w:ascii="仿宋_GB2312" w:hAnsi="仿宋_GB2312" w:eastAsia="仿宋_GB2312" w:cs="仿宋_GB2312"/>
          <w:color w:val="000000" w:themeColor="text1"/>
          <w:highlight w:val="none"/>
          <w14:textFill>
            <w14:solidFill>
              <w14:schemeClr w14:val="tx1"/>
            </w14:solidFill>
          </w14:textFill>
        </w:rPr>
        <w:t>保证对货物具有所有权或受委托代理销售权，并向甲方出具相关凭证。保证交付的货物不附有任何担保权、留置权或设定其他权利负担。</w:t>
      </w:r>
    </w:p>
    <w:p w14:paraId="0015A497">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1.1.7合规拥有</w:t>
      </w:r>
      <w:r>
        <w:rPr>
          <w:rFonts w:ascii="仿宋_GB2312" w:hAnsi="仿宋_GB2312" w:eastAsia="仿宋_GB2312" w:cs="仿宋_GB2312"/>
          <w:b/>
          <w:bCs/>
          <w:color w:val="000000" w:themeColor="text1"/>
          <w:highlight w:val="none"/>
          <w14:textFill>
            <w14:solidFill>
              <w14:schemeClr w14:val="tx1"/>
            </w14:solidFill>
          </w14:textFill>
        </w:rPr>
        <w:t>货物知识产权：</w:t>
      </w:r>
      <w:r>
        <w:rPr>
          <w:rFonts w:ascii="仿宋_GB2312" w:hAnsi="仿宋_GB2312" w:eastAsia="仿宋_GB2312" w:cs="仿宋_GB2312"/>
          <w:color w:val="000000" w:themeColor="text1"/>
          <w:highlight w:val="none"/>
          <w14:textFill>
            <w14:solidFill>
              <w14:schemeClr w14:val="tx1"/>
            </w14:solidFill>
          </w14:textFill>
        </w:rPr>
        <w:t>保障甲方在工程所在地使用其货物、服务及其任何部分不受到第三方关于侵犯专利权、商标权、工业设计权或其他知识产权的指控。任何第三方如果提起侵权诉讼，乙方负责与第三方交涉并承担由此而引起的一切法律责任和费用及赔偿甲方的一切损失。</w:t>
      </w:r>
    </w:p>
    <w:p w14:paraId="3CEDFEE9">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1.1.8合规开展廉洁共建职责：</w:t>
      </w:r>
      <w:r>
        <w:rPr>
          <w:rFonts w:hint="eastAsia" w:ascii="仿宋_GB2312" w:hAnsi="仿宋_GB2312" w:eastAsia="仿宋_GB2312" w:cs="仿宋_GB2312"/>
          <w:color w:val="000000" w:themeColor="text1"/>
          <w:highlight w:val="none"/>
          <w14:textFill>
            <w14:solidFill>
              <w14:schemeClr w14:val="tx1"/>
            </w14:solidFill>
          </w14:textFill>
        </w:rPr>
        <w:t xml:space="preserve">绝不从事任何形式的商业贿赂、利益输送及其他不正当交易；绝不以任何理由为甲方、相关单位或个人组织有可能影响公正执行公务的宴请、娱乐等活动，具体要求详见合同附件四。 </w:t>
      </w:r>
    </w:p>
    <w:p w14:paraId="1DDD6368">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1.2乙方其他义务</w:t>
      </w:r>
    </w:p>
    <w:p w14:paraId="3DBAC1D8">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1.2.1增值服务：</w:t>
      </w:r>
      <w:r>
        <w:rPr>
          <w:rFonts w:hint="eastAsia" w:ascii="仿宋_GB2312" w:hAnsi="仿宋_GB2312" w:eastAsia="仿宋_GB2312" w:cs="仿宋_GB2312"/>
          <w:color w:val="000000" w:themeColor="text1"/>
          <w:highlight w:val="none"/>
          <w14:textFill>
            <w14:solidFill>
              <w14:schemeClr w14:val="tx1"/>
            </w14:solidFill>
          </w14:textFill>
        </w:rPr>
        <w:t>乙方应提供与货物配套的增值服务；包括但不限于技术支持、深化设计、现场培训及货物安装指导等工作，相应费用已在综合单价考虑。</w:t>
      </w:r>
    </w:p>
    <w:p w14:paraId="34AC8898">
      <w:pPr>
        <w:pStyle w:val="12"/>
        <w:spacing w:line="400" w:lineRule="atLeast"/>
        <w:ind w:firstLine="482"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1.2.2货物退货与置换：</w:t>
      </w:r>
      <w:r>
        <w:rPr>
          <w:rFonts w:hint="eastAsia" w:ascii="仿宋_GB2312" w:hAnsi="仿宋_GB2312" w:eastAsia="仿宋_GB2312" w:cs="仿宋_GB2312"/>
          <w:color w:val="000000" w:themeColor="text1"/>
          <w:highlight w:val="none"/>
          <w14:textFill>
            <w14:solidFill>
              <w14:schemeClr w14:val="tx1"/>
            </w14:solidFill>
          </w14:textFill>
        </w:rPr>
        <w:t>乙方供应的货物，根据不同情况甲方可选择直接向乙方退货或向乙方置换，乙方同意按甲方选择的方式办理：</w:t>
      </w:r>
    </w:p>
    <w:p w14:paraId="53E5DD8C">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（1）对于未使用且不影响二次销售的材料，若甲方选择退货，则双方按甲方退货后实际收到合格货物数量办理结算。</w:t>
      </w:r>
    </w:p>
    <w:p w14:paraId="01C65612">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（2）对于已使用的材料，若甲方选择置换，则双方协商估算原材料残值并置换等价值新材料。</w:t>
      </w:r>
    </w:p>
    <w:p w14:paraId="1A4BA0A4">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（3）甲方原因产生的退货或者置换产生的运输费用由</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甲方 </w:t>
      </w:r>
      <w:r>
        <w:rPr>
          <w:rFonts w:hint="eastAsia" w:ascii="仿宋_GB2312" w:hAnsi="仿宋_GB2312" w:eastAsia="仿宋_GB2312" w:cs="仿宋_GB2312"/>
          <w:color w:val="000000" w:themeColor="text1"/>
          <w:highlight w:val="none"/>
          <w14:textFill>
            <w14:solidFill>
              <w14:schemeClr w14:val="tx1"/>
            </w14:solidFill>
          </w14:textFill>
        </w:rPr>
        <w:t>承担，装卸费用由</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甲方 </w:t>
      </w:r>
      <w:r>
        <w:rPr>
          <w:rFonts w:hint="eastAsia" w:ascii="仿宋_GB2312" w:hAnsi="仿宋_GB2312" w:eastAsia="仿宋_GB2312" w:cs="仿宋_GB2312"/>
          <w:color w:val="000000" w:themeColor="text1"/>
          <w:highlight w:val="none"/>
          <w14:textFill>
            <w14:solidFill>
              <w14:schemeClr w14:val="tx1"/>
            </w14:solidFill>
          </w14:textFill>
        </w:rPr>
        <w:t>承担。</w:t>
      </w:r>
    </w:p>
    <w:p w14:paraId="0EEB862C">
      <w:pPr>
        <w:pStyle w:val="12"/>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2.甲方义务</w:t>
      </w:r>
    </w:p>
    <w:p w14:paraId="085EEE3F">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2.1材料需用计划：</w:t>
      </w:r>
      <w:r>
        <w:rPr>
          <w:rFonts w:hint="eastAsia" w:ascii="仿宋_GB2312" w:hAnsi="仿宋_GB2312" w:eastAsia="仿宋_GB2312" w:cs="仿宋_GB2312"/>
          <w:color w:val="000000" w:themeColor="text1"/>
          <w:highlight w:val="none"/>
          <w14:textFill>
            <w14:solidFill>
              <w14:schemeClr w14:val="tx1"/>
            </w14:solidFill>
          </w14:textFill>
        </w:rPr>
        <w:t>甲方合理制定材料总需用计划及日常需用计划，并按照合同约定提前通知乙方，给予乙方充足备货期。</w:t>
      </w:r>
    </w:p>
    <w:p w14:paraId="4645F5C0">
      <w:pPr>
        <w:pStyle w:val="12"/>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2.2配合材料卸货：</w:t>
      </w:r>
      <w:r>
        <w:rPr>
          <w:rFonts w:hint="eastAsia" w:ascii="仿宋_GB2312" w:hAnsi="仿宋_GB2312" w:eastAsia="仿宋_GB2312" w:cs="仿宋_GB2312"/>
          <w:color w:val="000000" w:themeColor="text1"/>
          <w:highlight w:val="none"/>
          <w14:textFill>
            <w14:solidFill>
              <w14:schemeClr w14:val="tx1"/>
            </w14:solidFill>
          </w14:textFill>
        </w:rPr>
        <w:t>乙方在材料运抵交货前2天通知甲方，甲方应在验收合格后，提供堆放场地或堆放仓库，</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配合乙方材料卸货</w:t>
      </w:r>
      <w:r>
        <w:rPr>
          <w:rFonts w:hint="eastAsia" w:ascii="仿宋_GB2312" w:hAnsi="仿宋_GB2312" w:eastAsia="仿宋_GB2312" w:cs="仿宋_GB2312"/>
          <w:color w:val="000000" w:themeColor="text1"/>
          <w:highlight w:val="none"/>
          <w14:textFill>
            <w14:solidFill>
              <w14:schemeClr w14:val="tx1"/>
            </w14:solidFill>
          </w14:textFill>
        </w:rPr>
        <w:t>。</w:t>
      </w:r>
    </w:p>
    <w:p w14:paraId="1AD9E98C">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96" w:name="_Toc13486"/>
      <w:bookmarkStart w:id="97" w:name="_Toc1717"/>
      <w:bookmarkStart w:id="98" w:name="_Toc965"/>
      <w:r>
        <w:rPr>
          <w:rFonts w:hint="eastAsia" w:ascii="仿宋_GB2312" w:hAnsi="仿宋_GB2312" w:eastAsia="仿宋_GB2312" w:cs="仿宋_GB2312"/>
          <w:b/>
          <w:bCs/>
          <w:color w:val="000000" w:themeColor="text1"/>
          <w:highlight w:val="none"/>
          <w14:textFill>
            <w14:solidFill>
              <w14:schemeClr w14:val="tx1"/>
            </w14:solidFill>
          </w14:textFill>
        </w:rPr>
        <w:t>货物违约责任</w:t>
      </w:r>
      <w:bookmarkEnd w:id="96"/>
      <w:bookmarkEnd w:id="97"/>
      <w:bookmarkEnd w:id="98"/>
    </w:p>
    <w:p w14:paraId="2DB8285B">
      <w:pPr>
        <w:pStyle w:val="12"/>
        <w:numPr>
          <w:ilvl w:val="0"/>
          <w:numId w:val="9"/>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未按计划时间供应：</w:t>
      </w:r>
    </w:p>
    <w:p w14:paraId="5D58E301">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乙方未能按本合同第三条款中书面计划的要求供应材料，若因非甲方原因致使延期供货的次数超过</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2 次</w:t>
      </w:r>
      <w:r>
        <w:rPr>
          <w:rFonts w:hint="eastAsia" w:ascii="仿宋_GB2312" w:hAnsi="仿宋_GB2312" w:eastAsia="仿宋_GB2312" w:cs="仿宋_GB2312"/>
          <w:color w:val="000000" w:themeColor="text1"/>
          <w:highlight w:val="none"/>
          <w14:textFill>
            <w14:solidFill>
              <w14:schemeClr w14:val="tx1"/>
            </w14:solidFill>
          </w14:textFill>
        </w:rPr>
        <w:t>，乙方须向甲方支付违约金，</w:t>
      </w:r>
      <w:r>
        <w:rPr>
          <w:rFonts w:hint="eastAsia" w:ascii="仿宋_GB2312" w:hAnsi="仿宋_GB2312" w:eastAsia="仿宋_GB2312" w:cs="仿宋_GB2312"/>
          <w:b/>
          <w:bCs/>
          <w:color w:val="000000" w:themeColor="text1"/>
          <w:highlight w:val="none"/>
          <w14:textFill>
            <w14:solidFill>
              <w14:schemeClr w14:val="tx1"/>
            </w14:solidFill>
          </w14:textFill>
        </w:rPr>
        <w:t>违约金按照5000元每次计，且除违约金外乙方必须承担甲方项目实际工期损失及经济损失。</w:t>
      </w:r>
      <w:r>
        <w:rPr>
          <w:rFonts w:hint="eastAsia" w:ascii="仿宋_GB2312" w:hAnsi="仿宋_GB2312" w:eastAsia="仿宋_GB2312" w:cs="仿宋_GB2312"/>
          <w:color w:val="000000" w:themeColor="text1"/>
          <w:highlight w:val="none"/>
          <w14:textFill>
            <w14:solidFill>
              <w14:schemeClr w14:val="tx1"/>
            </w14:solidFill>
          </w14:textFill>
        </w:rPr>
        <w:t>乙方延迟交付超</w:t>
      </w:r>
      <w:r>
        <w:rPr>
          <w:rFonts w:hint="eastAsia" w:ascii="仿宋_GB2312" w:hAnsi="仿宋_GB2312" w:eastAsia="仿宋_GB2312" w:cs="仿宋_GB2312"/>
          <w:color w:val="000000" w:themeColor="text1"/>
          <w:highlight w:val="none"/>
          <w:u w:val="single"/>
          <w14:textFill>
            <w14:solidFill>
              <w14:schemeClr w14:val="tx1"/>
            </w14:solidFill>
          </w14:textFill>
        </w:rPr>
        <w:t xml:space="preserve"> 7 </w:t>
      </w:r>
      <w:r>
        <w:rPr>
          <w:rFonts w:hint="eastAsia" w:ascii="仿宋_GB2312" w:hAnsi="仿宋_GB2312" w:eastAsia="仿宋_GB2312" w:cs="仿宋_GB2312"/>
          <w:color w:val="000000" w:themeColor="text1"/>
          <w:highlight w:val="none"/>
          <w14:textFill>
            <w14:solidFill>
              <w14:schemeClr w14:val="tx1"/>
            </w14:solidFill>
          </w14:textFill>
        </w:rPr>
        <w:t>日的，甲方有权单方解除本合同。</w:t>
      </w:r>
    </w:p>
    <w:p w14:paraId="00DB2726">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乙方应全力保障项目的供应，因乙方资源组织问题引起的供应困难，乙方不能或不愿解决的，甲方可寻找其他供应单位代为解决，因此引起的甲方成本增加等相关费用在结算中扣除。</w:t>
      </w:r>
    </w:p>
    <w:p w14:paraId="4B46DFD0">
      <w:pPr>
        <w:pStyle w:val="12"/>
        <w:numPr>
          <w:ilvl w:val="0"/>
          <w:numId w:val="9"/>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未按指定地点或方式供应：</w:t>
      </w:r>
    </w:p>
    <w:p w14:paraId="01D1DF02">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乙方不能按本合同约定地点、方式供货的，甲方有权要求乙方按照合同履行，乙方应按甲方要求立即组织更换或完善不符合的条件及要求，</w:t>
      </w:r>
      <w:r>
        <w:rPr>
          <w:rFonts w:hint="eastAsia" w:ascii="仿宋_GB2312" w:hAnsi="仿宋_GB2312" w:eastAsia="仿宋_GB2312" w:cs="仿宋_GB2312"/>
          <w:b/>
          <w:bCs/>
          <w:color w:val="000000" w:themeColor="text1"/>
          <w:highlight w:val="none"/>
          <w14:textFill>
            <w14:solidFill>
              <w14:schemeClr w14:val="tx1"/>
            </w14:solidFill>
          </w14:textFill>
        </w:rPr>
        <w:t>否则按照5000元每次承担违约金，且除违约金外乙方必须承担甲方项目实际工期损失及经济损失</w:t>
      </w:r>
      <w:r>
        <w:rPr>
          <w:rFonts w:hint="eastAsia" w:ascii="仿宋_GB2312" w:hAnsi="仿宋_GB2312" w:eastAsia="仿宋_GB2312" w:cs="仿宋_GB2312"/>
          <w:color w:val="000000" w:themeColor="text1"/>
          <w:highlight w:val="none"/>
          <w14:textFill>
            <w14:solidFill>
              <w14:schemeClr w14:val="tx1"/>
            </w14:solidFill>
          </w14:textFill>
        </w:rPr>
        <w:t>；经甲方书面要求整改一次仍无法达到合同要求时，甲方有权单方解除合同。</w:t>
      </w:r>
    </w:p>
    <w:p w14:paraId="38A3D360">
      <w:pPr>
        <w:pStyle w:val="12"/>
        <w:numPr>
          <w:ilvl w:val="0"/>
          <w:numId w:val="9"/>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不符合约定货物质量标准：</w:t>
      </w:r>
    </w:p>
    <w:p w14:paraId="718ACBA8">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3.1乙方货物不符合本合同约定的质量标准的，甲方有权要求乙方继续履行合同，乙方应按甲方要求立即组织更换或完善不符合的条件及要求，</w:t>
      </w:r>
      <w:r>
        <w:rPr>
          <w:rFonts w:hint="eastAsia" w:ascii="仿宋_GB2312" w:hAnsi="仿宋_GB2312" w:eastAsia="仿宋_GB2312" w:cs="仿宋_GB2312"/>
          <w:b/>
          <w:bCs/>
          <w:color w:val="000000" w:themeColor="text1"/>
          <w:highlight w:val="none"/>
          <w14:textFill>
            <w14:solidFill>
              <w14:schemeClr w14:val="tx1"/>
            </w14:solidFill>
          </w14:textFill>
        </w:rPr>
        <w:t>并按照5000元每次承担违约金，且除违约金外乙方必须承担甲方项目实际工期损失及经济损失</w:t>
      </w:r>
      <w:r>
        <w:rPr>
          <w:rFonts w:hint="eastAsia" w:ascii="仿宋_GB2312" w:hAnsi="仿宋_GB2312" w:eastAsia="仿宋_GB2312" w:cs="仿宋_GB2312"/>
          <w:color w:val="000000" w:themeColor="text1"/>
          <w:highlight w:val="none"/>
          <w14:textFill>
            <w14:solidFill>
              <w14:schemeClr w14:val="tx1"/>
            </w14:solidFill>
          </w14:textFill>
        </w:rPr>
        <w:t>；经甲方书面要求整改一次仍无法达到合同要求时，甲方有权单方解除合同。</w:t>
      </w:r>
    </w:p>
    <w:p w14:paraId="5A41672A">
      <w:pPr>
        <w:pStyle w:val="12"/>
        <w:spacing w:line="400" w:lineRule="atLeast"/>
        <w:ind w:firstLine="480" w:firstLineChars="200"/>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3.2乙方以任何欺骗、舞弊、盗窃等手段致使交付的货物存在质量或数量瑕疵的，除赔偿甲方对应货物的货款外，</w:t>
      </w:r>
      <w:r>
        <w:rPr>
          <w:rFonts w:hint="eastAsia" w:ascii="仿宋_GB2312" w:hAnsi="仿宋_GB2312" w:eastAsia="仿宋_GB2312" w:cs="仿宋_GB2312"/>
          <w:b/>
          <w:bCs/>
          <w:color w:val="000000" w:themeColor="text1"/>
          <w:highlight w:val="none"/>
          <w14:textFill>
            <w14:solidFill>
              <w14:schemeClr w14:val="tx1"/>
            </w14:solidFill>
          </w14:textFill>
        </w:rPr>
        <w:t>并按照5000元每次承担违约金，且除违约金外乙方必须承担甲方项目实际工期损失及经济损失</w:t>
      </w:r>
      <w:r>
        <w:rPr>
          <w:rFonts w:hint="eastAsia" w:ascii="仿宋_GB2312" w:hAnsi="仿宋_GB2312" w:eastAsia="仿宋_GB2312" w:cs="仿宋_GB2312"/>
          <w:color w:val="000000" w:themeColor="text1"/>
          <w:highlight w:val="none"/>
          <w14:textFill>
            <w14:solidFill>
              <w14:schemeClr w14:val="tx1"/>
            </w14:solidFill>
          </w14:textFill>
        </w:rPr>
        <w:t>。</w:t>
      </w:r>
    </w:p>
    <w:p w14:paraId="2798DACE">
      <w:pPr>
        <w:spacing w:line="400" w:lineRule="exact"/>
        <w:ind w:firstLine="480" w:firstLineChars="200"/>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lang w:val="en-US" w:eastAsia="zh-CN" w:bidi="ar-SA"/>
          <w14:textFill>
            <w14:solidFill>
              <w14:schemeClr w14:val="tx1"/>
            </w14:solidFill>
          </w14:textFill>
        </w:rPr>
        <w:t>3.3如果由于物资质量问题，引起工程事故，导致甲方人员或财产损失的，乙方应承担相应的法律责任和经济责任，因此所导致的一切损失由乙方承担，该责任不因合同的终止而减小或解除。</w:t>
      </w:r>
    </w:p>
    <w:p w14:paraId="55385297">
      <w:pPr>
        <w:pStyle w:val="12"/>
        <w:numPr>
          <w:ilvl w:val="0"/>
          <w:numId w:val="9"/>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未履行开具增值税发票义务：</w:t>
      </w:r>
    </w:p>
    <w:p w14:paraId="10BF4E9B">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乙方存在下列情形之一的，甲方有权单方解除合同，并有权直接从乙方应付款项中双倍扣除甲方未能抵扣的税金（扣除金额=不含税结算金额×</w:t>
      </w:r>
      <w:permStart w:id="112"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13 </w:t>
      </w:r>
      <w:permEnd w:id="112"/>
      <w:r>
        <w:rPr>
          <w:rFonts w:hint="eastAsia" w:ascii="仿宋_GB2312" w:hAnsi="仿宋_GB2312" w:eastAsia="仿宋_GB2312" w:cs="仿宋_GB2312"/>
          <w:color w:val="000000" w:themeColor="text1"/>
          <w:highlight w:val="none"/>
          <w14:textFill>
            <w14:solidFill>
              <w14:schemeClr w14:val="tx1"/>
            </w14:solidFill>
          </w14:textFill>
        </w:rPr>
        <w:t>％增值税税率×2）作为违约金：</w:t>
      </w:r>
    </w:p>
    <w:p w14:paraId="3ABE4967">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4.1不具有开具增值税专用发票的纳税人资格。</w:t>
      </w:r>
    </w:p>
    <w:p w14:paraId="005E5C1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4.2未能按本合同约定的税率开具增值税专用发票。</w:t>
      </w:r>
    </w:p>
    <w:p w14:paraId="01A7CFC3">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4.3提供的增值税专用发票是乙方以外的主体开具。</w:t>
      </w:r>
    </w:p>
    <w:p w14:paraId="1D39F114">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4.4拖欠增值税专用发票金额累计达100万元以上。</w:t>
      </w:r>
    </w:p>
    <w:p w14:paraId="55E819E7">
      <w:pPr>
        <w:pStyle w:val="12"/>
        <w:spacing w:line="400" w:lineRule="atLeast"/>
        <w:ind w:firstLine="480" w:firstLineChars="200"/>
        <w:rPr>
          <w:rFonts w:ascii="仿宋_GB2312" w:hAnsi="仿宋_GB2312" w:eastAsia="仿宋_GB2312" w:cs="仿宋_GB2312"/>
          <w:strike w:val="0"/>
          <w:dstrike w:val="0"/>
          <w:color w:val="000000" w:themeColor="text1"/>
          <w:highlight w:val="none"/>
          <w14:textFill>
            <w14:solidFill>
              <w14:schemeClr w14:val="tx1"/>
            </w14:solidFill>
          </w14:textFill>
        </w:rPr>
      </w:pPr>
      <w:r>
        <w:rPr>
          <w:rFonts w:hint="eastAsia" w:ascii="仿宋_GB2312" w:hAnsi="仿宋_GB2312" w:eastAsia="仿宋_GB2312" w:cs="仿宋_GB2312"/>
          <w:strike w:val="0"/>
          <w:dstrike w:val="0"/>
          <w:color w:val="000000" w:themeColor="text1"/>
          <w:highlight w:val="none"/>
          <w14:textFill>
            <w14:solidFill>
              <w14:schemeClr w14:val="tx1"/>
            </w14:solidFill>
          </w14:textFill>
        </w:rPr>
        <w:t xml:space="preserve">4.5如乙方未在税务机关要求的期限内缴纳税款，导致甲方无法抵扣进项税的，甲方有权拒绝付款，如已经支付的，甲方有权追回已支付的款项，并要求乙方支付违约金或赔偿损失。 </w:t>
      </w:r>
    </w:p>
    <w:p w14:paraId="3A899642">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4.6提供伪造的增值税专用发票。</w:t>
      </w:r>
    </w:p>
    <w:p w14:paraId="3CC9C686">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4.7虚开增值税专用发票。</w:t>
      </w:r>
    </w:p>
    <w:p w14:paraId="2FF4623F">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4.8其它导致甲方无法进行增值税抵扣的情形。</w:t>
      </w:r>
    </w:p>
    <w:p w14:paraId="3A038434">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乙方存在以上情形的，除承担相应违约责任外，还应赔偿甲方因此所受损失，同时不免除乙方开具合法合规增值税专用发票的义务。</w:t>
      </w:r>
    </w:p>
    <w:p w14:paraId="124BB440">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若乙方开具或提供的增值税专用发票发生本条第4款情形超过3次的或给甲方造成重大损失的，则乙方除按本款前述约定承担责任外，甲方有权单方解除本合同。</w:t>
      </w:r>
    </w:p>
    <w:p w14:paraId="14EBCC7E">
      <w:pPr>
        <w:pStyle w:val="12"/>
        <w:numPr>
          <w:ilvl w:val="0"/>
          <w:numId w:val="9"/>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未履行安全责任及义务：</w:t>
      </w:r>
    </w:p>
    <w:p w14:paraId="2B0BBFAC">
      <w:pPr>
        <w:pStyle w:val="12"/>
        <w:spacing w:line="400" w:lineRule="atLeast"/>
        <w:ind w:firstLine="480" w:firstLineChars="200"/>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5.1</w:t>
      </w:r>
      <w:r>
        <w:rPr>
          <w:rFonts w:hint="eastAsia" w:ascii="仿宋_GB2312" w:hAnsi="仿宋_GB2312" w:eastAsia="仿宋_GB2312" w:cs="仿宋_GB2312"/>
          <w:color w:val="000000" w:themeColor="text1"/>
          <w:highlight w:val="none"/>
          <w14:textFill>
            <w14:solidFill>
              <w14:schemeClr w14:val="tx1"/>
            </w14:solidFill>
          </w14:textFill>
        </w:rPr>
        <w:t>乙方不能满足甲方有关安全文明施工措施、环境和职业健康安全方面的要求时，乙方按照项目实际工期损失、经济损失承担违约金。</w:t>
      </w:r>
    </w:p>
    <w:p w14:paraId="351BFE4E">
      <w:pPr>
        <w:spacing w:line="400" w:lineRule="exact"/>
        <w:ind w:firstLine="480" w:firstLineChars="200"/>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lang w:val="en-US" w:eastAsia="zh-CN" w:bidi="ar-SA"/>
          <w14:textFill>
            <w14:solidFill>
              <w14:schemeClr w14:val="tx1"/>
            </w14:solidFill>
          </w14:textFill>
        </w:rPr>
        <w:t>5.2由于乙方原因造成甲方人员人身伤害，乙方应立即采取补救措施，并全额赔偿甲方相关人员损失。</w:t>
      </w:r>
    </w:p>
    <w:p w14:paraId="26F9D6DF">
      <w:pPr>
        <w:pStyle w:val="12"/>
        <w:numPr>
          <w:ilvl w:val="0"/>
          <w:numId w:val="9"/>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未经同意转让权利及义务：</w:t>
      </w:r>
    </w:p>
    <w:p w14:paraId="2ED16ABE">
      <w:pPr>
        <w:pStyle w:val="12"/>
        <w:spacing w:line="400" w:lineRule="atLeast"/>
        <w:ind w:firstLine="480" w:firstLineChars="200"/>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 xml:space="preserve">乙方不可撤销地承诺：对于乙方基于本合同及相关补充协议、结算文件等所产生的对甲方的任何到期或未到期债权，乙方不得将该等债权全部或部分转让给任何第三方，亦不得将该等债权用于对外提供抵押、质押、保证或其他任何形式的担保。 </w:t>
      </w:r>
    </w:p>
    <w:p w14:paraId="549D0A4C">
      <w:pPr>
        <w:pStyle w:val="12"/>
        <w:spacing w:line="400" w:lineRule="atLeast"/>
        <w:ind w:firstLine="480" w:firstLineChars="200"/>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 xml:space="preserve">乙方违反上述承诺的，应向甲方支付转让或担保债权总额 5%的违约金；若因此给甲方造成损失（包括但不限于诉讼费、律师费、执行费、保全费、差旅费、赔偿金等），违约金不足以弥补的，乙方仍应予以全额赔偿。 </w:t>
      </w:r>
    </w:p>
    <w:p w14:paraId="66CB7B60">
      <w:pPr>
        <w:pStyle w:val="12"/>
        <w:spacing w:line="400" w:lineRule="atLeast"/>
        <w:ind w:firstLine="480" w:firstLineChars="200"/>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若乙方怠于向其下游采购商、供应商等支付款项，且配合、协助、默许或以其他方式导致下游方向甲方提起代位权诉讼、仲裁、财产保全、强制执行或其他权利主张的，甲方有权要求乙方按代位权主张标的额的 5%支付违约金；乙方并应承担甲方因此支出的全部费用及损失，且甲方有权暂停付款、暂缓结算直至相关争议完全解决。</w:t>
      </w:r>
    </w:p>
    <w:p w14:paraId="3E599476">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bookmarkStart w:id="99" w:name="_Hlk126834115"/>
      <w:bookmarkStart w:id="100" w:name="_Hlk127191104"/>
      <w:r>
        <w:rPr>
          <w:rFonts w:hint="eastAsia" w:ascii="仿宋_GB2312" w:hAnsi="仿宋_GB2312" w:eastAsia="仿宋_GB2312" w:cs="仿宋_GB2312"/>
          <w:b/>
          <w:bCs/>
          <w:color w:val="000000" w:themeColor="text1"/>
          <w:highlight w:val="none"/>
          <w14:textFill>
            <w14:solidFill>
              <w14:schemeClr w14:val="tx1"/>
            </w14:solidFill>
          </w14:textFill>
        </w:rPr>
        <w:t>7、</w:t>
      </w:r>
      <w:bookmarkStart w:id="101" w:name="_Hlk126829881"/>
      <w:r>
        <w:rPr>
          <w:rFonts w:hint="eastAsia" w:ascii="仿宋_GB2312" w:hAnsi="仿宋_GB2312" w:eastAsia="仿宋_GB2312" w:cs="仿宋_GB2312"/>
          <w:b/>
          <w:bCs/>
          <w:color w:val="000000" w:themeColor="text1"/>
          <w:highlight w:val="none"/>
          <w14:textFill>
            <w14:solidFill>
              <w14:schemeClr w14:val="tx1"/>
            </w14:solidFill>
          </w14:textFill>
        </w:rPr>
        <w:t>未履行结算义务：</w:t>
      </w:r>
    </w:p>
    <w:p w14:paraId="760F2D46">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若发现乙方存在以下行为，视为违约并处以相应的罚款，在当期结算款中扣除（当期结算款额度不够的在下期结算款中扣除），并保留追究相应责任的权利。</w:t>
      </w:r>
    </w:p>
    <w:p w14:paraId="4D98E07E">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（1）伪造或虚开</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货款</w:t>
      </w:r>
      <w:r>
        <w:rPr>
          <w:rFonts w:hint="eastAsia" w:ascii="仿宋_GB2312" w:hAnsi="仿宋_GB2312" w:eastAsia="仿宋_GB2312" w:cs="仿宋_GB2312"/>
          <w:color w:val="000000" w:themeColor="text1"/>
          <w:highlight w:val="none"/>
          <w14:textFill>
            <w14:solidFill>
              <w14:schemeClr w14:val="tx1"/>
            </w14:solidFill>
          </w14:textFill>
        </w:rPr>
        <w:t>数据，一经发现处以罚款2万元/次。</w:t>
      </w:r>
    </w:p>
    <w:p w14:paraId="72ABF8A2">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（2）伪造甲方管理人员签字盖章，一经发现处以罚款5万元/次。</w:t>
      </w:r>
    </w:p>
    <w:p w14:paraId="0D119DCC">
      <w:pPr>
        <w:pStyle w:val="12"/>
        <w:spacing w:line="400" w:lineRule="atLeast"/>
        <w:ind w:firstLine="480"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（3）伪造结算书或其他结算相关材料，一经发现处以罚款10万元/次</w:t>
      </w:r>
      <w:bookmarkEnd w:id="99"/>
      <w:r>
        <w:rPr>
          <w:rFonts w:hint="eastAsia" w:ascii="仿宋_GB2312" w:hAnsi="仿宋_GB2312" w:eastAsia="仿宋_GB2312" w:cs="仿宋_GB2312"/>
          <w:color w:val="000000" w:themeColor="text1"/>
          <w:highlight w:val="none"/>
          <w14:textFill>
            <w14:solidFill>
              <w14:schemeClr w14:val="tx1"/>
            </w14:solidFill>
          </w14:textFill>
        </w:rPr>
        <w:t>。</w:t>
      </w:r>
      <w:bookmarkEnd w:id="100"/>
      <w:bookmarkEnd w:id="101"/>
    </w:p>
    <w:p w14:paraId="3C815497">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bookmarkStart w:id="102" w:name="_Toc19191"/>
      <w:bookmarkStart w:id="103" w:name="_Toc20335"/>
      <w:bookmarkStart w:id="104" w:name="_Toc11521"/>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8</w:t>
      </w:r>
      <w:r>
        <w:rPr>
          <w:rFonts w:hint="eastAsia" w:ascii="仿宋_GB2312" w:hAnsi="仿宋_GB2312" w:eastAsia="仿宋_GB2312" w:cs="仿宋_GB2312"/>
          <w:b/>
          <w:bCs/>
          <w:color w:val="000000" w:themeColor="text1"/>
          <w:highlight w:val="none"/>
          <w14:textFill>
            <w14:solidFill>
              <w14:schemeClr w14:val="tx1"/>
            </w14:solidFill>
          </w14:textFill>
        </w:rPr>
        <w:t>、</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供货知识产权存在瑕疵</w:t>
      </w:r>
      <w:r>
        <w:rPr>
          <w:rFonts w:hint="eastAsia" w:ascii="仿宋_GB2312" w:hAnsi="仿宋_GB2312" w:eastAsia="仿宋_GB2312" w:cs="仿宋_GB2312"/>
          <w:b/>
          <w:bCs/>
          <w:color w:val="000000" w:themeColor="text1"/>
          <w:highlight w:val="none"/>
          <w14:textFill>
            <w14:solidFill>
              <w14:schemeClr w14:val="tx1"/>
            </w14:solidFill>
          </w14:textFill>
        </w:rPr>
        <w:t>：</w:t>
      </w:r>
    </w:p>
    <w:p w14:paraId="62A560EC">
      <w:pPr>
        <w:pStyle w:val="12"/>
        <w:spacing w:line="400" w:lineRule="atLeast"/>
        <w:ind w:firstLine="480" w:firstLineChars="200"/>
        <w:jc w:val="both"/>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若乙方提供物资侵犯他人知识产权（或专利权）导致他人向甲方索赔的，乙方承担由此给甲方造成的一切损失，包括但不限于甲方处理此纠纷发生的律师费、诉讼费、差旅费等一切损失。此外，乙方应向甲方支付合同价款</w:t>
      </w:r>
      <w:r>
        <w:rPr>
          <w:rFonts w:hint="eastAsia" w:ascii="仿宋_GB2312" w:hAnsi="仿宋_GB2312" w:eastAsia="仿宋_GB2312" w:cs="仿宋_GB2312"/>
          <w:color w:val="000000" w:themeColor="text1"/>
          <w:highlight w:val="none"/>
          <w:u w:val="none"/>
          <w:lang w:val="en-US" w:eastAsia="zh-CN"/>
          <w14:textFill>
            <w14:solidFill>
              <w14:schemeClr w14:val="tx1"/>
            </w14:solidFill>
          </w14:textFill>
        </w:rPr>
        <w:t>20</w:t>
      </w:r>
      <w:r>
        <w:rPr>
          <w:rFonts w:hint="eastAsia" w:ascii="仿宋_GB2312" w:hAnsi="仿宋_GB2312" w:eastAsia="仿宋_GB2312" w:cs="仿宋_GB2312"/>
          <w:color w:val="000000" w:themeColor="text1"/>
          <w:highlight w:val="none"/>
          <w14:textFill>
            <w14:solidFill>
              <w14:schemeClr w14:val="tx1"/>
            </w14:solidFill>
          </w14:textFill>
        </w:rPr>
        <w:t>％的违约金。甲方针对上述一切损失有权从乙方结算货款中扣除或依法追索。</w:t>
      </w:r>
    </w:p>
    <w:p w14:paraId="10540F9F">
      <w:pPr>
        <w:pStyle w:val="12"/>
        <w:spacing w:line="400" w:lineRule="atLeast"/>
        <w:ind w:firstLine="482" w:firstLineChars="200"/>
        <w:jc w:val="both"/>
        <w:rPr>
          <w:rFonts w:hint="default" w:ascii="仿宋_GB2312" w:hAnsi="仿宋_GB2312" w:eastAsia="仿宋_GB2312" w:cs="仿宋_GB2312"/>
          <w:b/>
          <w:bCs/>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9、私运项目物资</w:t>
      </w:r>
    </w:p>
    <w:p w14:paraId="75D918CC">
      <w:pPr>
        <w:pStyle w:val="12"/>
        <w:spacing w:line="400" w:lineRule="atLeast"/>
        <w:ind w:firstLine="480" w:firstLineChars="200"/>
        <w:jc w:val="both"/>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highlight w:val="none"/>
          <w:lang w:val="en-US" w:eastAsia="zh-CN"/>
          <w14:textFill>
            <w14:solidFill>
              <w14:schemeClr w14:val="tx1"/>
            </w14:solidFill>
          </w14:textFill>
        </w:rPr>
        <w:t>若乙方私自运送甲方现场物资出场，乙方需向甲方支付所涉及物资原值【2】倍的违约金，情节严重的交由司法机关处理。</w:t>
      </w:r>
    </w:p>
    <w:p w14:paraId="532B1437">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10</w:t>
      </w:r>
      <w:r>
        <w:rPr>
          <w:rFonts w:hint="eastAsia" w:ascii="仿宋_GB2312" w:hAnsi="仿宋_GB2312" w:eastAsia="仿宋_GB2312" w:cs="仿宋_GB2312"/>
          <w:b/>
          <w:bCs/>
          <w:color w:val="000000" w:themeColor="text1"/>
          <w:highlight w:val="none"/>
          <w14:textFill>
            <w14:solidFill>
              <w14:schemeClr w14:val="tx1"/>
            </w14:solidFill>
          </w14:textFill>
        </w:rPr>
        <w:t>、未履行本协议约定义务：</w:t>
      </w:r>
    </w:p>
    <w:p w14:paraId="168BA802">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乙方不履行本协议约定义务或中途终止履行合同（符合本合同约定的调价和合同解除条件除外）的，乙方按照项目实际工期损失、经济损失承担违约金。</w:t>
      </w:r>
    </w:p>
    <w:p w14:paraId="534E8C1F">
      <w:pPr>
        <w:pStyle w:val="12"/>
        <w:spacing w:line="400" w:lineRule="atLeast"/>
        <w:ind w:firstLine="482" w:firstLineChars="200"/>
        <w:jc w:val="both"/>
        <w:rPr>
          <w:rFonts w:hint="eastAsia"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11</w:t>
      </w:r>
      <w:r>
        <w:rPr>
          <w:rFonts w:hint="eastAsia" w:ascii="仿宋_GB2312" w:hAnsi="仿宋_GB2312" w:eastAsia="仿宋_GB2312" w:cs="仿宋_GB2312"/>
          <w:b/>
          <w:bCs/>
          <w:color w:val="000000" w:themeColor="text1"/>
          <w:highlight w:val="none"/>
          <w14:textFill>
            <w14:solidFill>
              <w14:schemeClr w14:val="tx1"/>
            </w14:solidFill>
          </w14:textFill>
        </w:rPr>
        <w:t>、违约后的处置方式：</w:t>
      </w:r>
    </w:p>
    <w:p w14:paraId="63A31437">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乙方违约后，甲方有权直接从乙方结算款或应付款中扣除违约金；甲方决定合同继续履行的，乙方除承担上述违约责任，仍应继续履行合同。</w:t>
      </w:r>
    </w:p>
    <w:p w14:paraId="03450768">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货物缺陷索赔</w:t>
      </w:r>
      <w:bookmarkEnd w:id="102"/>
      <w:bookmarkEnd w:id="103"/>
      <w:bookmarkEnd w:id="104"/>
    </w:p>
    <w:p w14:paraId="1274F4EF">
      <w:pPr>
        <w:pStyle w:val="13"/>
        <w:spacing w:after="24" w:afterLines="10" w:line="400" w:lineRule="atLeast"/>
        <w:ind w:right="0" w:firstLine="482" w:firstLineChars="20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bCs/>
          <w:color w:val="000000" w:themeColor="text1"/>
          <w:sz w:val="24"/>
          <w:highlight w:val="none"/>
          <w14:textFill>
            <w14:solidFill>
              <w14:schemeClr w14:val="tx1"/>
            </w14:solidFill>
          </w14:textFill>
        </w:rPr>
        <w:t>1、质量缺陷索赔：</w:t>
      </w:r>
      <w:r>
        <w:rPr>
          <w:rFonts w:hint="eastAsia" w:ascii="仿宋_GB2312" w:hAnsi="仿宋_GB2312" w:eastAsia="仿宋_GB2312" w:cs="仿宋_GB2312"/>
          <w:color w:val="000000" w:themeColor="text1"/>
          <w:sz w:val="24"/>
          <w:highlight w:val="none"/>
          <w14:textFill>
            <w14:solidFill>
              <w14:schemeClr w14:val="tx1"/>
            </w14:solidFill>
          </w14:textFill>
        </w:rPr>
        <w:t>如甲方在各阶段的检验过程中发现货物不合格现象，可选择更换货物或提出索赔。若选择索赔，甲方有权邀请当地有关质量监督管理部门或其他鉴定机构进行检验，并出具检验证书，可以据此向乙方提出索赔。</w:t>
      </w:r>
    </w:p>
    <w:p w14:paraId="2E0AA980">
      <w:pPr>
        <w:pStyle w:val="13"/>
        <w:spacing w:after="24" w:afterLines="10" w:line="400" w:lineRule="atLeast"/>
        <w:ind w:right="0" w:firstLine="482" w:firstLineChars="20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bCs/>
          <w:color w:val="000000" w:themeColor="text1"/>
          <w:sz w:val="24"/>
          <w:highlight w:val="none"/>
          <w14:textFill>
            <w14:solidFill>
              <w14:schemeClr w14:val="tx1"/>
            </w14:solidFill>
          </w14:textFill>
        </w:rPr>
        <w:t>2、缺陷索赔解决方式：</w:t>
      </w:r>
      <w:r>
        <w:rPr>
          <w:rFonts w:hint="eastAsia" w:ascii="仿宋_GB2312" w:hAnsi="仿宋_GB2312" w:eastAsia="仿宋_GB2312" w:cs="仿宋_GB2312"/>
          <w:color w:val="000000" w:themeColor="text1"/>
          <w:sz w:val="24"/>
          <w:highlight w:val="none"/>
          <w14:textFill>
            <w14:solidFill>
              <w14:schemeClr w14:val="tx1"/>
            </w14:solidFill>
          </w14:textFill>
        </w:rPr>
        <w:t>对甲方在规定的检验、安装、调试和验收测试期限内和质量保修期内发现缺陷提出的索赔，乙方应按甲方同意的下述一种或多种方法解决索赔事宜：</w:t>
      </w:r>
    </w:p>
    <w:p w14:paraId="30D5E5C0">
      <w:pPr>
        <w:pStyle w:val="13"/>
        <w:spacing w:after="24" w:afterLines="10" w:line="400" w:lineRule="atLeast"/>
        <w:ind w:right="0" w:firstLine="480" w:firstLineChars="20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2.1乙方同意甲方部分或全部退货并把退货部分金额以合同规定的同类货币退还给甲方。乙方负担退货过程中发生的一切损失和费用，包括利息、银行费用、运输和保险费、检验费、仓储和装卸费以及为保管和保护退还货物所发生的其它必要费用，包括但不限于工期延误损失导致业主向甲方的索赔等。</w:t>
      </w:r>
    </w:p>
    <w:p w14:paraId="37415E89">
      <w:pPr>
        <w:pStyle w:val="13"/>
        <w:spacing w:after="24" w:afterLines="10" w:line="400" w:lineRule="atLeast"/>
        <w:ind w:right="0" w:firstLine="480" w:firstLineChars="20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2.2根据货物的质量缺陷和受损程度以及甲方遭受损失的程度，经双方协商同意降低货物价格。</w:t>
      </w:r>
    </w:p>
    <w:p w14:paraId="559276BD">
      <w:pPr>
        <w:pStyle w:val="13"/>
        <w:spacing w:after="24" w:afterLines="10" w:line="400" w:lineRule="atLeast"/>
        <w:ind w:right="0" w:firstLine="480" w:firstLineChars="20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2.3更换有缺陷的部分货物、零件、部件和设备，或修理缺陷部分，以达到合同规定的规格、质量和性能，乙方承担一切费用和风险，并负担甲方遭受的损失。</w:t>
      </w:r>
    </w:p>
    <w:p w14:paraId="09BF745C">
      <w:pPr>
        <w:pStyle w:val="13"/>
        <w:spacing w:after="24" w:afterLines="10" w:line="400" w:lineRule="atLeast"/>
        <w:ind w:right="0" w:firstLine="482" w:firstLineChars="20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bCs/>
          <w:color w:val="000000" w:themeColor="text1"/>
          <w:sz w:val="24"/>
          <w:highlight w:val="none"/>
          <w14:textFill>
            <w14:solidFill>
              <w14:schemeClr w14:val="tx1"/>
            </w14:solidFill>
          </w14:textFill>
        </w:rPr>
        <w:t>3、缺陷索赔程序：如果甲方提出索赔通知后7日内乙方未予以答复，该索赔应视为已被乙方接受。</w:t>
      </w:r>
      <w:r>
        <w:rPr>
          <w:rFonts w:hint="eastAsia" w:ascii="仿宋_GB2312" w:hAnsi="仿宋_GB2312" w:eastAsia="仿宋_GB2312" w:cs="仿宋_GB2312"/>
          <w:color w:val="000000" w:themeColor="text1"/>
          <w:sz w:val="24"/>
          <w:highlight w:val="none"/>
          <w14:textFill>
            <w14:solidFill>
              <w14:schemeClr w14:val="tx1"/>
            </w14:solidFill>
          </w14:textFill>
        </w:rPr>
        <w:t>若乙方未能在甲方提出索赔通知的合理时限（7日内）或甲方同意的延长期限内，按甲方同意的上述任何一种方式处理索赔事宜</w:t>
      </w:r>
      <w:r>
        <w:rPr>
          <w:rFonts w:hint="eastAsia" w:ascii="仿宋_GB2312" w:hAnsi="仿宋_GB2312" w:eastAsia="仿宋_GB2312" w:cs="仿宋_GB2312"/>
          <w:b/>
          <w:bCs/>
          <w:color w:val="000000" w:themeColor="text1"/>
          <w:sz w:val="24"/>
          <w:highlight w:val="none"/>
          <w14:textFill>
            <w14:solidFill>
              <w14:schemeClr w14:val="tx1"/>
            </w14:solidFill>
          </w14:textFill>
        </w:rPr>
        <w:t>，甲方有权从乙方货款中扣除索赔金额，不足部分，甲方有权向乙方追偿。</w:t>
      </w:r>
    </w:p>
    <w:p w14:paraId="16DC955B">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4、其他缺陷索赔：</w:t>
      </w:r>
      <w:r>
        <w:rPr>
          <w:rFonts w:hint="eastAsia" w:ascii="仿宋_GB2312" w:hAnsi="仿宋_GB2312" w:eastAsia="仿宋_GB2312" w:cs="仿宋_GB2312"/>
          <w:color w:val="000000" w:themeColor="text1"/>
          <w:highlight w:val="none"/>
          <w14:textFill>
            <w14:solidFill>
              <w14:schemeClr w14:val="tx1"/>
            </w14:solidFill>
          </w14:textFill>
        </w:rPr>
        <w:t>对于甲方提出的非质量缺陷的其他索赔通知，参照适用缺陷索赔规则。</w:t>
      </w:r>
    </w:p>
    <w:p w14:paraId="7A62D39F">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105" w:name="_Toc12864"/>
      <w:bookmarkStart w:id="106" w:name="_Toc13471"/>
      <w:bookmarkStart w:id="107" w:name="_Toc13562"/>
      <w:r>
        <w:rPr>
          <w:rFonts w:hint="eastAsia" w:ascii="仿宋_GB2312" w:hAnsi="仿宋_GB2312" w:eastAsia="仿宋_GB2312" w:cs="仿宋_GB2312"/>
          <w:b/>
          <w:bCs/>
          <w:color w:val="000000" w:themeColor="text1"/>
          <w:highlight w:val="none"/>
          <w14:textFill>
            <w14:solidFill>
              <w14:schemeClr w14:val="tx1"/>
            </w14:solidFill>
          </w14:textFill>
        </w:rPr>
        <w:t>合同变更</w:t>
      </w:r>
      <w:bookmarkEnd w:id="105"/>
      <w:bookmarkEnd w:id="106"/>
      <w:bookmarkEnd w:id="107"/>
    </w:p>
    <w:p w14:paraId="48F24F33">
      <w:pPr>
        <w:pStyle w:val="12"/>
        <w:numPr>
          <w:ilvl w:val="0"/>
          <w:numId w:val="10"/>
        </w:numPr>
        <w:spacing w:line="400" w:lineRule="atLeast"/>
        <w:ind w:firstLine="480" w:firstLineChars="200"/>
        <w:jc w:val="both"/>
        <w:rPr>
          <w:rFonts w:hint="eastAsia" w:ascii="宋体" w:hAnsi="宋体"/>
          <w:szCs w:val="21"/>
          <w:highlight w:val="none"/>
        </w:rPr>
      </w:pPr>
      <w:r>
        <w:rPr>
          <w:rFonts w:hint="eastAsia" w:ascii="仿宋_GB2312" w:hAnsi="仿宋_GB2312" w:eastAsia="仿宋_GB2312" w:cs="仿宋_GB2312"/>
          <w:color w:val="000000" w:themeColor="text1"/>
          <w:highlight w:val="none"/>
          <w14:textFill>
            <w14:solidFill>
              <w14:schemeClr w14:val="tx1"/>
            </w14:solidFill>
          </w14:textFill>
        </w:rPr>
        <w:t>经双方协商一致可以对本合同条款进行修改、变更或增减，并成为本合同的补充文件</w:t>
      </w:r>
      <w:r>
        <w:rPr>
          <w:rFonts w:hint="eastAsia" w:ascii="仿宋_GB2312" w:hAnsi="仿宋_GB2312" w:eastAsia="仿宋_GB2312" w:cs="仿宋_GB2312"/>
          <w:b/>
          <w:bCs/>
          <w:color w:val="000000" w:themeColor="text1"/>
          <w:highlight w:val="none"/>
          <w14:textFill>
            <w14:solidFill>
              <w14:schemeClr w14:val="tx1"/>
            </w14:solidFill>
          </w14:textFill>
        </w:rPr>
        <w:t>，此类补充文件需按本合同约定的生效条件加盖与本合同相同的印章才可视为成立并生效，具有同等法律效力。</w:t>
      </w:r>
    </w:p>
    <w:p w14:paraId="4F37E915">
      <w:pPr>
        <w:pStyle w:val="12"/>
        <w:numPr>
          <w:ilvl w:val="0"/>
          <w:numId w:val="10"/>
        </w:numPr>
        <w:spacing w:line="400" w:lineRule="atLeast"/>
        <w:ind w:firstLine="480" w:firstLineChars="200"/>
        <w:jc w:val="both"/>
        <w:rPr>
          <w:rFonts w:hint="default" w:ascii="仿宋_GB2312" w:hAnsi="仿宋_GB2312" w:eastAsia="仿宋_GB2312" w:cs="仿宋_GB2312"/>
          <w:b/>
          <w:bCs/>
          <w:color w:val="000000" w:themeColor="text1"/>
          <w:highlight w:val="none"/>
          <w:lang w:val="en-US" w:eastAsia="zh-CN"/>
          <w14:textFill>
            <w14:solidFill>
              <w14:schemeClr w14:val="tx1"/>
            </w14:solidFill>
          </w14:textFill>
        </w:rPr>
      </w:pPr>
      <w:bookmarkStart w:id="108" w:name="_Toc28560"/>
      <w:bookmarkStart w:id="109" w:name="_Toc23441"/>
      <w:bookmarkStart w:id="110" w:name="_Toc29083"/>
      <w:r>
        <w:rPr>
          <w:rFonts w:hint="eastAsia" w:ascii="仿宋_GB2312" w:hAnsi="仿宋_GB2312" w:eastAsia="仿宋_GB2312" w:cs="仿宋_GB2312"/>
          <w:color w:val="000000" w:themeColor="text1"/>
          <w:highlight w:val="none"/>
          <w:lang w:val="en-US" w:eastAsia="zh-CN"/>
          <w14:textFill>
            <w14:solidFill>
              <w14:schemeClr w14:val="tx1"/>
            </w14:solidFill>
          </w14:textFill>
        </w:rPr>
        <w:t>当乙方所供物资超出</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合同交易物的金额不超过原合同金额的10%（含），正常办理结算；</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合同交易物的金额超过原合同金额的10%但不超过30%（含），甲乙双方签订补充协议；</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供应</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合同交易物的金额超过原合同金额的30%，则对原合同外的物资重新组织采购。</w:t>
      </w:r>
    </w:p>
    <w:p w14:paraId="670CDD6E">
      <w:pPr>
        <w:pStyle w:val="12"/>
        <w:numPr>
          <w:ilvl w:val="0"/>
          <w:numId w:val="10"/>
        </w:numPr>
        <w:spacing w:line="400" w:lineRule="atLeast"/>
        <w:ind w:firstLine="480" w:firstLineChars="200"/>
        <w:jc w:val="both"/>
        <w:rPr>
          <w:rFonts w:hint="default" w:ascii="仿宋_GB2312" w:hAnsi="仿宋_GB2312" w:eastAsia="仿宋_GB2312" w:cs="仿宋_GB2312"/>
          <w:b/>
          <w:bCs/>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工程建设单位、监理单位及相关部门出台的相关规定文件、市场准入制度造成合同不能执行，甲方不承担任何责任。</w:t>
      </w:r>
    </w:p>
    <w:p w14:paraId="5369AECF">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合同解除</w:t>
      </w:r>
      <w:bookmarkEnd w:id="108"/>
      <w:bookmarkEnd w:id="109"/>
      <w:bookmarkEnd w:id="110"/>
    </w:p>
    <w:p w14:paraId="7B54A7FD">
      <w:pPr>
        <w:pStyle w:val="12"/>
        <w:numPr>
          <w:ilvl w:val="0"/>
          <w:numId w:val="11"/>
        </w:numPr>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bookmarkStart w:id="111" w:name="_Hlk126831282"/>
      <w:r>
        <w:rPr>
          <w:rFonts w:hint="eastAsia" w:ascii="仿宋_GB2312" w:hAnsi="仿宋_GB2312" w:eastAsia="仿宋_GB2312" w:cs="仿宋_GB2312"/>
          <w:color w:val="000000" w:themeColor="text1"/>
          <w:highlight w:val="none"/>
          <w14:textFill>
            <w14:solidFill>
              <w14:schemeClr w14:val="tx1"/>
            </w14:solidFill>
          </w14:textFill>
        </w:rPr>
        <w:t>因不可抗力致使不能实现合同目的等原因，经甲、乙双方协商一致同意可解除合同。</w:t>
      </w:r>
    </w:p>
    <w:p w14:paraId="24B5CD61">
      <w:pPr>
        <w:pStyle w:val="12"/>
        <w:numPr>
          <w:ilvl w:val="0"/>
          <w:numId w:val="11"/>
        </w:numPr>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如甲方与业主签订的总承包合同解除或终止，或因业主变更导致甲方无需采购约定材料，则甲方以书面形式通知乙方终止本合同。</w:t>
      </w:r>
    </w:p>
    <w:p w14:paraId="77A604AB">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3、乙方具有下列事由之一的，甲方可以单方全部解除合同或部分解除合同或终止合同，乙方已收款项全部无条件返还：</w:t>
      </w:r>
    </w:p>
    <w:p w14:paraId="06E212FC">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3.1乙方所提供的产品无法通过相关部门（如质监、监理、设计方、甲方及当地相关政府部门等）验收合格；</w:t>
      </w:r>
    </w:p>
    <w:p w14:paraId="074BCC5E">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3.2在产品使用后发生因产品质量问题造成人员、财产受到损害的；</w:t>
      </w:r>
    </w:p>
    <w:p w14:paraId="7C7009D8">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3.3乙方将本合同项下权利义务全部或部分转让的；</w:t>
      </w:r>
    </w:p>
    <w:p w14:paraId="3FBAC3CA">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3.4未按本合同约定时间交货累计延误达10日历天；</w:t>
      </w:r>
    </w:p>
    <w:p w14:paraId="5F07BBAD">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3.5因产品质量未达到本合同专用条款第四条技术标准及质量要求和国家、地方政府相关部门的相关规范和要求，在甲方要求时间内无法更换或补充至甲方要求；</w:t>
      </w:r>
    </w:p>
    <w:p w14:paraId="0AA848DC">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3.6甲方发现产品不能满足本合同约定的质量标准时，或在本合同履行过程中，乙方未按甲方的要求及时进行整改的；</w:t>
      </w:r>
    </w:p>
    <w:p w14:paraId="12B19807">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3.7在本合同履行过程中乙方漠视甲方、设计方指令的或未按甲方、设计方指令执行的；</w:t>
      </w:r>
    </w:p>
    <w:p w14:paraId="39ACA74B">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3.9其他法律规定可解除合同的事由。</w:t>
      </w:r>
    </w:p>
    <w:p w14:paraId="2032456B">
      <w:pPr>
        <w:pStyle w:val="12"/>
        <w:spacing w:line="400" w:lineRule="atLeast"/>
        <w:ind w:firstLine="480" w:firstLineChars="200"/>
        <w:jc w:val="both"/>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如发生上述事项，甲方将解除或终止合同的意思表示（书面或传真）通知乙方后合同解除或终止。合同解除后乙方仍应承担上述因乙方原因而产生的违约金和因此给甲方造成的全部直接和间接经济损失。乙方在收到解除或终止合同的通知后应无条件配合甲方处理善后事宜。</w:t>
      </w:r>
    </w:p>
    <w:p w14:paraId="23CF8C8E">
      <w:pPr>
        <w:pStyle w:val="12"/>
        <w:spacing w:line="400" w:lineRule="atLeast"/>
        <w:ind w:firstLine="482" w:firstLineChars="200"/>
        <w:jc w:val="both"/>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4、合同解除或终止后，乙方应当积极配合甲方及时办理合同结算及支付手续，否则甲方有权单方办理结算，视为乙方认可甲方审定的结算额</w:t>
      </w:r>
      <w:bookmarkEnd w:id="111"/>
      <w:r>
        <w:rPr>
          <w:rFonts w:hint="eastAsia" w:ascii="仿宋_GB2312" w:hAnsi="仿宋_GB2312" w:eastAsia="仿宋_GB2312" w:cs="仿宋_GB2312"/>
          <w:b/>
          <w:bCs/>
          <w:color w:val="000000" w:themeColor="text1"/>
          <w:highlight w:val="none"/>
          <w14:textFill>
            <w14:solidFill>
              <w14:schemeClr w14:val="tx1"/>
            </w14:solidFill>
          </w14:textFill>
        </w:rPr>
        <w:t>。</w:t>
      </w:r>
    </w:p>
    <w:p w14:paraId="22DBC04B">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112" w:name="_Toc24603"/>
      <w:bookmarkStart w:id="113" w:name="_Toc17777"/>
      <w:bookmarkStart w:id="114" w:name="_Toc16580"/>
      <w:r>
        <w:rPr>
          <w:rFonts w:hint="eastAsia" w:ascii="仿宋_GB2312" w:hAnsi="仿宋_GB2312" w:eastAsia="仿宋_GB2312" w:cs="仿宋_GB2312"/>
          <w:b/>
          <w:bCs/>
          <w:color w:val="000000" w:themeColor="text1"/>
          <w:highlight w:val="none"/>
          <w14:textFill>
            <w14:solidFill>
              <w14:schemeClr w14:val="tx1"/>
            </w14:solidFill>
          </w14:textFill>
        </w:rPr>
        <w:t>不可抗力</w:t>
      </w:r>
      <w:bookmarkEnd w:id="112"/>
      <w:bookmarkEnd w:id="113"/>
      <w:bookmarkEnd w:id="114"/>
    </w:p>
    <w:p w14:paraId="3B25D2A9">
      <w:pPr>
        <w:pStyle w:val="12"/>
        <w:numPr>
          <w:ilvl w:val="0"/>
          <w:numId w:val="12"/>
        </w:numPr>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不可抗力的确认和通知</w:t>
      </w:r>
    </w:p>
    <w:p w14:paraId="0F8C3D7E">
      <w:pPr>
        <w:pStyle w:val="12"/>
        <w:numPr>
          <w:ilvl w:val="255"/>
          <w:numId w:val="0"/>
        </w:numPr>
        <w:spacing w:line="400" w:lineRule="atLeast"/>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lang w:eastAsia="zh-Hans"/>
          <w14:textFill>
            <w14:solidFill>
              <w14:schemeClr w14:val="tx1"/>
            </w14:solidFill>
          </w14:textFill>
        </w:rPr>
        <w:t xml:space="preserve">    </w:t>
      </w:r>
      <w:r>
        <w:rPr>
          <w:rFonts w:hint="eastAsia" w:ascii="仿宋_GB2312" w:hAnsi="仿宋_GB2312" w:eastAsia="仿宋_GB2312" w:cs="仿宋_GB2312"/>
          <w:color w:val="000000" w:themeColor="text1"/>
          <w:highlight w:val="none"/>
          <w14:textFill>
            <w14:solidFill>
              <w14:schemeClr w14:val="tx1"/>
            </w14:solidFill>
          </w14:textFill>
        </w:rPr>
        <w:t>不可抗力是指合同当事人在签订合同时不可预见，在合同履行过程中不可避免且不能克服的自然灾害和社会性突发事件，如地震、海啸、火灾、特大风雪、连续暴雨、特大降水、洪水等自然灾害，瘟疫、骚乱、戒严、暴动、战争、爆发性传染疾病、雾霾停工及其它通知的政府行为。合同一方当事人遇到不可抗力事件，使其履行合同义务受到阻碍时，应立即通知合同另一方当事人，书面说明不可抗力和受阻碍的详细情况，并提供必要的证明。</w:t>
      </w:r>
    </w:p>
    <w:p w14:paraId="5D74ACE7">
      <w:pPr>
        <w:pStyle w:val="12"/>
        <w:numPr>
          <w:ilvl w:val="0"/>
          <w:numId w:val="12"/>
        </w:numPr>
        <w:spacing w:line="400" w:lineRule="atLeast"/>
        <w:ind w:firstLine="482"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不可抗力的通知</w:t>
      </w:r>
    </w:p>
    <w:p w14:paraId="46AD6D07">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2.1 不可抗力事件发生后，</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应立即通知</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，并在力所能及的条件下迅速采取措施，尽力减少损失，</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应协助</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采取措施。若因</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未能尽力挽救，导致损失扩大的，由</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承担全部责任。</w:t>
      </w:r>
    </w:p>
    <w:p w14:paraId="50ECE559">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2.2 不可抗力事件结束后14天内，</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应向</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提交清理和修复费用的正式报告及有关资料。</w:t>
      </w:r>
    </w:p>
    <w:p w14:paraId="67CD9729">
      <w:pPr>
        <w:pStyle w:val="12"/>
        <w:numPr>
          <w:ilvl w:val="0"/>
          <w:numId w:val="12"/>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不可抗力风险的承担</w:t>
      </w:r>
    </w:p>
    <w:p w14:paraId="742F1815">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3.1 不可抗力导致的人员伤亡、财产损失、费用增加和（或）作业期限延误等后果，由合同当事人按以下原则承担：</w:t>
      </w:r>
    </w:p>
    <w:p w14:paraId="7B09741C">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（1）</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施工设备的损坏由</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承担；</w:t>
      </w:r>
    </w:p>
    <w:p w14:paraId="6868AC1A">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和</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承担各自人员伤亡和财产的损失；</w:t>
      </w:r>
    </w:p>
    <w:p w14:paraId="4DBC6AC5">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（3）因不可抗力影响</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履行合同约定的义务，已经引起或将引起工期延误的，应当顺延工期，由此导致</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停工的费用损失由</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承担；</w:t>
      </w:r>
    </w:p>
    <w:p w14:paraId="306E1EEB">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（4）因不可抗力引起或将引起工期延误，</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要求赶工的，由此增加的赶工费用由</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承担；</w:t>
      </w:r>
    </w:p>
    <w:p w14:paraId="09D09F34">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（5）</w:t>
      </w:r>
      <w:r>
        <w:rPr>
          <w:rFonts w:hint="eastAsia" w:ascii="仿宋_GB2312" w:hAnsi="仿宋_GB2312" w:eastAsia="仿宋_GB2312" w:cs="仿宋_GB2312"/>
          <w:color w:val="000000" w:themeColor="text1"/>
          <w:highlight w:val="none"/>
          <w:lang w:eastAsia="zh-CN"/>
          <w14:textFill>
            <w14:solidFill>
              <w14:schemeClr w14:val="tx1"/>
            </w14:solidFill>
          </w14:textFill>
        </w:rPr>
        <w:t>乙方</w:t>
      </w:r>
      <w:r>
        <w:rPr>
          <w:rFonts w:hint="eastAsia" w:ascii="仿宋_GB2312" w:hAnsi="仿宋_GB2312" w:eastAsia="仿宋_GB2312" w:cs="仿宋_GB2312"/>
          <w:color w:val="000000" w:themeColor="text1"/>
          <w:highlight w:val="none"/>
          <w14:textFill>
            <w14:solidFill>
              <w14:schemeClr w14:val="tx1"/>
            </w14:solidFill>
          </w14:textFill>
        </w:rPr>
        <w:t>在停工期间按照</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要求照管和清理</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工程的费用由</w:t>
      </w:r>
      <w:r>
        <w:rPr>
          <w:rFonts w:hint="eastAsia" w:ascii="仿宋_GB2312" w:hAnsi="仿宋_GB2312" w:eastAsia="仿宋_GB2312" w:cs="仿宋_GB2312"/>
          <w:color w:val="000000" w:themeColor="text1"/>
          <w:highlight w:val="none"/>
          <w:lang w:eastAsia="zh-CN"/>
          <w14:textFill>
            <w14:solidFill>
              <w14:schemeClr w14:val="tx1"/>
            </w14:solidFill>
          </w14:textFill>
        </w:rPr>
        <w:t>甲方</w:t>
      </w:r>
      <w:r>
        <w:rPr>
          <w:rFonts w:hint="eastAsia" w:ascii="仿宋_GB2312" w:hAnsi="仿宋_GB2312" w:eastAsia="仿宋_GB2312" w:cs="仿宋_GB2312"/>
          <w:color w:val="000000" w:themeColor="text1"/>
          <w:highlight w:val="none"/>
          <w14:textFill>
            <w14:solidFill>
              <w14:schemeClr w14:val="tx1"/>
            </w14:solidFill>
          </w14:textFill>
        </w:rPr>
        <w:t>承担。</w:t>
      </w:r>
    </w:p>
    <w:p w14:paraId="6B595DA7">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不可抗力发生后，合同当事人均应采取措施尽量避免和减少损失的扩大，任何一方当事人没有采取有效措施导致损失扩大的，应对扩大的损失承担责任。</w:t>
      </w:r>
    </w:p>
    <w:p w14:paraId="7355F74C">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3.2 因合同一方迟延履行合同义务，在迟延履行期间遭遇不可抗力的，不免除其违约责任。</w:t>
      </w:r>
    </w:p>
    <w:p w14:paraId="140200E8">
      <w:pPr>
        <w:pStyle w:val="12"/>
        <w:numPr>
          <w:ilvl w:val="0"/>
          <w:numId w:val="12"/>
        </w:numPr>
        <w:spacing w:line="400" w:lineRule="atLeast"/>
        <w:ind w:firstLine="482" w:firstLineChars="20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因不可抗力解除合同</w:t>
      </w:r>
    </w:p>
    <w:p w14:paraId="65C380D5">
      <w:pPr>
        <w:pStyle w:val="12"/>
        <w:numPr>
          <w:ilvl w:val="255"/>
          <w:numId w:val="0"/>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因不可抗力导致本合同无法履行连续超过84天或累计超过140天的，甲方和乙方均有权解除本合同。本合同解除后，甲方有权暂停对乙方的付款，直到双方就退场达成一致。</w:t>
      </w:r>
    </w:p>
    <w:p w14:paraId="67B052E0">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yellow"/>
          <w14:textFill>
            <w14:solidFill>
              <w14:schemeClr w14:val="tx1"/>
            </w14:solidFill>
          </w14:textFill>
        </w:rPr>
      </w:pPr>
      <w:bookmarkStart w:id="115" w:name="_Toc18501"/>
      <w:bookmarkStart w:id="116" w:name="_Toc10852"/>
      <w:bookmarkStart w:id="117" w:name="_Toc9310"/>
      <w:r>
        <w:rPr>
          <w:rFonts w:hint="eastAsia" w:ascii="仿宋_GB2312" w:hAnsi="仿宋_GB2312" w:eastAsia="仿宋_GB2312" w:cs="仿宋_GB2312"/>
          <w:b/>
          <w:bCs/>
          <w:color w:val="000000" w:themeColor="text1"/>
          <w:highlight w:val="yellow"/>
          <w14:textFill>
            <w14:solidFill>
              <w14:schemeClr w14:val="tx1"/>
            </w14:solidFill>
          </w14:textFill>
        </w:rPr>
        <w:t>争议解决</w:t>
      </w:r>
      <w:bookmarkEnd w:id="115"/>
      <w:bookmarkEnd w:id="116"/>
      <w:bookmarkEnd w:id="117"/>
    </w:p>
    <w:p w14:paraId="5E4690C1">
      <w:pPr>
        <w:pStyle w:val="12"/>
        <w:spacing w:line="400" w:lineRule="atLeast"/>
        <w:ind w:firstLine="482" w:firstLineChars="200"/>
        <w:rPr>
          <w:rFonts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1、争议和解：</w:t>
      </w:r>
      <w:r>
        <w:rPr>
          <w:rFonts w:hint="eastAsia" w:ascii="仿宋_GB2312" w:hAnsi="仿宋_GB2312" w:eastAsia="仿宋_GB2312" w:cs="仿宋_GB2312"/>
          <w:color w:val="000000" w:themeColor="text1"/>
          <w:highlight w:val="yellow"/>
          <w14:textFill>
            <w14:solidFill>
              <w14:schemeClr w14:val="tx1"/>
            </w14:solidFill>
          </w14:textFill>
        </w:rPr>
        <w:t>对因本合同引起或与之相关的任何争议、纠纷或权利主张，任何一方如欲通过本条第2款约定的方式解决，须在提起第2款约定的争议解决方式前，向对方发出书面和解申请书，并告知对方争议、纠纷或权利主张之事实及依据。</w:t>
      </w:r>
    </w:p>
    <w:p w14:paraId="1A0C7F5B">
      <w:pPr>
        <w:pStyle w:val="12"/>
        <w:spacing w:line="400" w:lineRule="atLeast"/>
        <w:ind w:firstLine="480" w:firstLineChars="200"/>
        <w:rPr>
          <w:rFonts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color w:val="000000" w:themeColor="text1"/>
          <w:highlight w:val="yellow"/>
          <w14:textFill>
            <w14:solidFill>
              <w14:schemeClr w14:val="tx1"/>
            </w14:solidFill>
          </w14:textFill>
        </w:rPr>
        <w:t>在对方收到上述通知之日起</w:t>
      </w:r>
      <w:r>
        <w:rPr>
          <w:rFonts w:hint="eastAsia" w:ascii="仿宋_GB2312" w:hAnsi="仿宋_GB2312" w:eastAsia="仿宋_GB2312" w:cs="仿宋_GB2312"/>
          <w:color w:val="000000" w:themeColor="text1"/>
          <w:highlight w:val="yellow"/>
          <w:u w:val="single"/>
          <w14:textFill>
            <w14:solidFill>
              <w14:schemeClr w14:val="tx1"/>
            </w14:solidFill>
          </w14:textFill>
        </w:rPr>
        <w:t>3个月</w:t>
      </w:r>
      <w:r>
        <w:rPr>
          <w:rFonts w:hint="eastAsia" w:ascii="仿宋_GB2312" w:hAnsi="仿宋_GB2312" w:eastAsia="仿宋_GB2312" w:cs="仿宋_GB2312"/>
          <w:color w:val="000000" w:themeColor="text1"/>
          <w:highlight w:val="yellow"/>
          <w14:textFill>
            <w14:solidFill>
              <w14:schemeClr w14:val="tx1"/>
            </w14:solidFill>
          </w14:textFill>
        </w:rPr>
        <w:t>为双方和解期限。在和解期限内，若双方达成和解协议的，双方的权利义务按照和解协议履行；若未达成和解协议的，任何一方可采取本条第2款约定的争议解决方式。</w:t>
      </w:r>
    </w:p>
    <w:p w14:paraId="36F5936A">
      <w:pPr>
        <w:pStyle w:val="12"/>
        <w:spacing w:line="400" w:lineRule="atLeast"/>
        <w:ind w:firstLine="482" w:firstLineChars="200"/>
        <w:rPr>
          <w:rFonts w:hint="eastAsia" w:ascii="仿宋_GB2312" w:hAnsi="仿宋_GB2312" w:eastAsia="仿宋_GB2312" w:cs="仿宋_GB2312"/>
          <w:color w:val="000000" w:themeColor="text1"/>
          <w:highlight w:val="yellow"/>
          <w:lang w:val="en-US" w:eastAsia="zh-CN"/>
          <w14:textFill>
            <w14:solidFill>
              <w14:schemeClr w14:val="tx1"/>
            </w14:solidFill>
          </w14:textFill>
        </w:rPr>
      </w:pPr>
      <w:bookmarkStart w:id="118" w:name="_Hlk126830485"/>
      <w:bookmarkStart w:id="119" w:name="_Hlk126770481"/>
      <w:bookmarkStart w:id="120" w:name="_Toc31739"/>
      <w:bookmarkStart w:id="121" w:name="_Toc18393"/>
      <w:bookmarkStart w:id="122" w:name="_Toc11207"/>
      <w:r>
        <w:rPr>
          <w:rFonts w:hint="eastAsia" w:ascii="仿宋_GB2312" w:hAnsi="仿宋_GB2312" w:eastAsia="仿宋_GB2312" w:cs="仿宋_GB2312"/>
          <w:b/>
          <w:bCs/>
          <w:color w:val="000000" w:themeColor="text1"/>
          <w:highlight w:val="yellow"/>
          <w14:textFill>
            <w14:solidFill>
              <w14:schemeClr w14:val="tx1"/>
            </w14:solidFill>
          </w14:textFill>
        </w:rPr>
        <w:t>2、</w:t>
      </w:r>
      <w:bookmarkEnd w:id="118"/>
      <w:bookmarkEnd w:id="119"/>
      <w:bookmarkStart w:id="123" w:name="_Hlk127194929"/>
      <w:r>
        <w:rPr>
          <w:rFonts w:hint="eastAsia" w:ascii="仿宋_GB2312" w:hAnsi="仿宋_GB2312" w:eastAsia="仿宋_GB2312" w:cs="仿宋_GB2312"/>
          <w:b/>
          <w:bCs/>
          <w:color w:val="000000" w:themeColor="text1"/>
          <w:kern w:val="0"/>
          <w:sz w:val="24"/>
          <w:szCs w:val="24"/>
          <w:highlight w:val="yellow"/>
          <w:lang w:val="en-US" w:eastAsia="zh-CN" w:bidi="ar-SA"/>
          <w14:textFill>
            <w14:solidFill>
              <w14:schemeClr w14:val="tx1"/>
            </w14:solidFill>
          </w14:textFill>
        </w:rPr>
        <w:t>争议仲裁：</w:t>
      </w:r>
      <w:r>
        <w:rPr>
          <w:rFonts w:hint="eastAsia" w:ascii="仿宋_GB2312" w:hAnsi="仿宋_GB2312" w:eastAsia="仿宋_GB2312" w:cs="仿宋_GB2312"/>
          <w:color w:val="000000" w:themeColor="text1"/>
          <w:kern w:val="0"/>
          <w:sz w:val="24"/>
          <w:szCs w:val="24"/>
          <w:highlight w:val="yellow"/>
          <w:lang w:val="en-US" w:eastAsia="zh-CN" w:bidi="ar-SA"/>
          <w14:textFill>
            <w14:solidFill>
              <w14:schemeClr w14:val="tx1"/>
            </w14:solidFill>
          </w14:textFill>
        </w:rPr>
        <w:t>因本合同引起或与之相关任何争议、纠纷或权利主张，和解不成且已超过和解期的,双方同意提交石家庄仲裁委员会裁决。</w:t>
      </w:r>
    </w:p>
    <w:p w14:paraId="229698EE">
      <w:pPr>
        <w:pStyle w:val="12"/>
        <w:spacing w:line="400" w:lineRule="atLeast"/>
        <w:ind w:firstLine="482" w:firstLineChars="200"/>
        <w:jc w:val="both"/>
        <w:rPr>
          <w:rFonts w:ascii="仿宋_GB2312" w:hAnsi="仿宋_GB2312" w:eastAsia="仿宋_GB2312" w:cs="仿宋_GB2312"/>
          <w:b/>
          <w:bCs/>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2.</w:t>
      </w:r>
      <w:r>
        <w:rPr>
          <w:rFonts w:hint="eastAsia" w:ascii="仿宋_GB2312" w:hAnsi="仿宋_GB2312" w:eastAsia="仿宋_GB2312" w:cs="仿宋_GB2312"/>
          <w:b/>
          <w:bCs/>
          <w:color w:val="000000" w:themeColor="text1"/>
          <w:highlight w:val="yellow"/>
          <w:lang w:val="en-US" w:eastAsia="zh-CN"/>
          <w14:textFill>
            <w14:solidFill>
              <w14:schemeClr w14:val="tx1"/>
            </w14:solidFill>
          </w14:textFill>
        </w:rPr>
        <w:t>1</w:t>
      </w:r>
      <w:r>
        <w:rPr>
          <w:rFonts w:hint="eastAsia" w:ascii="仿宋_GB2312" w:hAnsi="仿宋_GB2312" w:eastAsia="仿宋_GB2312" w:cs="仿宋_GB2312"/>
          <w:b/>
          <w:bCs/>
          <w:color w:val="000000" w:themeColor="text1"/>
          <w:highlight w:val="yellow"/>
          <w14:textFill>
            <w14:solidFill>
              <w14:schemeClr w14:val="tx1"/>
            </w14:solidFill>
          </w14:textFill>
        </w:rPr>
        <w:t>本合同中关于管辖权的约定是唯一的，任何一方不得通过债权转让或其它方式对涉及本合同约定事项或与之相关的事项的争议解决方式进行另行约定或对本合同关于管辖权的约定进行变更，如发生类似情形，该等约定亦属无效</w:t>
      </w:r>
      <w:bookmarkEnd w:id="123"/>
      <w:r>
        <w:rPr>
          <w:rFonts w:hint="eastAsia" w:ascii="仿宋_GB2312" w:hAnsi="仿宋_GB2312" w:eastAsia="仿宋_GB2312" w:cs="仿宋_GB2312"/>
          <w:b/>
          <w:bCs/>
          <w:color w:val="000000" w:themeColor="text1"/>
          <w:highlight w:val="yellow"/>
          <w14:textFill>
            <w14:solidFill>
              <w14:schemeClr w14:val="tx1"/>
            </w14:solidFill>
          </w14:textFill>
        </w:rPr>
        <w:t>。</w:t>
      </w:r>
    </w:p>
    <w:p w14:paraId="60A9FF2C">
      <w:pPr>
        <w:pStyle w:val="12"/>
        <w:spacing w:line="400" w:lineRule="atLeast"/>
        <w:ind w:firstLine="482" w:firstLineChars="200"/>
        <w:jc w:val="both"/>
        <w:rPr>
          <w:rFonts w:ascii="仿宋_GB2312" w:hAnsi="仿宋_GB2312" w:eastAsia="仿宋_GB2312" w:cs="仿宋_GB2312"/>
          <w:b/>
          <w:bCs/>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2.</w:t>
      </w:r>
      <w:r>
        <w:rPr>
          <w:rFonts w:hint="eastAsia" w:ascii="仿宋_GB2312" w:hAnsi="仿宋_GB2312" w:eastAsia="仿宋_GB2312" w:cs="仿宋_GB2312"/>
          <w:b/>
          <w:bCs/>
          <w:color w:val="000000" w:themeColor="text1"/>
          <w:highlight w:val="yellow"/>
          <w:lang w:val="en-US" w:eastAsia="zh-CN"/>
          <w14:textFill>
            <w14:solidFill>
              <w14:schemeClr w14:val="tx1"/>
            </w14:solidFill>
          </w14:textFill>
        </w:rPr>
        <w:t>2</w:t>
      </w:r>
      <w:r>
        <w:rPr>
          <w:rFonts w:hint="eastAsia" w:ascii="仿宋_GB2312" w:hAnsi="仿宋_GB2312" w:eastAsia="仿宋_GB2312" w:cs="仿宋_GB2312"/>
          <w:b/>
          <w:bCs/>
          <w:color w:val="000000" w:themeColor="text1"/>
          <w:highlight w:val="yellow"/>
          <w14:textFill>
            <w14:solidFill>
              <w14:schemeClr w14:val="tx1"/>
            </w14:solidFill>
          </w14:textFill>
        </w:rPr>
        <w:t>因仲裁产生的各项</w:t>
      </w:r>
      <w:r>
        <w:rPr>
          <w:rFonts w:hint="eastAsia" w:ascii="仿宋_GB2312" w:hAnsi="仿宋_GB2312" w:eastAsia="仿宋_GB2312" w:cs="仿宋_GB2312"/>
          <w:b/>
          <w:bCs/>
          <w:color w:val="000000" w:themeColor="text1"/>
          <w:highlight w:val="yellow"/>
          <w:lang w:val="en-US" w:eastAsia="zh-CN"/>
          <w14:textFill>
            <w14:solidFill>
              <w14:schemeClr w14:val="tx1"/>
            </w14:solidFill>
          </w14:textFill>
        </w:rPr>
        <w:t>合理</w:t>
      </w:r>
      <w:r>
        <w:rPr>
          <w:rFonts w:hint="eastAsia" w:ascii="仿宋_GB2312" w:hAnsi="仿宋_GB2312" w:eastAsia="仿宋_GB2312" w:cs="仿宋_GB2312"/>
          <w:b/>
          <w:bCs/>
          <w:color w:val="000000" w:themeColor="text1"/>
          <w:highlight w:val="yellow"/>
          <w14:textFill>
            <w14:solidFill>
              <w14:schemeClr w14:val="tx1"/>
            </w14:solidFill>
          </w14:textFill>
        </w:rPr>
        <w:t>费用由双方自行承担，包括但不限于</w:t>
      </w:r>
      <w:r>
        <w:rPr>
          <w:rFonts w:hint="eastAsia" w:ascii="仿宋_GB2312" w:hAnsi="仿宋_GB2312" w:eastAsia="仿宋_GB2312" w:cs="仿宋_GB2312"/>
          <w:b/>
          <w:bCs/>
          <w:color w:val="000000" w:themeColor="text1"/>
          <w:highlight w:val="yellow"/>
          <w:lang w:val="en-US" w:eastAsia="zh-CN"/>
          <w14:textFill>
            <w14:solidFill>
              <w14:schemeClr w14:val="tx1"/>
            </w14:solidFill>
          </w14:textFill>
        </w:rPr>
        <w:t>案件受理费、</w:t>
      </w:r>
      <w:r>
        <w:rPr>
          <w:rFonts w:hint="eastAsia" w:ascii="仿宋_GB2312" w:hAnsi="仿宋_GB2312" w:eastAsia="仿宋_GB2312" w:cs="仿宋_GB2312"/>
          <w:b/>
          <w:bCs/>
          <w:color w:val="000000" w:themeColor="text1"/>
          <w:highlight w:val="yellow"/>
          <w14:textFill>
            <w14:solidFill>
              <w14:schemeClr w14:val="tx1"/>
            </w14:solidFill>
          </w14:textFill>
        </w:rPr>
        <w:t>律师费、仲裁费、保全费、保全保险费、差旅费、公证费及鉴定费等因仲裁引发的费用。</w:t>
      </w:r>
    </w:p>
    <w:p w14:paraId="06CD15DC">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保密义务</w:t>
      </w:r>
      <w:bookmarkEnd w:id="120"/>
      <w:bookmarkEnd w:id="121"/>
      <w:bookmarkEnd w:id="122"/>
    </w:p>
    <w:p w14:paraId="068C82C2">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bookmarkStart w:id="124" w:name="_Toc12970"/>
      <w:r>
        <w:rPr>
          <w:rFonts w:hint="eastAsia" w:ascii="仿宋_GB2312" w:hAnsi="仿宋_GB2312" w:eastAsia="仿宋_GB2312" w:cs="仿宋_GB2312"/>
          <w:color w:val="000000" w:themeColor="text1"/>
          <w:highlight w:val="none"/>
          <w14:textFill>
            <w14:solidFill>
              <w14:schemeClr w14:val="tx1"/>
            </w14:solidFill>
          </w14:textFill>
        </w:rPr>
        <w:t>1、除乙方为执行合同所雇人员外，在未经甲方书面许可的情况下，乙方不得将合同中的规定、有关规格、计划、图纸、式样、样本或甲方为上述内容向乙方提供的资料向本协议以外的任何第三方披露。乙方须在对外保密的前提下，对其雇用人员提供相关资料仅限于执行合同必须提供的范围之内。</w:t>
      </w:r>
    </w:p>
    <w:p w14:paraId="323EF5DE">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2、除合同另有约定以外，本合同列明的所有资料始终为甲方财产，若甲方要求，乙方应于其合同义务履行完毕以后退还甲方相应资料（包括所有副本）。</w:t>
      </w:r>
    </w:p>
    <w:p w14:paraId="71633CCD">
      <w:pPr>
        <w:pStyle w:val="12"/>
        <w:numPr>
          <w:ilvl w:val="0"/>
          <w:numId w:val="8"/>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none"/>
          <w14:textFill>
            <w14:solidFill>
              <w14:schemeClr w14:val="tx1"/>
            </w14:solidFill>
          </w14:textFill>
        </w:rPr>
      </w:pPr>
      <w:bookmarkStart w:id="125" w:name="_Toc14038"/>
      <w:bookmarkStart w:id="126" w:name="_Toc3848"/>
      <w:r>
        <w:rPr>
          <w:rFonts w:hint="eastAsia" w:ascii="仿宋_GB2312" w:hAnsi="仿宋_GB2312" w:eastAsia="仿宋_GB2312" w:cs="仿宋_GB2312"/>
          <w:b/>
          <w:bCs/>
          <w:color w:val="000000" w:themeColor="text1"/>
          <w:highlight w:val="none"/>
          <w14:textFill>
            <w14:solidFill>
              <w14:schemeClr w14:val="tx1"/>
            </w14:solidFill>
          </w14:textFill>
        </w:rPr>
        <w:t>其他条款</w:t>
      </w:r>
      <w:bookmarkEnd w:id="124"/>
      <w:bookmarkEnd w:id="125"/>
      <w:bookmarkEnd w:id="126"/>
    </w:p>
    <w:p w14:paraId="7381ED03">
      <w:pPr>
        <w:pStyle w:val="12"/>
        <w:numPr>
          <w:ilvl w:val="0"/>
          <w:numId w:val="13"/>
        </w:numPr>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本合同与甲方</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采购</w:t>
      </w:r>
      <w:r>
        <w:rPr>
          <w:rFonts w:hint="eastAsia" w:ascii="仿宋_GB2312" w:hAnsi="仿宋_GB2312" w:eastAsia="仿宋_GB2312" w:cs="仿宋_GB2312"/>
          <w:color w:val="000000" w:themeColor="text1"/>
          <w:highlight w:val="none"/>
          <w14:textFill>
            <w14:solidFill>
              <w14:schemeClr w14:val="tx1"/>
            </w14:solidFill>
          </w14:textFill>
        </w:rPr>
        <w:t>文件、乙方</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响应</w:t>
      </w:r>
      <w:r>
        <w:rPr>
          <w:rFonts w:hint="eastAsia" w:ascii="仿宋_GB2312" w:hAnsi="仿宋_GB2312" w:eastAsia="仿宋_GB2312" w:cs="仿宋_GB2312"/>
          <w:color w:val="000000" w:themeColor="text1"/>
          <w:highlight w:val="none"/>
          <w14:textFill>
            <w14:solidFill>
              <w14:schemeClr w14:val="tx1"/>
            </w14:solidFill>
          </w14:textFill>
        </w:rPr>
        <w:t>文件有相抵触之处，均以本合同条款为准。</w:t>
      </w:r>
    </w:p>
    <w:p w14:paraId="0D394E66">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2、本合同附件是本合同有效组成部分，与本合同具有同等效力。</w:t>
      </w:r>
    </w:p>
    <w:p w14:paraId="41512C47">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3、本合同未尽事宜，按《中华人民共和国民法典》有关规定执行。</w:t>
      </w:r>
    </w:p>
    <w:p w14:paraId="5E32DC3A">
      <w:pPr>
        <w:pStyle w:val="12"/>
        <w:spacing w:line="400" w:lineRule="atLeast"/>
        <w:ind w:firstLine="480" w:firstLineChars="200"/>
        <w:rPr>
          <w:rFonts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4、其他约定</w:t>
      </w:r>
      <w:permStart w:id="113" w:edGrp="everyone"/>
      <w:r>
        <w:rPr>
          <w:rFonts w:hint="eastAsia" w:ascii="仿宋_GB2312" w:hAnsi="仿宋_GB2312" w:eastAsia="仿宋_GB2312" w:cs="仿宋_GB2312"/>
          <w:color w:val="000000" w:themeColor="text1"/>
          <w:highlight w:val="none"/>
          <w:u w:val="single"/>
          <w14:textFill>
            <w14:solidFill>
              <w14:schemeClr w14:val="tx1"/>
            </w14:solidFill>
          </w14:textFill>
        </w:rPr>
        <w:t xml:space="preserve">  /  </w:t>
      </w:r>
      <w:permEnd w:id="113"/>
      <w:r>
        <w:rPr>
          <w:rFonts w:hint="eastAsia" w:ascii="仿宋_GB2312" w:hAnsi="仿宋_GB2312" w:eastAsia="仿宋_GB2312" w:cs="仿宋_GB2312"/>
          <w:color w:val="000000" w:themeColor="text1"/>
          <w:highlight w:val="none"/>
          <w14:textFill>
            <w14:solidFill>
              <w14:schemeClr w14:val="tx1"/>
            </w14:solidFill>
          </w14:textFill>
        </w:rPr>
        <w:t>。</w:t>
      </w:r>
    </w:p>
    <w:p w14:paraId="02CC4D01">
      <w:pPr>
        <w:pStyle w:val="12"/>
        <w:spacing w:line="400" w:lineRule="atLeast"/>
        <w:ind w:firstLine="480" w:firstLineChars="200"/>
        <w:jc w:val="both"/>
        <w:rPr>
          <w:rFonts w:hint="eastAsia" w:ascii="仿宋_GB2312" w:hAnsi="仿宋_GB2312" w:eastAsia="仿宋_GB2312" w:cs="仿宋_GB2312"/>
          <w:color w:val="000000" w:themeColor="text1"/>
          <w:highlight w:val="none"/>
          <w14:textFill>
            <w14:solidFill>
              <w14:schemeClr w14:val="tx1"/>
            </w14:solidFill>
          </w14:textFill>
        </w:rPr>
      </w:pPr>
      <w:bookmarkStart w:id="127" w:name="_Toc20230"/>
      <w:r>
        <w:rPr>
          <w:rFonts w:hint="eastAsia" w:ascii="仿宋_GB2312" w:hAnsi="仿宋_GB2312" w:eastAsia="仿宋_GB2312" w:cs="仿宋_GB2312"/>
          <w:color w:val="000000" w:themeColor="text1"/>
          <w:highlight w:val="none"/>
          <w14:textFill>
            <w14:solidFill>
              <w14:schemeClr w14:val="tx1"/>
            </w14:solidFill>
          </w14:textFill>
        </w:rPr>
        <w:t>以下无正文</w:t>
      </w:r>
      <w:bookmarkEnd w:id="127"/>
    </w:p>
    <w:p w14:paraId="3622F8E4">
      <w:pPr>
        <w:pStyle w:val="12"/>
        <w:spacing w:line="400" w:lineRule="atLeast"/>
        <w:ind w:firstLine="480" w:firstLineChars="200"/>
        <w:jc w:val="both"/>
        <w:rPr>
          <w:rFonts w:hint="eastAsia" w:ascii="仿宋_GB2312" w:hAnsi="仿宋_GB2312" w:eastAsia="仿宋_GB2312" w:cs="仿宋_GB2312"/>
          <w:color w:val="000000" w:themeColor="text1"/>
          <w:highlight w:val="none"/>
          <w14:textFill>
            <w14:solidFill>
              <w14:schemeClr w14:val="tx1"/>
            </w14:solidFill>
          </w14:textFill>
        </w:rPr>
      </w:pPr>
    </w:p>
    <w:p w14:paraId="47AE43FE">
      <w:pPr>
        <w:pStyle w:val="12"/>
        <w:spacing w:line="400" w:lineRule="atLeast"/>
        <w:ind w:firstLine="480" w:firstLineChars="200"/>
        <w:jc w:val="both"/>
        <w:rPr>
          <w:rFonts w:hint="default"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highlight w:val="none"/>
          <w:lang w:val="en-US" w:eastAsia="zh-CN"/>
          <w14:textFill>
            <w14:solidFill>
              <w14:schemeClr w14:val="tx1"/>
            </w14:solidFill>
          </w14:textFill>
        </w:rPr>
        <w:t xml:space="preserve">    甲  方：                               乙  方：</w:t>
      </w:r>
    </w:p>
    <w:p w14:paraId="404CBB75">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法定代表人：                           法定代表人：</w:t>
      </w:r>
    </w:p>
    <w:p w14:paraId="42666428">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 或</w:t>
      </w:r>
    </w:p>
    <w:p w14:paraId="02C6BDEA">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被委托</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 xml:space="preserve">人：                           </w:t>
      </w:r>
      <w:r>
        <w:rPr>
          <w:rFonts w:hint="eastAsia" w:ascii="仿宋_GB2312" w:hAnsi="仿宋_GB2312" w:eastAsia="仿宋_GB2312" w:cs="仿宋_GB2312"/>
          <w:color w:val="000000" w:themeColor="text1"/>
          <w:kern w:val="0"/>
          <w:sz w:val="24"/>
          <w:szCs w:val="24"/>
          <w:highlight w:val="none"/>
          <w:lang w:val="en-US" w:eastAsia="zh-CN"/>
          <w14:textFill>
            <w14:solidFill>
              <w14:schemeClr w14:val="tx1"/>
            </w14:solidFill>
          </w14:textFill>
        </w:rPr>
        <w:t>被</w:t>
      </w:r>
      <w:r>
        <w:rPr>
          <w:rFonts w:hint="eastAsia" w:ascii="仿宋_GB2312" w:hAnsi="仿宋_GB2312" w:eastAsia="仿宋_GB2312" w:cs="仿宋_GB2312"/>
          <w:color w:val="000000" w:themeColor="text1"/>
          <w:kern w:val="0"/>
          <w:sz w:val="24"/>
          <w:szCs w:val="24"/>
          <w:highlight w:val="none"/>
          <w14:textFill>
            <w14:solidFill>
              <w14:schemeClr w14:val="tx1"/>
            </w14:solidFill>
          </w14:textFill>
        </w:rPr>
        <w:t>委托人：</w:t>
      </w:r>
    </w:p>
    <w:p w14:paraId="49F594FF">
      <w:pPr>
        <w:spacing w:line="400" w:lineRule="exac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年  月  日    </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年  月  日 </w:t>
      </w:r>
    </w:p>
    <w:p w14:paraId="4A2C63CD">
      <w:pPr>
        <w:spacing w:line="400" w:lineRule="exact"/>
        <w:ind w:firstLine="5040" w:firstLineChars="2100"/>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 xml:space="preserve"> </w:t>
      </w:r>
    </w:p>
    <w:p w14:paraId="03073886">
      <w:pPr>
        <w:pStyle w:val="12"/>
        <w:spacing w:line="400" w:lineRule="atLeast"/>
        <w:ind w:firstLine="480" w:firstLineChars="200"/>
        <w:jc w:val="both"/>
        <w:rPr>
          <w:rFonts w:hint="eastAsia" w:ascii="仿宋_GB2312" w:hAnsi="仿宋_GB2312" w:eastAsia="仿宋_GB2312" w:cs="仿宋_GB2312"/>
          <w:color w:val="000000" w:themeColor="text1"/>
          <w:highlight w:val="none"/>
          <w14:textFill>
            <w14:solidFill>
              <w14:schemeClr w14:val="tx1"/>
            </w14:solidFill>
          </w14:textFill>
        </w:rPr>
      </w:pPr>
    </w:p>
    <w:p w14:paraId="010F0C5C">
      <w:pPr>
        <w:rPr>
          <w:rFonts w:ascii="仿宋_GB2312" w:hAnsi="仿宋_GB2312" w:eastAsia="仿宋_GB2312" w:cs="仿宋_GB2312"/>
          <w:color w:val="000000" w:themeColor="text1"/>
          <w:sz w:val="24"/>
          <w:highlight w:val="none"/>
          <w14:textFill>
            <w14:solidFill>
              <w14:schemeClr w14:val="tx1"/>
            </w14:solidFill>
          </w14:textFill>
        </w:rPr>
      </w:pPr>
    </w:p>
    <w:p w14:paraId="6B769C1F">
      <w:pPr>
        <w:rPr>
          <w:highlight w:val="none"/>
        </w:rPr>
      </w:pPr>
    </w:p>
    <w:sectPr>
      <w:pgSz w:w="11906" w:h="16838"/>
      <w:pgMar w:top="1440" w:right="1800" w:bottom="1440" w:left="1800" w:header="850" w:footer="975"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EB115">
    <w:pPr>
      <w:pStyle w:val="6"/>
      <w:jc w:val="center"/>
      <w:rPr>
        <w:rFonts w:hint="eastAsia" w:ascii="仿宋" w:hAnsi="仿宋" w:eastAsia="仿宋" w:cs="仿宋"/>
        <w:sz w:val="24"/>
        <w:szCs w:val="36"/>
        <w:lang w:eastAsia="zh-CN"/>
      </w:rPr>
    </w:pPr>
    <w:r>
      <w:rPr>
        <w:rFonts w:hint="eastAsia" w:ascii="仿宋" w:hAnsi="仿宋" w:eastAsia="仿宋" w:cs="仿宋"/>
        <w:sz w:val="24"/>
        <w:szCs w:val="36"/>
        <w:lang w:eastAsia="zh-CN"/>
      </w:rPr>
      <w:t xml:space="preserve"> </w:t>
    </w:r>
  </w:p>
  <w:p w14:paraId="7C5172F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BFFDE">
    <w:pPr>
      <w:pStyle w:val="6"/>
      <w:jc w:val="center"/>
      <w:rPr>
        <w:rFonts w:ascii="仿宋" w:hAnsi="仿宋" w:eastAsia="仿宋" w:cs="仿宋"/>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71094">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982EB">
    <w:pPr>
      <w:pStyle w:val="6"/>
      <w:jc w:val="center"/>
      <w:rPr>
        <w:rFonts w:ascii="仿宋" w:hAnsi="仿宋" w:eastAsia="仿宋" w:cs="仿宋"/>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DD177">
    <w:pPr>
      <w:pStyle w:val="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903820">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F903820">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C080C">
    <w:pPr>
      <w:pStyle w:val="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C7FDCF">
                          <w:pPr>
                            <w:pStyle w:val="6"/>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1C7FDCF">
                    <w:pPr>
                      <w:pStyle w:val="6"/>
                    </w:pPr>
                    <w:r>
                      <w:fldChar w:fldCharType="begin"/>
                    </w:r>
                    <w:r>
                      <w:instrText xml:space="preserve"> PAGE  \* MERGEFORMAT </w:instrText>
                    </w:r>
                    <w:r>
                      <w:fldChar w:fldCharType="separate"/>
                    </w:r>
                    <w:r>
                      <w:t>12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549B8">
    <w:pPr>
      <w:pStyle w:val="7"/>
    </w:pPr>
  </w:p>
  <w:p w14:paraId="545303D8">
    <w:pPr>
      <w:pStyle w:val="7"/>
    </w:pPr>
  </w:p>
  <w:p w14:paraId="7AE5AE10">
    <w:pPr>
      <w:pStyle w:val="7"/>
    </w:pPr>
  </w:p>
  <w:p w14:paraId="0A2D9CC1">
    <w:pPr>
      <w:pStyle w:val="7"/>
    </w:pPr>
  </w:p>
  <w:p w14:paraId="1DCB81E7">
    <w:pPr>
      <w:pStyle w:val="7"/>
      <w:jc w:val="left"/>
      <w:rPr>
        <w:b/>
        <w:bCs/>
      </w:rPr>
    </w:pPr>
    <w:r>
      <w:rPr>
        <w:b/>
        <w:bCs/>
      </w:rPr>
      <w:t>CSCEC</w:t>
    </w:r>
    <w:r>
      <w:t xml:space="preserve">  </w:t>
    </w:r>
    <w:r>
      <w:rPr>
        <w:rFonts w:hint="eastAsia"/>
        <w:b/>
        <w:bCs/>
      </w:rPr>
      <w:t xml:space="preserve">                                                                                 中建</w:t>
    </w:r>
  </w:p>
  <w:p w14:paraId="3479C5C7">
    <w:pPr>
      <w:pStyle w:val="7"/>
    </w:pPr>
  </w:p>
  <w:p w14:paraId="2CB33D2A">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CFB31">
    <w:pPr>
      <w:pBdr>
        <w:top w:val="none" w:color="auto" w:sz="0" w:space="1"/>
        <w:left w:val="none" w:color="auto" w:sz="0" w:space="4"/>
        <w:bottom w:val="none" w:color="auto" w:sz="0" w:space="1"/>
        <w:right w:val="none" w:color="auto" w:sz="0" w:space="4"/>
      </w:pBdr>
      <w:tabs>
        <w:tab w:val="center" w:pos="4153"/>
        <w:tab w:val="right" w:pos="8306"/>
      </w:tabs>
      <w:wordWrap w:val="0"/>
      <w:snapToGrid w:val="0"/>
      <w:rPr>
        <w:rFonts w:ascii="仿宋_GB2312" w:hAnsi="仿宋_GB2312" w:eastAsia="仿宋_GB2312" w:cs="仿宋_GB2312"/>
        <w:b/>
        <w:bCs/>
      </w:rPr>
    </w:pPr>
    <w:r>
      <w:drawing>
        <wp:anchor distT="0" distB="0" distL="114300" distR="114300" simplePos="0" relativeHeight="251664384"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7" name="图片 7"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p w14:paraId="0E39938B">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ACC21">
    <w:pPr>
      <w:pBdr>
        <w:top w:val="none" w:color="auto" w:sz="0" w:space="1"/>
        <w:left w:val="none" w:color="auto" w:sz="0" w:space="4"/>
        <w:bottom w:val="none" w:color="auto" w:sz="0" w:space="1"/>
        <w:right w:val="none" w:color="auto" w:sz="0" w:space="4"/>
      </w:pBdr>
      <w:tabs>
        <w:tab w:val="center" w:pos="4153"/>
        <w:tab w:val="right" w:pos="8306"/>
      </w:tabs>
      <w:wordWrap w:val="0"/>
      <w:snapToGrid w:val="0"/>
      <w:rPr>
        <w:rFonts w:ascii="仿宋_GB2312" w:hAnsi="仿宋_GB2312" w:eastAsia="仿宋_GB2312" w:cs="仿宋_GB2312"/>
        <w:b/>
        <w:bCs/>
      </w:rPr>
    </w:pPr>
    <w:r>
      <w:drawing>
        <wp:anchor distT="0" distB="0" distL="114300" distR="114300" simplePos="0" relativeHeight="251665408"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3"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p w14:paraId="7F7CA813">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908B4">
    <w:pPr>
      <w:pBdr>
        <w:top w:val="none" w:color="auto" w:sz="0" w:space="1"/>
        <w:left w:val="none" w:color="auto" w:sz="0" w:space="4"/>
        <w:bottom w:val="none" w:color="auto" w:sz="0" w:space="1"/>
        <w:right w:val="none" w:color="auto" w:sz="0" w:space="4"/>
      </w:pBdr>
      <w:tabs>
        <w:tab w:val="center" w:pos="4153"/>
        <w:tab w:val="right" w:pos="8306"/>
      </w:tabs>
      <w:wordWrap w:val="0"/>
      <w:snapToGrid w:val="0"/>
      <w:rPr>
        <w:rFonts w:ascii="仿宋_GB2312" w:hAnsi="仿宋_GB2312" w:eastAsia="仿宋_GB2312" w:cs="仿宋_GB2312"/>
        <w:b/>
        <w:bCs/>
      </w:rPr>
    </w:pPr>
    <w:r>
      <w:drawing>
        <wp:anchor distT="0" distB="0" distL="114300" distR="114300" simplePos="0" relativeHeight="251666432"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8" name="图片 8"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p w14:paraId="2E51BD73">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25A6D"/>
    <w:multiLevelType w:val="singleLevel"/>
    <w:tmpl w:val="9C525A6D"/>
    <w:lvl w:ilvl="0" w:tentative="0">
      <w:start w:val="1"/>
      <w:numFmt w:val="decimal"/>
      <w:suff w:val="nothing"/>
      <w:lvlText w:val="%1、"/>
      <w:lvlJc w:val="left"/>
    </w:lvl>
  </w:abstractNum>
  <w:abstractNum w:abstractNumId="1">
    <w:nsid w:val="CDF988A0"/>
    <w:multiLevelType w:val="singleLevel"/>
    <w:tmpl w:val="CDF988A0"/>
    <w:lvl w:ilvl="0" w:tentative="0">
      <w:start w:val="1"/>
      <w:numFmt w:val="decimal"/>
      <w:suff w:val="nothing"/>
      <w:lvlText w:val="%1、"/>
      <w:lvlJc w:val="left"/>
    </w:lvl>
  </w:abstractNum>
  <w:abstractNum w:abstractNumId="2">
    <w:nsid w:val="D6CC21DA"/>
    <w:multiLevelType w:val="singleLevel"/>
    <w:tmpl w:val="D6CC21DA"/>
    <w:lvl w:ilvl="0" w:tentative="0">
      <w:start w:val="1"/>
      <w:numFmt w:val="decimal"/>
      <w:suff w:val="nothing"/>
      <w:lvlText w:val="%1、"/>
      <w:lvlJc w:val="left"/>
    </w:lvl>
  </w:abstractNum>
  <w:abstractNum w:abstractNumId="3">
    <w:nsid w:val="DA2CD928"/>
    <w:multiLevelType w:val="singleLevel"/>
    <w:tmpl w:val="DA2CD928"/>
    <w:lvl w:ilvl="0" w:tentative="0">
      <w:start w:val="1"/>
      <w:numFmt w:val="decimal"/>
      <w:suff w:val="nothing"/>
      <w:lvlText w:val="%1、"/>
      <w:lvlJc w:val="left"/>
    </w:lvl>
  </w:abstractNum>
  <w:abstractNum w:abstractNumId="4">
    <w:nsid w:val="E0133784"/>
    <w:multiLevelType w:val="singleLevel"/>
    <w:tmpl w:val="E0133784"/>
    <w:lvl w:ilvl="0" w:tentative="0">
      <w:start w:val="1"/>
      <w:numFmt w:val="decimal"/>
      <w:suff w:val="nothing"/>
      <w:lvlText w:val="%1、"/>
      <w:lvlJc w:val="left"/>
    </w:lvl>
  </w:abstractNum>
  <w:abstractNum w:abstractNumId="5">
    <w:nsid w:val="EEFD7662"/>
    <w:multiLevelType w:val="singleLevel"/>
    <w:tmpl w:val="EEFD7662"/>
    <w:lvl w:ilvl="0" w:tentative="0">
      <w:start w:val="1"/>
      <w:numFmt w:val="decimal"/>
      <w:suff w:val="nothing"/>
      <w:lvlText w:val="%1、"/>
      <w:lvlJc w:val="left"/>
    </w:lvl>
  </w:abstractNum>
  <w:abstractNum w:abstractNumId="6">
    <w:nsid w:val="EFACCE70"/>
    <w:multiLevelType w:val="singleLevel"/>
    <w:tmpl w:val="EFACCE70"/>
    <w:lvl w:ilvl="0" w:tentative="0">
      <w:start w:val="1"/>
      <w:numFmt w:val="chineseCounting"/>
      <w:suff w:val="nothing"/>
      <w:lvlText w:val="%1、"/>
      <w:lvlJc w:val="left"/>
      <w:rPr>
        <w:rFonts w:hint="eastAsia"/>
      </w:rPr>
    </w:lvl>
  </w:abstractNum>
  <w:abstractNum w:abstractNumId="7">
    <w:nsid w:val="F4B4D53B"/>
    <w:multiLevelType w:val="singleLevel"/>
    <w:tmpl w:val="F4B4D53B"/>
    <w:lvl w:ilvl="0" w:tentative="0">
      <w:start w:val="1"/>
      <w:numFmt w:val="decimal"/>
      <w:suff w:val="nothing"/>
      <w:lvlText w:val="%1、"/>
      <w:lvlJc w:val="left"/>
    </w:lvl>
  </w:abstractNum>
  <w:abstractNum w:abstractNumId="8">
    <w:nsid w:val="17E12B1E"/>
    <w:multiLevelType w:val="singleLevel"/>
    <w:tmpl w:val="17E12B1E"/>
    <w:lvl w:ilvl="0" w:tentative="0">
      <w:start w:val="6"/>
      <w:numFmt w:val="chineseCounting"/>
      <w:suff w:val="nothing"/>
      <w:lvlText w:val="%1、"/>
      <w:lvlJc w:val="left"/>
      <w:pPr>
        <w:ind w:left="480" w:firstLine="0"/>
      </w:pPr>
      <w:rPr>
        <w:rFonts w:hint="eastAsia"/>
      </w:rPr>
    </w:lvl>
  </w:abstractNum>
  <w:abstractNum w:abstractNumId="9">
    <w:nsid w:val="1C870535"/>
    <w:multiLevelType w:val="singleLevel"/>
    <w:tmpl w:val="1C870535"/>
    <w:lvl w:ilvl="0" w:tentative="0">
      <w:start w:val="1"/>
      <w:numFmt w:val="decimal"/>
      <w:suff w:val="nothing"/>
      <w:lvlText w:val="%1、"/>
      <w:lvlJc w:val="left"/>
      <w:rPr>
        <w:rFonts w:hint="default"/>
        <w:b/>
        <w:bCs/>
      </w:rPr>
    </w:lvl>
  </w:abstractNum>
  <w:abstractNum w:abstractNumId="10">
    <w:nsid w:val="1D9874AA"/>
    <w:multiLevelType w:val="singleLevel"/>
    <w:tmpl w:val="1D9874AA"/>
    <w:lvl w:ilvl="0" w:tentative="0">
      <w:start w:val="1"/>
      <w:numFmt w:val="chineseCounting"/>
      <w:suff w:val="nothing"/>
      <w:lvlText w:val="%1、"/>
      <w:lvlJc w:val="left"/>
      <w:rPr>
        <w:rFonts w:hint="eastAsia"/>
      </w:rPr>
    </w:lvl>
  </w:abstractNum>
  <w:abstractNum w:abstractNumId="11">
    <w:nsid w:val="567023B9"/>
    <w:multiLevelType w:val="singleLevel"/>
    <w:tmpl w:val="567023B9"/>
    <w:lvl w:ilvl="0" w:tentative="0">
      <w:start w:val="1"/>
      <w:numFmt w:val="decimal"/>
      <w:suff w:val="nothing"/>
      <w:lvlText w:val="%1、"/>
      <w:lvlJc w:val="left"/>
    </w:lvl>
  </w:abstractNum>
  <w:abstractNum w:abstractNumId="12">
    <w:nsid w:val="5A99D076"/>
    <w:multiLevelType w:val="singleLevel"/>
    <w:tmpl w:val="5A99D076"/>
    <w:lvl w:ilvl="0" w:tentative="0">
      <w:start w:val="2"/>
      <w:numFmt w:val="decimal"/>
      <w:lvlText w:val="%1."/>
      <w:lvlJc w:val="left"/>
      <w:pPr>
        <w:tabs>
          <w:tab w:val="left" w:pos="312"/>
        </w:tabs>
        <w:ind w:left="480" w:firstLine="0"/>
      </w:pPr>
    </w:lvl>
  </w:abstractNum>
  <w:num w:numId="1">
    <w:abstractNumId w:val="6"/>
  </w:num>
  <w:num w:numId="2">
    <w:abstractNumId w:val="3"/>
  </w:num>
  <w:num w:numId="3">
    <w:abstractNumId w:val="9"/>
  </w:num>
  <w:num w:numId="4">
    <w:abstractNumId w:val="5"/>
  </w:num>
  <w:num w:numId="5">
    <w:abstractNumId w:val="7"/>
  </w:num>
  <w:num w:numId="6">
    <w:abstractNumId w:val="12"/>
  </w:num>
  <w:num w:numId="7">
    <w:abstractNumId w:val="8"/>
  </w:num>
  <w:num w:numId="8">
    <w:abstractNumId w:val="10"/>
  </w:num>
  <w:num w:numId="9">
    <w:abstractNumId w:val="11"/>
  </w:num>
  <w:num w:numId="10">
    <w:abstractNumId w:val="2"/>
  </w:num>
  <w:num w:numId="11">
    <w:abstractNumId w:val="4"/>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1" w:cryptProviderType="rsaFull" w:cryptAlgorithmClass="hash" w:cryptAlgorithmType="typeAny" w:cryptAlgorithmSid="4" w:cryptSpinCount="0" w:hash="2mvmoiN7VG6ZfKLQVyffdVe+sVA=" w:salt="yVoIi+EH8+tWXLLNzHbKtQ=="/>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NjM5MWI5OTJlOWQxZDdiYTBmZGI3NTczYTVlNTUifQ=="/>
  </w:docVars>
  <w:rsids>
    <w:rsidRoot w:val="00000000"/>
    <w:rsid w:val="02005B8D"/>
    <w:rsid w:val="02C264F1"/>
    <w:rsid w:val="0560216C"/>
    <w:rsid w:val="07100CF1"/>
    <w:rsid w:val="07677F35"/>
    <w:rsid w:val="07E22A1E"/>
    <w:rsid w:val="087D170E"/>
    <w:rsid w:val="0B7C60D5"/>
    <w:rsid w:val="0C2C12C5"/>
    <w:rsid w:val="0C382749"/>
    <w:rsid w:val="0CDB347F"/>
    <w:rsid w:val="0DB8731C"/>
    <w:rsid w:val="0EED1C01"/>
    <w:rsid w:val="0F5D461F"/>
    <w:rsid w:val="0FB520AF"/>
    <w:rsid w:val="10122848"/>
    <w:rsid w:val="11A93B4C"/>
    <w:rsid w:val="14926CC5"/>
    <w:rsid w:val="15064E11"/>
    <w:rsid w:val="15F405EB"/>
    <w:rsid w:val="161401DB"/>
    <w:rsid w:val="194A79C2"/>
    <w:rsid w:val="199F06C1"/>
    <w:rsid w:val="1A866EA5"/>
    <w:rsid w:val="1CCD2EB3"/>
    <w:rsid w:val="1DCE5781"/>
    <w:rsid w:val="1E8C6B08"/>
    <w:rsid w:val="1E9811D0"/>
    <w:rsid w:val="2005342C"/>
    <w:rsid w:val="20677AD3"/>
    <w:rsid w:val="20D34741"/>
    <w:rsid w:val="21BD2162"/>
    <w:rsid w:val="24E6773E"/>
    <w:rsid w:val="251A767D"/>
    <w:rsid w:val="2581497C"/>
    <w:rsid w:val="25AB6412"/>
    <w:rsid w:val="27001DCB"/>
    <w:rsid w:val="27044385"/>
    <w:rsid w:val="273D7445"/>
    <w:rsid w:val="27727469"/>
    <w:rsid w:val="2809000E"/>
    <w:rsid w:val="281C1F8A"/>
    <w:rsid w:val="282D2989"/>
    <w:rsid w:val="28A06C1C"/>
    <w:rsid w:val="29143B49"/>
    <w:rsid w:val="2B6B0C1C"/>
    <w:rsid w:val="2CF52523"/>
    <w:rsid w:val="2CFF55C1"/>
    <w:rsid w:val="2F363C4A"/>
    <w:rsid w:val="2F642E8E"/>
    <w:rsid w:val="2FD92135"/>
    <w:rsid w:val="2FF75092"/>
    <w:rsid w:val="329F4483"/>
    <w:rsid w:val="32D72F11"/>
    <w:rsid w:val="33134E71"/>
    <w:rsid w:val="358F476F"/>
    <w:rsid w:val="35966615"/>
    <w:rsid w:val="36E8561F"/>
    <w:rsid w:val="37A442EA"/>
    <w:rsid w:val="38C55C94"/>
    <w:rsid w:val="3A58061F"/>
    <w:rsid w:val="3D3424ED"/>
    <w:rsid w:val="3DB34637"/>
    <w:rsid w:val="3DDE2C63"/>
    <w:rsid w:val="3EA80078"/>
    <w:rsid w:val="3EF518D7"/>
    <w:rsid w:val="44702D73"/>
    <w:rsid w:val="448600AA"/>
    <w:rsid w:val="4493311A"/>
    <w:rsid w:val="47857C94"/>
    <w:rsid w:val="4B7613B8"/>
    <w:rsid w:val="4C03387D"/>
    <w:rsid w:val="4D7E765F"/>
    <w:rsid w:val="4DAC7892"/>
    <w:rsid w:val="4F461FE7"/>
    <w:rsid w:val="4F8151E4"/>
    <w:rsid w:val="4FB51761"/>
    <w:rsid w:val="52413DEC"/>
    <w:rsid w:val="55C3101A"/>
    <w:rsid w:val="57206CE0"/>
    <w:rsid w:val="57415D69"/>
    <w:rsid w:val="577657E8"/>
    <w:rsid w:val="57DB2421"/>
    <w:rsid w:val="5D403159"/>
    <w:rsid w:val="5DCC049F"/>
    <w:rsid w:val="5E361890"/>
    <w:rsid w:val="5E4E17D8"/>
    <w:rsid w:val="5EE82A63"/>
    <w:rsid w:val="637A221F"/>
    <w:rsid w:val="66576686"/>
    <w:rsid w:val="66F260F2"/>
    <w:rsid w:val="68DE6863"/>
    <w:rsid w:val="697275C4"/>
    <w:rsid w:val="69DC1C1A"/>
    <w:rsid w:val="69F85DC8"/>
    <w:rsid w:val="6ADE3093"/>
    <w:rsid w:val="6BFE7C2B"/>
    <w:rsid w:val="6C537AB1"/>
    <w:rsid w:val="6D441D97"/>
    <w:rsid w:val="6E3470A8"/>
    <w:rsid w:val="6EEF5F38"/>
    <w:rsid w:val="6FA504B7"/>
    <w:rsid w:val="721414BF"/>
    <w:rsid w:val="733C129F"/>
    <w:rsid w:val="7474679E"/>
    <w:rsid w:val="74B25521"/>
    <w:rsid w:val="75723680"/>
    <w:rsid w:val="75F93477"/>
    <w:rsid w:val="784A2271"/>
    <w:rsid w:val="7C8A307B"/>
    <w:rsid w:val="7D4E22FA"/>
    <w:rsid w:val="7E55487E"/>
    <w:rsid w:val="7F4C316E"/>
    <w:rsid w:val="7F4C7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next w:val="1"/>
    <w:autoRedefine/>
    <w:qFormat/>
    <w:uiPriority w:val="0"/>
    <w:rPr>
      <w:szCs w:val="28"/>
    </w:rPr>
  </w:style>
  <w:style w:type="paragraph" w:styleId="4">
    <w:name w:val="Plain Text"/>
    <w:basedOn w:val="1"/>
    <w:autoRedefine/>
    <w:qFormat/>
    <w:uiPriority w:val="0"/>
    <w:rPr>
      <w:rFonts w:ascii="黑体" w:hAnsi="Courier New" w:eastAsia="黑体" w:cs="Times New Roman"/>
      <w:szCs w:val="20"/>
    </w:rPr>
  </w:style>
  <w:style w:type="paragraph" w:styleId="5">
    <w:name w:val="Body Text Indent 2"/>
    <w:basedOn w:val="1"/>
    <w:autoRedefine/>
    <w:qFormat/>
    <w:uiPriority w:val="0"/>
    <w:pPr>
      <w:ind w:firstLine="540" w:firstLineChars="180"/>
    </w:pPr>
    <w:rPr>
      <w:rFonts w:ascii="仿宋_GB2312" w:hAnsi="Calibri" w:eastAsia="仿宋_GB2312" w:cs="Times New Roman"/>
      <w:sz w:val="30"/>
      <w:szCs w:val="24"/>
    </w:rPr>
  </w:style>
  <w:style w:type="paragraph" w:styleId="6">
    <w:name w:val="footer"/>
    <w:basedOn w:val="1"/>
    <w:autoRedefine/>
    <w:qFormat/>
    <w:uiPriority w:val="99"/>
    <w:pPr>
      <w:tabs>
        <w:tab w:val="center" w:pos="4153"/>
        <w:tab w:val="right" w:pos="8306"/>
      </w:tabs>
      <w:snapToGrid w:val="0"/>
      <w:jc w:val="left"/>
    </w:pPr>
    <w:rPr>
      <w:rFonts w:ascii="Calibri" w:hAnsi="Calibri" w:eastAsia="宋体" w:cs="Times New Roman"/>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8">
    <w:name w:val="toc 1"/>
    <w:basedOn w:val="1"/>
    <w:next w:val="1"/>
    <w:autoRedefine/>
    <w:qFormat/>
    <w:uiPriority w:val="0"/>
    <w:rPr>
      <w:rFonts w:ascii="Calibri" w:hAnsi="Calibri" w:eastAsia="宋体" w:cs="Times New Roman"/>
    </w:rPr>
  </w:style>
  <w:style w:type="character" w:styleId="11">
    <w:name w:val="Strong"/>
    <w:basedOn w:val="10"/>
    <w:qFormat/>
    <w:uiPriority w:val="0"/>
    <w:rPr>
      <w:b/>
    </w:rPr>
  </w:style>
  <w:style w:type="paragraph" w:customStyle="1" w:styleId="12">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3">
    <w:name w:val="。"/>
    <w:basedOn w:val="1"/>
    <w:autoRedefine/>
    <w:qFormat/>
    <w:uiPriority w:val="0"/>
    <w:pPr>
      <w:adjustRightInd w:val="0"/>
      <w:spacing w:line="312" w:lineRule="atLeast"/>
      <w:ind w:right="679"/>
      <w:textAlignment w:val="baseline"/>
    </w:pPr>
    <w:rPr>
      <w:rFonts w:ascii="宋体" w:hAnsi="Calibri" w:eastAsia="宋体" w:cs="Times New Roman"/>
      <w:kern w:val="0"/>
      <w:sz w:val="20"/>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1152</Words>
  <Characters>1270</Characters>
  <Lines>0</Lines>
  <Paragraphs>0</Paragraphs>
  <TotalTime>1</TotalTime>
  <ScaleCrop>false</ScaleCrop>
  <LinksUpToDate>false</LinksUpToDate>
  <CharactersWithSpaces>1591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2023-11-09T02:14:00Z</dcterms:created>
  <dc:creator>周轶群</dc:creator>
  <cp:lastModifiedBy>爱子</cp:lastModifiedBy>
  <dcterms:modified xsi:type="dcterms:W3CDTF">2026-09-24T07:26:00Z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4BA1026335B341AE80CFBA51EEA600B0_13</vt:lpwstr>
  </property>
  <property fmtid="{D5CDD505-2E9C-101B-9397-08002B2CF9AE}" pid="4" name="KSOTemplateDocerSaveRecord">
    <vt:lpwstr>eyJoZGlkIjoiYTBjMWRhMzM1NzQwODljYzM3MTZjOGVlYjMyNDQ5NzMiLCJ1c2VySWQiOiI3NTYzOTc5MTIifQ==</vt:lpwstr>
  </property>
</Properties>
</file>